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Offshore Minerals Act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Introduction</w:t>
      </w:r>
    </w:p>
    <w:p>
      <w:pPr>
        <w:pStyle w:val="TOC4"/>
        <w:tabs>
          <w:tab w:val="right" w:leader="dot" w:pos="7077"/>
        </w:tabs>
        <w:rPr>
          <w:rFonts w:asciiTheme="minorHAnsi" w:eastAsiaTheme="minorEastAsia" w:hAnsiTheme="minorHAnsi" w:cstheme="minorBidi"/>
          <w:b w:val="0"/>
          <w:szCs w:val="22"/>
        </w:rPr>
      </w:pPr>
      <w:r>
        <w:t>Part 1.1 — Legislative formalities and background</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_Toc166675084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_Toc166675085 \h </w:instrText>
      </w:r>
      <w:r>
        <w:fldChar w:fldCharType="separate"/>
      </w:r>
      <w:r>
        <w:t>2</w:t>
      </w:r>
      <w:r>
        <w:fldChar w:fldCharType="end"/>
      </w:r>
    </w:p>
    <w:p>
      <w:pPr>
        <w:pStyle w:val="TOC8"/>
        <w:rPr>
          <w:rFonts w:asciiTheme="minorHAnsi" w:eastAsiaTheme="minorEastAsia" w:hAnsiTheme="minorHAnsi" w:cstheme="minorBidi"/>
          <w:szCs w:val="22"/>
        </w:rPr>
      </w:pPr>
      <w:r>
        <w:t>3.</w:t>
      </w:r>
      <w:r>
        <w:tab/>
        <w:t>Commonwealth</w:t>
      </w:r>
      <w:r>
        <w:noBreakHyphen/>
        <w:t>State agreement (the Offshore Constitutional Settlement)</w:t>
      </w:r>
      <w:r>
        <w:tab/>
      </w:r>
      <w:r>
        <w:fldChar w:fldCharType="begin"/>
      </w:r>
      <w:r>
        <w:instrText xml:space="preserve"> PAGEREF _Toc166675086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Part 1.2</w:t>
      </w:r>
      <w:r>
        <w:rPr>
          <w:snapToGrid w:val="0"/>
        </w:rPr>
        <w:t xml:space="preserve"> — </w:t>
      </w:r>
      <w:r>
        <w:t>Interpretation</w:t>
      </w:r>
    </w:p>
    <w:p>
      <w:pPr>
        <w:pStyle w:val="TOC6"/>
        <w:tabs>
          <w:tab w:val="right" w:leader="dot" w:pos="7077"/>
        </w:tabs>
        <w:rPr>
          <w:rFonts w:asciiTheme="minorHAnsi" w:eastAsiaTheme="minorEastAsia" w:hAnsiTheme="minorHAnsi" w:cstheme="minorBidi"/>
          <w:b w:val="0"/>
          <w:sz w:val="22"/>
          <w:szCs w:val="22"/>
        </w:rPr>
      </w:pPr>
      <w:r>
        <w:rPr>
          <w:b w:val="0"/>
        </w:rPr>
        <w:t>Division 1 — General</w:t>
      </w:r>
    </w:p>
    <w:p>
      <w:pPr>
        <w:pStyle w:val="TOC8"/>
        <w:rPr>
          <w:rFonts w:asciiTheme="minorHAnsi" w:eastAsiaTheme="minorEastAsia" w:hAnsiTheme="minorHAnsi" w:cstheme="minorBidi"/>
          <w:szCs w:val="22"/>
        </w:rPr>
      </w:pPr>
      <w:r>
        <w:t>4</w:t>
      </w:r>
      <w:r>
        <w:rPr>
          <w:snapToGrid w:val="0"/>
        </w:rPr>
        <w:t>.</w:t>
      </w:r>
      <w:r>
        <w:rPr>
          <w:snapToGrid w:val="0"/>
        </w:rPr>
        <w:tab/>
        <w:t>Notes in the text</w:t>
      </w:r>
      <w:r>
        <w:tab/>
      </w:r>
      <w:r>
        <w:fldChar w:fldCharType="begin"/>
      </w:r>
      <w:r>
        <w:instrText xml:space="preserve"> PAGEREF _Toc166675089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_Toc166675090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5A.</w:t>
      </w:r>
      <w:r>
        <w:rPr>
          <w:snapToGrid w:val="0"/>
        </w:rPr>
        <w:tab/>
        <w:t xml:space="preserve">Relationship with </w:t>
      </w:r>
      <w:r>
        <w:rPr>
          <w:i/>
          <w:snapToGrid w:val="0"/>
        </w:rPr>
        <w:t>Environmental Protection Act 1986</w:t>
      </w:r>
      <w:r>
        <w:tab/>
      </w:r>
      <w:r>
        <w:fldChar w:fldCharType="begin"/>
      </w:r>
      <w:r>
        <w:instrText xml:space="preserve"> PAGEREF _Toc166675091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Shares in a licence</w:t>
      </w:r>
      <w:r>
        <w:tab/>
      </w:r>
      <w:r>
        <w:fldChar w:fldCharType="begin"/>
      </w:r>
      <w:r>
        <w:instrText xml:space="preserve"> PAGEREF _Toc166675092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a licence</w:t>
      </w:r>
      <w:r>
        <w:tab/>
      </w:r>
      <w:r>
        <w:fldChar w:fldCharType="begin"/>
      </w:r>
      <w:r>
        <w:instrText xml:space="preserve"> PAGEREF _Toc166675093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Successor licences</w:t>
      </w:r>
      <w:r>
        <w:tab/>
      </w:r>
      <w:r>
        <w:fldChar w:fldCharType="begin"/>
      </w:r>
      <w:r>
        <w:instrText xml:space="preserve"> PAGEREF _Toc166675094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Section number not used</w:t>
      </w:r>
      <w:r>
        <w:tab/>
      </w:r>
      <w:r>
        <w:fldChar w:fldCharType="begin"/>
      </w:r>
      <w:r>
        <w:instrText xml:space="preserve"> PAGEREF _Toc166675095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Position on the Earth’s surface</w:t>
      </w:r>
      <w:r>
        <w:tab/>
      </w:r>
      <w:r>
        <w:fldChar w:fldCharType="begin"/>
      </w:r>
      <w:r>
        <w:instrText xml:space="preserve"> PAGEREF _Toc166675096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Section number not used</w:t>
      </w:r>
      <w:r>
        <w:tab/>
      </w:r>
      <w:r>
        <w:fldChar w:fldCharType="begin"/>
      </w:r>
      <w:r>
        <w:instrText xml:space="preserve"> PAGEREF _Toc166675097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vary and revoke instruments</w:t>
      </w:r>
      <w:r>
        <w:tab/>
      </w:r>
      <w:r>
        <w:fldChar w:fldCharType="begin"/>
      </w:r>
      <w:r>
        <w:instrText xml:space="preserve"> PAGEREF _Toc166675098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2 — </w:t>
      </w:r>
      <w:r>
        <w:rPr>
          <w:b w:val="0"/>
        </w:rPr>
        <w:t>Basic concepts</w:t>
      </w:r>
    </w:p>
    <w:p>
      <w:pPr>
        <w:pStyle w:val="TOC8"/>
        <w:rPr>
          <w:rFonts w:asciiTheme="minorHAnsi" w:eastAsiaTheme="minorEastAsia" w:hAnsiTheme="minorHAnsi" w:cstheme="minorBidi"/>
          <w:szCs w:val="22"/>
        </w:rPr>
      </w:pPr>
      <w:r>
        <w:t>13</w:t>
      </w:r>
      <w:r>
        <w:rPr>
          <w:snapToGrid w:val="0"/>
        </w:rPr>
        <w:t>. – 15.</w:t>
      </w:r>
      <w:r>
        <w:rPr>
          <w:snapToGrid w:val="0"/>
        </w:rPr>
        <w:tab/>
        <w:t>Section numbers not used</w:t>
      </w:r>
      <w:r>
        <w:tab/>
      </w:r>
      <w:r>
        <w:fldChar w:fldCharType="begin"/>
      </w:r>
      <w:r>
        <w:instrText xml:space="preserve"> PAGEREF _Toc166675101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Coastal waters, and effect of change in baseline</w:t>
      </w:r>
      <w:r>
        <w:tab/>
      </w:r>
      <w:r>
        <w:fldChar w:fldCharType="begin"/>
      </w:r>
      <w:r>
        <w:instrText xml:space="preserve"> PAGEREF _Toc166675102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Blocks</w:t>
      </w:r>
      <w:r>
        <w:tab/>
      </w:r>
      <w:r>
        <w:fldChar w:fldCharType="begin"/>
      </w:r>
      <w:r>
        <w:instrText xml:space="preserve"> PAGEREF _Toc166675103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Reserved block</w:t>
      </w:r>
      <w:r>
        <w:tab/>
      </w:r>
      <w:r>
        <w:fldChar w:fldCharType="begin"/>
      </w:r>
      <w:r>
        <w:instrText xml:space="preserve"> PAGEREF _Toc166675104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Standard block</w:t>
      </w:r>
      <w:r>
        <w:tab/>
      </w:r>
      <w:r>
        <w:fldChar w:fldCharType="begin"/>
      </w:r>
      <w:r>
        <w:instrText xml:space="preserve"> PAGEREF _Toc166675105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Tender block</w:t>
      </w:r>
      <w:r>
        <w:tab/>
      </w:r>
      <w:r>
        <w:fldChar w:fldCharType="begin"/>
      </w:r>
      <w:r>
        <w:instrText xml:space="preserve"> PAGEREF _Toc166675106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Discrete area</w:t>
      </w:r>
      <w:r>
        <w:tab/>
      </w:r>
      <w:r>
        <w:fldChar w:fldCharType="begin"/>
      </w:r>
      <w:r>
        <w:instrText xml:space="preserve"> PAGEREF _Toc166675107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Minerals</w:t>
      </w:r>
      <w:r>
        <w:tab/>
      </w:r>
      <w:r>
        <w:fldChar w:fldCharType="begin"/>
      </w:r>
      <w:r>
        <w:instrText xml:space="preserve"> PAGEREF _Toc166675108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Exploration</w:t>
      </w:r>
      <w:r>
        <w:tab/>
      </w:r>
      <w:r>
        <w:fldChar w:fldCharType="begin"/>
      </w:r>
      <w:r>
        <w:instrText xml:space="preserve"> PAGEREF _Toc166675109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Recovery</w:t>
      </w:r>
      <w:r>
        <w:tab/>
      </w:r>
      <w:r>
        <w:fldChar w:fldCharType="begin"/>
      </w:r>
      <w:r>
        <w:instrText xml:space="preserve"> PAGEREF _Toc166675111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Licence holder</w:t>
      </w:r>
      <w:r>
        <w:tab/>
      </w:r>
      <w:r>
        <w:fldChar w:fldCharType="begin"/>
      </w:r>
      <w:r>
        <w:instrText xml:space="preserve"> PAGEREF _Toc166675112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Associates</w:t>
      </w:r>
      <w:r>
        <w:tab/>
      </w:r>
      <w:r>
        <w:fldChar w:fldCharType="begin"/>
      </w:r>
      <w:r>
        <w:instrText xml:space="preserve"> PAGEREF _Toc166675113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Confidential information</w:t>
      </w:r>
      <w:r>
        <w:tab/>
      </w:r>
      <w:r>
        <w:fldChar w:fldCharType="begin"/>
      </w:r>
      <w:r>
        <w:instrText xml:space="preserve"> PAGEREF _Toc166675114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Confidential sample</w:t>
      </w:r>
      <w:r>
        <w:tab/>
      </w:r>
      <w:r>
        <w:fldChar w:fldCharType="begin"/>
      </w:r>
      <w:r>
        <w:instrText xml:space="preserve"> PAGEREF _Toc166675117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Part 1.3</w:t>
      </w:r>
      <w:r>
        <w:rPr>
          <w:snapToGrid w:val="0"/>
        </w:rPr>
        <w:t xml:space="preserve"> — </w:t>
      </w:r>
      <w:r>
        <w:t>Administration of the Commonwealth</w:t>
      </w:r>
      <w:r>
        <w:noBreakHyphen/>
        <w:t>State offshore area</w:t>
      </w:r>
    </w:p>
    <w:p>
      <w:pPr>
        <w:pStyle w:val="TOC8"/>
        <w:rPr>
          <w:rFonts w:asciiTheme="minorHAnsi" w:eastAsiaTheme="minorEastAsia" w:hAnsiTheme="minorHAnsi" w:cstheme="minorBidi"/>
          <w:szCs w:val="22"/>
        </w:rPr>
      </w:pPr>
      <w:r>
        <w:t>29</w:t>
      </w:r>
      <w:r>
        <w:rPr>
          <w:snapToGrid w:val="0"/>
        </w:rPr>
        <w:t>.</w:t>
      </w:r>
      <w:r>
        <w:rPr>
          <w:snapToGrid w:val="0"/>
        </w:rPr>
        <w:tab/>
        <w:t>Definitions</w:t>
      </w:r>
      <w:r>
        <w:tab/>
      </w:r>
      <w:r>
        <w:fldChar w:fldCharType="begin"/>
      </w:r>
      <w:r>
        <w:instrText xml:space="preserve"> PAGEREF _Toc166675119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Minister as member of Joint Authority, or as Designated Authority</w:t>
      </w:r>
      <w:r>
        <w:tab/>
      </w:r>
      <w:r>
        <w:fldChar w:fldCharType="begin"/>
      </w:r>
      <w:r>
        <w:instrText xml:space="preserve"> PAGEREF _Toc166675121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State officer acting under delegation</w:t>
      </w:r>
      <w:r>
        <w:tab/>
      </w:r>
      <w:r>
        <w:fldChar w:fldCharType="begin"/>
      </w:r>
      <w:r>
        <w:instrText xml:space="preserve"> PAGEREF _Toc166675122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 – 34.</w:t>
      </w:r>
      <w:r>
        <w:rPr>
          <w:snapToGrid w:val="0"/>
        </w:rPr>
        <w:tab/>
        <w:t>Section numbers not used</w:t>
      </w:r>
      <w:r>
        <w:tab/>
      </w:r>
      <w:r>
        <w:fldChar w:fldCharType="begin"/>
      </w:r>
      <w:r>
        <w:instrText xml:space="preserve"> PAGEREF _Toc166675123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Part 1.4</w:t>
      </w:r>
      <w:r>
        <w:rPr>
          <w:snapToGrid w:val="0"/>
        </w:rPr>
        <w:t xml:space="preserve"> — </w:t>
      </w:r>
      <w:r>
        <w:t>Application of this Act</w:t>
      </w:r>
    </w:p>
    <w:p>
      <w:pPr>
        <w:pStyle w:val="TOC8"/>
        <w:rPr>
          <w:rFonts w:asciiTheme="minorHAnsi" w:eastAsiaTheme="minorEastAsia" w:hAnsiTheme="minorHAnsi" w:cstheme="minorBidi"/>
          <w:szCs w:val="22"/>
        </w:rPr>
      </w:pPr>
      <w:r>
        <w:t>35</w:t>
      </w:r>
      <w:r>
        <w:rPr>
          <w:snapToGrid w:val="0"/>
        </w:rPr>
        <w:t>.</w:t>
      </w:r>
      <w:r>
        <w:rPr>
          <w:snapToGrid w:val="0"/>
        </w:rPr>
        <w:tab/>
        <w:t>Act does not apply to exploration for or recovery of petroleum</w:t>
      </w:r>
      <w:r>
        <w:tab/>
      </w:r>
      <w:r>
        <w:fldChar w:fldCharType="begin"/>
      </w:r>
      <w:r>
        <w:instrText xml:space="preserve"> PAGEREF _Toc166675125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Section number not used</w:t>
      </w:r>
      <w:r>
        <w:tab/>
      </w:r>
      <w:r>
        <w:fldChar w:fldCharType="begin"/>
      </w:r>
      <w:r>
        <w:instrText xml:space="preserve"> PAGEREF _Toc166675126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Act applies to all individuals and corporations</w:t>
      </w:r>
      <w:r>
        <w:tab/>
      </w:r>
      <w:r>
        <w:fldChar w:fldCharType="begin"/>
      </w:r>
      <w:r>
        <w:instrText xml:space="preserve"> PAGEREF _Toc166675127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Chapter 2 — Regulation of offshore exploration and mining</w:t>
      </w:r>
    </w:p>
    <w:p>
      <w:pPr>
        <w:pStyle w:val="TOC4"/>
        <w:tabs>
          <w:tab w:val="right" w:leader="dot" w:pos="7077"/>
        </w:tabs>
        <w:rPr>
          <w:rFonts w:asciiTheme="minorHAnsi" w:eastAsiaTheme="minorEastAsia" w:hAnsiTheme="minorHAnsi" w:cstheme="minorBidi"/>
          <w:b w:val="0"/>
          <w:szCs w:val="22"/>
        </w:rPr>
      </w:pPr>
      <w:r>
        <w:t>Part 2.1 — General</w:t>
      </w:r>
    </w:p>
    <w:p>
      <w:pPr>
        <w:pStyle w:val="TOC8"/>
        <w:rPr>
          <w:rFonts w:asciiTheme="minorHAnsi" w:eastAsiaTheme="minorEastAsia" w:hAnsiTheme="minorHAnsi" w:cstheme="minorBidi"/>
          <w:szCs w:val="22"/>
        </w:rPr>
      </w:pPr>
      <w:r>
        <w:t>38</w:t>
      </w:r>
      <w:r>
        <w:rPr>
          <w:snapToGrid w:val="0"/>
        </w:rPr>
        <w:t>.</w:t>
      </w:r>
      <w:r>
        <w:rPr>
          <w:snapToGrid w:val="0"/>
        </w:rPr>
        <w:tab/>
        <w:t>General prohibition on exploring and mining without appropriate authorisation</w:t>
      </w:r>
      <w:r>
        <w:tab/>
      </w:r>
      <w:r>
        <w:fldChar w:fldCharType="begin"/>
      </w:r>
      <w:r>
        <w:instrText xml:space="preserve"> PAGEREF _Toc166675130 \h </w:instrText>
      </w:r>
      <w:r>
        <w:fldChar w:fldCharType="separate"/>
      </w:r>
      <w:r>
        <w:t>24</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Exploration and mining in marine reserves and fish habitat protection areas</w:t>
      </w:r>
      <w:r>
        <w:tab/>
      </w:r>
      <w:r>
        <w:fldChar w:fldCharType="begin"/>
      </w:r>
      <w:r>
        <w:instrText xml:space="preserve"> PAGEREF _Toc166675131 \h </w:instrText>
      </w:r>
      <w:r>
        <w:fldChar w:fldCharType="separate"/>
      </w:r>
      <w:r>
        <w:t>24</w:t>
      </w:r>
      <w:r>
        <w:fldChar w:fldCharType="end"/>
      </w:r>
    </w:p>
    <w:p>
      <w:pPr>
        <w:pStyle w:val="TOC8"/>
        <w:rPr>
          <w:rFonts w:asciiTheme="minorHAnsi" w:eastAsiaTheme="minorEastAsia" w:hAnsiTheme="minorHAnsi" w:cstheme="minorBidi"/>
          <w:szCs w:val="22"/>
        </w:rPr>
      </w:pPr>
      <w:r>
        <w:t>38B.</w:t>
      </w:r>
      <w:r>
        <w:tab/>
        <w:t>Consultation with other Ministers</w:t>
      </w:r>
      <w:r>
        <w:tab/>
      </w:r>
      <w:r>
        <w:fldChar w:fldCharType="begin"/>
      </w:r>
      <w:r>
        <w:instrText xml:space="preserve"> PAGEREF _Toc166675132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Licences and consents available under this Act</w:t>
      </w:r>
      <w:r>
        <w:tab/>
      </w:r>
      <w:r>
        <w:fldChar w:fldCharType="begin"/>
      </w:r>
      <w:r>
        <w:instrText xml:space="preserve"> PAGEREF _Toc166675133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Steps involved in the grant of a fully effective licence</w:t>
      </w:r>
      <w:r>
        <w:tab/>
      </w:r>
      <w:r>
        <w:fldChar w:fldCharType="begin"/>
      </w:r>
      <w:r>
        <w:instrText xml:space="preserve"> PAGEREF _Toc166675134 \h </w:instrText>
      </w:r>
      <w:r>
        <w:fldChar w:fldCharType="separate"/>
      </w:r>
      <w:r>
        <w:t>29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Approval of form and manner of applications etc.</w:t>
      </w:r>
      <w:r>
        <w:tab/>
      </w:r>
      <w:r>
        <w:fldChar w:fldCharType="begin"/>
      </w:r>
      <w:r>
        <w:instrText xml:space="preserve"> PAGEREF _Toc166675135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to minerals recovered</w:t>
      </w:r>
      <w:r>
        <w:tab/>
      </w:r>
      <w:r>
        <w:fldChar w:fldCharType="begin"/>
      </w:r>
      <w:r>
        <w:instrText xml:space="preserve"> PAGEREF _Toc166675136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Effect of grant of licence or special purpose consent on native title</w:t>
      </w:r>
      <w:r>
        <w:tab/>
      </w:r>
      <w:r>
        <w:fldChar w:fldCharType="begin"/>
      </w:r>
      <w:r>
        <w:instrText xml:space="preserve"> PAGEREF _Toc166675138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Licence etc. does not authorise unnecessary interference with other activities in the licence area</w:t>
      </w:r>
      <w:r>
        <w:tab/>
      </w:r>
      <w:r>
        <w:fldChar w:fldCharType="begin"/>
      </w:r>
      <w:r>
        <w:instrText xml:space="preserve"> PAGEREF _Toc166675139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2.2</w:t>
      </w:r>
      <w:r>
        <w:rPr>
          <w:snapToGrid w:val="0"/>
        </w:rPr>
        <w:t xml:space="preserve"> — </w:t>
      </w:r>
      <w:r>
        <w:t>Exploration licences</w:t>
      </w:r>
    </w:p>
    <w:p>
      <w:pPr>
        <w:pStyle w:val="TOC6"/>
        <w:tabs>
          <w:tab w:val="right" w:leader="dot" w:pos="7077"/>
        </w:tabs>
        <w:rPr>
          <w:rFonts w:asciiTheme="minorHAnsi" w:eastAsiaTheme="minorEastAsia" w:hAnsiTheme="minorHAnsi" w:cstheme="minorBidi"/>
          <w:b w:val="0"/>
          <w:sz w:val="22"/>
          <w:szCs w:val="22"/>
        </w:rPr>
      </w:pPr>
      <w:r>
        <w:rPr>
          <w:b w:val="0"/>
        </w:rPr>
        <w:t>Division 1 — General</w:t>
      </w:r>
    </w:p>
    <w:p>
      <w:pPr>
        <w:pStyle w:val="TOC8"/>
        <w:rPr>
          <w:rFonts w:asciiTheme="minorHAnsi" w:eastAsiaTheme="minorEastAsia" w:hAnsiTheme="minorHAnsi" w:cstheme="minorBidi"/>
          <w:szCs w:val="22"/>
        </w:rPr>
      </w:pPr>
      <w:r>
        <w:t>45</w:t>
      </w:r>
      <w:r>
        <w:rPr>
          <w:snapToGrid w:val="0"/>
        </w:rPr>
        <w:t>.</w:t>
      </w:r>
      <w:r>
        <w:rPr>
          <w:snapToGrid w:val="0"/>
        </w:rPr>
        <w:tab/>
        <w:t>Exploration licences</w:t>
      </w:r>
      <w:r>
        <w:tab/>
      </w:r>
      <w:r>
        <w:fldChar w:fldCharType="begin"/>
      </w:r>
      <w:r>
        <w:instrText xml:space="preserve"> PAGEREF _Toc166675143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Activities authorised by an exploration licence</w:t>
      </w:r>
      <w:r>
        <w:tab/>
      </w:r>
      <w:r>
        <w:fldChar w:fldCharType="begin"/>
      </w:r>
      <w:r>
        <w:instrText xml:space="preserve"> PAGEREF _Toc166675144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Minister may cancel or not renew exploration licence without compensation</w:t>
      </w:r>
      <w:r>
        <w:tab/>
      </w:r>
      <w:r>
        <w:fldChar w:fldCharType="begin"/>
      </w:r>
      <w:r>
        <w:instrText xml:space="preserve"> PAGEREF _Toc166675145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Licence rights may be suspended</w:t>
      </w:r>
      <w:r>
        <w:tab/>
      </w:r>
      <w:r>
        <w:fldChar w:fldCharType="begin"/>
      </w:r>
      <w:r>
        <w:instrText xml:space="preserve"> PAGEREF _Toc166675146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Compensation for acquisition of property due to suspension of rights</w:t>
      </w:r>
      <w:r>
        <w:tab/>
      </w:r>
      <w:r>
        <w:fldChar w:fldCharType="begin"/>
      </w:r>
      <w:r>
        <w:instrText xml:space="preserve"> PAGEREF _Toc166675147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2 — Application for and grant of exploration licence over standard blocks</w:t>
      </w:r>
    </w:p>
    <w:p>
      <w:pPr>
        <w:pStyle w:val="TOC8"/>
        <w:rPr>
          <w:rFonts w:asciiTheme="minorHAnsi" w:eastAsiaTheme="minorEastAsia" w:hAnsiTheme="minorHAnsi" w:cstheme="minorBidi"/>
          <w:szCs w:val="22"/>
        </w:rPr>
      </w:pPr>
      <w:r>
        <w:t>50</w:t>
      </w:r>
      <w:r>
        <w:rPr>
          <w:snapToGrid w:val="0"/>
        </w:rPr>
        <w:t>.</w:t>
      </w:r>
      <w:r>
        <w:rPr>
          <w:snapToGrid w:val="0"/>
        </w:rPr>
        <w:tab/>
        <w:t>Application for exploration licence over standard block</w:t>
      </w:r>
      <w:r>
        <w:tab/>
      </w:r>
      <w:r>
        <w:fldChar w:fldCharType="begin"/>
      </w:r>
      <w:r>
        <w:instrText xml:space="preserve"> PAGEREF _Toc166675149 \h </w:instrText>
      </w:r>
      <w:r>
        <w:fldChar w:fldCharType="separate"/>
      </w:r>
      <w:r>
        <w:t>36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Excluded blocks</w:t>
      </w:r>
      <w:r>
        <w:tab/>
      </w:r>
      <w:r>
        <w:fldChar w:fldCharType="begin"/>
      </w:r>
      <w:r>
        <w:instrText xml:space="preserve"> PAGEREF _Toc166675150 \h </w:instrText>
      </w:r>
      <w:r>
        <w:fldChar w:fldCharType="separate"/>
      </w:r>
      <w:r>
        <w:t>36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Minister may determine that excluded block is available</w:t>
      </w:r>
      <w:r>
        <w:tab/>
      </w:r>
      <w:r>
        <w:fldChar w:fldCharType="begin"/>
      </w:r>
      <w:r>
        <w:instrText xml:space="preserve"> PAGEREF _Toc166675151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Minister may allow application for more than one discrete area</w:t>
      </w:r>
      <w:r>
        <w:tab/>
      </w:r>
      <w:r>
        <w:fldChar w:fldCharType="begin"/>
      </w:r>
      <w:r>
        <w:instrText xml:space="preserve"> PAGEREF _Toc166675152 \h </w:instrText>
      </w:r>
      <w:r>
        <w:fldChar w:fldCharType="separate"/>
      </w:r>
      <w:r>
        <w:t>38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How to apply</w:t>
      </w:r>
      <w:r>
        <w:tab/>
      </w:r>
      <w:r>
        <w:fldChar w:fldCharType="begin"/>
      </w:r>
      <w:r>
        <w:instrText xml:space="preserve"> PAGEREF _Toc166675153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Effect of inclusion of unavailable block in application</w:t>
      </w:r>
      <w:r>
        <w:tab/>
      </w:r>
      <w:r>
        <w:fldChar w:fldCharType="begin"/>
      </w:r>
      <w:r>
        <w:instrText xml:space="preserve"> PAGEREF _Toc166675154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Payment of fee</w:t>
      </w:r>
      <w:r>
        <w:tab/>
      </w:r>
      <w:r>
        <w:fldChar w:fldCharType="begin"/>
      </w:r>
      <w:r>
        <w:instrText xml:space="preserve"> PAGEREF _Toc166675155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must be advertised</w:t>
      </w:r>
      <w:r>
        <w:tab/>
      </w:r>
      <w:r>
        <w:fldChar w:fldCharType="begin"/>
      </w:r>
      <w:r>
        <w:instrText xml:space="preserve"> PAGEREF _Toc166675157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How multiple applications are dealt with</w:t>
      </w:r>
      <w:r>
        <w:tab/>
      </w:r>
      <w:r>
        <w:fldChar w:fldCharType="begin"/>
      </w:r>
      <w:r>
        <w:instrText xml:space="preserve"> PAGEREF _Toc166675158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Discussions about blocks applied for</w:t>
      </w:r>
      <w:r>
        <w:tab/>
      </w:r>
      <w:r>
        <w:fldChar w:fldCharType="begin"/>
      </w:r>
      <w:r>
        <w:instrText xml:space="preserve"> PAGEREF _Toc166675159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Advertising revised application</w:t>
      </w:r>
      <w:r>
        <w:tab/>
      </w:r>
      <w:r>
        <w:fldChar w:fldCharType="begin"/>
      </w:r>
      <w:r>
        <w:instrText xml:space="preserve"> PAGEREF _Toc166675160 \h </w:instrText>
      </w:r>
      <w:r>
        <w:fldChar w:fldCharType="separate"/>
      </w:r>
      <w:r>
        <w:t>43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Request for further information</w:t>
      </w:r>
      <w:r>
        <w:tab/>
      </w:r>
      <w:r>
        <w:fldChar w:fldCharType="begin"/>
      </w:r>
      <w:r>
        <w:instrText xml:space="preserve"> PAGEREF _Toc166675161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Section number not used</w:t>
      </w:r>
      <w:r>
        <w:tab/>
      </w:r>
      <w:r>
        <w:fldChar w:fldCharType="begin"/>
      </w:r>
      <w:r>
        <w:instrText xml:space="preserve"> PAGEREF _Toc166675162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Minister may provisionally grant licence</w:t>
      </w:r>
      <w:r>
        <w:tab/>
      </w:r>
      <w:r>
        <w:fldChar w:fldCharType="begin"/>
      </w:r>
      <w:r>
        <w:instrText xml:space="preserve"> PAGEREF _Toc166675163 \h </w:instrText>
      </w:r>
      <w:r>
        <w:fldChar w:fldCharType="separate"/>
      </w:r>
      <w:r>
        <w:t>45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Section number not used</w:t>
      </w:r>
      <w:r>
        <w:tab/>
      </w:r>
      <w:r>
        <w:fldChar w:fldCharType="begin"/>
      </w:r>
      <w:r>
        <w:instrText xml:space="preserve"> PAGEREF _Toc166675164 \h </w:instrText>
      </w:r>
      <w:r>
        <w:fldChar w:fldCharType="separate"/>
      </w:r>
      <w:r>
        <w:t>45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Matters to be specified in the licence</w:t>
      </w:r>
      <w:r>
        <w:tab/>
      </w:r>
      <w:r>
        <w:fldChar w:fldCharType="begin"/>
      </w:r>
      <w:r>
        <w:instrText xml:space="preserve"> PAGEREF _Toc166675166 \h </w:instrText>
      </w:r>
      <w:r>
        <w:fldChar w:fldCharType="separate"/>
      </w:r>
      <w:r>
        <w:t>45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Applicant must be notified</w:t>
      </w:r>
      <w:r>
        <w:tab/>
      </w:r>
      <w:r>
        <w:fldChar w:fldCharType="begin"/>
      </w:r>
      <w:r>
        <w:instrText xml:space="preserve"> PAGEREF _Toc166675167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Amendment of conditions</w:t>
      </w:r>
      <w:r>
        <w:tab/>
      </w:r>
      <w:r>
        <w:fldChar w:fldCharType="begin"/>
      </w:r>
      <w:r>
        <w:instrText xml:space="preserve"> PAGEREF _Toc166675168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Amendment of security requirements</w:t>
      </w:r>
      <w:r>
        <w:tab/>
      </w:r>
      <w:r>
        <w:fldChar w:fldCharType="begin"/>
      </w:r>
      <w:r>
        <w:instrText xml:space="preserve"> PAGEREF _Toc166675169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Extension of primary payment period</w:t>
      </w:r>
      <w:r>
        <w:tab/>
      </w:r>
      <w:r>
        <w:fldChar w:fldCharType="begin"/>
      </w:r>
      <w:r>
        <w:instrText xml:space="preserve"> PAGEREF _Toc166675171 \h </w:instrText>
      </w:r>
      <w:r>
        <w:fldChar w:fldCharType="separate"/>
      </w:r>
      <w:r>
        <w:t>47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Acceptance of grant of exploration licence for standard block</w:t>
      </w:r>
      <w:r>
        <w:tab/>
      </w:r>
      <w:r>
        <w:fldChar w:fldCharType="begin"/>
      </w:r>
      <w:r>
        <w:instrText xml:space="preserve"> PAGEREF _Toc166675172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Conditions applicable to licence on grant</w:t>
      </w:r>
      <w:r>
        <w:tab/>
      </w:r>
      <w:r>
        <w:fldChar w:fldCharType="begin"/>
      </w:r>
      <w:r>
        <w:instrText xml:space="preserve"> PAGEREF _Toc166675173 \h </w:instrText>
      </w:r>
      <w:r>
        <w:fldChar w:fldCharType="separate"/>
      </w:r>
      <w:r>
        <w:t>48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Lapse of provisional grant of exploration licence</w:t>
      </w:r>
      <w:r>
        <w:tab/>
      </w:r>
      <w:r>
        <w:fldChar w:fldCharType="begin"/>
      </w:r>
      <w:r>
        <w:instrText xml:space="preserve"> PAGEREF _Toc166675174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lastRenderedPageBreak/>
        <w:t>Division 3 — Application for and grant of exploration licence over tender block</w:t>
      </w:r>
    </w:p>
    <w:p>
      <w:pPr>
        <w:pStyle w:val="TOC8"/>
        <w:rPr>
          <w:rFonts w:asciiTheme="minorHAnsi" w:eastAsiaTheme="minorEastAsia" w:hAnsiTheme="minorHAnsi" w:cstheme="minorBidi"/>
          <w:szCs w:val="22"/>
        </w:rPr>
      </w:pPr>
      <w:r>
        <w:t>73</w:t>
      </w:r>
      <w:r>
        <w:rPr>
          <w:snapToGrid w:val="0"/>
        </w:rPr>
        <w:t>.</w:t>
      </w:r>
      <w:r>
        <w:rPr>
          <w:snapToGrid w:val="0"/>
        </w:rPr>
        <w:tab/>
        <w:t>Matters to be determined before applications for exploration licence over tender blocks invited</w:t>
      </w:r>
      <w:r>
        <w:tab/>
      </w:r>
      <w:r>
        <w:fldChar w:fldCharType="begin"/>
      </w:r>
      <w:r>
        <w:instrText xml:space="preserve"> PAGEREF _Toc166675176 \h </w:instrText>
      </w:r>
      <w:r>
        <w:fldChar w:fldCharType="separate"/>
      </w:r>
      <w:r>
        <w:t>48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Minister may invite applications for exploration licence over tender blocks</w:t>
      </w:r>
      <w:r>
        <w:tab/>
      </w:r>
      <w:r>
        <w:fldChar w:fldCharType="begin"/>
      </w:r>
      <w:r>
        <w:instrText xml:space="preserve"> PAGEREF _Toc166675177 \h </w:instrText>
      </w:r>
      <w:r>
        <w:fldChar w:fldCharType="separate"/>
      </w:r>
      <w:r>
        <w:t>49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Tender block licence notice — exploration licence</w:t>
      </w:r>
      <w:r>
        <w:tab/>
      </w:r>
      <w:r>
        <w:fldChar w:fldCharType="begin"/>
      </w:r>
      <w:r>
        <w:instrText xml:space="preserve"> PAGEREF _Toc166675178 \h </w:instrText>
      </w:r>
      <w:r>
        <w:fldChar w:fldCharType="separate"/>
      </w:r>
      <w:r>
        <w:t>49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Application for exploration licence over tender blocks</w:t>
      </w:r>
      <w:r>
        <w:tab/>
      </w:r>
      <w:r>
        <w:fldChar w:fldCharType="begin"/>
      </w:r>
      <w:r>
        <w:instrText xml:space="preserve"> PAGEREF _Toc166675179 \h </w:instrText>
      </w:r>
      <w:r>
        <w:fldChar w:fldCharType="separate"/>
      </w:r>
      <w:r>
        <w:t>50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How to apply</w:t>
      </w:r>
      <w:r>
        <w:tab/>
      </w:r>
      <w:r>
        <w:fldChar w:fldCharType="begin"/>
      </w:r>
      <w:r>
        <w:instrText xml:space="preserve"> PAGEREF _Toc166675180 \h </w:instrText>
      </w:r>
      <w:r>
        <w:fldChar w:fldCharType="separate"/>
      </w:r>
      <w:r>
        <w:t>50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Payment of fee</w:t>
      </w:r>
      <w:r>
        <w:tab/>
      </w:r>
      <w:r>
        <w:fldChar w:fldCharType="begin"/>
      </w:r>
      <w:r>
        <w:instrText xml:space="preserve"> PAGEREF _Toc166675181 \h </w:instrText>
      </w:r>
      <w:r>
        <w:fldChar w:fldCharType="separate"/>
      </w:r>
      <w:r>
        <w:t>51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Request for further information</w:t>
      </w:r>
      <w:r>
        <w:tab/>
      </w:r>
      <w:r>
        <w:fldChar w:fldCharType="begin"/>
      </w:r>
      <w:r>
        <w:instrText xml:space="preserve"> PAGEREF _Toc166675182 \h </w:instrText>
      </w:r>
      <w:r>
        <w:fldChar w:fldCharType="separate"/>
      </w:r>
      <w:r>
        <w:t>51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Section number not used</w:t>
      </w:r>
      <w:r>
        <w:tab/>
      </w:r>
      <w:r>
        <w:fldChar w:fldCharType="begin"/>
      </w:r>
      <w:r>
        <w:instrText xml:space="preserve"> PAGEREF _Toc166675183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Minister may provisionally grant licence</w:t>
      </w:r>
      <w:r>
        <w:tab/>
      </w:r>
      <w:r>
        <w:fldChar w:fldCharType="begin"/>
      </w:r>
      <w:r>
        <w:instrText xml:space="preserve"> PAGEREF _Toc166675187 \h </w:instrText>
      </w:r>
      <w:r>
        <w:fldChar w:fldCharType="separate"/>
      </w:r>
      <w:r>
        <w:t>51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Section number not used</w:t>
      </w:r>
      <w:r>
        <w:tab/>
      </w:r>
      <w:r>
        <w:fldChar w:fldCharType="begin"/>
      </w:r>
      <w:r>
        <w:instrText xml:space="preserve"> PAGEREF _Toc166675188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Successful applicant must be notified</w:t>
      </w:r>
      <w:r>
        <w:tab/>
      </w:r>
      <w:r>
        <w:fldChar w:fldCharType="begin"/>
      </w:r>
      <w:r>
        <w:instrText xml:space="preserve"> PAGEREF _Toc166675189 \h </w:instrText>
      </w:r>
      <w:r>
        <w:fldChar w:fldCharType="separate"/>
      </w:r>
      <w:r>
        <w:t>52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Acceptance of grant of exploration licence over tender blocks</w:t>
      </w:r>
      <w:r>
        <w:tab/>
      </w:r>
      <w:r>
        <w:fldChar w:fldCharType="begin"/>
      </w:r>
      <w:r>
        <w:instrText xml:space="preserve"> PAGEREF _Toc166675190 \h </w:instrText>
      </w:r>
      <w:r>
        <w:fldChar w:fldCharType="separate"/>
      </w:r>
      <w:r>
        <w:t>53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Conditions applicable to licence on grant</w:t>
      </w:r>
      <w:r>
        <w:tab/>
      </w:r>
      <w:r>
        <w:fldChar w:fldCharType="begin"/>
      </w:r>
      <w:r>
        <w:instrText xml:space="preserve"> PAGEREF _Toc166675191 \h </w:instrText>
      </w:r>
      <w:r>
        <w:fldChar w:fldCharType="separate"/>
      </w:r>
      <w:r>
        <w:t>53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Lapse of provisional grant of exploration licence</w:t>
      </w:r>
      <w:r>
        <w:tab/>
      </w:r>
      <w:r>
        <w:fldChar w:fldCharType="begin"/>
      </w:r>
      <w:r>
        <w:instrText xml:space="preserve"> PAGEREF _Toc166675194 \h </w:instrText>
      </w:r>
      <w:r>
        <w:fldChar w:fldCharType="separate"/>
      </w:r>
      <w:r>
        <w:t>53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Provisional grant to next applicant if grant lapses</w:t>
      </w:r>
      <w:r>
        <w:tab/>
      </w:r>
      <w:r>
        <w:fldChar w:fldCharType="begin"/>
      </w:r>
      <w:r>
        <w:instrText xml:space="preserve"> PAGEREF _Toc166675195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4 — </w:t>
      </w:r>
      <w:r>
        <w:rPr>
          <w:b w:val="0"/>
        </w:rPr>
        <w:t>Duration of exploration licence</w:t>
      </w:r>
    </w:p>
    <w:p>
      <w:pPr>
        <w:pStyle w:val="TOC8"/>
        <w:rPr>
          <w:rFonts w:asciiTheme="minorHAnsi" w:eastAsiaTheme="minorEastAsia" w:hAnsiTheme="minorHAnsi" w:cstheme="minorBidi"/>
          <w:szCs w:val="22"/>
        </w:rPr>
      </w:pPr>
      <w:r>
        <w:t>88</w:t>
      </w:r>
      <w:r>
        <w:rPr>
          <w:snapToGrid w:val="0"/>
        </w:rPr>
        <w:t>.</w:t>
      </w:r>
      <w:r>
        <w:rPr>
          <w:snapToGrid w:val="0"/>
        </w:rPr>
        <w:tab/>
        <w:t>Initial term of exploration licence</w:t>
      </w:r>
      <w:r>
        <w:tab/>
      </w:r>
      <w:r>
        <w:fldChar w:fldCharType="begin"/>
      </w:r>
      <w:r>
        <w:instrText xml:space="preserve"> PAGEREF _Toc166675197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 of renewal of exploration licence</w:t>
      </w:r>
      <w:r>
        <w:tab/>
      </w:r>
      <w:r>
        <w:fldChar w:fldCharType="begin"/>
      </w:r>
      <w:r>
        <w:instrText xml:space="preserve"> PAGEREF _Toc166675198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Effect of suspension of rights on term of exploration licence</w:t>
      </w:r>
      <w:r>
        <w:tab/>
      </w:r>
      <w:r>
        <w:fldChar w:fldCharType="begin"/>
      </w:r>
      <w:r>
        <w:instrText xml:space="preserve"> PAGEREF _Toc166675199 \h </w:instrText>
      </w:r>
      <w:r>
        <w:fldChar w:fldCharType="separate"/>
      </w:r>
      <w:r>
        <w:t>55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Effect of application for renewal on term of exploration licence</w:t>
      </w:r>
      <w:r>
        <w:tab/>
      </w:r>
      <w:r>
        <w:fldChar w:fldCharType="begin"/>
      </w:r>
      <w:r>
        <w:instrText xml:space="preserve"> PAGEREF _Toc166675200 \h </w:instrText>
      </w:r>
      <w:r>
        <w:fldChar w:fldCharType="separate"/>
      </w:r>
      <w:r>
        <w:t>55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Effect of application for retention licence or mining licence on term of exploration licence</w:t>
      </w:r>
      <w:r>
        <w:tab/>
      </w:r>
      <w:r>
        <w:fldChar w:fldCharType="begin"/>
      </w:r>
      <w:r>
        <w:instrText xml:space="preserve"> PAGEREF _Toc166675201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Effect of application for extension on term of licence</w:t>
      </w:r>
      <w:r>
        <w:tab/>
      </w:r>
      <w:r>
        <w:fldChar w:fldCharType="begin"/>
      </w:r>
      <w:r>
        <w:instrText xml:space="preserve"> PAGEREF _Toc166675203 \h </w:instrText>
      </w:r>
      <w:r>
        <w:fldChar w:fldCharType="separate"/>
      </w:r>
      <w:r>
        <w:t>56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Extension of licence — activities disrupted</w:t>
      </w:r>
      <w:r>
        <w:tab/>
      </w:r>
      <w:r>
        <w:fldChar w:fldCharType="begin"/>
      </w:r>
      <w:r>
        <w:instrText xml:space="preserve"> PAGEREF _Toc166675204 \h </w:instrText>
      </w:r>
      <w:r>
        <w:fldChar w:fldCharType="separate"/>
      </w:r>
      <w:r>
        <w:t>57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Grant of licence extension — activities disrupted</w:t>
      </w:r>
      <w:r>
        <w:tab/>
      </w:r>
      <w:r>
        <w:fldChar w:fldCharType="begin"/>
      </w:r>
      <w:r>
        <w:instrText xml:space="preserve"> PAGEREF _Toc166675205 \h </w:instrText>
      </w:r>
      <w:r>
        <w:fldChar w:fldCharType="separate"/>
      </w:r>
      <w:r>
        <w:t>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Extension of licence — other circumstances</w:t>
      </w:r>
      <w:r>
        <w:tab/>
      </w:r>
      <w:r>
        <w:fldChar w:fldCharType="begin"/>
      </w:r>
      <w:r>
        <w:instrText xml:space="preserve"> PAGEREF _Toc166675206 \h </w:instrText>
      </w:r>
      <w:r>
        <w:fldChar w:fldCharType="separate"/>
      </w:r>
      <w:r>
        <w:t>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Grant of licence extension — other circumstances</w:t>
      </w:r>
      <w:r>
        <w:tab/>
      </w:r>
      <w:r>
        <w:fldChar w:fldCharType="begin"/>
      </w:r>
      <w:r>
        <w:instrText xml:space="preserve"> PAGEREF _Toc166675207 \h </w:instrText>
      </w:r>
      <w:r>
        <w:fldChar w:fldCharType="separate"/>
      </w:r>
      <w:r>
        <w:t>59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Notification of decision</w:t>
      </w:r>
      <w:r>
        <w:tab/>
      </w:r>
      <w:r>
        <w:fldChar w:fldCharType="begin"/>
      </w:r>
      <w:r>
        <w:instrText xml:space="preserve"> PAGEREF _Toc166675208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lastRenderedPageBreak/>
        <w:t>Division 5 — Voluntary surrender of part of exploration licence area</w:t>
      </w:r>
    </w:p>
    <w:p>
      <w:pPr>
        <w:pStyle w:val="TOC8"/>
        <w:rPr>
          <w:rFonts w:asciiTheme="minorHAnsi" w:eastAsiaTheme="minorEastAsia" w:hAnsiTheme="minorHAnsi" w:cstheme="minorBidi"/>
          <w:szCs w:val="22"/>
        </w:rPr>
      </w:pPr>
      <w:r>
        <w:t>99</w:t>
      </w:r>
      <w:r>
        <w:rPr>
          <w:snapToGrid w:val="0"/>
        </w:rPr>
        <w:t>.</w:t>
      </w:r>
      <w:r>
        <w:rPr>
          <w:snapToGrid w:val="0"/>
        </w:rPr>
        <w:tab/>
        <w:t>Voluntary surrender of blocks if discrete area remains</w:t>
      </w:r>
      <w:r>
        <w:tab/>
      </w:r>
      <w:r>
        <w:fldChar w:fldCharType="begin"/>
      </w:r>
      <w:r>
        <w:instrText xml:space="preserve"> PAGEREF _Toc166675210 \h </w:instrText>
      </w:r>
      <w:r>
        <w:fldChar w:fldCharType="separate"/>
      </w:r>
      <w:r>
        <w:t>60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Voluntary surrender of blocks if up to 3 discrete areas remain</w:t>
      </w:r>
      <w:r>
        <w:tab/>
      </w:r>
      <w:r>
        <w:fldChar w:fldCharType="begin"/>
      </w:r>
      <w:r>
        <w:instrText xml:space="preserve"> PAGEREF _Toc166675211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6 — Application for and grant of renewal of exploration licence</w:t>
      </w:r>
    </w:p>
    <w:p>
      <w:pPr>
        <w:pStyle w:val="TOC8"/>
        <w:rPr>
          <w:rFonts w:asciiTheme="minorHAnsi" w:eastAsiaTheme="minorEastAsia" w:hAnsiTheme="minorHAnsi" w:cstheme="minorBidi"/>
          <w:szCs w:val="22"/>
        </w:rPr>
      </w:pPr>
      <w:r>
        <w:t>101</w:t>
      </w:r>
      <w:r>
        <w:rPr>
          <w:snapToGrid w:val="0"/>
        </w:rPr>
        <w:t>.</w:t>
      </w:r>
      <w:r>
        <w:rPr>
          <w:snapToGrid w:val="0"/>
        </w:rPr>
        <w:tab/>
        <w:t>Application for renewal of exploration licence</w:t>
      </w:r>
      <w:r>
        <w:tab/>
      </w:r>
      <w:r>
        <w:fldChar w:fldCharType="begin"/>
      </w:r>
      <w:r>
        <w:instrText xml:space="preserve"> PAGEREF _Toc166675213 \h </w:instrText>
      </w:r>
      <w:r>
        <w:fldChar w:fldCharType="separate"/>
      </w:r>
      <w:r>
        <w:t>61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When application to be made</w:t>
      </w:r>
      <w:r>
        <w:tab/>
      </w:r>
      <w:r>
        <w:fldChar w:fldCharType="begin"/>
      </w:r>
      <w:r>
        <w:instrText xml:space="preserve"> PAGEREF _Toc166675215 \h </w:instrText>
      </w:r>
      <w:r>
        <w:fldChar w:fldCharType="separate"/>
      </w:r>
      <w:r>
        <w:t>62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How to apply for renewal</w:t>
      </w:r>
      <w:r>
        <w:tab/>
      </w:r>
      <w:r>
        <w:fldChar w:fldCharType="begin"/>
      </w:r>
      <w:r>
        <w:instrText xml:space="preserve"> PAGEREF _Toc166675216 \h </w:instrText>
      </w:r>
      <w:r>
        <w:fldChar w:fldCharType="separate"/>
      </w:r>
      <w:r>
        <w:t>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Mandatory reduction of licence area on renewal of exploration licence</w:t>
      </w:r>
      <w:r>
        <w:tab/>
      </w:r>
      <w:r>
        <w:fldChar w:fldCharType="begin"/>
      </w:r>
      <w:r>
        <w:instrText xml:space="preserve"> PAGEREF _Toc166675217 \h </w:instrText>
      </w:r>
      <w:r>
        <w:fldChar w:fldCharType="separate"/>
      </w:r>
      <w:r>
        <w:t>63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Request for further information</w:t>
      </w:r>
      <w:r>
        <w:tab/>
      </w:r>
      <w:r>
        <w:fldChar w:fldCharType="begin"/>
      </w:r>
      <w:r>
        <w:instrText xml:space="preserve"> PAGEREF _Toc166675218 \h </w:instrText>
      </w:r>
      <w:r>
        <w:fldChar w:fldCharType="separate"/>
      </w:r>
      <w:r>
        <w:t>64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Payment of fee</w:t>
      </w:r>
      <w:r>
        <w:tab/>
      </w:r>
      <w:r>
        <w:fldChar w:fldCharType="begin"/>
      </w:r>
      <w:r>
        <w:instrText xml:space="preserve"> PAGEREF _Toc166675219 \h </w:instrText>
      </w:r>
      <w:r>
        <w:fldChar w:fldCharType="separate"/>
      </w:r>
      <w:r>
        <w:t>64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Section number not used</w:t>
      </w:r>
      <w:r>
        <w:tab/>
      </w:r>
      <w:r>
        <w:fldChar w:fldCharType="begin"/>
      </w:r>
      <w:r>
        <w:instrText xml:space="preserve"> PAGEREF _Toc166675220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Provisional renewal of an exploration licence</w:t>
      </w:r>
      <w:r>
        <w:tab/>
      </w:r>
      <w:r>
        <w:fldChar w:fldCharType="begin"/>
      </w:r>
      <w:r>
        <w:instrText xml:space="preserve"> PAGEREF _Toc166675221 \h </w:instrText>
      </w:r>
      <w:r>
        <w:fldChar w:fldCharType="separate"/>
      </w:r>
      <w:r>
        <w:t>64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Section number not used</w:t>
      </w:r>
      <w:r>
        <w:tab/>
      </w:r>
      <w:r>
        <w:fldChar w:fldCharType="begin"/>
      </w:r>
      <w:r>
        <w:instrText xml:space="preserve"> PAGEREF _Toc166675222 \h </w:instrText>
      </w:r>
      <w:r>
        <w:fldChar w:fldCharType="separate"/>
      </w:r>
      <w:r>
        <w:t>65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Applicant must be notified</w:t>
      </w:r>
      <w:r>
        <w:tab/>
      </w:r>
      <w:r>
        <w:fldChar w:fldCharType="begin"/>
      </w:r>
      <w:r>
        <w:instrText xml:space="preserve"> PAGEREF _Toc166675223 \h </w:instrText>
      </w:r>
      <w:r>
        <w:fldChar w:fldCharType="separate"/>
      </w:r>
      <w:r>
        <w:t>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conditions</w:t>
      </w:r>
      <w:r>
        <w:tab/>
      </w:r>
      <w:r>
        <w:fldChar w:fldCharType="begin"/>
      </w:r>
      <w:r>
        <w:instrText xml:space="preserve"> PAGEREF _Toc166675226 \h </w:instrText>
      </w:r>
      <w:r>
        <w:fldChar w:fldCharType="separate"/>
      </w:r>
      <w:r>
        <w:t>66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of security requirements</w:t>
      </w:r>
      <w:r>
        <w:tab/>
      </w:r>
      <w:r>
        <w:fldChar w:fldCharType="begin"/>
      </w:r>
      <w:r>
        <w:instrText xml:space="preserve"> PAGEREF _Toc166675227 \h </w:instrText>
      </w:r>
      <w:r>
        <w:fldChar w:fldCharType="separate"/>
      </w:r>
      <w:r>
        <w:t>66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Extension of primary payment period</w:t>
      </w:r>
      <w:r>
        <w:tab/>
      </w:r>
      <w:r>
        <w:fldChar w:fldCharType="begin"/>
      </w:r>
      <w:r>
        <w:instrText xml:space="preserve"> PAGEREF _Toc166675229 \h </w:instrText>
      </w:r>
      <w:r>
        <w:fldChar w:fldCharType="separate"/>
      </w:r>
      <w:r>
        <w:t>67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Acceptance of renewal of exploration licence</w:t>
      </w:r>
      <w:r>
        <w:tab/>
      </w:r>
      <w:r>
        <w:fldChar w:fldCharType="begin"/>
      </w:r>
      <w:r>
        <w:instrText xml:space="preserve"> PAGEREF _Toc166675230 \h </w:instrText>
      </w:r>
      <w:r>
        <w:fldChar w:fldCharType="separate"/>
      </w:r>
      <w:r>
        <w:t>67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Conditions applicable to licence on renewal</w:t>
      </w:r>
      <w:r>
        <w:tab/>
      </w:r>
      <w:r>
        <w:fldChar w:fldCharType="begin"/>
      </w:r>
      <w:r>
        <w:instrText xml:space="preserve"> PAGEREF _Toc166675231 \h </w:instrText>
      </w:r>
      <w:r>
        <w:fldChar w:fldCharType="separate"/>
      </w:r>
      <w:r>
        <w:t>68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Lapse of provisional renewal of exploration licence</w:t>
      </w:r>
      <w:r>
        <w:tab/>
      </w:r>
      <w:r>
        <w:fldChar w:fldCharType="begin"/>
      </w:r>
      <w:r>
        <w:instrText xml:space="preserve"> PAGEREF _Toc166675232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7 — Obligations associated with exploration licence</w:t>
      </w:r>
    </w:p>
    <w:p>
      <w:pPr>
        <w:pStyle w:val="TOC8"/>
        <w:rPr>
          <w:rFonts w:asciiTheme="minorHAnsi" w:eastAsiaTheme="minorEastAsia" w:hAnsiTheme="minorHAnsi" w:cstheme="minorBidi"/>
          <w:szCs w:val="22"/>
        </w:rPr>
      </w:pPr>
      <w:r>
        <w:t>117</w:t>
      </w:r>
      <w:r>
        <w:rPr>
          <w:snapToGrid w:val="0"/>
        </w:rPr>
        <w:t>.</w:t>
      </w:r>
      <w:r>
        <w:rPr>
          <w:snapToGrid w:val="0"/>
        </w:rPr>
        <w:tab/>
        <w:t>General</w:t>
      </w:r>
      <w:r>
        <w:tab/>
      </w:r>
      <w:r>
        <w:fldChar w:fldCharType="begin"/>
      </w:r>
      <w:r>
        <w:instrText xml:space="preserve"> PAGEREF _Toc166675236 \h </w:instrText>
      </w:r>
      <w:r>
        <w:fldChar w:fldCharType="separate"/>
      </w:r>
      <w:r>
        <w:t>68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Conditions of exploration licence</w:t>
      </w:r>
      <w:r>
        <w:tab/>
      </w:r>
      <w:r>
        <w:fldChar w:fldCharType="begin"/>
      </w:r>
      <w:r>
        <w:instrText xml:space="preserve"> PAGEREF _Toc166675237 \h </w:instrText>
      </w:r>
      <w:r>
        <w:fldChar w:fldCharType="separate"/>
      </w:r>
      <w:r>
        <w:t>69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No conditions requiring payment of money</w:t>
      </w:r>
      <w:r>
        <w:tab/>
      </w:r>
      <w:r>
        <w:fldChar w:fldCharType="begin"/>
      </w:r>
      <w:r>
        <w:instrText xml:space="preserve"> PAGEREF _Toc166675238 \h </w:instrText>
      </w:r>
      <w:r>
        <w:fldChar w:fldCharType="separate"/>
      </w:r>
      <w:r>
        <w:t>70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Variation of conditions</w:t>
      </w:r>
      <w:r>
        <w:tab/>
      </w:r>
      <w:r>
        <w:fldChar w:fldCharType="begin"/>
      </w:r>
      <w:r>
        <w:instrText xml:space="preserve"> PAGEREF _Toc166675239 \h </w:instrText>
      </w:r>
      <w:r>
        <w:fldChar w:fldCharType="separate"/>
      </w:r>
      <w:r>
        <w:t>70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Exemption from or suspension of conditions</w:t>
      </w:r>
      <w:r>
        <w:tab/>
      </w:r>
      <w:r>
        <w:fldChar w:fldCharType="begin"/>
      </w:r>
      <w:r>
        <w:instrText xml:space="preserve"> PAGEREF _Toc166675240 \h </w:instrText>
      </w:r>
      <w:r>
        <w:fldChar w:fldCharType="separate"/>
      </w:r>
      <w:r>
        <w:t>71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Automatic suspension of conditions if licence rights are suspended</w:t>
      </w:r>
      <w:r>
        <w:tab/>
      </w:r>
      <w:r>
        <w:fldChar w:fldCharType="begin"/>
      </w:r>
      <w:r>
        <w:instrText xml:space="preserve"> PAGEREF _Toc166675241 \h </w:instrText>
      </w:r>
      <w:r>
        <w:fldChar w:fldCharType="separate"/>
      </w:r>
      <w:r>
        <w:t>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Work practices</w:t>
      </w:r>
      <w:r>
        <w:tab/>
      </w:r>
      <w:r>
        <w:fldChar w:fldCharType="begin"/>
      </w:r>
      <w:r>
        <w:instrText xml:space="preserve"> PAGEREF _Toc166675242 \h </w:instrText>
      </w:r>
      <w:r>
        <w:fldChar w:fldCharType="separate"/>
      </w:r>
      <w:r>
        <w:t>73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Licence holder must keep specified records etc.</w:t>
      </w:r>
      <w:r>
        <w:tab/>
      </w:r>
      <w:r>
        <w:fldChar w:fldCharType="begin"/>
      </w:r>
      <w:r>
        <w:instrText xml:space="preserve"> PAGEREF _Toc166675243 \h </w:instrText>
      </w:r>
      <w:r>
        <w:fldChar w:fldCharType="separate"/>
      </w:r>
      <w:r>
        <w:t>73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Licence holder must assist inspectors</w:t>
      </w:r>
      <w:r>
        <w:tab/>
      </w:r>
      <w:r>
        <w:fldChar w:fldCharType="begin"/>
      </w:r>
      <w:r>
        <w:instrText xml:space="preserve"> PAGEREF _Toc166675244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8 — Expiry of exploration licence</w:t>
      </w:r>
    </w:p>
    <w:p>
      <w:pPr>
        <w:pStyle w:val="TOC8"/>
        <w:rPr>
          <w:rFonts w:asciiTheme="minorHAnsi" w:eastAsiaTheme="minorEastAsia" w:hAnsiTheme="minorHAnsi" w:cstheme="minorBidi"/>
          <w:szCs w:val="22"/>
        </w:rPr>
      </w:pPr>
      <w:r>
        <w:t>126</w:t>
      </w:r>
      <w:r>
        <w:rPr>
          <w:snapToGrid w:val="0"/>
        </w:rPr>
        <w:t>.</w:t>
      </w:r>
      <w:r>
        <w:rPr>
          <w:snapToGrid w:val="0"/>
        </w:rPr>
        <w:tab/>
        <w:t>General</w:t>
      </w:r>
      <w:r>
        <w:tab/>
      </w:r>
      <w:r>
        <w:fldChar w:fldCharType="begin"/>
      </w:r>
      <w:r>
        <w:instrText xml:space="preserve"> PAGEREF _Toc166675248 \h </w:instrText>
      </w:r>
      <w:r>
        <w:fldChar w:fldCharType="separate"/>
      </w:r>
      <w:r>
        <w:t>74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Voluntary surrender of exploration licence</w:t>
      </w:r>
      <w:r>
        <w:tab/>
      </w:r>
      <w:r>
        <w:fldChar w:fldCharType="begin"/>
      </w:r>
      <w:r>
        <w:instrText xml:space="preserve"> PAGEREF _Toc166675249 \h </w:instrText>
      </w:r>
      <w:r>
        <w:fldChar w:fldCharType="separate"/>
      </w:r>
      <w:r>
        <w:t>75</w:t>
      </w:r>
      <w:r>
        <w:fldChar w:fldCharType="end"/>
      </w:r>
    </w:p>
    <w:p>
      <w:pPr>
        <w:pStyle w:val="TOC8"/>
        <w:rPr>
          <w:rFonts w:asciiTheme="minorHAnsi" w:eastAsiaTheme="minorEastAsia" w:hAnsiTheme="minorHAnsi" w:cstheme="minorBidi"/>
          <w:szCs w:val="22"/>
        </w:rPr>
      </w:pPr>
      <w:r>
        <w:lastRenderedPageBreak/>
        <w:t>128</w:t>
      </w:r>
      <w:r>
        <w:rPr>
          <w:snapToGrid w:val="0"/>
        </w:rPr>
        <w:t>.</w:t>
      </w:r>
      <w:r>
        <w:rPr>
          <w:snapToGrid w:val="0"/>
        </w:rPr>
        <w:tab/>
        <w:t>Automatic expiry of exploration licence when retention licence takes effect</w:t>
      </w:r>
      <w:r>
        <w:tab/>
      </w:r>
      <w:r>
        <w:fldChar w:fldCharType="begin"/>
      </w:r>
      <w:r>
        <w:instrText xml:space="preserve"> PAGEREF _Toc166675250 \h </w:instrText>
      </w:r>
      <w:r>
        <w:fldChar w:fldCharType="separate"/>
      </w:r>
      <w:r>
        <w:t>75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Automatic expiry of exploration licence when mining licence takes effect</w:t>
      </w:r>
      <w:r>
        <w:tab/>
      </w:r>
      <w:r>
        <w:fldChar w:fldCharType="begin"/>
      </w:r>
      <w:r>
        <w:instrText xml:space="preserve"> PAGEREF _Toc166675251 \h </w:instrText>
      </w:r>
      <w:r>
        <w:fldChar w:fldCharType="separate"/>
      </w:r>
      <w:r>
        <w:t>75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Cancellation of exploration licence</w:t>
      </w:r>
      <w:r>
        <w:tab/>
      </w:r>
      <w:r>
        <w:fldChar w:fldCharType="begin"/>
      </w:r>
      <w:r>
        <w:instrText xml:space="preserve"> PAGEREF _Toc166675252 \h </w:instrText>
      </w:r>
      <w:r>
        <w:fldChar w:fldCharType="separate"/>
      </w:r>
      <w:r>
        <w:t>75</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Obligations of former exploration licence holders and former associates</w:t>
      </w:r>
      <w:r>
        <w:tab/>
      </w:r>
      <w:r>
        <w:fldChar w:fldCharType="begin"/>
      </w:r>
      <w:r>
        <w:instrText xml:space="preserve"> PAGEREF _Toc166675253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2.3</w:t>
      </w:r>
      <w:r>
        <w:rPr>
          <w:snapToGrid w:val="0"/>
        </w:rPr>
        <w:t xml:space="preserve"> — </w:t>
      </w:r>
      <w:r>
        <w:t>Retention licences</w:t>
      </w:r>
    </w:p>
    <w:p>
      <w:pPr>
        <w:pStyle w:val="TOC6"/>
        <w:tabs>
          <w:tab w:val="right" w:leader="dot" w:pos="7077"/>
        </w:tabs>
        <w:rPr>
          <w:rFonts w:asciiTheme="minorHAnsi" w:eastAsiaTheme="minorEastAsia" w:hAnsiTheme="minorHAnsi" w:cstheme="minorBidi"/>
          <w:b w:val="0"/>
          <w:sz w:val="22"/>
          <w:szCs w:val="22"/>
        </w:rPr>
      </w:pPr>
      <w:r>
        <w:rPr>
          <w:b w:val="0"/>
        </w:rPr>
        <w:t>Division 1 — General</w:t>
      </w:r>
    </w:p>
    <w:p>
      <w:pPr>
        <w:pStyle w:val="TOC8"/>
        <w:rPr>
          <w:rFonts w:asciiTheme="minorHAnsi" w:eastAsiaTheme="minorEastAsia" w:hAnsiTheme="minorHAnsi" w:cstheme="minorBidi"/>
          <w:szCs w:val="22"/>
        </w:rPr>
      </w:pPr>
      <w:r>
        <w:t>132</w:t>
      </w:r>
      <w:r>
        <w:rPr>
          <w:snapToGrid w:val="0"/>
        </w:rPr>
        <w:t>.</w:t>
      </w:r>
      <w:r>
        <w:rPr>
          <w:snapToGrid w:val="0"/>
        </w:rPr>
        <w:tab/>
        <w:t>Retention licences</w:t>
      </w:r>
      <w:r>
        <w:tab/>
      </w:r>
      <w:r>
        <w:fldChar w:fldCharType="begin"/>
      </w:r>
      <w:r>
        <w:instrText xml:space="preserve"> PAGEREF _Toc166675257 \h </w:instrText>
      </w:r>
      <w:r>
        <w:fldChar w:fldCharType="separate"/>
      </w:r>
      <w:r>
        <w:t>79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Activities authorised by a retention licence</w:t>
      </w:r>
      <w:r>
        <w:tab/>
      </w:r>
      <w:r>
        <w:fldChar w:fldCharType="begin"/>
      </w:r>
      <w:r>
        <w:instrText xml:space="preserve"> PAGEREF _Toc166675258 \h </w:instrText>
      </w:r>
      <w:r>
        <w:fldChar w:fldCharType="separate"/>
      </w:r>
      <w:r>
        <w:t>79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Minister may cancel or not renew retention licence without compensation</w:t>
      </w:r>
      <w:r>
        <w:tab/>
      </w:r>
      <w:r>
        <w:fldChar w:fldCharType="begin"/>
      </w:r>
      <w:r>
        <w:instrText xml:space="preserve"> PAGEREF _Toc166675259 \h </w:instrText>
      </w:r>
      <w:r>
        <w:fldChar w:fldCharType="separate"/>
      </w:r>
      <w:r>
        <w:t>80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Licence rights may be suspended</w:t>
      </w:r>
      <w:r>
        <w:tab/>
      </w:r>
      <w:r>
        <w:fldChar w:fldCharType="begin"/>
      </w:r>
      <w:r>
        <w:instrText xml:space="preserve"> PAGEREF _Toc166675260 \h </w:instrText>
      </w:r>
      <w:r>
        <w:fldChar w:fldCharType="separate"/>
      </w:r>
      <w:r>
        <w:t>80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Compensation for acquisition of property due to suspension of rights</w:t>
      </w:r>
      <w:r>
        <w:tab/>
      </w:r>
      <w:r>
        <w:fldChar w:fldCharType="begin"/>
      </w:r>
      <w:r>
        <w:instrText xml:space="preserve"> PAGEREF _Toc166675261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2 — Application for and grant of retention licence</w:t>
      </w:r>
    </w:p>
    <w:p>
      <w:pPr>
        <w:pStyle w:val="TOC8"/>
        <w:rPr>
          <w:rFonts w:asciiTheme="minorHAnsi" w:eastAsiaTheme="minorEastAsia" w:hAnsiTheme="minorHAnsi" w:cstheme="minorBidi"/>
          <w:szCs w:val="22"/>
        </w:rPr>
      </w:pPr>
      <w:r>
        <w:t>137</w:t>
      </w:r>
      <w:r>
        <w:rPr>
          <w:snapToGrid w:val="0"/>
        </w:rPr>
        <w:t>.</w:t>
      </w:r>
      <w:r>
        <w:rPr>
          <w:snapToGrid w:val="0"/>
        </w:rPr>
        <w:tab/>
        <w:t>Application for retention licence</w:t>
      </w:r>
      <w:r>
        <w:tab/>
      </w:r>
      <w:r>
        <w:fldChar w:fldCharType="begin"/>
      </w:r>
      <w:r>
        <w:instrText xml:space="preserve"> PAGEREF _Toc166675263 \h </w:instrText>
      </w:r>
      <w:r>
        <w:fldChar w:fldCharType="separate"/>
      </w:r>
      <w:r>
        <w:t>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How to apply</w:t>
      </w:r>
      <w:r>
        <w:tab/>
      </w:r>
      <w:r>
        <w:fldChar w:fldCharType="begin"/>
      </w:r>
      <w:r>
        <w:instrText xml:space="preserve"> PAGEREF _Toc166675264 \h </w:instrText>
      </w:r>
      <w:r>
        <w:fldChar w:fldCharType="separate"/>
      </w:r>
      <w:r>
        <w:t>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Payment of fee</w:t>
      </w:r>
      <w:r>
        <w:tab/>
      </w:r>
      <w:r>
        <w:fldChar w:fldCharType="begin"/>
      </w:r>
      <w:r>
        <w:instrText xml:space="preserve"> PAGEREF _Toc166675265 \h </w:instrText>
      </w:r>
      <w:r>
        <w:fldChar w:fldCharType="separate"/>
      </w:r>
      <w:r>
        <w:t>84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Application must be advertised</w:t>
      </w:r>
      <w:r>
        <w:tab/>
      </w:r>
      <w:r>
        <w:fldChar w:fldCharType="begin"/>
      </w:r>
      <w:r>
        <w:instrText xml:space="preserve"> PAGEREF _Toc166675266 \h </w:instrText>
      </w:r>
      <w:r>
        <w:fldChar w:fldCharType="separate"/>
      </w:r>
      <w:r>
        <w:t>84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Request for further information</w:t>
      </w:r>
      <w:r>
        <w:tab/>
      </w:r>
      <w:r>
        <w:fldChar w:fldCharType="begin"/>
      </w:r>
      <w:r>
        <w:instrText xml:space="preserve"> PAGEREF _Toc166675267 \h </w:instrText>
      </w:r>
      <w:r>
        <w:fldChar w:fldCharType="separate"/>
      </w:r>
      <w:r>
        <w:t>85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Section number not used</w:t>
      </w:r>
      <w:r>
        <w:tab/>
      </w:r>
      <w:r>
        <w:fldChar w:fldCharType="begin"/>
      </w:r>
      <w:r>
        <w:instrText xml:space="preserve"> PAGEREF _Toc166675268 \h </w:instrText>
      </w:r>
      <w:r>
        <w:fldChar w:fldCharType="separate"/>
      </w:r>
      <w:r>
        <w:t>86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Minister may provisionally grant licence</w:t>
      </w:r>
      <w:r>
        <w:tab/>
      </w:r>
      <w:r>
        <w:fldChar w:fldCharType="begin"/>
      </w:r>
      <w:r>
        <w:instrText xml:space="preserve"> PAGEREF _Toc166675269 \h </w:instrText>
      </w:r>
      <w:r>
        <w:fldChar w:fldCharType="separate"/>
      </w:r>
      <w:r>
        <w:t>86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Section number not used</w:t>
      </w:r>
      <w:r>
        <w:tab/>
      </w:r>
      <w:r>
        <w:fldChar w:fldCharType="begin"/>
      </w:r>
      <w:r>
        <w:instrText xml:space="preserve"> PAGEREF _Toc166675271 \h </w:instrText>
      </w:r>
      <w:r>
        <w:fldChar w:fldCharType="separate"/>
      </w:r>
      <w:r>
        <w:t>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Grounds for granting retention licence</w:t>
      </w:r>
      <w:r>
        <w:tab/>
      </w:r>
      <w:r>
        <w:fldChar w:fldCharType="begin"/>
      </w:r>
      <w:r>
        <w:instrText xml:space="preserve"> PAGEREF _Toc166675272 \h </w:instrText>
      </w:r>
      <w:r>
        <w:fldChar w:fldCharType="separate"/>
      </w:r>
      <w:r>
        <w:t>86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Matters to be specified in the licence</w:t>
      </w:r>
      <w:r>
        <w:tab/>
      </w:r>
      <w:r>
        <w:fldChar w:fldCharType="begin"/>
      </w:r>
      <w:r>
        <w:instrText xml:space="preserve"> PAGEREF _Toc166675273 \h </w:instrText>
      </w:r>
      <w:r>
        <w:fldChar w:fldCharType="separate"/>
      </w:r>
      <w:r>
        <w:t>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Applicant must be notified</w:t>
      </w:r>
      <w:r>
        <w:tab/>
      </w:r>
      <w:r>
        <w:fldChar w:fldCharType="begin"/>
      </w:r>
      <w:r>
        <w:instrText xml:space="preserve"> PAGEREF _Toc166675275 \h </w:instrText>
      </w:r>
      <w:r>
        <w:fldChar w:fldCharType="separate"/>
      </w:r>
      <w:r>
        <w:t>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Amendment of conditions</w:t>
      </w:r>
      <w:r>
        <w:tab/>
      </w:r>
      <w:r>
        <w:fldChar w:fldCharType="begin"/>
      </w:r>
      <w:r>
        <w:instrText xml:space="preserve"> PAGEREF _Toc166675276 \h </w:instrText>
      </w:r>
      <w:r>
        <w:fldChar w:fldCharType="separate"/>
      </w:r>
      <w:r>
        <w:t>88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Amendment of security requirements</w:t>
      </w:r>
      <w:r>
        <w:tab/>
      </w:r>
      <w:r>
        <w:fldChar w:fldCharType="begin"/>
      </w:r>
      <w:r>
        <w:instrText xml:space="preserve"> PAGEREF _Toc166675278 \h </w:instrText>
      </w:r>
      <w:r>
        <w:fldChar w:fldCharType="separate"/>
      </w:r>
      <w:r>
        <w:t>88</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Extension of primary payment period</w:t>
      </w:r>
      <w:r>
        <w:tab/>
      </w:r>
      <w:r>
        <w:fldChar w:fldCharType="begin"/>
      </w:r>
      <w:r>
        <w:instrText xml:space="preserve"> PAGEREF _Toc166675279 \h </w:instrText>
      </w:r>
      <w:r>
        <w:fldChar w:fldCharType="separate"/>
      </w:r>
      <w:r>
        <w:t>89</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Acceptance of grant of retention licence</w:t>
      </w:r>
      <w:r>
        <w:tab/>
      </w:r>
      <w:r>
        <w:fldChar w:fldCharType="begin"/>
      </w:r>
      <w:r>
        <w:instrText xml:space="preserve"> PAGEREF _Toc166675280 \h </w:instrText>
      </w:r>
      <w:r>
        <w:fldChar w:fldCharType="separate"/>
      </w:r>
      <w:r>
        <w:t>89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Conditions applicable to licence on grant</w:t>
      </w:r>
      <w:r>
        <w:tab/>
      </w:r>
      <w:r>
        <w:fldChar w:fldCharType="begin"/>
      </w:r>
      <w:r>
        <w:instrText xml:space="preserve"> PAGEREF _Toc166675282 \h </w:instrText>
      </w:r>
      <w:r>
        <w:fldChar w:fldCharType="separate"/>
      </w:r>
      <w:r>
        <w:t>90</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Lapse of provisional grant of retention licence</w:t>
      </w:r>
      <w:r>
        <w:tab/>
      </w:r>
      <w:r>
        <w:fldChar w:fldCharType="begin"/>
      </w:r>
      <w:r>
        <w:instrText xml:space="preserve"> PAGEREF _Toc166675283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3 — </w:t>
      </w:r>
      <w:r>
        <w:rPr>
          <w:b w:val="0"/>
        </w:rPr>
        <w:t>Duration of retention licence</w:t>
      </w:r>
    </w:p>
    <w:p>
      <w:pPr>
        <w:pStyle w:val="TOC8"/>
        <w:rPr>
          <w:rFonts w:asciiTheme="minorHAnsi" w:eastAsiaTheme="minorEastAsia" w:hAnsiTheme="minorHAnsi" w:cstheme="minorBidi"/>
          <w:szCs w:val="22"/>
        </w:rPr>
      </w:pPr>
      <w:r>
        <w:t>154</w:t>
      </w:r>
      <w:r>
        <w:rPr>
          <w:snapToGrid w:val="0"/>
        </w:rPr>
        <w:t>.</w:t>
      </w:r>
      <w:r>
        <w:rPr>
          <w:snapToGrid w:val="0"/>
        </w:rPr>
        <w:tab/>
        <w:t>Initial term of retention licence</w:t>
      </w:r>
      <w:r>
        <w:tab/>
      </w:r>
      <w:r>
        <w:fldChar w:fldCharType="begin"/>
      </w:r>
      <w:r>
        <w:instrText xml:space="preserve"> PAGEREF _Toc166675287 \h </w:instrText>
      </w:r>
      <w:r>
        <w:fldChar w:fldCharType="separate"/>
      </w:r>
      <w:r>
        <w:t>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Term of renewal of licence</w:t>
      </w:r>
      <w:r>
        <w:tab/>
      </w:r>
      <w:r>
        <w:fldChar w:fldCharType="begin"/>
      </w:r>
      <w:r>
        <w:instrText xml:space="preserve"> PAGEREF _Toc166675288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156</w:t>
      </w:r>
      <w:r>
        <w:rPr>
          <w:snapToGrid w:val="0"/>
        </w:rPr>
        <w:t>.</w:t>
      </w:r>
      <w:r>
        <w:rPr>
          <w:snapToGrid w:val="0"/>
        </w:rPr>
        <w:tab/>
        <w:t>Effect of application for renewal on term of retention licence</w:t>
      </w:r>
      <w:r>
        <w:tab/>
      </w:r>
      <w:r>
        <w:fldChar w:fldCharType="begin"/>
      </w:r>
      <w:r>
        <w:instrText xml:space="preserve"> PAGEREF _Toc166675289 \h </w:instrText>
      </w:r>
      <w:r>
        <w:fldChar w:fldCharType="separate"/>
      </w:r>
      <w:r>
        <w:t>91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Effect of application for mining licence on term of retention licence</w:t>
      </w:r>
      <w:r>
        <w:tab/>
      </w:r>
      <w:r>
        <w:fldChar w:fldCharType="begin"/>
      </w:r>
      <w:r>
        <w:instrText xml:space="preserve"> PAGEREF _Toc166675290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4 — Voluntary surrender of part of retention licence area</w:t>
      </w:r>
    </w:p>
    <w:p>
      <w:pPr>
        <w:pStyle w:val="TOC8"/>
        <w:rPr>
          <w:rFonts w:asciiTheme="minorHAnsi" w:eastAsiaTheme="minorEastAsia" w:hAnsiTheme="minorHAnsi" w:cstheme="minorBidi"/>
          <w:szCs w:val="22"/>
        </w:rPr>
      </w:pPr>
      <w:r>
        <w:t>158</w:t>
      </w:r>
      <w:r>
        <w:rPr>
          <w:snapToGrid w:val="0"/>
        </w:rPr>
        <w:t>.</w:t>
      </w:r>
      <w:r>
        <w:rPr>
          <w:snapToGrid w:val="0"/>
        </w:rPr>
        <w:tab/>
        <w:t>Voluntary surrender of blocks if discrete area remains</w:t>
      </w:r>
      <w:r>
        <w:tab/>
      </w:r>
      <w:r>
        <w:fldChar w:fldCharType="begin"/>
      </w:r>
      <w:r>
        <w:instrText xml:space="preserve"> PAGEREF _Toc166675293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5 — Application for and grant of renewal of retention licence</w:t>
      </w:r>
    </w:p>
    <w:p>
      <w:pPr>
        <w:pStyle w:val="TOC8"/>
        <w:rPr>
          <w:rFonts w:asciiTheme="minorHAnsi" w:eastAsiaTheme="minorEastAsia" w:hAnsiTheme="minorHAnsi" w:cstheme="minorBidi"/>
          <w:szCs w:val="22"/>
        </w:rPr>
      </w:pPr>
      <w:r>
        <w:t>159</w:t>
      </w:r>
      <w:r>
        <w:rPr>
          <w:snapToGrid w:val="0"/>
        </w:rPr>
        <w:t>.</w:t>
      </w:r>
      <w:r>
        <w:rPr>
          <w:snapToGrid w:val="0"/>
        </w:rPr>
        <w:tab/>
        <w:t>Application for renewal of retention licence</w:t>
      </w:r>
      <w:r>
        <w:tab/>
      </w:r>
      <w:r>
        <w:fldChar w:fldCharType="begin"/>
      </w:r>
      <w:r>
        <w:instrText xml:space="preserve"> PAGEREF _Toc166675295 \h </w:instrText>
      </w:r>
      <w:r>
        <w:fldChar w:fldCharType="separate"/>
      </w:r>
      <w:r>
        <w:t>93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When application to be made</w:t>
      </w:r>
      <w:r>
        <w:tab/>
      </w:r>
      <w:r>
        <w:fldChar w:fldCharType="begin"/>
      </w:r>
      <w:r>
        <w:instrText xml:space="preserve"> PAGEREF _Toc166675296 \h </w:instrText>
      </w:r>
      <w:r>
        <w:fldChar w:fldCharType="separate"/>
      </w:r>
      <w:r>
        <w:t>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How to apply for renewal</w:t>
      </w:r>
      <w:r>
        <w:tab/>
      </w:r>
      <w:r>
        <w:fldChar w:fldCharType="begin"/>
      </w:r>
      <w:r>
        <w:instrText xml:space="preserve"> PAGEREF _Toc166675297 \h </w:instrText>
      </w:r>
      <w:r>
        <w:fldChar w:fldCharType="separate"/>
      </w:r>
      <w:r>
        <w:t>93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Request for further information</w:t>
      </w:r>
      <w:r>
        <w:tab/>
      </w:r>
      <w:r>
        <w:fldChar w:fldCharType="begin"/>
      </w:r>
      <w:r>
        <w:instrText xml:space="preserve"> PAGEREF _Toc166675298 \h </w:instrText>
      </w:r>
      <w:r>
        <w:fldChar w:fldCharType="separate"/>
      </w:r>
      <w:r>
        <w:t>94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Payment of fee</w:t>
      </w:r>
      <w:r>
        <w:tab/>
      </w:r>
      <w:r>
        <w:fldChar w:fldCharType="begin"/>
      </w:r>
      <w:r>
        <w:instrText xml:space="preserve"> PAGEREF _Toc166675299 \h </w:instrText>
      </w:r>
      <w:r>
        <w:fldChar w:fldCharType="separate"/>
      </w:r>
      <w:r>
        <w:t>94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Section number not used</w:t>
      </w:r>
      <w:r>
        <w:tab/>
      </w:r>
      <w:r>
        <w:fldChar w:fldCharType="begin"/>
      </w:r>
      <w:r>
        <w:instrText xml:space="preserve"> PAGEREF _Toc166675301 \h </w:instrText>
      </w:r>
      <w:r>
        <w:fldChar w:fldCharType="separate"/>
      </w:r>
      <w:r>
        <w:t>95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Provisional renewal of retention licence</w:t>
      </w:r>
      <w:r>
        <w:tab/>
      </w:r>
      <w:r>
        <w:fldChar w:fldCharType="begin"/>
      </w:r>
      <w:r>
        <w:instrText xml:space="preserve"> PAGEREF _Toc166675302 \h </w:instrText>
      </w:r>
      <w:r>
        <w:fldChar w:fldCharType="separate"/>
      </w:r>
      <w:r>
        <w:t>95</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Section number not used</w:t>
      </w:r>
      <w:r>
        <w:tab/>
      </w:r>
      <w:r>
        <w:fldChar w:fldCharType="begin"/>
      </w:r>
      <w:r>
        <w:instrText xml:space="preserve"> PAGEREF _Toc166675304 \h </w:instrText>
      </w:r>
      <w:r>
        <w:fldChar w:fldCharType="separate"/>
      </w:r>
      <w:r>
        <w:t>95</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Matters that may be taken into account</w:t>
      </w:r>
      <w:r>
        <w:tab/>
      </w:r>
      <w:r>
        <w:fldChar w:fldCharType="begin"/>
      </w:r>
      <w:r>
        <w:instrText xml:space="preserve"> PAGEREF _Toc166675305 \h </w:instrText>
      </w:r>
      <w:r>
        <w:fldChar w:fldCharType="separate"/>
      </w:r>
      <w:r>
        <w:t>95</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Refusal of application for renewal</w:t>
      </w:r>
      <w:r>
        <w:tab/>
      </w:r>
      <w:r>
        <w:fldChar w:fldCharType="begin"/>
      </w:r>
      <w:r>
        <w:instrText xml:space="preserve"> PAGEREF _Toc166675306 \h </w:instrText>
      </w:r>
      <w:r>
        <w:fldChar w:fldCharType="separate"/>
      </w:r>
      <w:r>
        <w:t>96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Applicant must be notified</w:t>
      </w:r>
      <w:r>
        <w:tab/>
      </w:r>
      <w:r>
        <w:fldChar w:fldCharType="begin"/>
      </w:r>
      <w:r>
        <w:instrText xml:space="preserve"> PAGEREF _Toc166675307 \h </w:instrText>
      </w:r>
      <w:r>
        <w:fldChar w:fldCharType="separate"/>
      </w:r>
      <w:r>
        <w:t>96</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Amendment of conditions</w:t>
      </w:r>
      <w:r>
        <w:tab/>
      </w:r>
      <w:r>
        <w:fldChar w:fldCharType="begin"/>
      </w:r>
      <w:r>
        <w:instrText xml:space="preserve"> PAGEREF _Toc166675308 \h </w:instrText>
      </w:r>
      <w:r>
        <w:fldChar w:fldCharType="separate"/>
      </w:r>
      <w:r>
        <w:t>97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Amendment of security requirements</w:t>
      </w:r>
      <w:r>
        <w:tab/>
      </w:r>
      <w:r>
        <w:fldChar w:fldCharType="begin"/>
      </w:r>
      <w:r>
        <w:instrText xml:space="preserve"> PAGEREF _Toc166675309 \h </w:instrText>
      </w:r>
      <w:r>
        <w:fldChar w:fldCharType="separate"/>
      </w:r>
      <w:r>
        <w:t>98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Extension of primary payment period</w:t>
      </w:r>
      <w:r>
        <w:tab/>
      </w:r>
      <w:r>
        <w:fldChar w:fldCharType="begin"/>
      </w:r>
      <w:r>
        <w:instrText xml:space="preserve"> PAGEREF _Toc166675310 \h </w:instrText>
      </w:r>
      <w:r>
        <w:fldChar w:fldCharType="separate"/>
      </w:r>
      <w:r>
        <w:t>98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Acceptance of renewal of retention licence</w:t>
      </w:r>
      <w:r>
        <w:tab/>
      </w:r>
      <w:r>
        <w:fldChar w:fldCharType="begin"/>
      </w:r>
      <w:r>
        <w:instrText xml:space="preserve"> PAGEREF _Toc166675311 \h </w:instrText>
      </w:r>
      <w:r>
        <w:fldChar w:fldCharType="separate"/>
      </w:r>
      <w:r>
        <w:t>98</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Conditions applicable to licence on renewal</w:t>
      </w:r>
      <w:r>
        <w:tab/>
      </w:r>
      <w:r>
        <w:fldChar w:fldCharType="begin"/>
      </w:r>
      <w:r>
        <w:instrText xml:space="preserve"> PAGEREF _Toc166675314 \h </w:instrText>
      </w:r>
      <w:r>
        <w:fldChar w:fldCharType="separate"/>
      </w:r>
      <w:r>
        <w:t>99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Lapse of provisional renewal of retention licence</w:t>
      </w:r>
      <w:r>
        <w:tab/>
      </w:r>
      <w:r>
        <w:fldChar w:fldCharType="begin"/>
      </w:r>
      <w:r>
        <w:instrText xml:space="preserve"> PAGEREF _Toc166675315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6 — Obligations associated with retention licence</w:t>
      </w:r>
    </w:p>
    <w:p>
      <w:pPr>
        <w:pStyle w:val="TOC8"/>
        <w:rPr>
          <w:rFonts w:asciiTheme="minorHAnsi" w:eastAsiaTheme="minorEastAsia" w:hAnsiTheme="minorHAnsi" w:cstheme="minorBidi"/>
          <w:szCs w:val="22"/>
        </w:rPr>
      </w:pPr>
      <w:r>
        <w:t>176</w:t>
      </w:r>
      <w:r>
        <w:rPr>
          <w:snapToGrid w:val="0"/>
        </w:rPr>
        <w:t>.</w:t>
      </w:r>
      <w:r>
        <w:rPr>
          <w:snapToGrid w:val="0"/>
        </w:rPr>
        <w:tab/>
        <w:t>General</w:t>
      </w:r>
      <w:r>
        <w:tab/>
      </w:r>
      <w:r>
        <w:fldChar w:fldCharType="begin"/>
      </w:r>
      <w:r>
        <w:instrText xml:space="preserve"> PAGEREF _Toc166675317 \h </w:instrText>
      </w:r>
      <w:r>
        <w:fldChar w:fldCharType="separate"/>
      </w:r>
      <w:r>
        <w:t>99</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Conditions of retention licence</w:t>
      </w:r>
      <w:r>
        <w:tab/>
      </w:r>
      <w:r>
        <w:fldChar w:fldCharType="begin"/>
      </w:r>
      <w:r>
        <w:instrText xml:space="preserve"> PAGEREF _Toc166675318 \h </w:instrText>
      </w:r>
      <w:r>
        <w:fldChar w:fldCharType="separate"/>
      </w:r>
      <w:r>
        <w:t>100</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No conditions requiring payment of money</w:t>
      </w:r>
      <w:r>
        <w:tab/>
      </w:r>
      <w:r>
        <w:fldChar w:fldCharType="begin"/>
      </w:r>
      <w:r>
        <w:instrText xml:space="preserve"> PAGEREF _Toc166675319 \h </w:instrText>
      </w:r>
      <w:r>
        <w:fldChar w:fldCharType="separate"/>
      </w:r>
      <w:r>
        <w:t>101</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Variation of conditions</w:t>
      </w:r>
      <w:r>
        <w:tab/>
      </w:r>
      <w:r>
        <w:fldChar w:fldCharType="begin"/>
      </w:r>
      <w:r>
        <w:instrText xml:space="preserve"> PAGEREF _Toc166675320 \h </w:instrText>
      </w:r>
      <w:r>
        <w:fldChar w:fldCharType="separate"/>
      </w:r>
      <w:r>
        <w:t>101</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Exemption from or suspension of conditions</w:t>
      </w:r>
      <w:r>
        <w:tab/>
      </w:r>
      <w:r>
        <w:fldChar w:fldCharType="begin"/>
      </w:r>
      <w:r>
        <w:instrText xml:space="preserve"> PAGEREF _Toc166675321 \h </w:instrText>
      </w:r>
      <w:r>
        <w:fldChar w:fldCharType="separate"/>
      </w:r>
      <w:r>
        <w:t>102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Automatic suspension of conditions if licence rights are suspended</w:t>
      </w:r>
      <w:r>
        <w:tab/>
      </w:r>
      <w:r>
        <w:fldChar w:fldCharType="begin"/>
      </w:r>
      <w:r>
        <w:instrText xml:space="preserve"> PAGEREF _Toc166675322 \h </w:instrText>
      </w:r>
      <w:r>
        <w:fldChar w:fldCharType="separate"/>
      </w:r>
      <w:r>
        <w:t>103</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Significant changes in circumstances to be reported to Minister</w:t>
      </w:r>
      <w:r>
        <w:tab/>
      </w:r>
      <w:r>
        <w:fldChar w:fldCharType="begin"/>
      </w:r>
      <w:r>
        <w:instrText xml:space="preserve"> PAGEREF _Toc166675323 \h </w:instrText>
      </w:r>
      <w:r>
        <w:fldChar w:fldCharType="separate"/>
      </w:r>
      <w:r>
        <w:t>104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Work practices</w:t>
      </w:r>
      <w:r>
        <w:tab/>
      </w:r>
      <w:r>
        <w:fldChar w:fldCharType="begin"/>
      </w:r>
      <w:r>
        <w:instrText xml:space="preserve"> PAGEREF _Toc166675324 \h </w:instrText>
      </w:r>
      <w:r>
        <w:fldChar w:fldCharType="separate"/>
      </w:r>
      <w:r>
        <w:t>104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Licence holder must keep specified records etc.</w:t>
      </w:r>
      <w:r>
        <w:tab/>
      </w:r>
      <w:r>
        <w:fldChar w:fldCharType="begin"/>
      </w:r>
      <w:r>
        <w:instrText xml:space="preserve"> PAGEREF _Toc166675325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185</w:t>
      </w:r>
      <w:r>
        <w:rPr>
          <w:snapToGrid w:val="0"/>
        </w:rPr>
        <w:t>.</w:t>
      </w:r>
      <w:r>
        <w:rPr>
          <w:snapToGrid w:val="0"/>
        </w:rPr>
        <w:tab/>
        <w:t>Licence holder must assist inspectors</w:t>
      </w:r>
      <w:r>
        <w:tab/>
      </w:r>
      <w:r>
        <w:fldChar w:fldCharType="begin"/>
      </w:r>
      <w:r>
        <w:instrText xml:space="preserve"> PAGEREF _Toc166675327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7 — </w:t>
      </w:r>
      <w:r>
        <w:rPr>
          <w:b w:val="0"/>
        </w:rPr>
        <w:t>Expiry of retention licence</w:t>
      </w:r>
    </w:p>
    <w:p>
      <w:pPr>
        <w:pStyle w:val="TOC8"/>
        <w:rPr>
          <w:rFonts w:asciiTheme="minorHAnsi" w:eastAsiaTheme="minorEastAsia" w:hAnsiTheme="minorHAnsi" w:cstheme="minorBidi"/>
          <w:szCs w:val="22"/>
        </w:rPr>
      </w:pPr>
      <w:r>
        <w:t>186</w:t>
      </w:r>
      <w:r>
        <w:rPr>
          <w:snapToGrid w:val="0"/>
        </w:rPr>
        <w:t>.</w:t>
      </w:r>
      <w:r>
        <w:rPr>
          <w:snapToGrid w:val="0"/>
        </w:rPr>
        <w:tab/>
        <w:t>General</w:t>
      </w:r>
      <w:r>
        <w:tab/>
      </w:r>
      <w:r>
        <w:fldChar w:fldCharType="begin"/>
      </w:r>
      <w:r>
        <w:instrText xml:space="preserve"> PAGEREF _Toc166675845 \h </w:instrText>
      </w:r>
      <w:r>
        <w:fldChar w:fldCharType="separate"/>
      </w:r>
      <w:r>
        <w:t>106</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Voluntary surrender of retention licence</w:t>
      </w:r>
      <w:r>
        <w:tab/>
      </w:r>
      <w:r>
        <w:fldChar w:fldCharType="begin"/>
      </w:r>
      <w:r>
        <w:instrText xml:space="preserve"> PAGEREF _Toc166675846 \h </w:instrText>
      </w:r>
      <w:r>
        <w:fldChar w:fldCharType="separate"/>
      </w:r>
      <w:r>
        <w:t>106</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Automatic expiry of retention licence when mining licence takes effect</w:t>
      </w:r>
      <w:r>
        <w:tab/>
      </w:r>
      <w:r>
        <w:fldChar w:fldCharType="begin"/>
      </w:r>
      <w:r>
        <w:instrText xml:space="preserve"> PAGEREF _Toc166675847 \h </w:instrText>
      </w:r>
      <w:r>
        <w:fldChar w:fldCharType="separate"/>
      </w:r>
      <w:r>
        <w:t>106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Cancellation of retention licence, breach of condition etc.</w:t>
      </w:r>
      <w:r>
        <w:tab/>
      </w:r>
      <w:r>
        <w:fldChar w:fldCharType="begin"/>
      </w:r>
      <w:r>
        <w:instrText xml:space="preserve"> PAGEREF _Toc166675848 \h </w:instrText>
      </w:r>
      <w:r>
        <w:fldChar w:fldCharType="separate"/>
      </w:r>
      <w:r>
        <w:t>107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Cancellation of retention licence, mining activities viable</w:t>
      </w:r>
      <w:r>
        <w:tab/>
      </w:r>
      <w:r>
        <w:fldChar w:fldCharType="begin"/>
      </w:r>
      <w:r>
        <w:instrText xml:space="preserve"> PAGEREF _Toc166675849 \h </w:instrText>
      </w:r>
      <w:r>
        <w:fldChar w:fldCharType="separate"/>
      </w:r>
      <w:r>
        <w:t>108</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Obligations of former retention licence holders and former associates</w:t>
      </w:r>
      <w:r>
        <w:tab/>
      </w:r>
      <w:r>
        <w:fldChar w:fldCharType="begin"/>
      </w:r>
      <w:r>
        <w:instrText xml:space="preserve"> PAGEREF _Toc166675850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Part 2.4</w:t>
      </w:r>
      <w:r>
        <w:rPr>
          <w:snapToGrid w:val="0"/>
        </w:rPr>
        <w:t xml:space="preserve"> — </w:t>
      </w:r>
      <w:r>
        <w:t>Mining licences</w:t>
      </w:r>
    </w:p>
    <w:p>
      <w:pPr>
        <w:pStyle w:val="TOC6"/>
        <w:tabs>
          <w:tab w:val="right" w:leader="dot" w:pos="7077"/>
        </w:tabs>
        <w:rPr>
          <w:rFonts w:asciiTheme="minorHAnsi" w:eastAsiaTheme="minorEastAsia" w:hAnsiTheme="minorHAnsi" w:cstheme="minorBidi"/>
          <w:b w:val="0"/>
          <w:sz w:val="22"/>
          <w:szCs w:val="22"/>
        </w:rPr>
      </w:pPr>
      <w:r>
        <w:rPr>
          <w:b w:val="0"/>
          <w:snapToGrid w:val="0"/>
        </w:rPr>
        <w:t xml:space="preserve">Division 1 — </w:t>
      </w:r>
      <w:r>
        <w:rPr>
          <w:b w:val="0"/>
        </w:rPr>
        <w:t>General</w:t>
      </w:r>
    </w:p>
    <w:p>
      <w:pPr>
        <w:pStyle w:val="TOC8"/>
        <w:rPr>
          <w:rFonts w:asciiTheme="minorHAnsi" w:eastAsiaTheme="minorEastAsia" w:hAnsiTheme="minorHAnsi" w:cstheme="minorBidi"/>
          <w:szCs w:val="22"/>
        </w:rPr>
      </w:pPr>
      <w:r>
        <w:t>192</w:t>
      </w:r>
      <w:r>
        <w:rPr>
          <w:snapToGrid w:val="0"/>
        </w:rPr>
        <w:t>.</w:t>
      </w:r>
      <w:r>
        <w:rPr>
          <w:snapToGrid w:val="0"/>
        </w:rPr>
        <w:tab/>
        <w:t>Mining licences</w:t>
      </w:r>
      <w:r>
        <w:tab/>
      </w:r>
      <w:r>
        <w:fldChar w:fldCharType="begin"/>
      </w:r>
      <w:r>
        <w:instrText xml:space="preserve"> PAGEREF _Toc166675853 \h </w:instrText>
      </w:r>
      <w:r>
        <w:fldChar w:fldCharType="separate"/>
      </w:r>
      <w:r>
        <w:t>111</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Activities authorised by a mining licence</w:t>
      </w:r>
      <w:r>
        <w:tab/>
      </w:r>
      <w:r>
        <w:fldChar w:fldCharType="begin"/>
      </w:r>
      <w:r>
        <w:instrText xml:space="preserve"> PAGEREF _Toc166675854 \h </w:instrText>
      </w:r>
      <w:r>
        <w:fldChar w:fldCharType="separate"/>
      </w:r>
      <w:r>
        <w:t>111</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Minister may cancel or not renew mining licence without compensation</w:t>
      </w:r>
      <w:r>
        <w:tab/>
      </w:r>
      <w:r>
        <w:fldChar w:fldCharType="begin"/>
      </w:r>
      <w:r>
        <w:instrText xml:space="preserve"> PAGEREF _Toc166675855 \h </w:instrText>
      </w:r>
      <w:r>
        <w:fldChar w:fldCharType="separate"/>
      </w:r>
      <w:r>
        <w:t>112</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Licence rights may be suspended</w:t>
      </w:r>
      <w:r>
        <w:tab/>
      </w:r>
      <w:r>
        <w:fldChar w:fldCharType="begin"/>
      </w:r>
      <w:r>
        <w:instrText xml:space="preserve"> PAGEREF _Toc166675856 \h </w:instrText>
      </w:r>
      <w:r>
        <w:fldChar w:fldCharType="separate"/>
      </w:r>
      <w:r>
        <w:t>112</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Compensation for acquisition of property due to suspension of rights</w:t>
      </w:r>
      <w:r>
        <w:tab/>
      </w:r>
      <w:r>
        <w:fldChar w:fldCharType="begin"/>
      </w:r>
      <w:r>
        <w:instrText xml:space="preserve"> PAGEREF _Toc166675857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2 — Application for and grant of mining licence over standard blocks</w:t>
      </w:r>
    </w:p>
    <w:p>
      <w:pPr>
        <w:pStyle w:val="TOC8"/>
        <w:rPr>
          <w:rFonts w:asciiTheme="minorHAnsi" w:eastAsiaTheme="minorEastAsia" w:hAnsiTheme="minorHAnsi" w:cstheme="minorBidi"/>
          <w:szCs w:val="22"/>
        </w:rPr>
      </w:pPr>
      <w:r>
        <w:t>197</w:t>
      </w:r>
      <w:r>
        <w:rPr>
          <w:snapToGrid w:val="0"/>
        </w:rPr>
        <w:t>.</w:t>
      </w:r>
      <w:r>
        <w:rPr>
          <w:snapToGrid w:val="0"/>
        </w:rPr>
        <w:tab/>
        <w:t>Application for mining licence over vacant standard block</w:t>
      </w:r>
      <w:r>
        <w:tab/>
      </w:r>
      <w:r>
        <w:fldChar w:fldCharType="begin"/>
      </w:r>
      <w:r>
        <w:instrText xml:space="preserve"> PAGEREF _Toc166675859 \h </w:instrText>
      </w:r>
      <w:r>
        <w:fldChar w:fldCharType="separate"/>
      </w:r>
      <w:r>
        <w:t>114</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Holder of exploration licence or retention licence may apply for mining licence</w:t>
      </w:r>
      <w:r>
        <w:tab/>
      </w:r>
      <w:r>
        <w:fldChar w:fldCharType="begin"/>
      </w:r>
      <w:r>
        <w:instrText xml:space="preserve"> PAGEREF _Toc166675860 \h </w:instrText>
      </w:r>
      <w:r>
        <w:fldChar w:fldCharType="separate"/>
      </w:r>
      <w:r>
        <w:t>114</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How to apply</w:t>
      </w:r>
      <w:r>
        <w:tab/>
      </w:r>
      <w:r>
        <w:fldChar w:fldCharType="begin"/>
      </w:r>
      <w:r>
        <w:instrText xml:space="preserve"> PAGEREF _Toc166675861 \h </w:instrText>
      </w:r>
      <w:r>
        <w:fldChar w:fldCharType="separate"/>
      </w:r>
      <w:r>
        <w:t>115</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Effect of inclusion of unavailable block in application</w:t>
      </w:r>
      <w:r>
        <w:tab/>
      </w:r>
      <w:r>
        <w:fldChar w:fldCharType="begin"/>
      </w:r>
      <w:r>
        <w:instrText xml:space="preserve"> PAGEREF _Toc166675862 \h </w:instrText>
      </w:r>
      <w:r>
        <w:fldChar w:fldCharType="separate"/>
      </w:r>
      <w:r>
        <w:t>116</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Payment of fee</w:t>
      </w:r>
      <w:r>
        <w:tab/>
      </w:r>
      <w:r>
        <w:fldChar w:fldCharType="begin"/>
      </w:r>
      <w:r>
        <w:instrText xml:space="preserve"> PAGEREF _Toc166675863 \h </w:instrText>
      </w:r>
      <w:r>
        <w:fldChar w:fldCharType="separate"/>
      </w:r>
      <w:r>
        <w:t>116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Application must be advertised</w:t>
      </w:r>
      <w:r>
        <w:tab/>
      </w:r>
      <w:r>
        <w:fldChar w:fldCharType="begin"/>
      </w:r>
      <w:r>
        <w:instrText xml:space="preserve"> PAGEREF _Toc166675864 \h </w:instrText>
      </w:r>
      <w:r>
        <w:fldChar w:fldCharType="separate"/>
      </w:r>
      <w:r>
        <w:t>116</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How multiple applications are dealt with</w:t>
      </w:r>
      <w:r>
        <w:tab/>
      </w:r>
      <w:r>
        <w:fldChar w:fldCharType="begin"/>
      </w:r>
      <w:r>
        <w:instrText xml:space="preserve"> PAGEREF _Toc166675865 \h </w:instrText>
      </w:r>
      <w:r>
        <w:fldChar w:fldCharType="separate"/>
      </w:r>
      <w:r>
        <w:t>117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Request for further information</w:t>
      </w:r>
      <w:r>
        <w:tab/>
      </w:r>
      <w:r>
        <w:fldChar w:fldCharType="begin"/>
      </w:r>
      <w:r>
        <w:instrText xml:space="preserve"> PAGEREF _Toc166675866 \h </w:instrText>
      </w:r>
      <w:r>
        <w:fldChar w:fldCharType="separate"/>
      </w:r>
      <w:r>
        <w:t>118</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Section number not used</w:t>
      </w:r>
      <w:r>
        <w:tab/>
      </w:r>
      <w:r>
        <w:fldChar w:fldCharType="begin"/>
      </w:r>
      <w:r>
        <w:instrText xml:space="preserve"> PAGEREF _Toc166675867 \h </w:instrText>
      </w:r>
      <w:r>
        <w:fldChar w:fldCharType="separate"/>
      </w:r>
      <w:r>
        <w:t>118</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Minister may provisionally grant licence</w:t>
      </w:r>
      <w:r>
        <w:tab/>
      </w:r>
      <w:r>
        <w:fldChar w:fldCharType="begin"/>
      </w:r>
      <w:r>
        <w:instrText xml:space="preserve"> PAGEREF _Toc166675868 \h </w:instrText>
      </w:r>
      <w:r>
        <w:fldChar w:fldCharType="separate"/>
      </w:r>
      <w:r>
        <w:t>118</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Restriction in case of marine nature reserve or marine park</w:t>
      </w:r>
      <w:r>
        <w:tab/>
      </w:r>
      <w:r>
        <w:fldChar w:fldCharType="begin"/>
      </w:r>
      <w:r>
        <w:instrText xml:space="preserve"> PAGEREF _Toc166675869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208</w:t>
      </w:r>
      <w:r>
        <w:rPr>
          <w:snapToGrid w:val="0"/>
        </w:rPr>
        <w:t>.</w:t>
      </w:r>
      <w:r>
        <w:rPr>
          <w:snapToGrid w:val="0"/>
        </w:rPr>
        <w:tab/>
        <w:t>Refusal of application for mining licence made under section 198</w:t>
      </w:r>
      <w:r>
        <w:tab/>
      </w:r>
      <w:r>
        <w:fldChar w:fldCharType="begin"/>
      </w:r>
      <w:r>
        <w:instrText xml:space="preserve"> PAGEREF _Toc166675870 \h </w:instrText>
      </w:r>
      <w:r>
        <w:fldChar w:fldCharType="separate"/>
      </w:r>
      <w:r>
        <w:t>119</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Matters to be specified in the licence</w:t>
      </w:r>
      <w:r>
        <w:tab/>
      </w:r>
      <w:r>
        <w:fldChar w:fldCharType="begin"/>
      </w:r>
      <w:r>
        <w:instrText xml:space="preserve"> PAGEREF _Toc166675871 \h </w:instrText>
      </w:r>
      <w:r>
        <w:fldChar w:fldCharType="separate"/>
      </w:r>
      <w:r>
        <w:t>120</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Applicant must be notified</w:t>
      </w:r>
      <w:r>
        <w:tab/>
      </w:r>
      <w:r>
        <w:fldChar w:fldCharType="begin"/>
      </w:r>
      <w:r>
        <w:instrText xml:space="preserve"> PAGEREF _Toc166675872 \h </w:instrText>
      </w:r>
      <w:r>
        <w:fldChar w:fldCharType="separate"/>
      </w:r>
      <w:r>
        <w:t>120</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Amendment of conditions</w:t>
      </w:r>
      <w:r>
        <w:tab/>
      </w:r>
      <w:r>
        <w:fldChar w:fldCharType="begin"/>
      </w:r>
      <w:r>
        <w:instrText xml:space="preserve"> PAGEREF _Toc166675873 \h </w:instrText>
      </w:r>
      <w:r>
        <w:fldChar w:fldCharType="separate"/>
      </w:r>
      <w:r>
        <w:t>121</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Amendment of security requirements</w:t>
      </w:r>
      <w:r>
        <w:tab/>
      </w:r>
      <w:r>
        <w:fldChar w:fldCharType="begin"/>
      </w:r>
      <w:r>
        <w:instrText xml:space="preserve"> PAGEREF _Toc166675874 \h </w:instrText>
      </w:r>
      <w:r>
        <w:fldChar w:fldCharType="separate"/>
      </w:r>
      <w:r>
        <w:t>121</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Extension of primary payment period</w:t>
      </w:r>
      <w:r>
        <w:tab/>
      </w:r>
      <w:r>
        <w:fldChar w:fldCharType="begin"/>
      </w:r>
      <w:r>
        <w:instrText xml:space="preserve"> PAGEREF _Toc166675875 \h </w:instrText>
      </w:r>
      <w:r>
        <w:fldChar w:fldCharType="separate"/>
      </w:r>
      <w:r>
        <w:t>122</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Acceptance of grant of mining licence for standard block</w:t>
      </w:r>
      <w:r>
        <w:tab/>
      </w:r>
      <w:r>
        <w:fldChar w:fldCharType="begin"/>
      </w:r>
      <w:r>
        <w:instrText xml:space="preserve"> PAGEREF _Toc166675876 \h </w:instrText>
      </w:r>
      <w:r>
        <w:fldChar w:fldCharType="separate"/>
      </w:r>
      <w:r>
        <w:t>122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Conditions applicable to licence on grant</w:t>
      </w:r>
      <w:r>
        <w:tab/>
      </w:r>
      <w:r>
        <w:fldChar w:fldCharType="begin"/>
      </w:r>
      <w:r>
        <w:instrText xml:space="preserve"> PAGEREF _Toc166675877 \h </w:instrText>
      </w:r>
      <w:r>
        <w:fldChar w:fldCharType="separate"/>
      </w:r>
      <w:r>
        <w:t>123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Lapse of provisional grant of mining licence</w:t>
      </w:r>
      <w:r>
        <w:tab/>
      </w:r>
      <w:r>
        <w:fldChar w:fldCharType="begin"/>
      </w:r>
      <w:r>
        <w:instrText xml:space="preserve"> PAGEREF _Toc166675878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3 — Application for and grant of mining licence over tender block</w:t>
      </w:r>
    </w:p>
    <w:p>
      <w:pPr>
        <w:pStyle w:val="TOC8"/>
        <w:rPr>
          <w:rFonts w:asciiTheme="minorHAnsi" w:eastAsiaTheme="minorEastAsia" w:hAnsiTheme="minorHAnsi" w:cstheme="minorBidi"/>
          <w:szCs w:val="22"/>
        </w:rPr>
      </w:pPr>
      <w:r>
        <w:t>217</w:t>
      </w:r>
      <w:r>
        <w:rPr>
          <w:snapToGrid w:val="0"/>
        </w:rPr>
        <w:t>.</w:t>
      </w:r>
      <w:r>
        <w:rPr>
          <w:snapToGrid w:val="0"/>
        </w:rPr>
        <w:tab/>
        <w:t>Matters to be determined before applications for mining licence over tender blocks invited</w:t>
      </w:r>
      <w:r>
        <w:tab/>
      </w:r>
      <w:r>
        <w:fldChar w:fldCharType="begin"/>
      </w:r>
      <w:r>
        <w:instrText xml:space="preserve"> PAGEREF _Toc166675880 \h </w:instrText>
      </w:r>
      <w:r>
        <w:fldChar w:fldCharType="separate"/>
      </w:r>
      <w:r>
        <w:t>123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Minister may invite applications for mining licence over tender blocks</w:t>
      </w:r>
      <w:r>
        <w:tab/>
      </w:r>
      <w:r>
        <w:fldChar w:fldCharType="begin"/>
      </w:r>
      <w:r>
        <w:instrText xml:space="preserve"> PAGEREF _Toc166675881 \h </w:instrText>
      </w:r>
      <w:r>
        <w:fldChar w:fldCharType="separate"/>
      </w:r>
      <w:r>
        <w:t>124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Tender block licence notice — mining licence</w:t>
      </w:r>
      <w:r>
        <w:tab/>
      </w:r>
      <w:r>
        <w:fldChar w:fldCharType="begin"/>
      </w:r>
      <w:r>
        <w:instrText xml:space="preserve"> PAGEREF _Toc166675882 \h </w:instrText>
      </w:r>
      <w:r>
        <w:fldChar w:fldCharType="separate"/>
      </w:r>
      <w:r>
        <w:t>124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for mining licence over tender blocks</w:t>
      </w:r>
      <w:r>
        <w:tab/>
      </w:r>
      <w:r>
        <w:fldChar w:fldCharType="begin"/>
      </w:r>
      <w:r>
        <w:instrText xml:space="preserve"> PAGEREF _Toc166675883 \h </w:instrText>
      </w:r>
      <w:r>
        <w:fldChar w:fldCharType="separate"/>
      </w:r>
      <w:r>
        <w:t>125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How to apply</w:t>
      </w:r>
      <w:r>
        <w:tab/>
      </w:r>
      <w:r>
        <w:fldChar w:fldCharType="begin"/>
      </w:r>
      <w:r>
        <w:instrText xml:space="preserve"> PAGEREF _Toc166675884 \h </w:instrText>
      </w:r>
      <w:r>
        <w:fldChar w:fldCharType="separate"/>
      </w:r>
      <w:r>
        <w:t>125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Payment of fee</w:t>
      </w:r>
      <w:r>
        <w:tab/>
      </w:r>
      <w:r>
        <w:fldChar w:fldCharType="begin"/>
      </w:r>
      <w:r>
        <w:instrText xml:space="preserve"> PAGEREF _Toc166675885 \h </w:instrText>
      </w:r>
      <w:r>
        <w:fldChar w:fldCharType="separate"/>
      </w:r>
      <w:r>
        <w:t>126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Request for further information</w:t>
      </w:r>
      <w:r>
        <w:tab/>
      </w:r>
      <w:r>
        <w:fldChar w:fldCharType="begin"/>
      </w:r>
      <w:r>
        <w:instrText xml:space="preserve"> PAGEREF _Toc166675886 \h </w:instrText>
      </w:r>
      <w:r>
        <w:fldChar w:fldCharType="separate"/>
      </w:r>
      <w:r>
        <w:t>126</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Section number not used</w:t>
      </w:r>
      <w:r>
        <w:tab/>
      </w:r>
      <w:r>
        <w:fldChar w:fldCharType="begin"/>
      </w:r>
      <w:r>
        <w:instrText xml:space="preserve"> PAGEREF _Toc166675887 \h </w:instrText>
      </w:r>
      <w:r>
        <w:fldChar w:fldCharType="separate"/>
      </w:r>
      <w:r>
        <w:t>127</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Minister may provisionally grant licence</w:t>
      </w:r>
      <w:r>
        <w:tab/>
      </w:r>
      <w:r>
        <w:fldChar w:fldCharType="begin"/>
      </w:r>
      <w:r>
        <w:instrText xml:space="preserve"> PAGEREF _Toc166675888 \h </w:instrText>
      </w:r>
      <w:r>
        <w:fldChar w:fldCharType="separate"/>
      </w:r>
      <w:r>
        <w:t>127</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Restriction in case of marine nature reserve or marine park</w:t>
      </w:r>
      <w:r>
        <w:tab/>
      </w:r>
      <w:r>
        <w:fldChar w:fldCharType="begin"/>
      </w:r>
      <w:r>
        <w:instrText xml:space="preserve"> PAGEREF _Toc166675889 \h </w:instrText>
      </w:r>
      <w:r>
        <w:fldChar w:fldCharType="separate"/>
      </w:r>
      <w:r>
        <w:t>127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Successful applicant must be notified</w:t>
      </w:r>
      <w:r>
        <w:tab/>
      </w:r>
      <w:r>
        <w:fldChar w:fldCharType="begin"/>
      </w:r>
      <w:r>
        <w:instrText xml:space="preserve"> PAGEREF _Toc166675890 \h </w:instrText>
      </w:r>
      <w:r>
        <w:fldChar w:fldCharType="separate"/>
      </w:r>
      <w:r>
        <w:t>127</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Acceptance of grant of mining licence over tender blocks</w:t>
      </w:r>
      <w:r>
        <w:tab/>
      </w:r>
      <w:r>
        <w:fldChar w:fldCharType="begin"/>
      </w:r>
      <w:r>
        <w:instrText xml:space="preserve"> PAGEREF _Toc166675891 \h </w:instrText>
      </w:r>
      <w:r>
        <w:fldChar w:fldCharType="separate"/>
      </w:r>
      <w:r>
        <w:t>128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Conditions applicable to licence on grant</w:t>
      </w:r>
      <w:r>
        <w:tab/>
      </w:r>
      <w:r>
        <w:fldChar w:fldCharType="begin"/>
      </w:r>
      <w:r>
        <w:instrText xml:space="preserve"> PAGEREF _Toc166675892 \h </w:instrText>
      </w:r>
      <w:r>
        <w:fldChar w:fldCharType="separate"/>
      </w:r>
      <w:r>
        <w:t>129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Lapse of provisional grant of mining licence</w:t>
      </w:r>
      <w:r>
        <w:tab/>
      </w:r>
      <w:r>
        <w:fldChar w:fldCharType="begin"/>
      </w:r>
      <w:r>
        <w:instrText xml:space="preserve"> PAGEREF _Toc166675893 \h </w:instrText>
      </w:r>
      <w:r>
        <w:fldChar w:fldCharType="separate"/>
      </w:r>
      <w:r>
        <w:t>129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Provisional grant to next applicant if grant lapses</w:t>
      </w:r>
      <w:r>
        <w:tab/>
      </w:r>
      <w:r>
        <w:fldChar w:fldCharType="begin"/>
      </w:r>
      <w:r>
        <w:instrText xml:space="preserve"> PAGEREF _Toc166675894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4 — Duration of mining licence</w:t>
      </w:r>
    </w:p>
    <w:p>
      <w:pPr>
        <w:pStyle w:val="TOC8"/>
        <w:rPr>
          <w:rFonts w:asciiTheme="minorHAnsi" w:eastAsiaTheme="minorEastAsia" w:hAnsiTheme="minorHAnsi" w:cstheme="minorBidi"/>
          <w:szCs w:val="22"/>
        </w:rPr>
      </w:pPr>
      <w:r>
        <w:t>232</w:t>
      </w:r>
      <w:r>
        <w:rPr>
          <w:snapToGrid w:val="0"/>
        </w:rPr>
        <w:t>.</w:t>
      </w:r>
      <w:r>
        <w:rPr>
          <w:snapToGrid w:val="0"/>
        </w:rPr>
        <w:tab/>
        <w:t>Initial term of mining licence</w:t>
      </w:r>
      <w:r>
        <w:tab/>
      </w:r>
      <w:r>
        <w:fldChar w:fldCharType="begin"/>
      </w:r>
      <w:r>
        <w:instrText xml:space="preserve"> PAGEREF _Toc166675896 \h </w:instrText>
      </w:r>
      <w:r>
        <w:fldChar w:fldCharType="separate"/>
      </w:r>
      <w:r>
        <w:t>130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Term of renewal of licence</w:t>
      </w:r>
      <w:r>
        <w:tab/>
      </w:r>
      <w:r>
        <w:fldChar w:fldCharType="begin"/>
      </w:r>
      <w:r>
        <w:instrText xml:space="preserve"> PAGEREF _Toc166675897 \h </w:instrText>
      </w:r>
      <w:r>
        <w:fldChar w:fldCharType="separate"/>
      </w:r>
      <w:r>
        <w:t>130</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Effect of application for renewal on term of mining licence</w:t>
      </w:r>
      <w:r>
        <w:tab/>
      </w:r>
      <w:r>
        <w:fldChar w:fldCharType="begin"/>
      </w:r>
      <w:r>
        <w:instrText xml:space="preserve"> PAGEREF _Toc166675898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lastRenderedPageBreak/>
        <w:t>Division 5 — Voluntary surrender of part of mining licence area</w:t>
      </w:r>
    </w:p>
    <w:p>
      <w:pPr>
        <w:pStyle w:val="TOC8"/>
        <w:rPr>
          <w:rFonts w:asciiTheme="minorHAnsi" w:eastAsiaTheme="minorEastAsia" w:hAnsiTheme="minorHAnsi" w:cstheme="minorBidi"/>
          <w:szCs w:val="22"/>
        </w:rPr>
      </w:pPr>
      <w:r>
        <w:t>235</w:t>
      </w:r>
      <w:r>
        <w:rPr>
          <w:snapToGrid w:val="0"/>
        </w:rPr>
        <w:t>.</w:t>
      </w:r>
      <w:r>
        <w:rPr>
          <w:snapToGrid w:val="0"/>
        </w:rPr>
        <w:tab/>
        <w:t>Voluntary surrender of blocks if discrete area remains</w:t>
      </w:r>
      <w:r>
        <w:tab/>
      </w:r>
      <w:r>
        <w:fldChar w:fldCharType="begin"/>
      </w:r>
      <w:r>
        <w:instrText xml:space="preserve"> PAGEREF _Toc166675900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6 — Application for and grant of renewal of mining licence</w:t>
      </w:r>
    </w:p>
    <w:p>
      <w:pPr>
        <w:pStyle w:val="TOC8"/>
        <w:rPr>
          <w:rFonts w:asciiTheme="minorHAnsi" w:eastAsiaTheme="minorEastAsia" w:hAnsiTheme="minorHAnsi" w:cstheme="minorBidi"/>
          <w:szCs w:val="22"/>
        </w:rPr>
      </w:pPr>
      <w:r>
        <w:t>236</w:t>
      </w:r>
      <w:r>
        <w:rPr>
          <w:snapToGrid w:val="0"/>
        </w:rPr>
        <w:t>.</w:t>
      </w:r>
      <w:r>
        <w:rPr>
          <w:snapToGrid w:val="0"/>
        </w:rPr>
        <w:tab/>
        <w:t>Application for renewal of mining licence</w:t>
      </w:r>
      <w:r>
        <w:tab/>
      </w:r>
      <w:r>
        <w:fldChar w:fldCharType="begin"/>
      </w:r>
      <w:r>
        <w:instrText xml:space="preserve"> PAGEREF _Toc166675902 \h </w:instrText>
      </w:r>
      <w:r>
        <w:fldChar w:fldCharType="separate"/>
      </w:r>
      <w:r>
        <w:t>132</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When application to be made</w:t>
      </w:r>
      <w:r>
        <w:tab/>
      </w:r>
      <w:r>
        <w:fldChar w:fldCharType="begin"/>
      </w:r>
      <w:r>
        <w:instrText xml:space="preserve"> PAGEREF _Toc166675903 \h </w:instrText>
      </w:r>
      <w:r>
        <w:fldChar w:fldCharType="separate"/>
      </w:r>
      <w:r>
        <w:t>132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How to apply for renewal</w:t>
      </w:r>
      <w:r>
        <w:tab/>
      </w:r>
      <w:r>
        <w:fldChar w:fldCharType="begin"/>
      </w:r>
      <w:r>
        <w:instrText xml:space="preserve"> PAGEREF _Toc166675904 \h </w:instrText>
      </w:r>
      <w:r>
        <w:fldChar w:fldCharType="separate"/>
      </w:r>
      <w:r>
        <w:t>132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Request for further information</w:t>
      </w:r>
      <w:r>
        <w:tab/>
      </w:r>
      <w:r>
        <w:fldChar w:fldCharType="begin"/>
      </w:r>
      <w:r>
        <w:instrText xml:space="preserve"> PAGEREF _Toc166675905 \h </w:instrText>
      </w:r>
      <w:r>
        <w:fldChar w:fldCharType="separate"/>
      </w:r>
      <w:r>
        <w:t>133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Payment of fee</w:t>
      </w:r>
      <w:r>
        <w:tab/>
      </w:r>
      <w:r>
        <w:fldChar w:fldCharType="begin"/>
      </w:r>
      <w:r>
        <w:instrText xml:space="preserve"> PAGEREF _Toc166675906 \h </w:instrText>
      </w:r>
      <w:r>
        <w:fldChar w:fldCharType="separate"/>
      </w:r>
      <w:r>
        <w:t>133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Section number not used</w:t>
      </w:r>
      <w:r>
        <w:tab/>
      </w:r>
      <w:r>
        <w:fldChar w:fldCharType="begin"/>
      </w:r>
      <w:r>
        <w:instrText xml:space="preserve"> PAGEREF _Toc166675907 \h </w:instrText>
      </w:r>
      <w:r>
        <w:fldChar w:fldCharType="separate"/>
      </w:r>
      <w:r>
        <w:t>134</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Provisional renewal of mining licence</w:t>
      </w:r>
      <w:r>
        <w:tab/>
      </w:r>
      <w:r>
        <w:fldChar w:fldCharType="begin"/>
      </w:r>
      <w:r>
        <w:instrText xml:space="preserve"> PAGEREF _Toc166675908 \h </w:instrText>
      </w:r>
      <w:r>
        <w:fldChar w:fldCharType="separate"/>
      </w:r>
      <w:r>
        <w:t>134</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Section number not used</w:t>
      </w:r>
      <w:r>
        <w:tab/>
      </w:r>
      <w:r>
        <w:fldChar w:fldCharType="begin"/>
      </w:r>
      <w:r>
        <w:instrText xml:space="preserve"> PAGEREF _Toc166675909 \h </w:instrText>
      </w:r>
      <w:r>
        <w:fldChar w:fldCharType="separate"/>
      </w:r>
      <w:r>
        <w:t>134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Matters that may be taken into account</w:t>
      </w:r>
      <w:r>
        <w:tab/>
      </w:r>
      <w:r>
        <w:fldChar w:fldCharType="begin"/>
      </w:r>
      <w:r>
        <w:instrText xml:space="preserve"> PAGEREF _Toc166675910 \h </w:instrText>
      </w:r>
      <w:r>
        <w:fldChar w:fldCharType="separate"/>
      </w:r>
      <w:r>
        <w:t>134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Refusal of application for renewal</w:t>
      </w:r>
      <w:r>
        <w:tab/>
      </w:r>
      <w:r>
        <w:fldChar w:fldCharType="begin"/>
      </w:r>
      <w:r>
        <w:instrText xml:space="preserve"> PAGEREF _Toc166675911 \h </w:instrText>
      </w:r>
      <w:r>
        <w:fldChar w:fldCharType="separate"/>
      </w:r>
      <w:r>
        <w:t>134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Applicant must be notified</w:t>
      </w:r>
      <w:r>
        <w:tab/>
      </w:r>
      <w:r>
        <w:fldChar w:fldCharType="begin"/>
      </w:r>
      <w:r>
        <w:instrText xml:space="preserve"> PAGEREF _Toc166675912 \h </w:instrText>
      </w:r>
      <w:r>
        <w:fldChar w:fldCharType="separate"/>
      </w:r>
      <w:r>
        <w:t>135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Amendment of conditions</w:t>
      </w:r>
      <w:r>
        <w:tab/>
      </w:r>
      <w:r>
        <w:fldChar w:fldCharType="begin"/>
      </w:r>
      <w:r>
        <w:instrText xml:space="preserve"> PAGEREF _Toc166675913 \h </w:instrText>
      </w:r>
      <w:r>
        <w:fldChar w:fldCharType="separate"/>
      </w:r>
      <w:r>
        <w:t>136</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Amendment of security requirements</w:t>
      </w:r>
      <w:r>
        <w:tab/>
      </w:r>
      <w:r>
        <w:fldChar w:fldCharType="begin"/>
      </w:r>
      <w:r>
        <w:instrText xml:space="preserve"> PAGEREF _Toc166675914 \h </w:instrText>
      </w:r>
      <w:r>
        <w:fldChar w:fldCharType="separate"/>
      </w:r>
      <w:r>
        <w:t>136</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Extension of primary payment period</w:t>
      </w:r>
      <w:r>
        <w:tab/>
      </w:r>
      <w:r>
        <w:fldChar w:fldCharType="begin"/>
      </w:r>
      <w:r>
        <w:instrText xml:space="preserve"> PAGEREF _Toc166675915 \h </w:instrText>
      </w:r>
      <w:r>
        <w:fldChar w:fldCharType="separate"/>
      </w:r>
      <w:r>
        <w:t>137</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Acceptance of renewal of mining licence</w:t>
      </w:r>
      <w:r>
        <w:tab/>
      </w:r>
      <w:r>
        <w:fldChar w:fldCharType="begin"/>
      </w:r>
      <w:r>
        <w:instrText xml:space="preserve"> PAGEREF _Toc166675916 \h </w:instrText>
      </w:r>
      <w:r>
        <w:fldChar w:fldCharType="separate"/>
      </w:r>
      <w:r>
        <w:t>137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Conditions applicable to licence on renewal</w:t>
      </w:r>
      <w:r>
        <w:tab/>
      </w:r>
      <w:r>
        <w:fldChar w:fldCharType="begin"/>
      </w:r>
      <w:r>
        <w:instrText xml:space="preserve"> PAGEREF _Toc166675917 \h </w:instrText>
      </w:r>
      <w:r>
        <w:fldChar w:fldCharType="separate"/>
      </w:r>
      <w:r>
        <w:t>138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Lapse of provisional renewal of mining licence</w:t>
      </w:r>
      <w:r>
        <w:tab/>
      </w:r>
      <w:r>
        <w:fldChar w:fldCharType="begin"/>
      </w:r>
      <w:r>
        <w:instrText xml:space="preserve"> PAGEREF _Toc166675918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7 — Obligations associated with mining licence</w:t>
      </w:r>
    </w:p>
    <w:p>
      <w:pPr>
        <w:pStyle w:val="TOC8"/>
        <w:rPr>
          <w:rFonts w:asciiTheme="minorHAnsi" w:eastAsiaTheme="minorEastAsia" w:hAnsiTheme="minorHAnsi" w:cstheme="minorBidi"/>
          <w:szCs w:val="22"/>
        </w:rPr>
      </w:pPr>
      <w:r>
        <w:t>253</w:t>
      </w:r>
      <w:r>
        <w:rPr>
          <w:snapToGrid w:val="0"/>
        </w:rPr>
        <w:t>.</w:t>
      </w:r>
      <w:r>
        <w:rPr>
          <w:snapToGrid w:val="0"/>
        </w:rPr>
        <w:tab/>
        <w:t>General</w:t>
      </w:r>
      <w:r>
        <w:tab/>
      </w:r>
      <w:r>
        <w:fldChar w:fldCharType="begin"/>
      </w:r>
      <w:r>
        <w:instrText xml:space="preserve"> PAGEREF _Toc166675920 \h </w:instrText>
      </w:r>
      <w:r>
        <w:fldChar w:fldCharType="separate"/>
      </w:r>
      <w:r>
        <w:t>138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Conditions of mining licence</w:t>
      </w:r>
      <w:r>
        <w:tab/>
      </w:r>
      <w:r>
        <w:fldChar w:fldCharType="begin"/>
      </w:r>
      <w:r>
        <w:instrText xml:space="preserve"> PAGEREF _Toc166675921 \h </w:instrText>
      </w:r>
      <w:r>
        <w:fldChar w:fldCharType="separate"/>
      </w:r>
      <w:r>
        <w:t>139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No conditions requiring payment of money</w:t>
      </w:r>
      <w:r>
        <w:tab/>
      </w:r>
      <w:r>
        <w:fldChar w:fldCharType="begin"/>
      </w:r>
      <w:r>
        <w:instrText xml:space="preserve"> PAGEREF _Toc166675922 \h </w:instrText>
      </w:r>
      <w:r>
        <w:fldChar w:fldCharType="separate"/>
      </w:r>
      <w:r>
        <w:t>140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Variation of conditions</w:t>
      </w:r>
      <w:r>
        <w:tab/>
      </w:r>
      <w:r>
        <w:fldChar w:fldCharType="begin"/>
      </w:r>
      <w:r>
        <w:instrText xml:space="preserve"> PAGEREF _Toc166675923 \h </w:instrText>
      </w:r>
      <w:r>
        <w:fldChar w:fldCharType="separate"/>
      </w:r>
      <w:r>
        <w:t>140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Exemption from or suspension of conditions</w:t>
      </w:r>
      <w:r>
        <w:tab/>
      </w:r>
      <w:r>
        <w:fldChar w:fldCharType="begin"/>
      </w:r>
      <w:r>
        <w:instrText xml:space="preserve"> PAGEREF _Toc166675924 \h </w:instrText>
      </w:r>
      <w:r>
        <w:fldChar w:fldCharType="separate"/>
      </w:r>
      <w:r>
        <w:t>141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Automatic suspension of conditions if licence rights are suspended</w:t>
      </w:r>
      <w:r>
        <w:tab/>
      </w:r>
      <w:r>
        <w:fldChar w:fldCharType="begin"/>
      </w:r>
      <w:r>
        <w:instrText xml:space="preserve"> PAGEREF _Toc166675925 \h </w:instrText>
      </w:r>
      <w:r>
        <w:fldChar w:fldCharType="separate"/>
      </w:r>
      <w:r>
        <w:t>143</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Work practices</w:t>
      </w:r>
      <w:r>
        <w:tab/>
      </w:r>
      <w:r>
        <w:fldChar w:fldCharType="begin"/>
      </w:r>
      <w:r>
        <w:instrText xml:space="preserve"> PAGEREF _Toc166675926 \h </w:instrText>
      </w:r>
      <w:r>
        <w:fldChar w:fldCharType="separate"/>
      </w:r>
      <w:r>
        <w:t>143</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Licence holder must pay royalty</w:t>
      </w:r>
      <w:r>
        <w:tab/>
      </w:r>
      <w:r>
        <w:fldChar w:fldCharType="begin"/>
      </w:r>
      <w:r>
        <w:instrText xml:space="preserve"> PAGEREF _Toc166675927 \h </w:instrText>
      </w:r>
      <w:r>
        <w:fldChar w:fldCharType="separate"/>
      </w:r>
      <w:r>
        <w:t>144</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Licence holder must keep specified records</w:t>
      </w:r>
      <w:r>
        <w:tab/>
      </w:r>
      <w:r>
        <w:fldChar w:fldCharType="begin"/>
      </w:r>
      <w:r>
        <w:instrText xml:space="preserve"> PAGEREF _Toc166675928 \h </w:instrText>
      </w:r>
      <w:r>
        <w:fldChar w:fldCharType="separate"/>
      </w:r>
      <w:r>
        <w:t>144</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t>Licence holder must assist inspectors</w:t>
      </w:r>
      <w:r>
        <w:tab/>
      </w:r>
      <w:r>
        <w:fldChar w:fldCharType="begin"/>
      </w:r>
      <w:r>
        <w:instrText xml:space="preserve"> PAGEREF _Toc166675929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8 — Expiry of mining licence</w:t>
      </w:r>
    </w:p>
    <w:p>
      <w:pPr>
        <w:pStyle w:val="TOC8"/>
        <w:rPr>
          <w:rFonts w:asciiTheme="minorHAnsi" w:eastAsiaTheme="minorEastAsia" w:hAnsiTheme="minorHAnsi" w:cstheme="minorBidi"/>
          <w:szCs w:val="22"/>
        </w:rPr>
      </w:pPr>
      <w:r>
        <w:t>263</w:t>
      </w:r>
      <w:r>
        <w:rPr>
          <w:snapToGrid w:val="0"/>
        </w:rPr>
        <w:t>.</w:t>
      </w:r>
      <w:r>
        <w:rPr>
          <w:snapToGrid w:val="0"/>
        </w:rPr>
        <w:tab/>
        <w:t>General</w:t>
      </w:r>
      <w:r>
        <w:tab/>
      </w:r>
      <w:r>
        <w:fldChar w:fldCharType="begin"/>
      </w:r>
      <w:r>
        <w:instrText xml:space="preserve"> PAGEREF _Toc166675931 \h </w:instrText>
      </w:r>
      <w:r>
        <w:fldChar w:fldCharType="separate"/>
      </w:r>
      <w:r>
        <w:t>145</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Voluntary surrender of mining licence</w:t>
      </w:r>
      <w:r>
        <w:tab/>
      </w:r>
      <w:r>
        <w:fldChar w:fldCharType="begin"/>
      </w:r>
      <w:r>
        <w:instrText xml:space="preserve"> PAGEREF _Toc166675932 \h </w:instrText>
      </w:r>
      <w:r>
        <w:fldChar w:fldCharType="separate"/>
      </w:r>
      <w:r>
        <w:t>145</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Cancellation of mining licence</w:t>
      </w:r>
      <w:r>
        <w:tab/>
      </w:r>
      <w:r>
        <w:fldChar w:fldCharType="begin"/>
      </w:r>
      <w:r>
        <w:instrText xml:space="preserve"> PAGEREF _Toc166675933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266</w:t>
      </w:r>
      <w:r>
        <w:rPr>
          <w:snapToGrid w:val="0"/>
        </w:rPr>
        <w:t>.</w:t>
      </w:r>
      <w:r>
        <w:rPr>
          <w:snapToGrid w:val="0"/>
        </w:rPr>
        <w:tab/>
        <w:t>Obligations of former mining licence holders and former associates</w:t>
      </w:r>
      <w:r>
        <w:tab/>
      </w:r>
      <w:r>
        <w:fldChar w:fldCharType="begin"/>
      </w:r>
      <w:r>
        <w:instrText xml:space="preserve"> PAGEREF _Toc166675934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Part 2.5</w:t>
      </w:r>
      <w:r>
        <w:rPr>
          <w:snapToGrid w:val="0"/>
        </w:rPr>
        <w:t xml:space="preserve"> — </w:t>
      </w:r>
      <w:r>
        <w:t>Works licences</w:t>
      </w:r>
    </w:p>
    <w:p>
      <w:pPr>
        <w:pStyle w:val="TOC6"/>
        <w:tabs>
          <w:tab w:val="right" w:leader="dot" w:pos="7077"/>
        </w:tabs>
        <w:rPr>
          <w:rFonts w:asciiTheme="minorHAnsi" w:eastAsiaTheme="minorEastAsia" w:hAnsiTheme="minorHAnsi" w:cstheme="minorBidi"/>
          <w:b w:val="0"/>
          <w:sz w:val="22"/>
          <w:szCs w:val="22"/>
        </w:rPr>
      </w:pPr>
      <w:r>
        <w:rPr>
          <w:b w:val="0"/>
        </w:rPr>
        <w:t>Division 1 — General</w:t>
      </w:r>
    </w:p>
    <w:p>
      <w:pPr>
        <w:pStyle w:val="TOC8"/>
        <w:rPr>
          <w:rFonts w:asciiTheme="minorHAnsi" w:eastAsiaTheme="minorEastAsia" w:hAnsiTheme="minorHAnsi" w:cstheme="minorBidi"/>
          <w:szCs w:val="22"/>
        </w:rPr>
      </w:pPr>
      <w:r>
        <w:t>267</w:t>
      </w:r>
      <w:r>
        <w:rPr>
          <w:snapToGrid w:val="0"/>
        </w:rPr>
        <w:t>.</w:t>
      </w:r>
      <w:r>
        <w:rPr>
          <w:snapToGrid w:val="0"/>
        </w:rPr>
        <w:tab/>
        <w:t>Works licences</w:t>
      </w:r>
      <w:r>
        <w:tab/>
      </w:r>
      <w:r>
        <w:fldChar w:fldCharType="begin"/>
      </w:r>
      <w:r>
        <w:instrText xml:space="preserve"> PAGEREF _Toc166675937 \h </w:instrText>
      </w:r>
      <w:r>
        <w:fldChar w:fldCharType="separate"/>
      </w:r>
      <w:r>
        <w:t>148</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Activities authorised by a works licence</w:t>
      </w:r>
      <w:r>
        <w:tab/>
      </w:r>
      <w:r>
        <w:fldChar w:fldCharType="begin"/>
      </w:r>
      <w:r>
        <w:instrText xml:space="preserve"> PAGEREF _Toc166675938 \h </w:instrText>
      </w:r>
      <w:r>
        <w:fldChar w:fldCharType="separate"/>
      </w:r>
      <w:r>
        <w:t>148</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Minister may cancel or not renew works licence without compensation</w:t>
      </w:r>
      <w:r>
        <w:tab/>
      </w:r>
      <w:r>
        <w:fldChar w:fldCharType="begin"/>
      </w:r>
      <w:r>
        <w:instrText xml:space="preserve"> PAGEREF _Toc166675939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2 — Application for and grant of works licence</w:t>
      </w:r>
    </w:p>
    <w:p>
      <w:pPr>
        <w:pStyle w:val="TOC8"/>
        <w:rPr>
          <w:rFonts w:asciiTheme="minorHAnsi" w:eastAsiaTheme="minorEastAsia" w:hAnsiTheme="minorHAnsi" w:cstheme="minorBidi"/>
          <w:szCs w:val="22"/>
        </w:rPr>
      </w:pPr>
      <w:r>
        <w:t>270</w:t>
      </w:r>
      <w:r>
        <w:rPr>
          <w:snapToGrid w:val="0"/>
        </w:rPr>
        <w:t>.</w:t>
      </w:r>
      <w:r>
        <w:rPr>
          <w:snapToGrid w:val="0"/>
        </w:rPr>
        <w:tab/>
        <w:t>Application for works licence</w:t>
      </w:r>
      <w:r>
        <w:tab/>
      </w:r>
      <w:r>
        <w:fldChar w:fldCharType="begin"/>
      </w:r>
      <w:r>
        <w:instrText xml:space="preserve"> PAGEREF _Toc166675941 \h </w:instrText>
      </w:r>
      <w:r>
        <w:fldChar w:fldCharType="separate"/>
      </w:r>
      <w:r>
        <w:t>149</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How to apply</w:t>
      </w:r>
      <w:r>
        <w:tab/>
      </w:r>
      <w:r>
        <w:fldChar w:fldCharType="begin"/>
      </w:r>
      <w:r>
        <w:instrText xml:space="preserve"> PAGEREF _Toc166675942 \h </w:instrText>
      </w:r>
      <w:r>
        <w:fldChar w:fldCharType="separate"/>
      </w:r>
      <w:r>
        <w:t>149</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Payment of fee</w:t>
      </w:r>
      <w:r>
        <w:tab/>
      </w:r>
      <w:r>
        <w:fldChar w:fldCharType="begin"/>
      </w:r>
      <w:r>
        <w:instrText xml:space="preserve"> PAGEREF _Toc166675943 \h </w:instrText>
      </w:r>
      <w:r>
        <w:fldChar w:fldCharType="separate"/>
      </w:r>
      <w:r>
        <w:t>150</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Applicant to notify licence holders affected by the application</w:t>
      </w:r>
      <w:r>
        <w:tab/>
      </w:r>
      <w:r>
        <w:fldChar w:fldCharType="begin"/>
      </w:r>
      <w:r>
        <w:instrText xml:space="preserve"> PAGEREF _Toc166675944 \h </w:instrText>
      </w:r>
      <w:r>
        <w:fldChar w:fldCharType="separate"/>
      </w:r>
      <w:r>
        <w:t>150</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Application must be advertised</w:t>
      </w:r>
      <w:r>
        <w:tab/>
      </w:r>
      <w:r>
        <w:fldChar w:fldCharType="begin"/>
      </w:r>
      <w:r>
        <w:instrText xml:space="preserve"> PAGEREF _Toc166675945 \h </w:instrText>
      </w:r>
      <w:r>
        <w:fldChar w:fldCharType="separate"/>
      </w:r>
      <w:r>
        <w:t>150</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Section number not used</w:t>
      </w:r>
      <w:r>
        <w:tab/>
      </w:r>
      <w:r>
        <w:fldChar w:fldCharType="begin"/>
      </w:r>
      <w:r>
        <w:instrText xml:space="preserve"> PAGEREF _Toc166675946 \h </w:instrText>
      </w:r>
      <w:r>
        <w:fldChar w:fldCharType="separate"/>
      </w:r>
      <w:r>
        <w:t>151</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Minister may provisionally grant licence</w:t>
      </w:r>
      <w:r>
        <w:tab/>
      </w:r>
      <w:r>
        <w:fldChar w:fldCharType="begin"/>
      </w:r>
      <w:r>
        <w:instrText xml:space="preserve"> PAGEREF _Toc166675947 \h </w:instrText>
      </w:r>
      <w:r>
        <w:fldChar w:fldCharType="separate"/>
      </w:r>
      <w:r>
        <w:t>152</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Section number not used</w:t>
      </w:r>
      <w:r>
        <w:tab/>
      </w:r>
      <w:r>
        <w:fldChar w:fldCharType="begin"/>
      </w:r>
      <w:r>
        <w:instrText xml:space="preserve"> PAGEREF _Toc166675948 \h </w:instrText>
      </w:r>
      <w:r>
        <w:fldChar w:fldCharType="separate"/>
      </w:r>
      <w:r>
        <w:t>152</w:t>
      </w:r>
      <w:r>
        <w:fldChar w:fldCharType="end"/>
      </w:r>
    </w:p>
    <w:p>
      <w:pPr>
        <w:pStyle w:val="TOC8"/>
        <w:rPr>
          <w:rFonts w:asciiTheme="minorHAnsi" w:eastAsiaTheme="minorEastAsia" w:hAnsiTheme="minorHAnsi" w:cstheme="minorBidi"/>
          <w:szCs w:val="22"/>
        </w:rPr>
      </w:pPr>
      <w:r>
        <w:t>278</w:t>
      </w:r>
      <w:r>
        <w:rPr>
          <w:snapToGrid w:val="0"/>
        </w:rPr>
        <w:t>.</w:t>
      </w:r>
      <w:r>
        <w:rPr>
          <w:snapToGrid w:val="0"/>
        </w:rPr>
        <w:tab/>
        <w:t>Matters to be specified in the licence</w:t>
      </w:r>
      <w:r>
        <w:tab/>
      </w:r>
      <w:r>
        <w:fldChar w:fldCharType="begin"/>
      </w:r>
      <w:r>
        <w:instrText xml:space="preserve"> PAGEREF _Toc166675949 \h </w:instrText>
      </w:r>
      <w:r>
        <w:fldChar w:fldCharType="separate"/>
      </w:r>
      <w:r>
        <w:t>152</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Applicant must be notified</w:t>
      </w:r>
      <w:r>
        <w:tab/>
      </w:r>
      <w:r>
        <w:fldChar w:fldCharType="begin"/>
      </w:r>
      <w:r>
        <w:instrText xml:space="preserve"> PAGEREF _Toc166675950 \h </w:instrText>
      </w:r>
      <w:r>
        <w:fldChar w:fldCharType="separate"/>
      </w:r>
      <w:r>
        <w:t>152</w:t>
      </w:r>
      <w:r>
        <w:fldChar w:fldCharType="end"/>
      </w:r>
    </w:p>
    <w:p>
      <w:pPr>
        <w:pStyle w:val="TOC8"/>
        <w:rPr>
          <w:rFonts w:asciiTheme="minorHAnsi" w:eastAsiaTheme="minorEastAsia" w:hAnsiTheme="minorHAnsi" w:cstheme="minorBidi"/>
          <w:szCs w:val="22"/>
        </w:rPr>
      </w:pPr>
      <w:r>
        <w:t>280</w:t>
      </w:r>
      <w:r>
        <w:rPr>
          <w:snapToGrid w:val="0"/>
        </w:rPr>
        <w:t>.</w:t>
      </w:r>
      <w:r>
        <w:rPr>
          <w:snapToGrid w:val="0"/>
        </w:rPr>
        <w:tab/>
        <w:t>Amendment of conditions</w:t>
      </w:r>
      <w:r>
        <w:tab/>
      </w:r>
      <w:r>
        <w:fldChar w:fldCharType="begin"/>
      </w:r>
      <w:r>
        <w:instrText xml:space="preserve"> PAGEREF _Toc166675951 \h </w:instrText>
      </w:r>
      <w:r>
        <w:fldChar w:fldCharType="separate"/>
      </w:r>
      <w:r>
        <w:t>153</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Amendment of security requirements</w:t>
      </w:r>
      <w:r>
        <w:tab/>
      </w:r>
      <w:r>
        <w:fldChar w:fldCharType="begin"/>
      </w:r>
      <w:r>
        <w:instrText xml:space="preserve"> PAGEREF _Toc166675952 \h </w:instrText>
      </w:r>
      <w:r>
        <w:fldChar w:fldCharType="separate"/>
      </w:r>
      <w:r>
        <w:t>153</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Extension of primary payment period</w:t>
      </w:r>
      <w:r>
        <w:tab/>
      </w:r>
      <w:r>
        <w:fldChar w:fldCharType="begin"/>
      </w:r>
      <w:r>
        <w:instrText xml:space="preserve"> PAGEREF _Toc166675953 \h </w:instrText>
      </w:r>
      <w:r>
        <w:fldChar w:fldCharType="separate"/>
      </w:r>
      <w:r>
        <w:t>154</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Acceptance of grant of works licence</w:t>
      </w:r>
      <w:r>
        <w:tab/>
      </w:r>
      <w:r>
        <w:fldChar w:fldCharType="begin"/>
      </w:r>
      <w:r>
        <w:instrText xml:space="preserve"> PAGEREF _Toc166675954 \h </w:instrText>
      </w:r>
      <w:r>
        <w:fldChar w:fldCharType="separate"/>
      </w:r>
      <w:r>
        <w:t>154</w:t>
      </w:r>
      <w:r>
        <w:fldChar w:fldCharType="end"/>
      </w:r>
    </w:p>
    <w:p>
      <w:pPr>
        <w:pStyle w:val="TOC8"/>
        <w:rPr>
          <w:rFonts w:asciiTheme="minorHAnsi" w:eastAsiaTheme="minorEastAsia" w:hAnsiTheme="minorHAnsi" w:cstheme="minorBidi"/>
          <w:szCs w:val="22"/>
        </w:rPr>
      </w:pPr>
      <w:r>
        <w:t>284</w:t>
      </w:r>
      <w:r>
        <w:rPr>
          <w:snapToGrid w:val="0"/>
        </w:rPr>
        <w:t>.</w:t>
      </w:r>
      <w:r>
        <w:rPr>
          <w:snapToGrid w:val="0"/>
        </w:rPr>
        <w:tab/>
        <w:t>Conditions applicable to works licence on grant</w:t>
      </w:r>
      <w:r>
        <w:tab/>
      </w:r>
      <w:r>
        <w:fldChar w:fldCharType="begin"/>
      </w:r>
      <w:r>
        <w:instrText xml:space="preserve"> PAGEREF _Toc166675955 \h </w:instrText>
      </w:r>
      <w:r>
        <w:fldChar w:fldCharType="separate"/>
      </w:r>
      <w:r>
        <w:t>155</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Lapse of provisional grant of works licence</w:t>
      </w:r>
      <w:r>
        <w:tab/>
      </w:r>
      <w:r>
        <w:fldChar w:fldCharType="begin"/>
      </w:r>
      <w:r>
        <w:instrText xml:space="preserve"> PAGEREF _Toc166675956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3 — Duration of works licence</w:t>
      </w:r>
    </w:p>
    <w:p>
      <w:pPr>
        <w:pStyle w:val="TOC8"/>
        <w:rPr>
          <w:rFonts w:asciiTheme="minorHAnsi" w:eastAsiaTheme="minorEastAsia" w:hAnsiTheme="minorHAnsi" w:cstheme="minorBidi"/>
          <w:szCs w:val="22"/>
        </w:rPr>
      </w:pPr>
      <w:r>
        <w:t>286</w:t>
      </w:r>
      <w:r>
        <w:rPr>
          <w:snapToGrid w:val="0"/>
        </w:rPr>
        <w:t>.</w:t>
      </w:r>
      <w:r>
        <w:rPr>
          <w:snapToGrid w:val="0"/>
        </w:rPr>
        <w:tab/>
        <w:t>Initial term of works licence</w:t>
      </w:r>
      <w:r>
        <w:tab/>
      </w:r>
      <w:r>
        <w:fldChar w:fldCharType="begin"/>
      </w:r>
      <w:r>
        <w:instrText xml:space="preserve"> PAGEREF _Toc166675958 \h </w:instrText>
      </w:r>
      <w:r>
        <w:fldChar w:fldCharType="separate"/>
      </w:r>
      <w:r>
        <w:t>155</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Term of renewal of works licence</w:t>
      </w:r>
      <w:r>
        <w:tab/>
      </w:r>
      <w:r>
        <w:fldChar w:fldCharType="begin"/>
      </w:r>
      <w:r>
        <w:instrText xml:space="preserve"> PAGEREF _Toc166675959 \h </w:instrText>
      </w:r>
      <w:r>
        <w:fldChar w:fldCharType="separate"/>
      </w:r>
      <w:r>
        <w:t>156</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Effect of application for renewal on term of works licence</w:t>
      </w:r>
      <w:r>
        <w:tab/>
      </w:r>
      <w:r>
        <w:fldChar w:fldCharType="begin"/>
      </w:r>
      <w:r>
        <w:instrText xml:space="preserve"> PAGEREF _Toc166675960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4 — Application for and grant of renewal of works licence</w:t>
      </w:r>
    </w:p>
    <w:p>
      <w:pPr>
        <w:pStyle w:val="TOC8"/>
        <w:rPr>
          <w:rFonts w:asciiTheme="minorHAnsi" w:eastAsiaTheme="minorEastAsia" w:hAnsiTheme="minorHAnsi" w:cstheme="minorBidi"/>
          <w:szCs w:val="22"/>
        </w:rPr>
      </w:pPr>
      <w:r>
        <w:t>289</w:t>
      </w:r>
      <w:r>
        <w:rPr>
          <w:snapToGrid w:val="0"/>
        </w:rPr>
        <w:t>.</w:t>
      </w:r>
      <w:r>
        <w:rPr>
          <w:snapToGrid w:val="0"/>
        </w:rPr>
        <w:tab/>
        <w:t>Application for renewal of works licence</w:t>
      </w:r>
      <w:r>
        <w:tab/>
      </w:r>
      <w:r>
        <w:fldChar w:fldCharType="begin"/>
      </w:r>
      <w:r>
        <w:instrText xml:space="preserve"> PAGEREF _Toc166675962 \h </w:instrText>
      </w:r>
      <w:r>
        <w:fldChar w:fldCharType="separate"/>
      </w:r>
      <w:r>
        <w:t>157</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When application to be made</w:t>
      </w:r>
      <w:r>
        <w:tab/>
      </w:r>
      <w:r>
        <w:fldChar w:fldCharType="begin"/>
      </w:r>
      <w:r>
        <w:instrText xml:space="preserve"> PAGEREF _Toc166675963 \h </w:instrText>
      </w:r>
      <w:r>
        <w:fldChar w:fldCharType="separate"/>
      </w:r>
      <w:r>
        <w:t>157</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How to apply for renewal</w:t>
      </w:r>
      <w:r>
        <w:tab/>
      </w:r>
      <w:r>
        <w:fldChar w:fldCharType="begin"/>
      </w:r>
      <w:r>
        <w:instrText xml:space="preserve"> PAGEREF _Toc166675964 \h </w:instrText>
      </w:r>
      <w:r>
        <w:fldChar w:fldCharType="separate"/>
      </w:r>
      <w:r>
        <w:t>157</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Payment of fee</w:t>
      </w:r>
      <w:r>
        <w:tab/>
      </w:r>
      <w:r>
        <w:fldChar w:fldCharType="begin"/>
      </w:r>
      <w:r>
        <w:instrText xml:space="preserve"> PAGEREF _Toc166675965 \h </w:instrText>
      </w:r>
      <w:r>
        <w:fldChar w:fldCharType="separate"/>
      </w:r>
      <w:r>
        <w:t>158</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Section number not used</w:t>
      </w:r>
      <w:r>
        <w:tab/>
      </w:r>
      <w:r>
        <w:fldChar w:fldCharType="begin"/>
      </w:r>
      <w:r>
        <w:instrText xml:space="preserve"> PAGEREF _Toc166675966 \h </w:instrText>
      </w:r>
      <w:r>
        <w:fldChar w:fldCharType="separate"/>
      </w:r>
      <w:r>
        <w:t>158</w:t>
      </w:r>
      <w:r>
        <w:fldChar w:fldCharType="end"/>
      </w:r>
    </w:p>
    <w:p>
      <w:pPr>
        <w:pStyle w:val="TOC8"/>
        <w:rPr>
          <w:rFonts w:asciiTheme="minorHAnsi" w:eastAsiaTheme="minorEastAsia" w:hAnsiTheme="minorHAnsi" w:cstheme="minorBidi"/>
          <w:szCs w:val="22"/>
        </w:rPr>
      </w:pPr>
      <w:r>
        <w:lastRenderedPageBreak/>
        <w:t>294</w:t>
      </w:r>
      <w:r>
        <w:rPr>
          <w:snapToGrid w:val="0"/>
        </w:rPr>
        <w:t>.</w:t>
      </w:r>
      <w:r>
        <w:rPr>
          <w:snapToGrid w:val="0"/>
        </w:rPr>
        <w:tab/>
        <w:t>Provisional renewal of works licence</w:t>
      </w:r>
      <w:r>
        <w:tab/>
      </w:r>
      <w:r>
        <w:fldChar w:fldCharType="begin"/>
      </w:r>
      <w:r>
        <w:instrText xml:space="preserve"> PAGEREF _Toc166675967 \h </w:instrText>
      </w:r>
      <w:r>
        <w:fldChar w:fldCharType="separate"/>
      </w:r>
      <w:r>
        <w:t>158</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Section number not used</w:t>
      </w:r>
      <w:r>
        <w:tab/>
      </w:r>
      <w:r>
        <w:fldChar w:fldCharType="begin"/>
      </w:r>
      <w:r>
        <w:instrText xml:space="preserve"> PAGEREF _Toc166675968 \h </w:instrText>
      </w:r>
      <w:r>
        <w:fldChar w:fldCharType="separate"/>
      </w:r>
      <w:r>
        <w:t>159</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Applicant must be notified</w:t>
      </w:r>
      <w:r>
        <w:tab/>
      </w:r>
      <w:r>
        <w:fldChar w:fldCharType="begin"/>
      </w:r>
      <w:r>
        <w:instrText xml:space="preserve"> PAGEREF _Toc166675969 \h </w:instrText>
      </w:r>
      <w:r>
        <w:fldChar w:fldCharType="separate"/>
      </w:r>
      <w:r>
        <w:t>159</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Amendment of conditions</w:t>
      </w:r>
      <w:r>
        <w:tab/>
      </w:r>
      <w:r>
        <w:fldChar w:fldCharType="begin"/>
      </w:r>
      <w:r>
        <w:instrText xml:space="preserve"> PAGEREF _Toc166675970 \h </w:instrText>
      </w:r>
      <w:r>
        <w:fldChar w:fldCharType="separate"/>
      </w:r>
      <w:r>
        <w:t>159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Amendment of security requirements</w:t>
      </w:r>
      <w:r>
        <w:tab/>
      </w:r>
      <w:r>
        <w:fldChar w:fldCharType="begin"/>
      </w:r>
      <w:r>
        <w:instrText xml:space="preserve"> PAGEREF _Toc166675971 \h </w:instrText>
      </w:r>
      <w:r>
        <w:fldChar w:fldCharType="separate"/>
      </w:r>
      <w:r>
        <w:t>160</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Extension of primary payment period</w:t>
      </w:r>
      <w:r>
        <w:tab/>
      </w:r>
      <w:r>
        <w:fldChar w:fldCharType="begin"/>
      </w:r>
      <w:r>
        <w:instrText xml:space="preserve"> PAGEREF _Toc166675972 \h </w:instrText>
      </w:r>
      <w:r>
        <w:fldChar w:fldCharType="separate"/>
      </w:r>
      <w:r>
        <w:t>160</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Acceptance of renewal of works licence</w:t>
      </w:r>
      <w:r>
        <w:tab/>
      </w:r>
      <w:r>
        <w:fldChar w:fldCharType="begin"/>
      </w:r>
      <w:r>
        <w:instrText xml:space="preserve"> PAGEREF _Toc166675973 \h </w:instrText>
      </w:r>
      <w:r>
        <w:fldChar w:fldCharType="separate"/>
      </w:r>
      <w:r>
        <w:t>161</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Conditions applicable to works licence on renewal</w:t>
      </w:r>
      <w:r>
        <w:tab/>
      </w:r>
      <w:r>
        <w:fldChar w:fldCharType="begin"/>
      </w:r>
      <w:r>
        <w:instrText xml:space="preserve"> PAGEREF _Toc166675974 \h </w:instrText>
      </w:r>
      <w:r>
        <w:fldChar w:fldCharType="separate"/>
      </w:r>
      <w:r>
        <w:t>161</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Lapse of provisional renewal of works licence</w:t>
      </w:r>
      <w:r>
        <w:tab/>
      </w:r>
      <w:r>
        <w:fldChar w:fldCharType="begin"/>
      </w:r>
      <w:r>
        <w:instrText xml:space="preserve"> PAGEREF _Toc166675975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5 — Obligations associated with works licence</w:t>
      </w:r>
    </w:p>
    <w:p>
      <w:pPr>
        <w:pStyle w:val="TOC8"/>
        <w:rPr>
          <w:rFonts w:asciiTheme="minorHAnsi" w:eastAsiaTheme="minorEastAsia" w:hAnsiTheme="minorHAnsi" w:cstheme="minorBidi"/>
          <w:szCs w:val="22"/>
        </w:rPr>
      </w:pPr>
      <w:r>
        <w:t>303</w:t>
      </w:r>
      <w:r>
        <w:rPr>
          <w:snapToGrid w:val="0"/>
        </w:rPr>
        <w:t>.</w:t>
      </w:r>
      <w:r>
        <w:rPr>
          <w:snapToGrid w:val="0"/>
        </w:rPr>
        <w:tab/>
        <w:t>General</w:t>
      </w:r>
      <w:r>
        <w:tab/>
      </w:r>
      <w:r>
        <w:fldChar w:fldCharType="begin"/>
      </w:r>
      <w:r>
        <w:instrText xml:space="preserve"> PAGEREF _Toc166675977 \h </w:instrText>
      </w:r>
      <w:r>
        <w:fldChar w:fldCharType="separate"/>
      </w:r>
      <w:r>
        <w:t>162</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Conditions of works licence</w:t>
      </w:r>
      <w:r>
        <w:tab/>
      </w:r>
      <w:r>
        <w:fldChar w:fldCharType="begin"/>
      </w:r>
      <w:r>
        <w:instrText xml:space="preserve"> PAGEREF _Toc166675978 \h </w:instrText>
      </w:r>
      <w:r>
        <w:fldChar w:fldCharType="separate"/>
      </w:r>
      <w:r>
        <w:t>162</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No conditions requiring payment of money</w:t>
      </w:r>
      <w:r>
        <w:tab/>
      </w:r>
      <w:r>
        <w:fldChar w:fldCharType="begin"/>
      </w:r>
      <w:r>
        <w:instrText xml:space="preserve"> PAGEREF _Toc166675979 \h </w:instrText>
      </w:r>
      <w:r>
        <w:fldChar w:fldCharType="separate"/>
      </w:r>
      <w:r>
        <w:t>164</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Variation of conditions</w:t>
      </w:r>
      <w:r>
        <w:tab/>
      </w:r>
      <w:r>
        <w:fldChar w:fldCharType="begin"/>
      </w:r>
      <w:r>
        <w:instrText xml:space="preserve"> PAGEREF _Toc166675980 \h </w:instrText>
      </w:r>
      <w:r>
        <w:fldChar w:fldCharType="separate"/>
      </w:r>
      <w:r>
        <w:t>164</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t>Exemption from or suspension of conditions</w:t>
      </w:r>
      <w:r>
        <w:tab/>
      </w:r>
      <w:r>
        <w:fldChar w:fldCharType="begin"/>
      </w:r>
      <w:r>
        <w:instrText xml:space="preserve"> PAGEREF _Toc166675981 \h </w:instrText>
      </w:r>
      <w:r>
        <w:fldChar w:fldCharType="separate"/>
      </w:r>
      <w:r>
        <w:t>164</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Work practices</w:t>
      </w:r>
      <w:r>
        <w:tab/>
      </w:r>
      <w:r>
        <w:fldChar w:fldCharType="begin"/>
      </w:r>
      <w:r>
        <w:instrText xml:space="preserve"> PAGEREF _Toc166675982 \h </w:instrText>
      </w:r>
      <w:r>
        <w:fldChar w:fldCharType="separate"/>
      </w:r>
      <w:r>
        <w:t>166</w:t>
      </w:r>
      <w:r>
        <w:fldChar w:fldCharType="end"/>
      </w:r>
    </w:p>
    <w:p>
      <w:pPr>
        <w:pStyle w:val="TOC8"/>
        <w:rPr>
          <w:rFonts w:asciiTheme="minorHAnsi" w:eastAsiaTheme="minorEastAsia" w:hAnsiTheme="minorHAnsi" w:cstheme="minorBidi"/>
          <w:szCs w:val="22"/>
        </w:rPr>
      </w:pPr>
      <w:r>
        <w:t>309</w:t>
      </w:r>
      <w:r>
        <w:rPr>
          <w:snapToGrid w:val="0"/>
        </w:rPr>
        <w:t>.</w:t>
      </w:r>
      <w:r>
        <w:rPr>
          <w:snapToGrid w:val="0"/>
        </w:rPr>
        <w:tab/>
        <w:t>Licence holder must keep specified records etc.</w:t>
      </w:r>
      <w:r>
        <w:tab/>
      </w:r>
      <w:r>
        <w:fldChar w:fldCharType="begin"/>
      </w:r>
      <w:r>
        <w:instrText xml:space="preserve"> PAGEREF _Toc166675983 \h </w:instrText>
      </w:r>
      <w:r>
        <w:fldChar w:fldCharType="separate"/>
      </w:r>
      <w:r>
        <w:t>166</w:t>
      </w:r>
      <w:r>
        <w:fldChar w:fldCharType="end"/>
      </w:r>
    </w:p>
    <w:p>
      <w:pPr>
        <w:pStyle w:val="TOC8"/>
        <w:rPr>
          <w:rFonts w:asciiTheme="minorHAnsi" w:eastAsiaTheme="minorEastAsia" w:hAnsiTheme="minorHAnsi" w:cstheme="minorBidi"/>
          <w:szCs w:val="22"/>
        </w:rPr>
      </w:pPr>
      <w:r>
        <w:t>310</w:t>
      </w:r>
      <w:r>
        <w:rPr>
          <w:snapToGrid w:val="0"/>
        </w:rPr>
        <w:t>.</w:t>
      </w:r>
      <w:r>
        <w:rPr>
          <w:snapToGrid w:val="0"/>
        </w:rPr>
        <w:tab/>
        <w:t>Licence holder must assist inspectors</w:t>
      </w:r>
      <w:r>
        <w:tab/>
      </w:r>
      <w:r>
        <w:fldChar w:fldCharType="begin"/>
      </w:r>
      <w:r>
        <w:instrText xml:space="preserve"> PAGEREF _Toc166675984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6 — Expiry of works licence</w:t>
      </w:r>
    </w:p>
    <w:p>
      <w:pPr>
        <w:pStyle w:val="TOC8"/>
        <w:rPr>
          <w:rFonts w:asciiTheme="minorHAnsi" w:eastAsiaTheme="minorEastAsia" w:hAnsiTheme="minorHAnsi" w:cstheme="minorBidi"/>
          <w:szCs w:val="22"/>
        </w:rPr>
      </w:pPr>
      <w:r>
        <w:t>311</w:t>
      </w:r>
      <w:r>
        <w:rPr>
          <w:snapToGrid w:val="0"/>
        </w:rPr>
        <w:t>.</w:t>
      </w:r>
      <w:r>
        <w:rPr>
          <w:snapToGrid w:val="0"/>
        </w:rPr>
        <w:tab/>
        <w:t>General</w:t>
      </w:r>
      <w:r>
        <w:tab/>
      </w:r>
      <w:r>
        <w:fldChar w:fldCharType="begin"/>
      </w:r>
      <w:r>
        <w:instrText xml:space="preserve"> PAGEREF _Toc166675986 \h </w:instrText>
      </w:r>
      <w:r>
        <w:fldChar w:fldCharType="separate"/>
      </w:r>
      <w:r>
        <w:t>167</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Voluntary surrender of works licence</w:t>
      </w:r>
      <w:r>
        <w:tab/>
      </w:r>
      <w:r>
        <w:fldChar w:fldCharType="begin"/>
      </w:r>
      <w:r>
        <w:instrText xml:space="preserve"> PAGEREF _Toc166675987 \h </w:instrText>
      </w:r>
      <w:r>
        <w:fldChar w:fldCharType="separate"/>
      </w:r>
      <w:r>
        <w:t>167</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Cancellation of works licence</w:t>
      </w:r>
      <w:r>
        <w:tab/>
      </w:r>
      <w:r>
        <w:fldChar w:fldCharType="begin"/>
      </w:r>
      <w:r>
        <w:instrText xml:space="preserve"> PAGEREF _Toc166675988 \h </w:instrText>
      </w:r>
      <w:r>
        <w:fldChar w:fldCharType="separate"/>
      </w:r>
      <w:r>
        <w:t>168</w:t>
      </w:r>
      <w:r>
        <w:fldChar w:fldCharType="end"/>
      </w:r>
    </w:p>
    <w:p>
      <w:pPr>
        <w:pStyle w:val="TOC8"/>
        <w:rPr>
          <w:rFonts w:asciiTheme="minorHAnsi" w:eastAsiaTheme="minorEastAsia" w:hAnsiTheme="minorHAnsi" w:cstheme="minorBidi"/>
          <w:szCs w:val="22"/>
        </w:rPr>
      </w:pPr>
      <w:r>
        <w:t>314</w:t>
      </w:r>
      <w:r>
        <w:rPr>
          <w:snapToGrid w:val="0"/>
        </w:rPr>
        <w:t>.</w:t>
      </w:r>
      <w:r>
        <w:rPr>
          <w:snapToGrid w:val="0"/>
        </w:rPr>
        <w:tab/>
        <w:t>Obligations of former works licence holders and former associates</w:t>
      </w:r>
      <w:r>
        <w:tab/>
      </w:r>
      <w:r>
        <w:fldChar w:fldCharType="begin"/>
      </w:r>
      <w:r>
        <w:instrText xml:space="preserve"> PAGEREF _Toc166675989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Part 2.6</w:t>
      </w:r>
      <w:r>
        <w:rPr>
          <w:snapToGrid w:val="0"/>
        </w:rPr>
        <w:t xml:space="preserve"> — </w:t>
      </w:r>
      <w:r>
        <w:t>Special purpose consents</w:t>
      </w:r>
    </w:p>
    <w:p>
      <w:pPr>
        <w:pStyle w:val="TOC8"/>
        <w:rPr>
          <w:rFonts w:asciiTheme="minorHAnsi" w:eastAsiaTheme="minorEastAsia" w:hAnsiTheme="minorHAnsi" w:cstheme="minorBidi"/>
          <w:szCs w:val="22"/>
        </w:rPr>
      </w:pPr>
      <w:r>
        <w:t>315</w:t>
      </w:r>
      <w:r>
        <w:rPr>
          <w:snapToGrid w:val="0"/>
        </w:rPr>
        <w:t>.</w:t>
      </w:r>
      <w:r>
        <w:rPr>
          <w:snapToGrid w:val="0"/>
        </w:rPr>
        <w:tab/>
        <w:t>Special purpose consents</w:t>
      </w:r>
      <w:r>
        <w:tab/>
      </w:r>
      <w:r>
        <w:fldChar w:fldCharType="begin"/>
      </w:r>
      <w:r>
        <w:instrText xml:space="preserve"> PAGEREF _Toc166675991 \h </w:instrText>
      </w:r>
      <w:r>
        <w:fldChar w:fldCharType="separate"/>
      </w:r>
      <w:r>
        <w:t>171</w:t>
      </w:r>
      <w:r>
        <w:fldChar w:fldCharType="end"/>
      </w:r>
    </w:p>
    <w:p>
      <w:pPr>
        <w:pStyle w:val="TOC8"/>
        <w:rPr>
          <w:rFonts w:asciiTheme="minorHAnsi" w:eastAsiaTheme="minorEastAsia" w:hAnsiTheme="minorHAnsi" w:cstheme="minorBidi"/>
          <w:szCs w:val="22"/>
        </w:rPr>
      </w:pPr>
      <w:r>
        <w:t>316</w:t>
      </w:r>
      <w:r>
        <w:rPr>
          <w:snapToGrid w:val="0"/>
        </w:rPr>
        <w:t>.</w:t>
      </w:r>
      <w:r>
        <w:rPr>
          <w:snapToGrid w:val="0"/>
        </w:rPr>
        <w:tab/>
        <w:t>Activities authorised by a special purpose consent</w:t>
      </w:r>
      <w:r>
        <w:tab/>
      </w:r>
      <w:r>
        <w:fldChar w:fldCharType="begin"/>
      </w:r>
      <w:r>
        <w:instrText xml:space="preserve"> PAGEREF _Toc166675992 \h </w:instrText>
      </w:r>
      <w:r>
        <w:fldChar w:fldCharType="separate"/>
      </w:r>
      <w:r>
        <w:t>171</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Application for a consent</w:t>
      </w:r>
      <w:r>
        <w:tab/>
      </w:r>
      <w:r>
        <w:fldChar w:fldCharType="begin"/>
      </w:r>
      <w:r>
        <w:instrText xml:space="preserve"> PAGEREF _Toc166675993 \h </w:instrText>
      </w:r>
      <w:r>
        <w:fldChar w:fldCharType="separate"/>
      </w:r>
      <w:r>
        <w:t>172</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How to apply</w:t>
      </w:r>
      <w:r>
        <w:tab/>
      </w:r>
      <w:r>
        <w:fldChar w:fldCharType="begin"/>
      </w:r>
      <w:r>
        <w:instrText xml:space="preserve"> PAGEREF _Toc166675994 \h </w:instrText>
      </w:r>
      <w:r>
        <w:fldChar w:fldCharType="separate"/>
      </w:r>
      <w:r>
        <w:t>172</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Payment of fee</w:t>
      </w:r>
      <w:r>
        <w:tab/>
      </w:r>
      <w:r>
        <w:fldChar w:fldCharType="begin"/>
      </w:r>
      <w:r>
        <w:instrText xml:space="preserve"> PAGEREF _Toc166675995 \h </w:instrText>
      </w:r>
      <w:r>
        <w:fldChar w:fldCharType="separate"/>
      </w:r>
      <w:r>
        <w:t>172</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Applicant must obtain agreement of exploration, retention and mining licence holders affected by the application</w:t>
      </w:r>
      <w:r>
        <w:tab/>
      </w:r>
      <w:r>
        <w:fldChar w:fldCharType="begin"/>
      </w:r>
      <w:r>
        <w:instrText xml:space="preserve"> PAGEREF _Toc166675996 \h </w:instrText>
      </w:r>
      <w:r>
        <w:fldChar w:fldCharType="separate"/>
      </w:r>
      <w:r>
        <w:t>173</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Applicant to notify works licence holders affected by the application</w:t>
      </w:r>
      <w:r>
        <w:tab/>
      </w:r>
      <w:r>
        <w:fldChar w:fldCharType="begin"/>
      </w:r>
      <w:r>
        <w:instrText xml:space="preserve"> PAGEREF _Toc166675997 \h </w:instrText>
      </w:r>
      <w:r>
        <w:fldChar w:fldCharType="separate"/>
      </w:r>
      <w:r>
        <w:t>173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Section number not used</w:t>
      </w:r>
      <w:r>
        <w:tab/>
      </w:r>
      <w:r>
        <w:fldChar w:fldCharType="begin"/>
      </w:r>
      <w:r>
        <w:instrText xml:space="preserve"> PAGEREF _Toc166675998 \h </w:instrText>
      </w:r>
      <w:r>
        <w:fldChar w:fldCharType="separate"/>
      </w:r>
      <w:r>
        <w:t>174</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Minister may grant special purpose consent</w:t>
      </w:r>
      <w:r>
        <w:tab/>
      </w:r>
      <w:r>
        <w:fldChar w:fldCharType="begin"/>
      </w:r>
      <w:r>
        <w:instrText xml:space="preserve"> PAGEREF _Toc166675999 \h </w:instrText>
      </w:r>
      <w:r>
        <w:fldChar w:fldCharType="separate"/>
      </w:r>
      <w:r>
        <w:t>174</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Section number not used</w:t>
      </w:r>
      <w:r>
        <w:tab/>
      </w:r>
      <w:r>
        <w:fldChar w:fldCharType="begin"/>
      </w:r>
      <w:r>
        <w:instrText xml:space="preserve"> PAGEREF _Toc166676000 \h </w:instrText>
      </w:r>
      <w:r>
        <w:fldChar w:fldCharType="separate"/>
      </w:r>
      <w:r>
        <w:t>174</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Matters to be specified in the consent</w:t>
      </w:r>
      <w:r>
        <w:tab/>
      </w:r>
      <w:r>
        <w:fldChar w:fldCharType="begin"/>
      </w:r>
      <w:r>
        <w:instrText xml:space="preserve"> PAGEREF _Toc166676001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326</w:t>
      </w:r>
      <w:r>
        <w:rPr>
          <w:snapToGrid w:val="0"/>
        </w:rPr>
        <w:t>.</w:t>
      </w:r>
      <w:r>
        <w:rPr>
          <w:snapToGrid w:val="0"/>
        </w:rPr>
        <w:tab/>
        <w:t>Duration of consent</w:t>
      </w:r>
      <w:r>
        <w:tab/>
      </w:r>
      <w:r>
        <w:fldChar w:fldCharType="begin"/>
      </w:r>
      <w:r>
        <w:instrText xml:space="preserve"> PAGEREF _Toc166676002 \h </w:instrText>
      </w:r>
      <w:r>
        <w:fldChar w:fldCharType="separate"/>
      </w:r>
      <w:r>
        <w:t>175</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Conditions of consent</w:t>
      </w:r>
      <w:r>
        <w:tab/>
      </w:r>
      <w:r>
        <w:fldChar w:fldCharType="begin"/>
      </w:r>
      <w:r>
        <w:instrText xml:space="preserve"> PAGEREF _Toc166676003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Chapter 3 — Registration and Dealings</w:t>
      </w:r>
    </w:p>
    <w:p>
      <w:pPr>
        <w:pStyle w:val="TOC4"/>
        <w:tabs>
          <w:tab w:val="right" w:leader="dot" w:pos="7077"/>
        </w:tabs>
        <w:rPr>
          <w:rFonts w:asciiTheme="minorHAnsi" w:eastAsiaTheme="minorEastAsia" w:hAnsiTheme="minorHAnsi" w:cstheme="minorBidi"/>
          <w:b w:val="0"/>
          <w:szCs w:val="22"/>
        </w:rPr>
      </w:pPr>
      <w:r>
        <w:t>Part 3.1 — Registration</w:t>
      </w:r>
    </w:p>
    <w:p>
      <w:pPr>
        <w:pStyle w:val="TOC6"/>
        <w:tabs>
          <w:tab w:val="right" w:leader="dot" w:pos="7077"/>
        </w:tabs>
        <w:rPr>
          <w:rFonts w:asciiTheme="minorHAnsi" w:eastAsiaTheme="minorEastAsia" w:hAnsiTheme="minorHAnsi" w:cstheme="minorBidi"/>
          <w:b w:val="0"/>
          <w:sz w:val="22"/>
          <w:szCs w:val="22"/>
        </w:rPr>
      </w:pPr>
      <w:r>
        <w:rPr>
          <w:b w:val="0"/>
        </w:rPr>
        <w:t>Division 1 — Preliminary</w:t>
      </w:r>
    </w:p>
    <w:p>
      <w:pPr>
        <w:pStyle w:val="TOC8"/>
        <w:rPr>
          <w:rFonts w:asciiTheme="minorHAnsi" w:eastAsiaTheme="minorEastAsia" w:hAnsiTheme="minorHAnsi" w:cstheme="minorBidi"/>
          <w:szCs w:val="22"/>
        </w:rPr>
      </w:pPr>
      <w:r>
        <w:t>328</w:t>
      </w:r>
      <w:r>
        <w:rPr>
          <w:snapToGrid w:val="0"/>
        </w:rPr>
        <w:t>.</w:t>
      </w:r>
      <w:r>
        <w:rPr>
          <w:snapToGrid w:val="0"/>
        </w:rPr>
        <w:tab/>
        <w:t>Register to be kept</w:t>
      </w:r>
      <w:r>
        <w:tab/>
      </w:r>
      <w:r>
        <w:fldChar w:fldCharType="begin"/>
      </w:r>
      <w:r>
        <w:instrText xml:space="preserve"> PAGEREF _Toc166676007 \h </w:instrText>
      </w:r>
      <w:r>
        <w:fldChar w:fldCharType="separate"/>
      </w:r>
      <w:r>
        <w:t>176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Document files to be kept</w:t>
      </w:r>
      <w:r>
        <w:tab/>
      </w:r>
      <w:r>
        <w:fldChar w:fldCharType="begin"/>
      </w:r>
      <w:r>
        <w:instrText xml:space="preserve"> PAGEREF _Toc166676008 \h </w:instrText>
      </w:r>
      <w:r>
        <w:fldChar w:fldCharType="separate"/>
      </w:r>
      <w:r>
        <w:t>176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Form of register and document file</w:t>
      </w:r>
      <w:r>
        <w:tab/>
      </w:r>
      <w:r>
        <w:fldChar w:fldCharType="begin"/>
      </w:r>
      <w:r>
        <w:instrText xml:space="preserve"> PAGEREF _Toc166676009 \h </w:instrText>
      </w:r>
      <w:r>
        <w:fldChar w:fldCharType="separate"/>
      </w:r>
      <w:r>
        <w:t>177</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Correction of errors in the register</w:t>
      </w:r>
      <w:r>
        <w:tab/>
      </w:r>
      <w:r>
        <w:fldChar w:fldCharType="begin"/>
      </w:r>
      <w:r>
        <w:instrText xml:space="preserve"> PAGEREF _Toc166676010 \h </w:instrText>
      </w:r>
      <w:r>
        <w:fldChar w:fldCharType="separate"/>
      </w:r>
      <w:r>
        <w:t>177</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Inspection of register and documents</w:t>
      </w:r>
      <w:r>
        <w:tab/>
      </w:r>
      <w:r>
        <w:fldChar w:fldCharType="begin"/>
      </w:r>
      <w:r>
        <w:instrText xml:space="preserve"> PAGEREF _Toc166676011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2 — Matters to be entered in register</w:t>
      </w:r>
    </w:p>
    <w:p>
      <w:pPr>
        <w:pStyle w:val="TOC6"/>
        <w:tabs>
          <w:tab w:val="right" w:leader="dot" w:pos="7077"/>
        </w:tabs>
        <w:rPr>
          <w:rFonts w:asciiTheme="minorHAnsi" w:eastAsiaTheme="minorEastAsia" w:hAnsiTheme="minorHAnsi" w:cstheme="minorBidi"/>
          <w:b w:val="0"/>
          <w:sz w:val="22"/>
          <w:szCs w:val="22"/>
        </w:rPr>
      </w:pPr>
      <w:r>
        <w:rPr>
          <w:snapToGrid w:val="0"/>
        </w:rPr>
        <w:t>Subdivision A — Licences</w:t>
      </w:r>
    </w:p>
    <w:p>
      <w:pPr>
        <w:pStyle w:val="TOC8"/>
        <w:rPr>
          <w:rFonts w:asciiTheme="minorHAnsi" w:eastAsiaTheme="minorEastAsia" w:hAnsiTheme="minorHAnsi" w:cstheme="minorBidi"/>
          <w:szCs w:val="22"/>
        </w:rPr>
      </w:pPr>
      <w:r>
        <w:t>333</w:t>
      </w:r>
      <w:r>
        <w:rPr>
          <w:snapToGrid w:val="0"/>
        </w:rPr>
        <w:t>.</w:t>
      </w:r>
      <w:r>
        <w:rPr>
          <w:snapToGrid w:val="0"/>
        </w:rPr>
        <w:tab/>
        <w:t>Licences</w:t>
      </w:r>
      <w:r>
        <w:tab/>
      </w:r>
      <w:r>
        <w:fldChar w:fldCharType="begin"/>
      </w:r>
      <w:r>
        <w:instrText xml:space="preserve"> PAGEREF _Toc166676014 \h </w:instrText>
      </w:r>
      <w:r>
        <w:fldChar w:fldCharType="separate"/>
      </w:r>
      <w:r>
        <w:t>179</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Renewal of licences</w:t>
      </w:r>
      <w:r>
        <w:tab/>
      </w:r>
      <w:r>
        <w:fldChar w:fldCharType="begin"/>
      </w:r>
      <w:r>
        <w:instrText xml:space="preserve"> PAGEREF _Toc166676015 \h </w:instrText>
      </w:r>
      <w:r>
        <w:fldChar w:fldCharType="separate"/>
      </w:r>
      <w:r>
        <w:t>180</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Extension of exploration licences</w:t>
      </w:r>
      <w:r>
        <w:tab/>
      </w:r>
      <w:r>
        <w:fldChar w:fldCharType="begin"/>
      </w:r>
      <w:r>
        <w:instrText xml:space="preserve"> PAGEREF _Toc166676016 \h </w:instrText>
      </w:r>
      <w:r>
        <w:fldChar w:fldCharType="separate"/>
      </w:r>
      <w:r>
        <w:t>180</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Expiry of licences</w:t>
      </w:r>
      <w:r>
        <w:tab/>
      </w:r>
      <w:r>
        <w:fldChar w:fldCharType="begin"/>
      </w:r>
      <w:r>
        <w:instrText xml:space="preserve"> PAGEREF _Toc166676017 \h </w:instrText>
      </w:r>
      <w:r>
        <w:fldChar w:fldCharType="separate"/>
      </w:r>
      <w:r>
        <w:t>181</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Variations etc. to licences</w:t>
      </w:r>
      <w:r>
        <w:tab/>
      </w:r>
      <w:r>
        <w:fldChar w:fldCharType="begin"/>
      </w:r>
      <w:r>
        <w:instrText xml:space="preserve"> PAGEREF _Toc166676018 \h </w:instrText>
      </w:r>
      <w:r>
        <w:fldChar w:fldCharType="separate"/>
      </w:r>
      <w:r>
        <w:t>181</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Transfer of licences</w:t>
      </w:r>
      <w:r>
        <w:tab/>
      </w:r>
      <w:r>
        <w:fldChar w:fldCharType="begin"/>
      </w:r>
      <w:r>
        <w:instrText xml:space="preserve"> PAGEREF _Toc166676019 \h </w:instrText>
      </w:r>
      <w:r>
        <w:fldChar w:fldCharType="separate"/>
      </w:r>
      <w:r>
        <w:t>183</w:t>
      </w:r>
      <w:r>
        <w:fldChar w:fldCharType="end"/>
      </w:r>
    </w:p>
    <w:p>
      <w:pPr>
        <w:pStyle w:val="TOC8"/>
        <w:rPr>
          <w:rFonts w:asciiTheme="minorHAnsi" w:eastAsiaTheme="minorEastAsia" w:hAnsiTheme="minorHAnsi" w:cstheme="minorBidi"/>
          <w:szCs w:val="22"/>
        </w:rPr>
      </w:pPr>
      <w:r>
        <w:t>339</w:t>
      </w:r>
      <w:r>
        <w:rPr>
          <w:snapToGrid w:val="0"/>
        </w:rPr>
        <w:t>.</w:t>
      </w:r>
      <w:r>
        <w:rPr>
          <w:snapToGrid w:val="0"/>
        </w:rPr>
        <w:tab/>
        <w:t>Other dealings in licences</w:t>
      </w:r>
      <w:r>
        <w:tab/>
      </w:r>
      <w:r>
        <w:fldChar w:fldCharType="begin"/>
      </w:r>
      <w:r>
        <w:instrText xml:space="preserve"> PAGEREF _Toc166676020 \h </w:instrText>
      </w:r>
      <w:r>
        <w:fldChar w:fldCharType="separate"/>
      </w:r>
      <w:r>
        <w:t>184</w:t>
      </w:r>
      <w:r>
        <w:fldChar w:fldCharType="end"/>
      </w:r>
    </w:p>
    <w:p>
      <w:pPr>
        <w:pStyle w:val="TOC8"/>
        <w:rPr>
          <w:rFonts w:asciiTheme="minorHAnsi" w:eastAsiaTheme="minorEastAsia" w:hAnsiTheme="minorHAnsi" w:cstheme="minorBidi"/>
          <w:szCs w:val="22"/>
        </w:rPr>
      </w:pPr>
      <w:r>
        <w:t>340</w:t>
      </w:r>
      <w:r>
        <w:rPr>
          <w:snapToGrid w:val="0"/>
        </w:rPr>
        <w:t>.</w:t>
      </w:r>
      <w:r>
        <w:rPr>
          <w:snapToGrid w:val="0"/>
        </w:rPr>
        <w:tab/>
        <w:t>Devolution of licences</w:t>
      </w:r>
      <w:r>
        <w:tab/>
      </w:r>
      <w:r>
        <w:fldChar w:fldCharType="begin"/>
      </w:r>
      <w:r>
        <w:instrText xml:space="preserve"> PAGEREF _Toc166676021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Caveats</w:t>
      </w:r>
    </w:p>
    <w:p>
      <w:pPr>
        <w:pStyle w:val="TOC8"/>
        <w:rPr>
          <w:rFonts w:asciiTheme="minorHAnsi" w:eastAsiaTheme="minorEastAsia" w:hAnsiTheme="minorHAnsi" w:cstheme="minorBidi"/>
          <w:szCs w:val="22"/>
        </w:rPr>
      </w:pPr>
      <w:r>
        <w:t>341</w:t>
      </w:r>
      <w:r>
        <w:rPr>
          <w:snapToGrid w:val="0"/>
        </w:rPr>
        <w:t>.</w:t>
      </w:r>
      <w:r>
        <w:rPr>
          <w:snapToGrid w:val="0"/>
        </w:rPr>
        <w:tab/>
        <w:t>Effect of a caveat</w:t>
      </w:r>
      <w:r>
        <w:tab/>
      </w:r>
      <w:r>
        <w:fldChar w:fldCharType="begin"/>
      </w:r>
      <w:r>
        <w:instrText xml:space="preserve"> PAGEREF _Toc166676023 \h </w:instrText>
      </w:r>
      <w:r>
        <w:fldChar w:fldCharType="separate"/>
      </w:r>
      <w:r>
        <w:t>186</w:t>
      </w:r>
      <w:r>
        <w:fldChar w:fldCharType="end"/>
      </w:r>
    </w:p>
    <w:p>
      <w:pPr>
        <w:pStyle w:val="TOC8"/>
        <w:rPr>
          <w:rFonts w:asciiTheme="minorHAnsi" w:eastAsiaTheme="minorEastAsia" w:hAnsiTheme="minorHAnsi" w:cstheme="minorBidi"/>
          <w:szCs w:val="22"/>
        </w:rPr>
      </w:pPr>
      <w:r>
        <w:t>342</w:t>
      </w:r>
      <w:r>
        <w:rPr>
          <w:snapToGrid w:val="0"/>
        </w:rPr>
        <w:t>.</w:t>
      </w:r>
      <w:r>
        <w:rPr>
          <w:snapToGrid w:val="0"/>
        </w:rPr>
        <w:tab/>
        <w:t>Lodgment of caveats</w:t>
      </w:r>
      <w:r>
        <w:tab/>
      </w:r>
      <w:r>
        <w:fldChar w:fldCharType="begin"/>
      </w:r>
      <w:r>
        <w:instrText xml:space="preserve"> PAGEREF _Toc166676024 \h </w:instrText>
      </w:r>
      <w:r>
        <w:fldChar w:fldCharType="separate"/>
      </w:r>
      <w:r>
        <w:t>187</w:t>
      </w:r>
      <w:r>
        <w:fldChar w:fldCharType="end"/>
      </w:r>
    </w:p>
    <w:p>
      <w:pPr>
        <w:pStyle w:val="TOC8"/>
        <w:rPr>
          <w:rFonts w:asciiTheme="minorHAnsi" w:eastAsiaTheme="minorEastAsia" w:hAnsiTheme="minorHAnsi" w:cstheme="minorBidi"/>
          <w:szCs w:val="22"/>
        </w:rPr>
      </w:pPr>
      <w:r>
        <w:t>343</w:t>
      </w:r>
      <w:r>
        <w:rPr>
          <w:snapToGrid w:val="0"/>
        </w:rPr>
        <w:t>.</w:t>
      </w:r>
      <w:r>
        <w:rPr>
          <w:snapToGrid w:val="0"/>
        </w:rPr>
        <w:tab/>
        <w:t>Form of caveat</w:t>
      </w:r>
      <w:r>
        <w:tab/>
      </w:r>
      <w:r>
        <w:fldChar w:fldCharType="begin"/>
      </w:r>
      <w:r>
        <w:instrText xml:space="preserve"> PAGEREF _Toc166676025 \h </w:instrText>
      </w:r>
      <w:r>
        <w:fldChar w:fldCharType="separate"/>
      </w:r>
      <w:r>
        <w:t>187</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Payment of fee</w:t>
      </w:r>
      <w:r>
        <w:tab/>
      </w:r>
      <w:r>
        <w:fldChar w:fldCharType="begin"/>
      </w:r>
      <w:r>
        <w:instrText xml:space="preserve"> PAGEREF _Toc166676026 \h </w:instrText>
      </w:r>
      <w:r>
        <w:fldChar w:fldCharType="separate"/>
      </w:r>
      <w:r>
        <w:t>187</w:t>
      </w:r>
      <w:r>
        <w:fldChar w:fldCharType="end"/>
      </w:r>
    </w:p>
    <w:p>
      <w:pPr>
        <w:pStyle w:val="TOC8"/>
        <w:rPr>
          <w:rFonts w:asciiTheme="minorHAnsi" w:eastAsiaTheme="minorEastAsia" w:hAnsiTheme="minorHAnsi" w:cstheme="minorBidi"/>
          <w:szCs w:val="22"/>
        </w:rPr>
      </w:pPr>
      <w:r>
        <w:t>345</w:t>
      </w:r>
      <w:r>
        <w:rPr>
          <w:snapToGrid w:val="0"/>
        </w:rPr>
        <w:t>.</w:t>
      </w:r>
      <w:r>
        <w:rPr>
          <w:snapToGrid w:val="0"/>
        </w:rPr>
        <w:tab/>
        <w:t>Caveat to be registered</w:t>
      </w:r>
      <w:r>
        <w:tab/>
      </w:r>
      <w:r>
        <w:fldChar w:fldCharType="begin"/>
      </w:r>
      <w:r>
        <w:instrText xml:space="preserve"> PAGEREF _Toc166676027 \h </w:instrText>
      </w:r>
      <w:r>
        <w:fldChar w:fldCharType="separate"/>
      </w:r>
      <w:r>
        <w:t>187</w:t>
      </w:r>
      <w:r>
        <w:fldChar w:fldCharType="end"/>
      </w:r>
    </w:p>
    <w:p>
      <w:pPr>
        <w:pStyle w:val="TOC8"/>
        <w:rPr>
          <w:rFonts w:asciiTheme="minorHAnsi" w:eastAsiaTheme="minorEastAsia" w:hAnsiTheme="minorHAnsi" w:cstheme="minorBidi"/>
          <w:szCs w:val="22"/>
        </w:rPr>
      </w:pPr>
      <w:r>
        <w:t>346</w:t>
      </w:r>
      <w:r>
        <w:rPr>
          <w:snapToGrid w:val="0"/>
        </w:rPr>
        <w:t>.</w:t>
      </w:r>
      <w:r>
        <w:rPr>
          <w:snapToGrid w:val="0"/>
        </w:rPr>
        <w:tab/>
        <w:t>Withdrawal of caveat</w:t>
      </w:r>
      <w:r>
        <w:tab/>
      </w:r>
      <w:r>
        <w:fldChar w:fldCharType="begin"/>
      </w:r>
      <w:r>
        <w:instrText xml:space="preserve"> PAGEREF _Toc166676028 \h </w:instrText>
      </w:r>
      <w:r>
        <w:fldChar w:fldCharType="separate"/>
      </w:r>
      <w:r>
        <w:t>188</w:t>
      </w:r>
      <w:r>
        <w:fldChar w:fldCharType="end"/>
      </w:r>
    </w:p>
    <w:p>
      <w:pPr>
        <w:pStyle w:val="TOC8"/>
        <w:rPr>
          <w:rFonts w:asciiTheme="minorHAnsi" w:eastAsiaTheme="minorEastAsia" w:hAnsiTheme="minorHAnsi" w:cstheme="minorBidi"/>
          <w:szCs w:val="22"/>
        </w:rPr>
      </w:pPr>
      <w:r>
        <w:t>347</w:t>
      </w:r>
      <w:r>
        <w:rPr>
          <w:snapToGrid w:val="0"/>
        </w:rPr>
        <w:t>.</w:t>
      </w:r>
      <w:r>
        <w:rPr>
          <w:snapToGrid w:val="0"/>
        </w:rPr>
        <w:tab/>
        <w:t>Form of withdrawal</w:t>
      </w:r>
      <w:r>
        <w:tab/>
      </w:r>
      <w:r>
        <w:fldChar w:fldCharType="begin"/>
      </w:r>
      <w:r>
        <w:instrText xml:space="preserve"> PAGEREF _Toc166676029 \h </w:instrText>
      </w:r>
      <w:r>
        <w:fldChar w:fldCharType="separate"/>
      </w:r>
      <w:r>
        <w:t>188</w:t>
      </w:r>
      <w:r>
        <w:fldChar w:fldCharType="end"/>
      </w:r>
    </w:p>
    <w:p>
      <w:pPr>
        <w:pStyle w:val="TOC8"/>
        <w:rPr>
          <w:rFonts w:asciiTheme="minorHAnsi" w:eastAsiaTheme="minorEastAsia" w:hAnsiTheme="minorHAnsi" w:cstheme="minorBidi"/>
          <w:szCs w:val="22"/>
        </w:rPr>
      </w:pPr>
      <w:r>
        <w:t>348</w:t>
      </w:r>
      <w:r>
        <w:rPr>
          <w:snapToGrid w:val="0"/>
        </w:rPr>
        <w:t>.</w:t>
      </w:r>
      <w:r>
        <w:rPr>
          <w:snapToGrid w:val="0"/>
        </w:rPr>
        <w:tab/>
        <w:t>Duration of caveat</w:t>
      </w:r>
      <w:r>
        <w:tab/>
      </w:r>
      <w:r>
        <w:fldChar w:fldCharType="begin"/>
      </w:r>
      <w:r>
        <w:instrText xml:space="preserve"> PAGEREF _Toc166676030 \h </w:instrText>
      </w:r>
      <w:r>
        <w:fldChar w:fldCharType="separate"/>
      </w:r>
      <w:r>
        <w:t>188</w:t>
      </w:r>
      <w:r>
        <w:fldChar w:fldCharType="end"/>
      </w:r>
    </w:p>
    <w:p>
      <w:pPr>
        <w:pStyle w:val="TOC8"/>
        <w:rPr>
          <w:rFonts w:asciiTheme="minorHAnsi" w:eastAsiaTheme="minorEastAsia" w:hAnsiTheme="minorHAnsi" w:cstheme="minorBidi"/>
          <w:szCs w:val="22"/>
        </w:rPr>
      </w:pPr>
      <w:r>
        <w:t>349</w:t>
      </w:r>
      <w:r>
        <w:rPr>
          <w:snapToGrid w:val="0"/>
        </w:rPr>
        <w:t>.</w:t>
      </w:r>
      <w:r>
        <w:rPr>
          <w:snapToGrid w:val="0"/>
        </w:rPr>
        <w:tab/>
        <w:t>Notice to caveat holder</w:t>
      </w:r>
      <w:r>
        <w:tab/>
      </w:r>
      <w:r>
        <w:fldChar w:fldCharType="begin"/>
      </w:r>
      <w:r>
        <w:instrText xml:space="preserve"> PAGEREF _Toc166676031 \h </w:instrText>
      </w:r>
      <w:r>
        <w:fldChar w:fldCharType="separate"/>
      </w:r>
      <w:r>
        <w:t>189</w:t>
      </w:r>
      <w:r>
        <w:fldChar w:fldCharType="end"/>
      </w:r>
    </w:p>
    <w:p>
      <w:pPr>
        <w:pStyle w:val="TOC8"/>
        <w:rPr>
          <w:rFonts w:asciiTheme="minorHAnsi" w:eastAsiaTheme="minorEastAsia" w:hAnsiTheme="minorHAnsi" w:cstheme="minorBidi"/>
          <w:szCs w:val="22"/>
        </w:rPr>
      </w:pPr>
      <w:r>
        <w:t>350</w:t>
      </w:r>
      <w:r>
        <w:rPr>
          <w:snapToGrid w:val="0"/>
        </w:rPr>
        <w:t>.</w:t>
      </w:r>
      <w:r>
        <w:rPr>
          <w:snapToGrid w:val="0"/>
        </w:rPr>
        <w:tab/>
        <w:t>Caveat holder may consent to registration</w:t>
      </w:r>
      <w:r>
        <w:tab/>
      </w:r>
      <w:r>
        <w:fldChar w:fldCharType="begin"/>
      </w:r>
      <w:r>
        <w:instrText xml:space="preserve"> PAGEREF _Toc166676032 \h </w:instrText>
      </w:r>
      <w:r>
        <w:fldChar w:fldCharType="separate"/>
      </w:r>
      <w:r>
        <w:t>191</w:t>
      </w:r>
      <w:r>
        <w:fldChar w:fldCharType="end"/>
      </w:r>
    </w:p>
    <w:p>
      <w:pPr>
        <w:pStyle w:val="TOC8"/>
        <w:rPr>
          <w:rFonts w:asciiTheme="minorHAnsi" w:eastAsiaTheme="minorEastAsia" w:hAnsiTheme="minorHAnsi" w:cstheme="minorBidi"/>
          <w:szCs w:val="22"/>
        </w:rPr>
      </w:pPr>
      <w:r>
        <w:t>351</w:t>
      </w:r>
      <w:r>
        <w:rPr>
          <w:snapToGrid w:val="0"/>
        </w:rPr>
        <w:t>.</w:t>
      </w:r>
      <w:r>
        <w:rPr>
          <w:snapToGrid w:val="0"/>
        </w:rPr>
        <w:tab/>
        <w:t>Orders that can be made by a court in relation to caveats</w:t>
      </w:r>
      <w:r>
        <w:tab/>
      </w:r>
      <w:r>
        <w:fldChar w:fldCharType="begin"/>
      </w:r>
      <w:r>
        <w:instrText xml:space="preserve"> PAGEREF _Toc166676033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3 — Miscellaneous</w:t>
      </w:r>
    </w:p>
    <w:p>
      <w:pPr>
        <w:pStyle w:val="TOC8"/>
        <w:rPr>
          <w:rFonts w:asciiTheme="minorHAnsi" w:eastAsiaTheme="minorEastAsia" w:hAnsiTheme="minorHAnsi" w:cstheme="minorBidi"/>
          <w:szCs w:val="22"/>
        </w:rPr>
      </w:pPr>
      <w:r>
        <w:t>352</w:t>
      </w:r>
      <w:r>
        <w:rPr>
          <w:snapToGrid w:val="0"/>
        </w:rPr>
        <w:t>.</w:t>
      </w:r>
      <w:r>
        <w:rPr>
          <w:snapToGrid w:val="0"/>
        </w:rPr>
        <w:tab/>
        <w:t>Fees for registration</w:t>
      </w:r>
      <w:r>
        <w:tab/>
      </w:r>
      <w:r>
        <w:fldChar w:fldCharType="begin"/>
      </w:r>
      <w:r>
        <w:instrText xml:space="preserve"> PAGEREF _Toc166676035 \h </w:instrText>
      </w:r>
      <w:r>
        <w:fldChar w:fldCharType="separate"/>
      </w:r>
      <w:r>
        <w:t>192</w:t>
      </w:r>
      <w:r>
        <w:fldChar w:fldCharType="end"/>
      </w:r>
    </w:p>
    <w:p>
      <w:pPr>
        <w:pStyle w:val="TOC8"/>
        <w:rPr>
          <w:rFonts w:asciiTheme="minorHAnsi" w:eastAsiaTheme="minorEastAsia" w:hAnsiTheme="minorHAnsi" w:cstheme="minorBidi"/>
          <w:szCs w:val="22"/>
        </w:rPr>
      </w:pPr>
      <w:r>
        <w:t>352A.</w:t>
      </w:r>
      <w:r>
        <w:tab/>
        <w:t>Exemption from duty</w:t>
      </w:r>
      <w:r>
        <w:tab/>
      </w:r>
      <w:r>
        <w:fldChar w:fldCharType="begin"/>
      </w:r>
      <w:r>
        <w:instrText xml:space="preserve"> PAGEREF _Toc166676036 \h </w:instrText>
      </w:r>
      <w:r>
        <w:fldChar w:fldCharType="separate"/>
      </w:r>
      <w:r>
        <w:t>193</w:t>
      </w:r>
      <w:r>
        <w:fldChar w:fldCharType="end"/>
      </w:r>
    </w:p>
    <w:p>
      <w:pPr>
        <w:pStyle w:val="TOC8"/>
        <w:rPr>
          <w:rFonts w:asciiTheme="minorHAnsi" w:eastAsiaTheme="minorEastAsia" w:hAnsiTheme="minorHAnsi" w:cstheme="minorBidi"/>
          <w:szCs w:val="22"/>
        </w:rPr>
      </w:pPr>
      <w:r>
        <w:t>353</w:t>
      </w:r>
      <w:r>
        <w:rPr>
          <w:snapToGrid w:val="0"/>
        </w:rPr>
        <w:t>.</w:t>
      </w:r>
      <w:r>
        <w:rPr>
          <w:snapToGrid w:val="0"/>
        </w:rPr>
        <w:tab/>
        <w:t>Protection from legal actions</w:t>
      </w:r>
      <w:r>
        <w:tab/>
      </w:r>
      <w:r>
        <w:fldChar w:fldCharType="begin"/>
      </w:r>
      <w:r>
        <w:instrText xml:space="preserve"> PAGEREF _Toc166676037 \h </w:instrText>
      </w:r>
      <w:r>
        <w:fldChar w:fldCharType="separate"/>
      </w:r>
      <w:r>
        <w:t>193</w:t>
      </w:r>
      <w:r>
        <w:fldChar w:fldCharType="end"/>
      </w:r>
    </w:p>
    <w:p>
      <w:pPr>
        <w:pStyle w:val="TOC8"/>
        <w:rPr>
          <w:rFonts w:asciiTheme="minorHAnsi" w:eastAsiaTheme="minorEastAsia" w:hAnsiTheme="minorHAnsi" w:cstheme="minorBidi"/>
          <w:szCs w:val="22"/>
        </w:rPr>
      </w:pPr>
      <w:r>
        <w:lastRenderedPageBreak/>
        <w:t>354</w:t>
      </w:r>
      <w:r>
        <w:rPr>
          <w:snapToGrid w:val="0"/>
        </w:rPr>
        <w:t>.</w:t>
      </w:r>
      <w:r>
        <w:rPr>
          <w:snapToGrid w:val="0"/>
        </w:rPr>
        <w:tab/>
        <w:t>Application to court for correction of register</w:t>
      </w:r>
      <w:r>
        <w:tab/>
      </w:r>
      <w:r>
        <w:fldChar w:fldCharType="begin"/>
      </w:r>
      <w:r>
        <w:instrText xml:space="preserve"> PAGEREF _Toc166676038 \h </w:instrText>
      </w:r>
      <w:r>
        <w:fldChar w:fldCharType="separate"/>
      </w:r>
      <w:r>
        <w:t>194</w:t>
      </w:r>
      <w:r>
        <w:fldChar w:fldCharType="end"/>
      </w:r>
    </w:p>
    <w:p>
      <w:pPr>
        <w:pStyle w:val="TOC8"/>
        <w:rPr>
          <w:rFonts w:asciiTheme="minorHAnsi" w:eastAsiaTheme="minorEastAsia" w:hAnsiTheme="minorHAnsi" w:cstheme="minorBidi"/>
          <w:szCs w:val="22"/>
        </w:rPr>
      </w:pPr>
      <w:r>
        <w:t>355</w:t>
      </w:r>
      <w:r>
        <w:rPr>
          <w:snapToGrid w:val="0"/>
        </w:rPr>
        <w:t>.</w:t>
      </w:r>
      <w:r>
        <w:rPr>
          <w:snapToGrid w:val="0"/>
        </w:rPr>
        <w:tab/>
        <w:t>Appeals against determinations under section 352</w:t>
      </w:r>
      <w:r>
        <w:tab/>
      </w:r>
      <w:r>
        <w:fldChar w:fldCharType="begin"/>
      </w:r>
      <w:r>
        <w:instrText xml:space="preserve"> PAGEREF _Toc166676039 \h </w:instrText>
      </w:r>
      <w:r>
        <w:fldChar w:fldCharType="separate"/>
      </w:r>
      <w:r>
        <w:t>194</w:t>
      </w:r>
      <w:r>
        <w:fldChar w:fldCharType="end"/>
      </w:r>
    </w:p>
    <w:p>
      <w:pPr>
        <w:pStyle w:val="TOC8"/>
        <w:rPr>
          <w:rFonts w:asciiTheme="minorHAnsi" w:eastAsiaTheme="minorEastAsia" w:hAnsiTheme="minorHAnsi" w:cstheme="minorBidi"/>
          <w:szCs w:val="22"/>
        </w:rPr>
      </w:pPr>
      <w:r>
        <w:t>356</w:t>
      </w:r>
      <w:r>
        <w:rPr>
          <w:snapToGrid w:val="0"/>
        </w:rPr>
        <w:t>.</w:t>
      </w:r>
      <w:r>
        <w:rPr>
          <w:snapToGrid w:val="0"/>
        </w:rPr>
        <w:tab/>
        <w:t>Section number not used</w:t>
      </w:r>
      <w:r>
        <w:tab/>
      </w:r>
      <w:r>
        <w:fldChar w:fldCharType="begin"/>
      </w:r>
      <w:r>
        <w:instrText xml:space="preserve"> PAGEREF _Toc166676040 \h </w:instrText>
      </w:r>
      <w:r>
        <w:fldChar w:fldCharType="separate"/>
      </w:r>
      <w:r>
        <w:t>195</w:t>
      </w:r>
      <w:r>
        <w:fldChar w:fldCharType="end"/>
      </w:r>
    </w:p>
    <w:p>
      <w:pPr>
        <w:pStyle w:val="TOC8"/>
        <w:rPr>
          <w:rFonts w:asciiTheme="minorHAnsi" w:eastAsiaTheme="minorEastAsia" w:hAnsiTheme="minorHAnsi" w:cstheme="minorBidi"/>
          <w:szCs w:val="22"/>
        </w:rPr>
      </w:pPr>
      <w:r>
        <w:t>357</w:t>
      </w:r>
      <w:r>
        <w:rPr>
          <w:snapToGrid w:val="0"/>
        </w:rPr>
        <w:t>.</w:t>
      </w:r>
      <w:r>
        <w:rPr>
          <w:snapToGrid w:val="0"/>
        </w:rPr>
        <w:tab/>
        <w:t>Evidentiary value of register</w:t>
      </w:r>
      <w:r>
        <w:tab/>
      </w:r>
      <w:r>
        <w:fldChar w:fldCharType="begin"/>
      </w:r>
      <w:r>
        <w:instrText xml:space="preserve"> PAGEREF _Toc166676041 \h </w:instrText>
      </w:r>
      <w:r>
        <w:fldChar w:fldCharType="separate"/>
      </w:r>
      <w:r>
        <w:t>195</w:t>
      </w:r>
      <w:r>
        <w:fldChar w:fldCharType="end"/>
      </w:r>
    </w:p>
    <w:p>
      <w:pPr>
        <w:pStyle w:val="TOC8"/>
        <w:rPr>
          <w:rFonts w:asciiTheme="minorHAnsi" w:eastAsiaTheme="minorEastAsia" w:hAnsiTheme="minorHAnsi" w:cstheme="minorBidi"/>
          <w:szCs w:val="22"/>
        </w:rPr>
      </w:pPr>
      <w:r>
        <w:t>358</w:t>
      </w:r>
      <w:r>
        <w:rPr>
          <w:snapToGrid w:val="0"/>
        </w:rPr>
        <w:t>.</w:t>
      </w:r>
      <w:r>
        <w:rPr>
          <w:snapToGrid w:val="0"/>
        </w:rPr>
        <w:tab/>
        <w:t>Certified copy of document on document file</w:t>
      </w:r>
      <w:r>
        <w:tab/>
      </w:r>
      <w:r>
        <w:fldChar w:fldCharType="begin"/>
      </w:r>
      <w:r>
        <w:instrText xml:space="preserve"> PAGEREF _Toc166676042 \h </w:instrText>
      </w:r>
      <w:r>
        <w:fldChar w:fldCharType="separate"/>
      </w:r>
      <w:r>
        <w:t>195</w:t>
      </w:r>
      <w:r>
        <w:fldChar w:fldCharType="end"/>
      </w:r>
    </w:p>
    <w:p>
      <w:pPr>
        <w:pStyle w:val="TOC8"/>
        <w:rPr>
          <w:rFonts w:asciiTheme="minorHAnsi" w:eastAsiaTheme="minorEastAsia" w:hAnsiTheme="minorHAnsi" w:cstheme="minorBidi"/>
          <w:szCs w:val="22"/>
        </w:rPr>
      </w:pPr>
      <w:r>
        <w:t>359</w:t>
      </w:r>
      <w:r>
        <w:rPr>
          <w:snapToGrid w:val="0"/>
        </w:rPr>
        <w:t>.</w:t>
      </w:r>
      <w:r>
        <w:rPr>
          <w:snapToGrid w:val="0"/>
        </w:rPr>
        <w:tab/>
        <w:t>Certification of registration action</w:t>
      </w:r>
      <w:r>
        <w:tab/>
      </w:r>
      <w:r>
        <w:fldChar w:fldCharType="begin"/>
      </w:r>
      <w:r>
        <w:instrText xml:space="preserve"> PAGEREF _Toc166676043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Part 3.2 — Dealings in licences</w:t>
      </w:r>
    </w:p>
    <w:p>
      <w:pPr>
        <w:pStyle w:val="TOC6"/>
        <w:tabs>
          <w:tab w:val="right" w:leader="dot" w:pos="7077"/>
        </w:tabs>
        <w:rPr>
          <w:rFonts w:asciiTheme="minorHAnsi" w:eastAsiaTheme="minorEastAsia" w:hAnsiTheme="minorHAnsi" w:cstheme="minorBidi"/>
          <w:b w:val="0"/>
          <w:sz w:val="22"/>
          <w:szCs w:val="22"/>
        </w:rPr>
      </w:pPr>
      <w:r>
        <w:rPr>
          <w:b w:val="0"/>
        </w:rPr>
        <w:t>Division 1 — Dealings in licences to be in writing and registered</w:t>
      </w:r>
    </w:p>
    <w:p>
      <w:pPr>
        <w:pStyle w:val="TOC8"/>
        <w:rPr>
          <w:rFonts w:asciiTheme="minorHAnsi" w:eastAsiaTheme="minorEastAsia" w:hAnsiTheme="minorHAnsi" w:cstheme="minorBidi"/>
          <w:szCs w:val="22"/>
        </w:rPr>
      </w:pPr>
      <w:r>
        <w:t>360</w:t>
      </w:r>
      <w:r>
        <w:rPr>
          <w:snapToGrid w:val="0"/>
        </w:rPr>
        <w:t>.</w:t>
      </w:r>
      <w:r>
        <w:rPr>
          <w:snapToGrid w:val="0"/>
        </w:rPr>
        <w:tab/>
        <w:t>Dealings in licences to be in writing</w:t>
      </w:r>
      <w:r>
        <w:tab/>
      </w:r>
      <w:r>
        <w:fldChar w:fldCharType="begin"/>
      </w:r>
      <w:r>
        <w:instrText xml:space="preserve"> PAGEREF _Toc166676046 \h </w:instrText>
      </w:r>
      <w:r>
        <w:fldChar w:fldCharType="separate"/>
      </w:r>
      <w:r>
        <w:t>197</w:t>
      </w:r>
      <w:r>
        <w:fldChar w:fldCharType="end"/>
      </w:r>
    </w:p>
    <w:p>
      <w:pPr>
        <w:pStyle w:val="TOC8"/>
        <w:rPr>
          <w:rFonts w:asciiTheme="minorHAnsi" w:eastAsiaTheme="minorEastAsia" w:hAnsiTheme="minorHAnsi" w:cstheme="minorBidi"/>
          <w:szCs w:val="22"/>
        </w:rPr>
      </w:pPr>
      <w:r>
        <w:t>361</w:t>
      </w:r>
      <w:r>
        <w:rPr>
          <w:snapToGrid w:val="0"/>
        </w:rPr>
        <w:t>.</w:t>
      </w:r>
      <w:r>
        <w:rPr>
          <w:snapToGrid w:val="0"/>
        </w:rPr>
        <w:tab/>
        <w:t>Dealings in interests in licences not effective until registered</w:t>
      </w:r>
      <w:r>
        <w:tab/>
      </w:r>
      <w:r>
        <w:fldChar w:fldCharType="begin"/>
      </w:r>
      <w:r>
        <w:instrText xml:space="preserve"> PAGEREF _Toc166676047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2 — Approval of transfer of licences</w:t>
      </w:r>
    </w:p>
    <w:p>
      <w:pPr>
        <w:pStyle w:val="TOC8"/>
        <w:rPr>
          <w:rFonts w:asciiTheme="minorHAnsi" w:eastAsiaTheme="minorEastAsia" w:hAnsiTheme="minorHAnsi" w:cstheme="minorBidi"/>
          <w:szCs w:val="22"/>
        </w:rPr>
      </w:pPr>
      <w:r>
        <w:t>362</w:t>
      </w:r>
      <w:r>
        <w:rPr>
          <w:snapToGrid w:val="0"/>
        </w:rPr>
        <w:t>.</w:t>
      </w:r>
      <w:r>
        <w:rPr>
          <w:snapToGrid w:val="0"/>
        </w:rPr>
        <w:tab/>
        <w:t>Transfers require approval by Minister</w:t>
      </w:r>
      <w:r>
        <w:tab/>
      </w:r>
      <w:r>
        <w:fldChar w:fldCharType="begin"/>
      </w:r>
      <w:r>
        <w:instrText xml:space="preserve"> PAGEREF _Toc166676049 \h </w:instrText>
      </w:r>
      <w:r>
        <w:fldChar w:fldCharType="separate"/>
      </w:r>
      <w:r>
        <w:t>197</w:t>
      </w:r>
      <w:r>
        <w:fldChar w:fldCharType="end"/>
      </w:r>
    </w:p>
    <w:p>
      <w:pPr>
        <w:pStyle w:val="TOC8"/>
        <w:rPr>
          <w:rFonts w:asciiTheme="minorHAnsi" w:eastAsiaTheme="minorEastAsia" w:hAnsiTheme="minorHAnsi" w:cstheme="minorBidi"/>
          <w:szCs w:val="22"/>
        </w:rPr>
      </w:pPr>
      <w:r>
        <w:t>363</w:t>
      </w:r>
      <w:r>
        <w:rPr>
          <w:snapToGrid w:val="0"/>
        </w:rPr>
        <w:t>.</w:t>
      </w:r>
      <w:r>
        <w:rPr>
          <w:snapToGrid w:val="0"/>
        </w:rPr>
        <w:tab/>
        <w:t>Application for approval of transfer</w:t>
      </w:r>
      <w:r>
        <w:tab/>
      </w:r>
      <w:r>
        <w:fldChar w:fldCharType="begin"/>
      </w:r>
      <w:r>
        <w:instrText xml:space="preserve"> PAGEREF _Toc166676050 \h </w:instrText>
      </w:r>
      <w:r>
        <w:fldChar w:fldCharType="separate"/>
      </w:r>
      <w:r>
        <w:t>198</w:t>
      </w:r>
      <w:r>
        <w:fldChar w:fldCharType="end"/>
      </w:r>
    </w:p>
    <w:p>
      <w:pPr>
        <w:pStyle w:val="TOC8"/>
        <w:rPr>
          <w:rFonts w:asciiTheme="minorHAnsi" w:eastAsiaTheme="minorEastAsia" w:hAnsiTheme="minorHAnsi" w:cstheme="minorBidi"/>
          <w:szCs w:val="22"/>
        </w:rPr>
      </w:pPr>
      <w:r>
        <w:t>364</w:t>
      </w:r>
      <w:r>
        <w:rPr>
          <w:snapToGrid w:val="0"/>
        </w:rPr>
        <w:t>.</w:t>
      </w:r>
      <w:r>
        <w:rPr>
          <w:snapToGrid w:val="0"/>
        </w:rPr>
        <w:tab/>
        <w:t>Minister may ask for further information</w:t>
      </w:r>
      <w:r>
        <w:tab/>
      </w:r>
      <w:r>
        <w:fldChar w:fldCharType="begin"/>
      </w:r>
      <w:r>
        <w:instrText xml:space="preserve"> PAGEREF _Toc166676051 \h </w:instrText>
      </w:r>
      <w:r>
        <w:fldChar w:fldCharType="separate"/>
      </w:r>
      <w:r>
        <w:t>199</w:t>
      </w:r>
      <w:r>
        <w:fldChar w:fldCharType="end"/>
      </w:r>
    </w:p>
    <w:p>
      <w:pPr>
        <w:pStyle w:val="TOC8"/>
        <w:rPr>
          <w:rFonts w:asciiTheme="minorHAnsi" w:eastAsiaTheme="minorEastAsia" w:hAnsiTheme="minorHAnsi" w:cstheme="minorBidi"/>
          <w:szCs w:val="22"/>
        </w:rPr>
      </w:pPr>
      <w:r>
        <w:t>365</w:t>
      </w:r>
      <w:r>
        <w:rPr>
          <w:snapToGrid w:val="0"/>
        </w:rPr>
        <w:t>.</w:t>
      </w:r>
      <w:r>
        <w:rPr>
          <w:snapToGrid w:val="0"/>
        </w:rPr>
        <w:tab/>
        <w:t>Minister’s response to application for approval</w:t>
      </w:r>
      <w:r>
        <w:tab/>
      </w:r>
      <w:r>
        <w:fldChar w:fldCharType="begin"/>
      </w:r>
      <w:r>
        <w:instrText xml:space="preserve"> PAGEREF _Toc166676052 \h </w:instrText>
      </w:r>
      <w:r>
        <w:fldChar w:fldCharType="separate"/>
      </w:r>
      <w:r>
        <w:t>199</w:t>
      </w:r>
      <w:r>
        <w:fldChar w:fldCharType="end"/>
      </w:r>
    </w:p>
    <w:p>
      <w:pPr>
        <w:pStyle w:val="TOC8"/>
        <w:rPr>
          <w:rFonts w:asciiTheme="minorHAnsi" w:eastAsiaTheme="minorEastAsia" w:hAnsiTheme="minorHAnsi" w:cstheme="minorBidi"/>
          <w:szCs w:val="22"/>
        </w:rPr>
      </w:pPr>
      <w:r>
        <w:t>366</w:t>
      </w:r>
      <w:r>
        <w:rPr>
          <w:snapToGrid w:val="0"/>
        </w:rPr>
        <w:t>.</w:t>
      </w:r>
      <w:r>
        <w:rPr>
          <w:snapToGrid w:val="0"/>
        </w:rPr>
        <w:tab/>
        <w:t>Protection from legal actions</w:t>
      </w:r>
      <w:r>
        <w:tab/>
      </w:r>
      <w:r>
        <w:fldChar w:fldCharType="begin"/>
      </w:r>
      <w:r>
        <w:instrText xml:space="preserve"> PAGEREF _Toc166676053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Chapter 4 — Administration</w:t>
      </w:r>
    </w:p>
    <w:p>
      <w:pPr>
        <w:pStyle w:val="TOC4"/>
        <w:tabs>
          <w:tab w:val="right" w:leader="dot" w:pos="7077"/>
        </w:tabs>
        <w:rPr>
          <w:rFonts w:asciiTheme="minorHAnsi" w:eastAsiaTheme="minorEastAsia" w:hAnsiTheme="minorHAnsi" w:cstheme="minorBidi"/>
          <w:b w:val="0"/>
          <w:szCs w:val="22"/>
        </w:rPr>
      </w:pPr>
      <w:r>
        <w:t>Part 4.1 — Information management</w:t>
      </w:r>
    </w:p>
    <w:p>
      <w:pPr>
        <w:pStyle w:val="TOC8"/>
        <w:rPr>
          <w:rFonts w:asciiTheme="minorHAnsi" w:eastAsiaTheme="minorEastAsia" w:hAnsiTheme="minorHAnsi" w:cstheme="minorBidi"/>
          <w:szCs w:val="22"/>
        </w:rPr>
      </w:pPr>
      <w:r>
        <w:t>367</w:t>
      </w:r>
      <w:r>
        <w:rPr>
          <w:snapToGrid w:val="0"/>
        </w:rPr>
        <w:t>.</w:t>
      </w:r>
      <w:r>
        <w:rPr>
          <w:snapToGrid w:val="0"/>
        </w:rPr>
        <w:tab/>
        <w:t>Minister may ask person for information</w:t>
      </w:r>
      <w:r>
        <w:tab/>
      </w:r>
      <w:r>
        <w:fldChar w:fldCharType="begin"/>
      </w:r>
      <w:r>
        <w:instrText xml:space="preserve"> PAGEREF _Toc166676056 \h </w:instrText>
      </w:r>
      <w:r>
        <w:fldChar w:fldCharType="separate"/>
      </w:r>
      <w:r>
        <w:t>201</w:t>
      </w:r>
      <w:r>
        <w:fldChar w:fldCharType="end"/>
      </w:r>
    </w:p>
    <w:p>
      <w:pPr>
        <w:pStyle w:val="TOC8"/>
        <w:rPr>
          <w:rFonts w:asciiTheme="minorHAnsi" w:eastAsiaTheme="minorEastAsia" w:hAnsiTheme="minorHAnsi" w:cstheme="minorBidi"/>
          <w:szCs w:val="22"/>
        </w:rPr>
      </w:pPr>
      <w:r>
        <w:t>368</w:t>
      </w:r>
      <w:r>
        <w:rPr>
          <w:snapToGrid w:val="0"/>
        </w:rPr>
        <w:t>.</w:t>
      </w:r>
      <w:r>
        <w:rPr>
          <w:snapToGrid w:val="0"/>
        </w:rPr>
        <w:tab/>
        <w:t>Power to ask person to appear</w:t>
      </w:r>
      <w:r>
        <w:tab/>
      </w:r>
      <w:r>
        <w:fldChar w:fldCharType="begin"/>
      </w:r>
      <w:r>
        <w:instrText xml:space="preserve"> PAGEREF _Toc166676057 \h </w:instrText>
      </w:r>
      <w:r>
        <w:fldChar w:fldCharType="separate"/>
      </w:r>
      <w:r>
        <w:t>202</w:t>
      </w:r>
      <w:r>
        <w:fldChar w:fldCharType="end"/>
      </w:r>
    </w:p>
    <w:p>
      <w:pPr>
        <w:pStyle w:val="TOC8"/>
        <w:rPr>
          <w:rFonts w:asciiTheme="minorHAnsi" w:eastAsiaTheme="minorEastAsia" w:hAnsiTheme="minorHAnsi" w:cstheme="minorBidi"/>
          <w:szCs w:val="22"/>
        </w:rPr>
      </w:pPr>
      <w:r>
        <w:t>369</w:t>
      </w:r>
      <w:r>
        <w:rPr>
          <w:snapToGrid w:val="0"/>
        </w:rPr>
        <w:t>.</w:t>
      </w:r>
      <w:r>
        <w:rPr>
          <w:snapToGrid w:val="0"/>
        </w:rPr>
        <w:tab/>
        <w:t>Power to examine on oath or affirmation</w:t>
      </w:r>
      <w:r>
        <w:tab/>
      </w:r>
      <w:r>
        <w:fldChar w:fldCharType="begin"/>
      </w:r>
      <w:r>
        <w:instrText xml:space="preserve"> PAGEREF _Toc166676058 \h </w:instrText>
      </w:r>
      <w:r>
        <w:fldChar w:fldCharType="separate"/>
      </w:r>
      <w:r>
        <w:t>202</w:t>
      </w:r>
      <w:r>
        <w:fldChar w:fldCharType="end"/>
      </w:r>
    </w:p>
    <w:p>
      <w:pPr>
        <w:pStyle w:val="TOC8"/>
        <w:rPr>
          <w:rFonts w:asciiTheme="minorHAnsi" w:eastAsiaTheme="minorEastAsia" w:hAnsiTheme="minorHAnsi" w:cstheme="minorBidi"/>
          <w:szCs w:val="22"/>
        </w:rPr>
      </w:pPr>
      <w:r>
        <w:t>370</w:t>
      </w:r>
      <w:r>
        <w:rPr>
          <w:snapToGrid w:val="0"/>
        </w:rPr>
        <w:t>.</w:t>
      </w:r>
      <w:r>
        <w:rPr>
          <w:snapToGrid w:val="0"/>
        </w:rPr>
        <w:tab/>
        <w:t>Minister may ask for documents</w:t>
      </w:r>
      <w:r>
        <w:tab/>
      </w:r>
      <w:r>
        <w:fldChar w:fldCharType="begin"/>
      </w:r>
      <w:r>
        <w:instrText xml:space="preserve"> PAGEREF _Toc166676059 \h </w:instrText>
      </w:r>
      <w:r>
        <w:fldChar w:fldCharType="separate"/>
      </w:r>
      <w:r>
        <w:t>203</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Minister may ask for samples</w:t>
      </w:r>
      <w:r>
        <w:tab/>
      </w:r>
      <w:r>
        <w:fldChar w:fldCharType="begin"/>
      </w:r>
      <w:r>
        <w:instrText xml:space="preserve"> PAGEREF _Toc166676060 \h </w:instrText>
      </w:r>
      <w:r>
        <w:fldChar w:fldCharType="separate"/>
      </w:r>
      <w:r>
        <w:t>204</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Obligation to comply with request under section 367, 368, 369, 370 or 371</w:t>
      </w:r>
      <w:r>
        <w:tab/>
      </w:r>
      <w:r>
        <w:fldChar w:fldCharType="begin"/>
      </w:r>
      <w:r>
        <w:instrText xml:space="preserve"> PAGEREF _Toc166676061 \h </w:instrText>
      </w:r>
      <w:r>
        <w:fldChar w:fldCharType="separate"/>
      </w:r>
      <w:r>
        <w:t>204</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Immunity from use of information etc. given in response to request under section 367, 368, 369, 370 or 371</w:t>
      </w:r>
      <w:r>
        <w:tab/>
      </w:r>
      <w:r>
        <w:fldChar w:fldCharType="begin"/>
      </w:r>
      <w:r>
        <w:instrText xml:space="preserve"> PAGEREF _Toc166676062 \h </w:instrText>
      </w:r>
      <w:r>
        <w:fldChar w:fldCharType="separate"/>
      </w:r>
      <w:r>
        <w:t>205</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Restrictions on release of confidential material</w:t>
      </w:r>
      <w:r>
        <w:tab/>
      </w:r>
      <w:r>
        <w:fldChar w:fldCharType="begin"/>
      </w:r>
      <w:r>
        <w:instrText xml:space="preserve"> PAGEREF _Toc166676063 \h </w:instrText>
      </w:r>
      <w:r>
        <w:fldChar w:fldCharType="separate"/>
      </w:r>
      <w:r>
        <w:t>206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Circumstances in which confidential material may be released</w:t>
      </w:r>
      <w:r>
        <w:tab/>
      </w:r>
      <w:r>
        <w:fldChar w:fldCharType="begin"/>
      </w:r>
      <w:r>
        <w:instrText xml:space="preserve"> PAGEREF _Toc166676064 \h </w:instrText>
      </w:r>
      <w:r>
        <w:fldChar w:fldCharType="separate"/>
      </w:r>
      <w:r>
        <w:t>207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Certain reports to be made available</w:t>
      </w:r>
      <w:r>
        <w:tab/>
      </w:r>
      <w:r>
        <w:fldChar w:fldCharType="begin"/>
      </w:r>
      <w:r>
        <w:instrText xml:space="preserve"> PAGEREF _Toc166676065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Part 4.2</w:t>
      </w:r>
      <w:r>
        <w:rPr>
          <w:snapToGrid w:val="0"/>
        </w:rPr>
        <w:t xml:space="preserve"> — </w:t>
      </w:r>
      <w:r>
        <w:t>Monitoring and enforcement</w:t>
      </w:r>
    </w:p>
    <w:p>
      <w:pPr>
        <w:pStyle w:val="TOC6"/>
        <w:tabs>
          <w:tab w:val="right" w:leader="dot" w:pos="7077"/>
        </w:tabs>
        <w:rPr>
          <w:rFonts w:asciiTheme="minorHAnsi" w:eastAsiaTheme="minorEastAsia" w:hAnsiTheme="minorHAnsi" w:cstheme="minorBidi"/>
          <w:b w:val="0"/>
          <w:sz w:val="22"/>
          <w:szCs w:val="22"/>
        </w:rPr>
      </w:pPr>
      <w:r>
        <w:rPr>
          <w:b w:val="0"/>
        </w:rPr>
        <w:t>Division 1 — Inspections</w:t>
      </w:r>
    </w:p>
    <w:p>
      <w:pPr>
        <w:pStyle w:val="TOC8"/>
        <w:rPr>
          <w:rFonts w:asciiTheme="minorHAnsi" w:eastAsiaTheme="minorEastAsia" w:hAnsiTheme="minorHAnsi" w:cstheme="minorBidi"/>
          <w:szCs w:val="22"/>
        </w:rPr>
      </w:pPr>
      <w:r>
        <w:t>377</w:t>
      </w:r>
      <w:r>
        <w:rPr>
          <w:snapToGrid w:val="0"/>
        </w:rPr>
        <w:t>.</w:t>
      </w:r>
      <w:r>
        <w:rPr>
          <w:snapToGrid w:val="0"/>
        </w:rPr>
        <w:tab/>
        <w:t>Compliance inspections</w:t>
      </w:r>
      <w:r>
        <w:tab/>
      </w:r>
      <w:r>
        <w:fldChar w:fldCharType="begin"/>
      </w:r>
      <w:r>
        <w:instrText xml:space="preserve"> PAGEREF _Toc166676068 \h </w:instrText>
      </w:r>
      <w:r>
        <w:fldChar w:fldCharType="separate"/>
      </w:r>
      <w:r>
        <w:t>209</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Powers exercisable in course of inspection</w:t>
      </w:r>
      <w:r>
        <w:tab/>
      </w:r>
      <w:r>
        <w:fldChar w:fldCharType="begin"/>
      </w:r>
      <w:r>
        <w:instrText xml:space="preserve"> PAGEREF _Toc166676069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379</w:t>
      </w:r>
      <w:r>
        <w:rPr>
          <w:snapToGrid w:val="0"/>
        </w:rPr>
        <w:t>.</w:t>
      </w:r>
      <w:r>
        <w:rPr>
          <w:snapToGrid w:val="0"/>
        </w:rPr>
        <w:tab/>
        <w:t>Inspection of licence</w:t>
      </w:r>
      <w:r>
        <w:rPr>
          <w:snapToGrid w:val="0"/>
        </w:rPr>
        <w:noBreakHyphen/>
        <w:t>related premises etc. without warrant</w:t>
      </w:r>
      <w:r>
        <w:tab/>
      </w:r>
      <w:r>
        <w:fldChar w:fldCharType="begin"/>
      </w:r>
      <w:r>
        <w:instrText xml:space="preserve"> PAGEREF _Toc166676070 \h </w:instrText>
      </w:r>
      <w:r>
        <w:fldChar w:fldCharType="separate"/>
      </w:r>
      <w:r>
        <w:t>211</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Inspection of other premises etc. with occupier’s consent</w:t>
      </w:r>
      <w:r>
        <w:tab/>
      </w:r>
      <w:r>
        <w:fldChar w:fldCharType="begin"/>
      </w:r>
      <w:r>
        <w:instrText xml:space="preserve"> PAGEREF _Toc166676071 \h </w:instrText>
      </w:r>
      <w:r>
        <w:fldChar w:fldCharType="separate"/>
      </w:r>
      <w:r>
        <w:t>212</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Inspection of other premises etc. with warrant</w:t>
      </w:r>
      <w:r>
        <w:tab/>
      </w:r>
      <w:r>
        <w:fldChar w:fldCharType="begin"/>
      </w:r>
      <w:r>
        <w:instrText xml:space="preserve"> PAGEREF _Toc166676072 \h </w:instrText>
      </w:r>
      <w:r>
        <w:fldChar w:fldCharType="separate"/>
      </w:r>
      <w:r>
        <w:t>212</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Procedure for obtaining warrant</w:t>
      </w:r>
      <w:r>
        <w:tab/>
      </w:r>
      <w:r>
        <w:fldChar w:fldCharType="begin"/>
      </w:r>
      <w:r>
        <w:instrText xml:space="preserve"> PAGEREF _Toc166676073 \h </w:instrText>
      </w:r>
      <w:r>
        <w:fldChar w:fldCharType="separate"/>
      </w:r>
      <w:r>
        <w:t>212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Further provisions as to exercise of powers under warrant</w:t>
      </w:r>
      <w:r>
        <w:tab/>
      </w:r>
      <w:r>
        <w:fldChar w:fldCharType="begin"/>
      </w:r>
      <w:r>
        <w:instrText xml:space="preserve"> PAGEREF _Toc166676074 \h </w:instrText>
      </w:r>
      <w:r>
        <w:fldChar w:fldCharType="separate"/>
      </w:r>
      <w:r>
        <w:t>213</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Occupier to cooperate with inspector</w:t>
      </w:r>
      <w:r>
        <w:tab/>
      </w:r>
      <w:r>
        <w:fldChar w:fldCharType="begin"/>
      </w:r>
      <w:r>
        <w:instrText xml:space="preserve"> PAGEREF _Toc166676075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2 — Directions</w:t>
      </w:r>
    </w:p>
    <w:p>
      <w:pPr>
        <w:pStyle w:val="TOC8"/>
        <w:rPr>
          <w:rFonts w:asciiTheme="minorHAnsi" w:eastAsiaTheme="minorEastAsia" w:hAnsiTheme="minorHAnsi" w:cstheme="minorBidi"/>
          <w:szCs w:val="22"/>
        </w:rPr>
      </w:pPr>
      <w:r>
        <w:t>385</w:t>
      </w:r>
      <w:r>
        <w:rPr>
          <w:snapToGrid w:val="0"/>
        </w:rPr>
        <w:t>.</w:t>
      </w:r>
      <w:r>
        <w:rPr>
          <w:snapToGrid w:val="0"/>
        </w:rPr>
        <w:tab/>
        <w:t>Directions by Minister must be obeyed</w:t>
      </w:r>
      <w:r>
        <w:tab/>
      </w:r>
      <w:r>
        <w:fldChar w:fldCharType="begin"/>
      </w:r>
      <w:r>
        <w:instrText xml:space="preserve"> PAGEREF _Toc166676077 \h </w:instrText>
      </w:r>
      <w:r>
        <w:fldChar w:fldCharType="separate"/>
      </w:r>
      <w:r>
        <w:t>214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Scope of directions</w:t>
      </w:r>
      <w:r>
        <w:tab/>
      </w:r>
      <w:r>
        <w:fldChar w:fldCharType="begin"/>
      </w:r>
      <w:r>
        <w:instrText xml:space="preserve"> PAGEREF _Toc166676078 \h </w:instrText>
      </w:r>
      <w:r>
        <w:fldChar w:fldCharType="separate"/>
      </w:r>
      <w:r>
        <w:t>214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Minister may give directions</w:t>
      </w:r>
      <w:r>
        <w:tab/>
      </w:r>
      <w:r>
        <w:fldChar w:fldCharType="begin"/>
      </w:r>
      <w:r>
        <w:instrText xml:space="preserve"> PAGEREF _Toc166676079 \h </w:instrText>
      </w:r>
      <w:r>
        <w:fldChar w:fldCharType="separate"/>
      </w:r>
      <w:r>
        <w:t>215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Direction may incorporate material in another document</w:t>
      </w:r>
      <w:r>
        <w:tab/>
      </w:r>
      <w:r>
        <w:fldChar w:fldCharType="begin"/>
      </w:r>
      <w:r>
        <w:instrText xml:space="preserve"> PAGEREF _Toc166676080 \h </w:instrText>
      </w:r>
      <w:r>
        <w:fldChar w:fldCharType="separate"/>
      </w:r>
      <w:r>
        <w:t>216</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Direction may impose absolute prohibition</w:t>
      </w:r>
      <w:r>
        <w:tab/>
      </w:r>
      <w:r>
        <w:fldChar w:fldCharType="begin"/>
      </w:r>
      <w:r>
        <w:instrText xml:space="preserve"> PAGEREF _Toc166676081 \h </w:instrText>
      </w:r>
      <w:r>
        <w:fldChar w:fldCharType="separate"/>
      </w:r>
      <w:r>
        <w:t>216</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Direction may extend to associates</w:t>
      </w:r>
      <w:r>
        <w:tab/>
      </w:r>
      <w:r>
        <w:fldChar w:fldCharType="begin"/>
      </w:r>
      <w:r>
        <w:instrText xml:space="preserve"> PAGEREF _Toc166676082 \h </w:instrText>
      </w:r>
      <w:r>
        <w:fldChar w:fldCharType="separate"/>
      </w:r>
      <w:r>
        <w:t>216</w:t>
      </w:r>
      <w:r>
        <w:fldChar w:fldCharType="end"/>
      </w:r>
    </w:p>
    <w:p>
      <w:pPr>
        <w:pStyle w:val="TOC8"/>
        <w:rPr>
          <w:rFonts w:asciiTheme="minorHAnsi" w:eastAsiaTheme="minorEastAsia" w:hAnsiTheme="minorHAnsi" w:cstheme="minorBidi"/>
          <w:szCs w:val="22"/>
        </w:rPr>
      </w:pPr>
      <w:r>
        <w:t>391</w:t>
      </w:r>
      <w:r>
        <w:rPr>
          <w:snapToGrid w:val="0"/>
        </w:rPr>
        <w:t>.</w:t>
      </w:r>
      <w:r>
        <w:rPr>
          <w:snapToGrid w:val="0"/>
        </w:rPr>
        <w:tab/>
        <w:t>Holder to give notice of direction to associates</w:t>
      </w:r>
      <w:r>
        <w:tab/>
      </w:r>
      <w:r>
        <w:fldChar w:fldCharType="begin"/>
      </w:r>
      <w:r>
        <w:instrText xml:space="preserve"> PAGEREF _Toc166676083 \h </w:instrText>
      </w:r>
      <w:r>
        <w:fldChar w:fldCharType="separate"/>
      </w:r>
      <w:r>
        <w:t>217</w:t>
      </w:r>
      <w:r>
        <w:fldChar w:fldCharType="end"/>
      </w:r>
    </w:p>
    <w:p>
      <w:pPr>
        <w:pStyle w:val="TOC8"/>
        <w:rPr>
          <w:rFonts w:asciiTheme="minorHAnsi" w:eastAsiaTheme="minorEastAsia" w:hAnsiTheme="minorHAnsi" w:cstheme="minorBidi"/>
          <w:szCs w:val="22"/>
        </w:rPr>
      </w:pPr>
      <w:r>
        <w:t>392</w:t>
      </w:r>
      <w:r>
        <w:rPr>
          <w:snapToGrid w:val="0"/>
        </w:rPr>
        <w:t>.</w:t>
      </w:r>
      <w:r>
        <w:rPr>
          <w:snapToGrid w:val="0"/>
        </w:rPr>
        <w:tab/>
        <w:t>Power to give directions after licence etc. ends</w:t>
      </w:r>
      <w:r>
        <w:tab/>
      </w:r>
      <w:r>
        <w:fldChar w:fldCharType="begin"/>
      </w:r>
      <w:r>
        <w:instrText xml:space="preserve"> PAGEREF _Toc166676084 \h </w:instrText>
      </w:r>
      <w:r>
        <w:fldChar w:fldCharType="separate"/>
      </w:r>
      <w:r>
        <w:t>217</w:t>
      </w:r>
      <w:r>
        <w:fldChar w:fldCharType="end"/>
      </w:r>
    </w:p>
    <w:p>
      <w:pPr>
        <w:pStyle w:val="TOC8"/>
        <w:rPr>
          <w:rFonts w:asciiTheme="minorHAnsi" w:eastAsiaTheme="minorEastAsia" w:hAnsiTheme="minorHAnsi" w:cstheme="minorBidi"/>
          <w:szCs w:val="22"/>
        </w:rPr>
      </w:pPr>
      <w:r>
        <w:t>393</w:t>
      </w:r>
      <w:r>
        <w:rPr>
          <w:snapToGrid w:val="0"/>
        </w:rPr>
        <w:t>.</w:t>
      </w:r>
      <w:r>
        <w:rPr>
          <w:snapToGrid w:val="0"/>
        </w:rPr>
        <w:tab/>
        <w:t>Effect of directions on other instruments</w:t>
      </w:r>
      <w:r>
        <w:tab/>
      </w:r>
      <w:r>
        <w:fldChar w:fldCharType="begin"/>
      </w:r>
      <w:r>
        <w:instrText xml:space="preserve"> PAGEREF _Toc166676085 \h </w:instrText>
      </w:r>
      <w:r>
        <w:fldChar w:fldCharType="separate"/>
      </w:r>
      <w:r>
        <w:t>218</w:t>
      </w:r>
      <w:r>
        <w:fldChar w:fldCharType="end"/>
      </w:r>
    </w:p>
    <w:p>
      <w:pPr>
        <w:pStyle w:val="TOC8"/>
        <w:rPr>
          <w:rFonts w:asciiTheme="minorHAnsi" w:eastAsiaTheme="minorEastAsia" w:hAnsiTheme="minorHAnsi" w:cstheme="minorBidi"/>
          <w:szCs w:val="22"/>
        </w:rPr>
      </w:pPr>
      <w:r>
        <w:t>394</w:t>
      </w:r>
      <w:r>
        <w:rPr>
          <w:snapToGrid w:val="0"/>
        </w:rPr>
        <w:t>.</w:t>
      </w:r>
      <w:r>
        <w:rPr>
          <w:snapToGrid w:val="0"/>
        </w:rPr>
        <w:tab/>
        <w:t>Minister may specify time for compliance</w:t>
      </w:r>
      <w:r>
        <w:tab/>
      </w:r>
      <w:r>
        <w:fldChar w:fldCharType="begin"/>
      </w:r>
      <w:r>
        <w:instrText xml:space="preserve"> PAGEREF _Toc166676086 \h </w:instrText>
      </w:r>
      <w:r>
        <w:fldChar w:fldCharType="separate"/>
      </w:r>
      <w:r>
        <w:t>218</w:t>
      </w:r>
      <w:r>
        <w:fldChar w:fldCharType="end"/>
      </w:r>
    </w:p>
    <w:p>
      <w:pPr>
        <w:pStyle w:val="TOC8"/>
        <w:rPr>
          <w:rFonts w:asciiTheme="minorHAnsi" w:eastAsiaTheme="minorEastAsia" w:hAnsiTheme="minorHAnsi" w:cstheme="minorBidi"/>
          <w:szCs w:val="22"/>
        </w:rPr>
      </w:pPr>
      <w:r>
        <w:t>395</w:t>
      </w:r>
      <w:r>
        <w:rPr>
          <w:snapToGrid w:val="0"/>
        </w:rPr>
        <w:t>.</w:t>
      </w:r>
      <w:r>
        <w:rPr>
          <w:snapToGrid w:val="0"/>
        </w:rPr>
        <w:tab/>
        <w:t>Minister may take action if holder fails to comply</w:t>
      </w:r>
      <w:r>
        <w:tab/>
      </w:r>
      <w:r>
        <w:fldChar w:fldCharType="begin"/>
      </w:r>
      <w:r>
        <w:instrText xml:space="preserve"> PAGEREF _Toc166676087 \h </w:instrText>
      </w:r>
      <w:r>
        <w:fldChar w:fldCharType="separate"/>
      </w:r>
      <w:r>
        <w:t>218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Costs incurred by Minister in taking action under section 395</w:t>
      </w:r>
      <w:r>
        <w:tab/>
      </w:r>
      <w:r>
        <w:fldChar w:fldCharType="begin"/>
      </w:r>
      <w:r>
        <w:instrText xml:space="preserve"> PAGEREF _Toc166676088 \h </w:instrText>
      </w:r>
      <w:r>
        <w:fldChar w:fldCharType="separate"/>
      </w:r>
      <w:r>
        <w:t>219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Defences to actions to recover debts</w:t>
      </w:r>
      <w:r>
        <w:tab/>
      </w:r>
      <w:r>
        <w:fldChar w:fldCharType="begin"/>
      </w:r>
      <w:r>
        <w:instrText xml:space="preserve"> PAGEREF _Toc166676089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3 — Securities</w:t>
      </w:r>
    </w:p>
    <w:p>
      <w:pPr>
        <w:pStyle w:val="TOC8"/>
        <w:rPr>
          <w:rFonts w:asciiTheme="minorHAnsi" w:eastAsiaTheme="minorEastAsia" w:hAnsiTheme="minorHAnsi" w:cstheme="minorBidi"/>
          <w:szCs w:val="22"/>
        </w:rPr>
      </w:pPr>
      <w:r>
        <w:t>398</w:t>
      </w:r>
      <w:r>
        <w:rPr>
          <w:snapToGrid w:val="0"/>
        </w:rPr>
        <w:t>.</w:t>
      </w:r>
      <w:r>
        <w:rPr>
          <w:snapToGrid w:val="0"/>
        </w:rPr>
        <w:tab/>
        <w:t>Securities</w:t>
      </w:r>
      <w:r>
        <w:tab/>
      </w:r>
      <w:r>
        <w:fldChar w:fldCharType="begin"/>
      </w:r>
      <w:r>
        <w:instrText xml:space="preserve"> PAGEREF _Toc166676091 \h </w:instrText>
      </w:r>
      <w:r>
        <w:fldChar w:fldCharType="separate"/>
      </w:r>
      <w:r>
        <w:t>220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Determination of requirement to lodge security</w:t>
      </w:r>
      <w:r>
        <w:tab/>
      </w:r>
      <w:r>
        <w:fldChar w:fldCharType="begin"/>
      </w:r>
      <w:r>
        <w:instrText xml:space="preserve"> PAGEREF _Toc166676092 \h </w:instrText>
      </w:r>
      <w:r>
        <w:fldChar w:fldCharType="separate"/>
      </w:r>
      <w:r>
        <w:t>220</w:t>
      </w:r>
      <w:r>
        <w:fldChar w:fldCharType="end"/>
      </w:r>
    </w:p>
    <w:p>
      <w:pPr>
        <w:pStyle w:val="TOC8"/>
        <w:rPr>
          <w:rFonts w:asciiTheme="minorHAnsi" w:eastAsiaTheme="minorEastAsia" w:hAnsiTheme="minorHAnsi" w:cstheme="minorBidi"/>
          <w:szCs w:val="22"/>
        </w:rPr>
      </w:pPr>
      <w:r>
        <w:t>400</w:t>
      </w:r>
      <w:r>
        <w:rPr>
          <w:snapToGrid w:val="0"/>
        </w:rPr>
        <w:t>.</w:t>
      </w:r>
      <w:r>
        <w:rPr>
          <w:snapToGrid w:val="0"/>
        </w:rPr>
        <w:tab/>
        <w:t>Application of security</w:t>
      </w:r>
      <w:r>
        <w:tab/>
      </w:r>
      <w:r>
        <w:fldChar w:fldCharType="begin"/>
      </w:r>
      <w:r>
        <w:instrText xml:space="preserve"> PAGEREF _Toc166676093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4 — Restoration of environment</w:t>
      </w:r>
    </w:p>
    <w:p>
      <w:pPr>
        <w:pStyle w:val="TOC8"/>
        <w:rPr>
          <w:rFonts w:asciiTheme="minorHAnsi" w:eastAsiaTheme="minorEastAsia" w:hAnsiTheme="minorHAnsi" w:cstheme="minorBidi"/>
          <w:szCs w:val="22"/>
        </w:rPr>
      </w:pPr>
      <w:r>
        <w:t>401</w:t>
      </w:r>
      <w:r>
        <w:rPr>
          <w:snapToGrid w:val="0"/>
        </w:rPr>
        <w:t>.</w:t>
      </w:r>
      <w:r>
        <w:rPr>
          <w:snapToGrid w:val="0"/>
        </w:rPr>
        <w:tab/>
        <w:t>Removal of property from coastal waters</w:t>
      </w:r>
      <w:r>
        <w:tab/>
      </w:r>
      <w:r>
        <w:fldChar w:fldCharType="begin"/>
      </w:r>
      <w:r>
        <w:instrText xml:space="preserve"> PAGEREF _Toc166676095 \h </w:instrText>
      </w:r>
      <w:r>
        <w:fldChar w:fldCharType="separate"/>
      </w:r>
      <w:r>
        <w:t>222</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Rehabilitation of damaged areas</w:t>
      </w:r>
      <w:r>
        <w:tab/>
      </w:r>
      <w:r>
        <w:fldChar w:fldCharType="begin"/>
      </w:r>
      <w:r>
        <w:instrText xml:space="preserve"> PAGEREF _Toc166676096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5 — Safety zones</w:t>
      </w:r>
    </w:p>
    <w:p>
      <w:pPr>
        <w:pStyle w:val="TOC8"/>
        <w:rPr>
          <w:rFonts w:asciiTheme="minorHAnsi" w:eastAsiaTheme="minorEastAsia" w:hAnsiTheme="minorHAnsi" w:cstheme="minorBidi"/>
          <w:szCs w:val="22"/>
        </w:rPr>
      </w:pPr>
      <w:r>
        <w:t>403</w:t>
      </w:r>
      <w:r>
        <w:rPr>
          <w:snapToGrid w:val="0"/>
        </w:rPr>
        <w:t>.</w:t>
      </w:r>
      <w:r>
        <w:rPr>
          <w:snapToGrid w:val="0"/>
        </w:rPr>
        <w:tab/>
        <w:t>Declaration of safety zone around a structure or equipment</w:t>
      </w:r>
      <w:r>
        <w:tab/>
      </w:r>
      <w:r>
        <w:fldChar w:fldCharType="begin"/>
      </w:r>
      <w:r>
        <w:instrText xml:space="preserve"> PAGEREF _Toc166676098 \h </w:instrText>
      </w:r>
      <w:r>
        <w:fldChar w:fldCharType="separate"/>
      </w:r>
      <w:r>
        <w:t>224</w:t>
      </w:r>
      <w:r>
        <w:fldChar w:fldCharType="end"/>
      </w:r>
    </w:p>
    <w:p>
      <w:pPr>
        <w:pStyle w:val="TOC8"/>
        <w:rPr>
          <w:rFonts w:asciiTheme="minorHAnsi" w:eastAsiaTheme="minorEastAsia" w:hAnsiTheme="minorHAnsi" w:cstheme="minorBidi"/>
          <w:szCs w:val="22"/>
        </w:rPr>
      </w:pPr>
      <w:r>
        <w:t>404</w:t>
      </w:r>
      <w:r>
        <w:rPr>
          <w:snapToGrid w:val="0"/>
        </w:rPr>
        <w:t>.</w:t>
      </w:r>
      <w:r>
        <w:rPr>
          <w:snapToGrid w:val="0"/>
        </w:rPr>
        <w:tab/>
        <w:t>Effect of declaration of safety zone</w:t>
      </w:r>
      <w:r>
        <w:tab/>
      </w:r>
      <w:r>
        <w:fldChar w:fldCharType="begin"/>
      </w:r>
      <w:r>
        <w:instrText xml:space="preserve"> PAGEREF _Toc166676099 \h </w:instrText>
      </w:r>
      <w:r>
        <w:fldChar w:fldCharType="separate"/>
      </w:r>
      <w:r>
        <w:t>224</w:t>
      </w:r>
      <w:r>
        <w:fldChar w:fldCharType="end"/>
      </w:r>
    </w:p>
    <w:p>
      <w:pPr>
        <w:pStyle w:val="TOC8"/>
        <w:rPr>
          <w:rFonts w:asciiTheme="minorHAnsi" w:eastAsiaTheme="minorEastAsia" w:hAnsiTheme="minorHAnsi" w:cstheme="minorBidi"/>
          <w:szCs w:val="22"/>
        </w:rPr>
      </w:pPr>
      <w:r>
        <w:rPr>
          <w:spacing w:val="-4"/>
        </w:rPr>
        <w:t>405. – 420</w:t>
      </w:r>
      <w:r>
        <w:rPr>
          <w:snapToGrid w:val="0"/>
          <w:spacing w:val="-4"/>
        </w:rPr>
        <w:t>.</w:t>
      </w:r>
      <w:r>
        <w:rPr>
          <w:snapToGrid w:val="0"/>
          <w:spacing w:val="-4"/>
        </w:rPr>
        <w:tab/>
      </w:r>
      <w:r>
        <w:rPr>
          <w:snapToGrid w:val="0"/>
        </w:rPr>
        <w:t>Section numbers not used</w:t>
      </w:r>
      <w:r>
        <w:tab/>
      </w:r>
      <w:r>
        <w:fldChar w:fldCharType="begin"/>
      </w:r>
      <w:r>
        <w:instrText xml:space="preserve"> PAGEREF _Toc166676100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4.3</w:t>
      </w:r>
      <w:r>
        <w:rPr>
          <w:snapToGrid w:val="0"/>
        </w:rPr>
        <w:t xml:space="preserve"> — </w:t>
      </w:r>
      <w:r>
        <w:t>Inspectors</w:t>
      </w:r>
    </w:p>
    <w:p>
      <w:pPr>
        <w:pStyle w:val="TOC8"/>
        <w:rPr>
          <w:rFonts w:asciiTheme="minorHAnsi" w:eastAsiaTheme="minorEastAsia" w:hAnsiTheme="minorHAnsi" w:cstheme="minorBidi"/>
          <w:szCs w:val="22"/>
        </w:rPr>
      </w:pPr>
      <w:r>
        <w:t>421</w:t>
      </w:r>
      <w:r>
        <w:rPr>
          <w:snapToGrid w:val="0"/>
        </w:rPr>
        <w:t>.</w:t>
      </w:r>
      <w:r>
        <w:rPr>
          <w:snapToGrid w:val="0"/>
        </w:rPr>
        <w:tab/>
        <w:t>Appointment of inspectors</w:t>
      </w:r>
      <w:r>
        <w:tab/>
      </w:r>
      <w:r>
        <w:fldChar w:fldCharType="begin"/>
      </w:r>
      <w:r>
        <w:instrText xml:space="preserve"> PAGEREF _Toc166676102 \h </w:instrText>
      </w:r>
      <w:r>
        <w:fldChar w:fldCharType="separate"/>
      </w:r>
      <w:r>
        <w:t>226</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Identity cards</w:t>
      </w:r>
      <w:r>
        <w:tab/>
      </w:r>
      <w:r>
        <w:fldChar w:fldCharType="begin"/>
      </w:r>
      <w:r>
        <w:instrText xml:space="preserve"> PAGEREF _Toc166676103 \h </w:instrText>
      </w:r>
      <w:r>
        <w:fldChar w:fldCharType="separate"/>
      </w:r>
      <w:r>
        <w:t>226</w:t>
      </w:r>
      <w:r>
        <w:fldChar w:fldCharType="end"/>
      </w:r>
    </w:p>
    <w:p>
      <w:pPr>
        <w:pStyle w:val="TOC8"/>
        <w:rPr>
          <w:rFonts w:asciiTheme="minorHAnsi" w:eastAsiaTheme="minorEastAsia" w:hAnsiTheme="minorHAnsi" w:cstheme="minorBidi"/>
          <w:szCs w:val="22"/>
        </w:rPr>
      </w:pPr>
      <w:r>
        <w:t>423</w:t>
      </w:r>
      <w:r>
        <w:rPr>
          <w:snapToGrid w:val="0"/>
        </w:rPr>
        <w:t>.</w:t>
      </w:r>
      <w:r>
        <w:rPr>
          <w:snapToGrid w:val="0"/>
        </w:rPr>
        <w:tab/>
        <w:t>Return of identity card</w:t>
      </w:r>
      <w:r>
        <w:tab/>
      </w:r>
      <w:r>
        <w:fldChar w:fldCharType="begin"/>
      </w:r>
      <w:r>
        <w:instrText xml:space="preserve"> PAGEREF _Toc166676104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Part 4.4</w:t>
      </w:r>
      <w:r>
        <w:rPr>
          <w:snapToGrid w:val="0"/>
        </w:rPr>
        <w:t xml:space="preserve"> — </w:t>
      </w:r>
      <w:r>
        <w:t>Licence fees and royalty</w:t>
      </w:r>
    </w:p>
    <w:p>
      <w:pPr>
        <w:pStyle w:val="TOC6"/>
        <w:tabs>
          <w:tab w:val="right" w:leader="dot" w:pos="7077"/>
        </w:tabs>
        <w:rPr>
          <w:rFonts w:asciiTheme="minorHAnsi" w:eastAsiaTheme="minorEastAsia" w:hAnsiTheme="minorHAnsi" w:cstheme="minorBidi"/>
          <w:b w:val="0"/>
          <w:sz w:val="22"/>
          <w:szCs w:val="22"/>
        </w:rPr>
      </w:pPr>
      <w:r>
        <w:rPr>
          <w:b w:val="0"/>
        </w:rPr>
        <w:t>Division 1 — Licence fees</w:t>
      </w:r>
    </w:p>
    <w:p>
      <w:pPr>
        <w:pStyle w:val="TOC8"/>
        <w:rPr>
          <w:rFonts w:asciiTheme="minorHAnsi" w:eastAsiaTheme="minorEastAsia" w:hAnsiTheme="minorHAnsi" w:cstheme="minorBidi"/>
          <w:szCs w:val="22"/>
        </w:rPr>
      </w:pPr>
      <w:r>
        <w:t>424</w:t>
      </w:r>
      <w:r>
        <w:rPr>
          <w:snapToGrid w:val="0"/>
        </w:rPr>
        <w:t>.</w:t>
      </w:r>
      <w:r>
        <w:rPr>
          <w:snapToGrid w:val="0"/>
        </w:rPr>
        <w:tab/>
        <w:t>Definition</w:t>
      </w:r>
      <w:r>
        <w:tab/>
      </w:r>
      <w:r>
        <w:fldChar w:fldCharType="begin"/>
      </w:r>
      <w:r>
        <w:instrText xml:space="preserve"> PAGEREF _Toc166676107 \h </w:instrText>
      </w:r>
      <w:r>
        <w:fldChar w:fldCharType="separate"/>
      </w:r>
      <w:r>
        <w:t>227</w:t>
      </w:r>
      <w:r>
        <w:fldChar w:fldCharType="end"/>
      </w:r>
    </w:p>
    <w:p>
      <w:pPr>
        <w:pStyle w:val="TOC8"/>
        <w:rPr>
          <w:rFonts w:asciiTheme="minorHAnsi" w:eastAsiaTheme="minorEastAsia" w:hAnsiTheme="minorHAnsi" w:cstheme="minorBidi"/>
          <w:szCs w:val="22"/>
        </w:rPr>
      </w:pPr>
      <w:r>
        <w:t>425</w:t>
      </w:r>
      <w:r>
        <w:rPr>
          <w:snapToGrid w:val="0"/>
        </w:rPr>
        <w:t>.</w:t>
      </w:r>
      <w:r>
        <w:rPr>
          <w:snapToGrid w:val="0"/>
        </w:rPr>
        <w:tab/>
        <w:t>Licence fees</w:t>
      </w:r>
      <w:r>
        <w:tab/>
      </w:r>
      <w:r>
        <w:fldChar w:fldCharType="begin"/>
      </w:r>
      <w:r>
        <w:instrText xml:space="preserve"> PAGEREF _Toc166676108 \h </w:instrText>
      </w:r>
      <w:r>
        <w:fldChar w:fldCharType="separate"/>
      </w:r>
      <w:r>
        <w:t>227</w:t>
      </w:r>
      <w:r>
        <w:fldChar w:fldCharType="end"/>
      </w:r>
    </w:p>
    <w:p>
      <w:pPr>
        <w:pStyle w:val="TOC8"/>
        <w:rPr>
          <w:rFonts w:asciiTheme="minorHAnsi" w:eastAsiaTheme="minorEastAsia" w:hAnsiTheme="minorHAnsi" w:cstheme="minorBidi"/>
          <w:szCs w:val="22"/>
        </w:rPr>
      </w:pPr>
      <w:r>
        <w:t>426</w:t>
      </w:r>
      <w:r>
        <w:rPr>
          <w:snapToGrid w:val="0"/>
        </w:rPr>
        <w:t>.</w:t>
      </w:r>
      <w:r>
        <w:rPr>
          <w:snapToGrid w:val="0"/>
        </w:rPr>
        <w:tab/>
        <w:t>Limit on amount of fees</w:t>
      </w:r>
      <w:r>
        <w:tab/>
      </w:r>
      <w:r>
        <w:fldChar w:fldCharType="begin"/>
      </w:r>
      <w:r>
        <w:instrText xml:space="preserve"> PAGEREF _Toc166676109 \h </w:instrText>
      </w:r>
      <w:r>
        <w:fldChar w:fldCharType="separate"/>
      </w:r>
      <w:r>
        <w:t>227</w:t>
      </w:r>
      <w:r>
        <w:fldChar w:fldCharType="end"/>
      </w:r>
    </w:p>
    <w:p>
      <w:pPr>
        <w:pStyle w:val="TOC8"/>
        <w:rPr>
          <w:rFonts w:asciiTheme="minorHAnsi" w:eastAsiaTheme="minorEastAsia" w:hAnsiTheme="minorHAnsi" w:cstheme="minorBidi"/>
          <w:szCs w:val="22"/>
        </w:rPr>
      </w:pPr>
      <w:r>
        <w:t>427</w:t>
      </w:r>
      <w:r>
        <w:rPr>
          <w:snapToGrid w:val="0"/>
        </w:rPr>
        <w:t>.</w:t>
      </w:r>
      <w:r>
        <w:rPr>
          <w:snapToGrid w:val="0"/>
        </w:rPr>
        <w:tab/>
        <w:t>Time for payment</w:t>
      </w:r>
      <w:r>
        <w:tab/>
      </w:r>
      <w:r>
        <w:fldChar w:fldCharType="begin"/>
      </w:r>
      <w:r>
        <w:instrText xml:space="preserve"> PAGEREF _Toc166676110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rPr>
          <w:b w:val="0"/>
          <w:snapToGrid w:val="0"/>
        </w:rPr>
        <w:t>Division 2 — Royalty</w:t>
      </w:r>
    </w:p>
    <w:p>
      <w:pPr>
        <w:pStyle w:val="TOC8"/>
        <w:rPr>
          <w:rFonts w:asciiTheme="minorHAnsi" w:eastAsiaTheme="minorEastAsia" w:hAnsiTheme="minorHAnsi" w:cstheme="minorBidi"/>
          <w:szCs w:val="22"/>
        </w:rPr>
      </w:pPr>
      <w:r>
        <w:t>428</w:t>
      </w:r>
      <w:r>
        <w:rPr>
          <w:snapToGrid w:val="0"/>
        </w:rPr>
        <w:t>.</w:t>
      </w:r>
      <w:r>
        <w:rPr>
          <w:snapToGrid w:val="0"/>
        </w:rPr>
        <w:tab/>
        <w:t>Definition</w:t>
      </w:r>
      <w:r>
        <w:tab/>
      </w:r>
      <w:r>
        <w:fldChar w:fldCharType="begin"/>
      </w:r>
      <w:r>
        <w:instrText xml:space="preserve"> PAGEREF _Toc166676112 \h </w:instrText>
      </w:r>
      <w:r>
        <w:fldChar w:fldCharType="separate"/>
      </w:r>
      <w:r>
        <w:t>228</w:t>
      </w:r>
      <w:r>
        <w:fldChar w:fldCharType="end"/>
      </w:r>
    </w:p>
    <w:p>
      <w:pPr>
        <w:pStyle w:val="TOC8"/>
        <w:rPr>
          <w:rFonts w:asciiTheme="minorHAnsi" w:eastAsiaTheme="minorEastAsia" w:hAnsiTheme="minorHAnsi" w:cstheme="minorBidi"/>
          <w:szCs w:val="22"/>
        </w:rPr>
      </w:pPr>
      <w:r>
        <w:t>429</w:t>
      </w:r>
      <w:r>
        <w:rPr>
          <w:snapToGrid w:val="0"/>
        </w:rPr>
        <w:t>.</w:t>
      </w:r>
      <w:r>
        <w:rPr>
          <w:snapToGrid w:val="0"/>
        </w:rPr>
        <w:tab/>
        <w:t>Royalty</w:t>
      </w:r>
      <w:r>
        <w:tab/>
      </w:r>
      <w:r>
        <w:fldChar w:fldCharType="begin"/>
      </w:r>
      <w:r>
        <w:instrText xml:space="preserve"> PAGEREF _Toc166676113 \h </w:instrText>
      </w:r>
      <w:r>
        <w:fldChar w:fldCharType="separate"/>
      </w:r>
      <w:r>
        <w:t>228</w:t>
      </w:r>
      <w:r>
        <w:fldChar w:fldCharType="end"/>
      </w:r>
    </w:p>
    <w:p>
      <w:pPr>
        <w:pStyle w:val="TOC8"/>
        <w:rPr>
          <w:rFonts w:asciiTheme="minorHAnsi" w:eastAsiaTheme="minorEastAsia" w:hAnsiTheme="minorHAnsi" w:cstheme="minorBidi"/>
          <w:szCs w:val="22"/>
        </w:rPr>
      </w:pPr>
      <w:r>
        <w:t>430</w:t>
      </w:r>
      <w:r>
        <w:rPr>
          <w:snapToGrid w:val="0"/>
        </w:rPr>
        <w:t>.</w:t>
      </w:r>
      <w:r>
        <w:rPr>
          <w:snapToGrid w:val="0"/>
        </w:rPr>
        <w:tab/>
        <w:t>Rate of royalty</w:t>
      </w:r>
      <w:r>
        <w:tab/>
      </w:r>
      <w:r>
        <w:fldChar w:fldCharType="begin"/>
      </w:r>
      <w:r>
        <w:instrText xml:space="preserve"> PAGEREF _Toc166676114 \h </w:instrText>
      </w:r>
      <w:r>
        <w:fldChar w:fldCharType="separate"/>
      </w:r>
      <w:r>
        <w:t>229</w:t>
      </w:r>
      <w:r>
        <w:fldChar w:fldCharType="end"/>
      </w:r>
    </w:p>
    <w:p>
      <w:pPr>
        <w:pStyle w:val="TOC8"/>
        <w:rPr>
          <w:rFonts w:asciiTheme="minorHAnsi" w:eastAsiaTheme="minorEastAsia" w:hAnsiTheme="minorHAnsi" w:cstheme="minorBidi"/>
          <w:szCs w:val="22"/>
        </w:rPr>
      </w:pPr>
      <w:r>
        <w:t>431</w:t>
      </w:r>
      <w:r>
        <w:rPr>
          <w:snapToGrid w:val="0"/>
        </w:rPr>
        <w:t>.</w:t>
      </w:r>
      <w:r>
        <w:rPr>
          <w:snapToGrid w:val="0"/>
        </w:rPr>
        <w:tab/>
        <w:t>Reduction of royalty in certain cases</w:t>
      </w:r>
      <w:r>
        <w:tab/>
      </w:r>
      <w:r>
        <w:fldChar w:fldCharType="begin"/>
      </w:r>
      <w:r>
        <w:instrText xml:space="preserve"> PAGEREF _Toc166676115 \h </w:instrText>
      </w:r>
      <w:r>
        <w:fldChar w:fldCharType="separate"/>
      </w:r>
      <w:r>
        <w:t>229</w:t>
      </w:r>
      <w:r>
        <w:fldChar w:fldCharType="end"/>
      </w:r>
    </w:p>
    <w:p>
      <w:pPr>
        <w:pStyle w:val="TOC8"/>
        <w:rPr>
          <w:rFonts w:asciiTheme="minorHAnsi" w:eastAsiaTheme="minorEastAsia" w:hAnsiTheme="minorHAnsi" w:cstheme="minorBidi"/>
          <w:szCs w:val="22"/>
        </w:rPr>
      </w:pPr>
      <w:r>
        <w:t>432</w:t>
      </w:r>
      <w:r>
        <w:rPr>
          <w:snapToGrid w:val="0"/>
        </w:rPr>
        <w:t>.</w:t>
      </w:r>
      <w:r>
        <w:rPr>
          <w:snapToGrid w:val="0"/>
        </w:rPr>
        <w:tab/>
        <w:t>Fixing of landed value</w:t>
      </w:r>
      <w:r>
        <w:tab/>
      </w:r>
      <w:r>
        <w:fldChar w:fldCharType="begin"/>
      </w:r>
      <w:r>
        <w:instrText xml:space="preserve"> PAGEREF _Toc166676116 \h </w:instrText>
      </w:r>
      <w:r>
        <w:fldChar w:fldCharType="separate"/>
      </w:r>
      <w:r>
        <w:t>230</w:t>
      </w:r>
      <w:r>
        <w:fldChar w:fldCharType="end"/>
      </w:r>
    </w:p>
    <w:p>
      <w:pPr>
        <w:pStyle w:val="TOC8"/>
        <w:rPr>
          <w:rFonts w:asciiTheme="minorHAnsi" w:eastAsiaTheme="minorEastAsia" w:hAnsiTheme="minorHAnsi" w:cstheme="minorBidi"/>
          <w:szCs w:val="22"/>
        </w:rPr>
      </w:pPr>
      <w:r>
        <w:t>433</w:t>
      </w:r>
      <w:r>
        <w:rPr>
          <w:snapToGrid w:val="0"/>
        </w:rPr>
        <w:t>.</w:t>
      </w:r>
      <w:r>
        <w:rPr>
          <w:snapToGrid w:val="0"/>
        </w:rPr>
        <w:tab/>
        <w:t>Fixing of quantity</w:t>
      </w:r>
      <w:r>
        <w:tab/>
      </w:r>
      <w:r>
        <w:fldChar w:fldCharType="begin"/>
      </w:r>
      <w:r>
        <w:instrText xml:space="preserve"> PAGEREF _Toc166676117 \h </w:instrText>
      </w:r>
      <w:r>
        <w:fldChar w:fldCharType="separate"/>
      </w:r>
      <w:r>
        <w:t>230</w:t>
      </w:r>
      <w:r>
        <w:fldChar w:fldCharType="end"/>
      </w:r>
    </w:p>
    <w:p>
      <w:pPr>
        <w:pStyle w:val="TOC8"/>
        <w:rPr>
          <w:rFonts w:asciiTheme="minorHAnsi" w:eastAsiaTheme="minorEastAsia" w:hAnsiTheme="minorHAnsi" w:cstheme="minorBidi"/>
          <w:szCs w:val="22"/>
        </w:rPr>
      </w:pPr>
      <w:r>
        <w:t>434</w:t>
      </w:r>
      <w:r>
        <w:rPr>
          <w:snapToGrid w:val="0"/>
        </w:rPr>
        <w:t>.</w:t>
      </w:r>
      <w:r>
        <w:rPr>
          <w:snapToGrid w:val="0"/>
        </w:rPr>
        <w:tab/>
        <w:t>Time for payment</w:t>
      </w:r>
      <w:r>
        <w:tab/>
      </w:r>
      <w:r>
        <w:fldChar w:fldCharType="begin"/>
      </w:r>
      <w:r>
        <w:instrText xml:space="preserve"> PAGEREF _Toc166676118 \h </w:instrText>
      </w:r>
      <w:r>
        <w:fldChar w:fldCharType="separate"/>
      </w:r>
      <w:r>
        <w:t>230</w:t>
      </w:r>
      <w:r>
        <w:fldChar w:fldCharType="end"/>
      </w:r>
    </w:p>
    <w:p>
      <w:pPr>
        <w:pStyle w:val="TOC8"/>
        <w:rPr>
          <w:rFonts w:asciiTheme="minorHAnsi" w:eastAsiaTheme="minorEastAsia" w:hAnsiTheme="minorHAnsi" w:cstheme="minorBidi"/>
          <w:szCs w:val="22"/>
        </w:rPr>
      </w:pPr>
      <w:r>
        <w:t>435</w:t>
      </w:r>
      <w:r>
        <w:rPr>
          <w:snapToGrid w:val="0"/>
        </w:rPr>
        <w:t>.</w:t>
      </w:r>
      <w:r>
        <w:rPr>
          <w:snapToGrid w:val="0"/>
        </w:rPr>
        <w:tab/>
        <w:t>State to pay 40% of royalties to Commonwealth</w:t>
      </w:r>
      <w:r>
        <w:tab/>
      </w:r>
      <w:r>
        <w:fldChar w:fldCharType="begin"/>
      </w:r>
      <w:r>
        <w:instrText xml:space="preserve"> PAGEREF _Toc166676119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rPr>
          <w:b w:val="0"/>
        </w:rPr>
        <w:t>Division 3 — Penalties and recovery</w:t>
      </w:r>
    </w:p>
    <w:p>
      <w:pPr>
        <w:pStyle w:val="TOC8"/>
        <w:rPr>
          <w:rFonts w:asciiTheme="minorHAnsi" w:eastAsiaTheme="minorEastAsia" w:hAnsiTheme="minorHAnsi" w:cstheme="minorBidi"/>
          <w:szCs w:val="22"/>
        </w:rPr>
      </w:pPr>
      <w:r>
        <w:t>436</w:t>
      </w:r>
      <w:r>
        <w:rPr>
          <w:snapToGrid w:val="0"/>
        </w:rPr>
        <w:t>.</w:t>
      </w:r>
      <w:r>
        <w:rPr>
          <w:snapToGrid w:val="0"/>
        </w:rPr>
        <w:tab/>
        <w:t>Penalty if fee or royalty overdue</w:t>
      </w:r>
      <w:r>
        <w:tab/>
      </w:r>
      <w:r>
        <w:fldChar w:fldCharType="begin"/>
      </w:r>
      <w:r>
        <w:instrText xml:space="preserve"> PAGEREF _Toc166676121 \h </w:instrText>
      </w:r>
      <w:r>
        <w:fldChar w:fldCharType="separate"/>
      </w:r>
      <w:r>
        <w:t>231</w:t>
      </w:r>
      <w:r>
        <w:fldChar w:fldCharType="end"/>
      </w:r>
    </w:p>
    <w:p>
      <w:pPr>
        <w:pStyle w:val="TOC8"/>
        <w:rPr>
          <w:rFonts w:asciiTheme="minorHAnsi" w:eastAsiaTheme="minorEastAsia" w:hAnsiTheme="minorHAnsi" w:cstheme="minorBidi"/>
          <w:szCs w:val="22"/>
        </w:rPr>
      </w:pPr>
      <w:r>
        <w:t>437</w:t>
      </w:r>
      <w:r>
        <w:rPr>
          <w:snapToGrid w:val="0"/>
        </w:rPr>
        <w:t>.</w:t>
      </w:r>
      <w:r>
        <w:rPr>
          <w:snapToGrid w:val="0"/>
        </w:rPr>
        <w:tab/>
        <w:t>Fees etc. recoverable as debts</w:t>
      </w:r>
      <w:r>
        <w:tab/>
      </w:r>
      <w:r>
        <w:fldChar w:fldCharType="begin"/>
      </w:r>
      <w:r>
        <w:instrText xml:space="preserve"> PAGEREF _Toc166676122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Chapter 5 — Miscellaneous</w:t>
      </w:r>
    </w:p>
    <w:p>
      <w:pPr>
        <w:pStyle w:val="TOC8"/>
        <w:rPr>
          <w:rFonts w:asciiTheme="minorHAnsi" w:eastAsiaTheme="minorEastAsia" w:hAnsiTheme="minorHAnsi" w:cstheme="minorBidi"/>
          <w:szCs w:val="22"/>
        </w:rPr>
      </w:pPr>
      <w:r>
        <w:t>438</w:t>
      </w:r>
      <w:r>
        <w:rPr>
          <w:snapToGrid w:val="0"/>
        </w:rPr>
        <w:t>.</w:t>
      </w:r>
      <w:r>
        <w:rPr>
          <w:snapToGrid w:val="0"/>
        </w:rPr>
        <w:tab/>
        <w:t>State functions under Part 5.1 of Commonwealth Act</w:t>
      </w:r>
      <w:r>
        <w:tab/>
      </w:r>
      <w:r>
        <w:fldChar w:fldCharType="begin"/>
      </w:r>
      <w:r>
        <w:instrText xml:space="preserve"> PAGEREF _Toc166676124 \h </w:instrText>
      </w:r>
      <w:r>
        <w:fldChar w:fldCharType="separate"/>
      </w:r>
      <w:r>
        <w:t>232</w:t>
      </w:r>
      <w:r>
        <w:fldChar w:fldCharType="end"/>
      </w:r>
    </w:p>
    <w:p>
      <w:pPr>
        <w:pStyle w:val="TOC8"/>
        <w:rPr>
          <w:rFonts w:asciiTheme="minorHAnsi" w:eastAsiaTheme="minorEastAsia" w:hAnsiTheme="minorHAnsi" w:cstheme="minorBidi"/>
          <w:szCs w:val="22"/>
        </w:rPr>
      </w:pPr>
      <w:r>
        <w:t>439.</w:t>
      </w:r>
      <w:r>
        <w:tab/>
        <w:t xml:space="preserve">Minister’s approval required for certain transactions under </w:t>
      </w:r>
      <w:r>
        <w:rPr>
          <w:i/>
        </w:rPr>
        <w:t>Land Administration Act 1997</w:t>
      </w:r>
      <w:r>
        <w:tab/>
      </w:r>
      <w:r>
        <w:fldChar w:fldCharType="begin"/>
      </w:r>
      <w:r>
        <w:instrText xml:space="preserve"> PAGEREF _Toc166676125 \h </w:instrText>
      </w:r>
      <w:r>
        <w:fldChar w:fldCharType="separate"/>
      </w:r>
      <w:r>
        <w:t>232</w:t>
      </w:r>
      <w:r>
        <w:fldChar w:fldCharType="end"/>
      </w:r>
    </w:p>
    <w:p>
      <w:pPr>
        <w:pStyle w:val="TOC8"/>
        <w:rPr>
          <w:rFonts w:asciiTheme="minorHAnsi" w:eastAsiaTheme="minorEastAsia" w:hAnsiTheme="minorHAnsi" w:cstheme="minorBidi"/>
          <w:szCs w:val="22"/>
        </w:rPr>
      </w:pPr>
      <w:r>
        <w:t>440</w:t>
      </w:r>
      <w:r>
        <w:rPr>
          <w:snapToGrid w:val="0"/>
        </w:rPr>
        <w:t>.</w:t>
      </w:r>
      <w:r>
        <w:rPr>
          <w:snapToGrid w:val="0"/>
        </w:rPr>
        <w:tab/>
        <w:t>Delegation by Minister</w:t>
      </w:r>
      <w:r>
        <w:tab/>
      </w:r>
      <w:r>
        <w:fldChar w:fldCharType="begin"/>
      </w:r>
      <w:r>
        <w:instrText xml:space="preserve"> PAGEREF _Toc166676126 \h </w:instrText>
      </w:r>
      <w:r>
        <w:fldChar w:fldCharType="separate"/>
      </w:r>
      <w:r>
        <w:t>233</w:t>
      </w:r>
      <w:r>
        <w:fldChar w:fldCharType="end"/>
      </w:r>
    </w:p>
    <w:p>
      <w:pPr>
        <w:pStyle w:val="TOC8"/>
        <w:rPr>
          <w:rFonts w:asciiTheme="minorHAnsi" w:eastAsiaTheme="minorEastAsia" w:hAnsiTheme="minorHAnsi" w:cstheme="minorBidi"/>
          <w:szCs w:val="22"/>
        </w:rPr>
      </w:pPr>
      <w:r>
        <w:t>441</w:t>
      </w:r>
      <w:r>
        <w:rPr>
          <w:snapToGrid w:val="0"/>
        </w:rPr>
        <w:t>.</w:t>
      </w:r>
      <w:r>
        <w:rPr>
          <w:snapToGrid w:val="0"/>
        </w:rPr>
        <w:tab/>
        <w:t>False statements</w:t>
      </w:r>
      <w:r>
        <w:tab/>
      </w:r>
      <w:r>
        <w:fldChar w:fldCharType="begin"/>
      </w:r>
      <w:r>
        <w:instrText xml:space="preserve"> PAGEREF _Toc166676127 \h </w:instrText>
      </w:r>
      <w:r>
        <w:fldChar w:fldCharType="separate"/>
      </w:r>
      <w:r>
        <w:t>233</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Service of documents on licence holders etc.</w:t>
      </w:r>
      <w:r>
        <w:tab/>
      </w:r>
      <w:r>
        <w:fldChar w:fldCharType="begin"/>
      </w:r>
      <w:r>
        <w:instrText xml:space="preserve"> PAGEREF _Toc166676128 \h </w:instrText>
      </w:r>
      <w:r>
        <w:fldChar w:fldCharType="separate"/>
      </w:r>
      <w:r>
        <w:t>234</w:t>
      </w:r>
      <w:r>
        <w:fldChar w:fldCharType="end"/>
      </w:r>
    </w:p>
    <w:p>
      <w:pPr>
        <w:pStyle w:val="TOC8"/>
        <w:rPr>
          <w:rFonts w:asciiTheme="minorHAnsi" w:eastAsiaTheme="minorEastAsia" w:hAnsiTheme="minorHAnsi" w:cstheme="minorBidi"/>
          <w:szCs w:val="22"/>
        </w:rPr>
      </w:pPr>
      <w:r>
        <w:t>443A.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_Toc166676129 \h </w:instrText>
      </w:r>
      <w:r>
        <w:fldChar w:fldCharType="separate"/>
      </w:r>
      <w:r>
        <w:t>234</w:t>
      </w:r>
      <w:r>
        <w:fldChar w:fldCharType="end"/>
      </w:r>
    </w:p>
    <w:p>
      <w:pPr>
        <w:pStyle w:val="TOC8"/>
        <w:rPr>
          <w:rFonts w:asciiTheme="minorHAnsi" w:eastAsiaTheme="minorEastAsia" w:hAnsiTheme="minorHAnsi" w:cstheme="minorBidi"/>
          <w:szCs w:val="22"/>
        </w:rPr>
      </w:pPr>
      <w:r>
        <w:t>443</w:t>
      </w:r>
      <w:r>
        <w:rPr>
          <w:snapToGrid w:val="0"/>
        </w:rPr>
        <w:t>.</w:t>
      </w:r>
      <w:r>
        <w:rPr>
          <w:snapToGrid w:val="0"/>
        </w:rPr>
        <w:tab/>
        <w:t>Regulations</w:t>
      </w:r>
      <w:r>
        <w:tab/>
      </w:r>
      <w:r>
        <w:fldChar w:fldCharType="begin"/>
      </w:r>
      <w:r>
        <w:instrText xml:space="preserve"> PAGEREF _Toc166676130 \h </w:instrText>
      </w:r>
      <w:r>
        <w:fldChar w:fldCharType="separate"/>
      </w:r>
      <w:r>
        <w:t>234</w:t>
      </w:r>
      <w:r>
        <w:fldChar w:fldCharType="end"/>
      </w:r>
    </w:p>
    <w:p>
      <w:pPr>
        <w:pStyle w:val="TOC8"/>
        <w:rPr>
          <w:rFonts w:asciiTheme="minorHAnsi" w:eastAsiaTheme="minorEastAsia" w:hAnsiTheme="minorHAnsi" w:cstheme="minorBidi"/>
          <w:szCs w:val="22"/>
        </w:rPr>
      </w:pPr>
      <w:r>
        <w:t>444</w:t>
      </w:r>
      <w:r>
        <w:rPr>
          <w:snapToGrid w:val="0"/>
        </w:rPr>
        <w:t>.</w:t>
      </w:r>
      <w:r>
        <w:rPr>
          <w:snapToGrid w:val="0"/>
        </w:rPr>
        <w:tab/>
        <w:t>Savings and transitional provisions</w:t>
      </w:r>
      <w:r>
        <w:tab/>
      </w:r>
      <w:r>
        <w:fldChar w:fldCharType="begin"/>
      </w:r>
      <w:r>
        <w:instrText xml:space="preserve"> PAGEREF _Toc166676131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Area in which coastal waters are situated</w:t>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_Toc166676134 \h </w:instrText>
      </w:r>
      <w:r>
        <w:fldChar w:fldCharType="separate"/>
      </w:r>
      <w:r>
        <w:t>239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Existing exploration licences under Mining Act for coastal waters</w:t>
      </w:r>
      <w:r>
        <w:tab/>
      </w:r>
      <w:r>
        <w:fldChar w:fldCharType="begin"/>
      </w:r>
      <w:r>
        <w:instrText xml:space="preserve"> PAGEREF _Toc166676135 \h </w:instrText>
      </w:r>
      <w:r>
        <w:fldChar w:fldCharType="separate"/>
      </w:r>
      <w:r>
        <w:t>239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Existing mining leases under Mining Act for coastal waters</w:t>
      </w:r>
      <w:r>
        <w:tab/>
      </w:r>
      <w:r>
        <w:fldChar w:fldCharType="begin"/>
      </w:r>
      <w:r>
        <w:instrText xml:space="preserve"> PAGEREF _Toc166676136 \h </w:instrText>
      </w:r>
      <w:r>
        <w:fldChar w:fldCharType="separate"/>
      </w:r>
      <w:r>
        <w:t>240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Existing exploration licences under Mining Act that relate both to coastal waters and to other areas</w:t>
      </w:r>
      <w:r>
        <w:tab/>
      </w:r>
      <w:r>
        <w:fldChar w:fldCharType="begin"/>
      </w:r>
      <w:r>
        <w:instrText xml:space="preserve"> PAGEREF _Toc166676137 \h </w:instrText>
      </w:r>
      <w:r>
        <w:fldChar w:fldCharType="separate"/>
      </w:r>
      <w:r>
        <w:t>241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Existing mining leases under Mining Act that relate both to coastal waters and to other areas</w:t>
      </w:r>
      <w:r>
        <w:tab/>
      </w:r>
      <w:r>
        <w:fldChar w:fldCharType="begin"/>
      </w:r>
      <w:r>
        <w:instrText xml:space="preserve"> PAGEREF _Toc166676138 \h </w:instrText>
      </w:r>
      <w:r>
        <w:fldChar w:fldCharType="separate"/>
      </w:r>
      <w:r>
        <w:t>242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Registration</w:t>
      </w:r>
      <w:r>
        <w:tab/>
      </w:r>
      <w:r>
        <w:fldChar w:fldCharType="begin"/>
      </w:r>
      <w:r>
        <w:instrText xml:space="preserve"> PAGEREF _Toc166676139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 file</w:t>
      </w:r>
      <w:r>
        <w:tab/>
      </w:r>
      <w:r>
        <w:fldChar w:fldCharType="begin"/>
      </w:r>
      <w:r>
        <w:instrText xml:space="preserve"> PAGEREF _Toc166676140 \h </w:instrText>
      </w:r>
      <w:r>
        <w:fldChar w:fldCharType="separate"/>
      </w:r>
      <w:r>
        <w:t>244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Securities</w:t>
      </w:r>
      <w:r>
        <w:tab/>
      </w:r>
      <w:r>
        <w:fldChar w:fldCharType="begin"/>
      </w:r>
      <w:r>
        <w:instrText xml:space="preserve"> PAGEREF _Toc166676141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 fees</w:t>
      </w:r>
      <w:r>
        <w:tab/>
      </w:r>
      <w:r>
        <w:fldChar w:fldCharType="begin"/>
      </w:r>
      <w:r>
        <w:instrText xml:space="preserve"> PAGEREF _Toc166676142 \h </w:instrText>
      </w:r>
      <w:r>
        <w:fldChar w:fldCharType="separate"/>
      </w:r>
      <w:r>
        <w:t>244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Pending applications under Mining Act that relate only to coastal waters</w:t>
      </w:r>
      <w:r>
        <w:tab/>
      </w:r>
      <w:r>
        <w:fldChar w:fldCharType="begin"/>
      </w:r>
      <w:r>
        <w:instrText xml:space="preserve"> PAGEREF _Toc166676143 \h </w:instrText>
      </w:r>
      <w:r>
        <w:fldChar w:fldCharType="separate"/>
      </w:r>
      <w:r>
        <w:t>245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Pending applications under Mining Act that relate both to coastal waters and other areas</w:t>
      </w:r>
      <w:r>
        <w:tab/>
      </w:r>
      <w:r>
        <w:fldChar w:fldCharType="begin"/>
      </w:r>
      <w:r>
        <w:instrText xml:space="preserve"> PAGEREF _Toc166676144 \h </w:instrText>
      </w:r>
      <w:r>
        <w:fldChar w:fldCharType="separate"/>
      </w:r>
      <w:r>
        <w:t>245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Powers in relation to transitional provisions</w:t>
      </w:r>
      <w:r>
        <w:tab/>
      </w:r>
      <w:r>
        <w:fldChar w:fldCharType="begin"/>
      </w:r>
      <w:r>
        <w:instrText xml:space="preserve"> PAGEREF _Toc166676145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_Toc166676147 \h </w:instrText>
      </w:r>
      <w:r>
        <w:fldChar w:fldCharType="separate"/>
      </w:r>
      <w:r>
        <w:t>248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_Toc166676148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Offshore Minerals Act 2003</w:t>
      </w:r>
    </w:p>
    <w:p>
      <w:pPr>
        <w:pStyle w:val="LongTitle"/>
        <w:suppressLineNumbers/>
      </w:pPr>
      <w:r>
        <w:rPr>
          <w:snapToGrid w:val="0"/>
        </w:rPr>
        <w:t>An Act relating to exploration for, and the recovery of, minerals (other than petroleum) in the first 3 nautical miles of the territorial sea in respect of Western Australia, and for related purposes</w:t>
      </w:r>
      <w:r>
        <w:t>.</w:t>
      </w:r>
    </w:p>
    <w:p>
      <w:pPr>
        <w:pStyle w:val="Heading2"/>
      </w:pPr>
      <w:bookmarkStart w:id="2" w:name="_Toc166674815"/>
      <w:bookmarkStart w:id="3" w:name="_Toc166675330"/>
      <w:bookmarkStart w:id="4" w:name="_Toc166675082"/>
      <w:r>
        <w:rPr>
          <w:rStyle w:val="CharPartNo"/>
        </w:rPr>
        <w:lastRenderedPageBreak/>
        <w:t>Chapter 1</w:t>
      </w:r>
      <w:r>
        <w:t xml:space="preserve"> — </w:t>
      </w:r>
      <w:r>
        <w:rPr>
          <w:rStyle w:val="CharPartText"/>
        </w:rPr>
        <w:t>Introduction</w:t>
      </w:r>
      <w:bookmarkEnd w:id="2"/>
      <w:bookmarkEnd w:id="3"/>
      <w:bookmarkEnd w:id="4"/>
    </w:p>
    <w:p>
      <w:pPr>
        <w:pStyle w:val="Heading3"/>
      </w:pPr>
      <w:bookmarkStart w:id="5" w:name="_Toc166674816"/>
      <w:bookmarkStart w:id="6" w:name="_Toc166675331"/>
      <w:bookmarkStart w:id="7" w:name="_Toc166675083"/>
      <w:r>
        <w:rPr>
          <w:rStyle w:val="CharDivNo"/>
        </w:rPr>
        <w:t>Part 1.1</w:t>
      </w:r>
      <w:r>
        <w:t xml:space="preserve"> — </w:t>
      </w:r>
      <w:r>
        <w:rPr>
          <w:rStyle w:val="CharDivText"/>
        </w:rPr>
        <w:t>Legislative formalities and background</w:t>
      </w:r>
      <w:bookmarkEnd w:id="5"/>
      <w:bookmarkEnd w:id="6"/>
      <w:bookmarkEnd w:id="7"/>
    </w:p>
    <w:p>
      <w:pPr>
        <w:pStyle w:val="Heading5"/>
      </w:pPr>
      <w:bookmarkStart w:id="8" w:name="_Toc166675084"/>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9" w:name="_Toc166675085"/>
      <w:r>
        <w:rPr>
          <w:rStyle w:val="CharSectno"/>
        </w:rPr>
        <w:t>2</w:t>
      </w:r>
      <w:r>
        <w:rPr>
          <w:snapToGrid w:val="0"/>
        </w:rPr>
        <w:t>.</w:t>
      </w:r>
      <w:r>
        <w:rPr>
          <w:snapToGrid w:val="0"/>
        </w:rPr>
        <w:tab/>
        <w:t>Commencement</w:t>
      </w:r>
      <w:bookmarkEnd w:id="9"/>
    </w:p>
    <w:p>
      <w:pPr>
        <w:pStyle w:val="Subsection"/>
      </w:pPr>
      <w:r>
        <w:tab/>
      </w:r>
      <w:r>
        <w:tab/>
        <w:t xml:space="preserve">This Act comes into operation on </w:t>
      </w:r>
      <w:r>
        <w:rPr>
          <w:snapToGrid w:val="0"/>
        </w:rPr>
        <w:t>a day fixed by proclamation</w:t>
      </w:r>
      <w:r>
        <w:t>.</w:t>
      </w:r>
    </w:p>
    <w:p>
      <w:pPr>
        <w:pStyle w:val="Heading5"/>
      </w:pPr>
      <w:bookmarkStart w:id="10" w:name="_Toc166675086"/>
      <w:r>
        <w:rPr>
          <w:rStyle w:val="CharSectno"/>
        </w:rPr>
        <w:t>3</w:t>
      </w:r>
      <w:r>
        <w:t>.</w:t>
      </w:r>
      <w:r>
        <w:tab/>
        <w:t>Commonwealth</w:t>
      </w:r>
      <w:r>
        <w:noBreakHyphen/>
        <w:t>State agreement (the Offshore Constitutional Settlement)</w:t>
      </w:r>
      <w:bookmarkEnd w:id="10"/>
    </w:p>
    <w:p>
      <w:pPr>
        <w:pStyle w:val="Subsection"/>
        <w:rPr>
          <w:snapToGrid w:val="0"/>
        </w:rPr>
      </w:pPr>
      <w:r>
        <w:tab/>
        <w:t>(1)</w:t>
      </w:r>
      <w:r>
        <w:tab/>
      </w:r>
      <w:r>
        <w:rPr>
          <w:snapToGrid w:val="0"/>
        </w:rPr>
        <w:t>The Commonwealth and the States have agreed that — </w:t>
      </w:r>
    </w:p>
    <w:p>
      <w:pPr>
        <w:pStyle w:val="Indenta"/>
        <w:rPr>
          <w:snapToGrid w:val="0"/>
        </w:rPr>
      </w:pPr>
      <w:r>
        <w:rPr>
          <w:snapToGrid w:val="0"/>
        </w:rPr>
        <w:tab/>
        <w:t>(a)</w:t>
      </w:r>
      <w:r>
        <w:rPr>
          <w:snapToGrid w:val="0"/>
        </w:rPr>
        <w:tab/>
        <w:t>Commonwealth offshore mining legislation should be limited to the area that is outside State coastal waters; and</w:t>
      </w:r>
    </w:p>
    <w:p>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Indenta"/>
        <w:rPr>
          <w:snapToGrid w:val="0"/>
        </w:rPr>
      </w:pPr>
      <w:r>
        <w:rPr>
          <w:snapToGrid w:val="0"/>
        </w:rPr>
        <w:tab/>
        <w:t>(d)</w:t>
      </w:r>
      <w:r>
        <w:rPr>
          <w:snapToGrid w:val="0"/>
        </w:rPr>
        <w:tab/>
        <w:t>the Commonwealth and the States should try to maintain, as far as practicable, common principles, rules and practices in regulating and controlling offshore mining beyond the baseline of Australia’s territorial sea.</w:t>
      </w:r>
    </w:p>
    <w:p>
      <w:pPr>
        <w:pStyle w:val="PermNoteHeading"/>
      </w:pPr>
      <w:r>
        <w:tab/>
        <w:t>Notes for this subsection:</w:t>
      </w:r>
    </w:p>
    <w:p>
      <w:pPr>
        <w:pStyle w:val="PermNoteText"/>
        <w:rPr>
          <w:snapToGrid w:val="0"/>
        </w:rPr>
      </w:pPr>
      <w:r>
        <w:tab/>
        <w:t>1.</w:t>
      </w:r>
      <w:r>
        <w:tab/>
      </w:r>
      <w:r>
        <w:rPr>
          <w:snapToGrid w:val="0"/>
        </w:rPr>
        <w:t xml:space="preserve">So far as the agreement relates to petroleum, it is reflected in this State’s legislation by the </w:t>
      </w:r>
      <w:r>
        <w:rPr>
          <w:i/>
          <w:snapToGrid w:val="0"/>
        </w:rPr>
        <w:t>Petroleum (Submerged Lands) Act 1982</w:t>
      </w:r>
      <w:r>
        <w:rPr>
          <w:snapToGrid w:val="0"/>
        </w:rPr>
        <w:t>.</w:t>
      </w:r>
    </w:p>
    <w:p>
      <w:pPr>
        <w:pStyle w:val="PermNoteText"/>
      </w:pPr>
      <w:r>
        <w:tab/>
        <w:t>2.</w:t>
      </w:r>
      <w:r>
        <w:tab/>
      </w:r>
      <w:r>
        <w:rPr>
          <w:snapToGrid w:val="0"/>
        </w:rPr>
        <w:t xml:space="preserve">Some sections of the Commonwealth Act contain provisions that are not relevant to the operation of this Act. To keep uniformity between this Act and the Commonwealth Act the numbers of the sections that are not relevant up to section 423 have not been used in the </w:t>
      </w:r>
      <w:r>
        <w:rPr>
          <w:snapToGrid w:val="0"/>
        </w:rPr>
        <w:lastRenderedPageBreak/>
        <w:t>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PermNoteHeading"/>
      </w:pPr>
      <w:r>
        <w:tab/>
        <w:t>Notes for this subsection:</w:t>
      </w:r>
    </w:p>
    <w:p>
      <w:pPr>
        <w:pStyle w:val="PermNoteText"/>
        <w:rPr>
          <w:snapToGrid w:val="0"/>
        </w:rPr>
      </w:pPr>
      <w:r>
        <w:tab/>
        <w:t>1.</w:t>
      </w:r>
      <w:r>
        <w:tab/>
      </w:r>
      <w:r>
        <w:rPr>
          <w:snapToGrid w:val="0"/>
        </w:rPr>
        <w:t>The</w:t>
      </w:r>
      <w:r>
        <w:rPr>
          <w:i/>
          <w:snapToGrid w:val="0"/>
        </w:rPr>
        <w:t xml:space="preserve"> Seas and Submerged Lands Act 1973 —</w:t>
      </w:r>
      <w:r>
        <w:rPr>
          <w:snapToGrid w:val="0"/>
        </w:rPr>
        <w:t> </w:t>
      </w:r>
    </w:p>
    <w:p>
      <w:pPr>
        <w:pStyle w:val="PermNotePara"/>
        <w:rPr>
          <w:snapToGrid w:val="0"/>
        </w:rPr>
      </w:pPr>
      <w:r>
        <w:tab/>
        <w:t>(a)</w:t>
      </w:r>
      <w:r>
        <w:tab/>
      </w:r>
      <w:r>
        <w:rPr>
          <w:snapToGrid w:val="0"/>
        </w:rPr>
        <w:t>declares and enacts that the sovereignty in respect of the territorial sea and the associated airspace, seabed and subsoil is vested in and exercisable by the Crown in right of the Commonwealth;</w:t>
      </w:r>
    </w:p>
    <w:p>
      <w:pPr>
        <w:pStyle w:val="PermNotePara"/>
      </w:pPr>
      <w:r>
        <w:rPr>
          <w:snapToGrid w:val="0"/>
        </w:rPr>
        <w:tab/>
        <w:t>(b)</w:t>
      </w:r>
      <w:r>
        <w:rPr>
          <w:snapToGrid w:val="0"/>
        </w:rPr>
        <w:tab/>
        <w:t>gives the Governor</w:t>
      </w:r>
      <w:r>
        <w:rPr>
          <w:snapToGrid w:val="0"/>
        </w:rPr>
        <w:noBreakHyphen/>
        <w:t>General power to declare, by Proclamation, the limits of the territorial sea;</w:t>
      </w:r>
    </w:p>
    <w:p>
      <w:pPr>
        <w:pStyle w:val="PermNotePara"/>
        <w:rPr>
          <w:snapToGrid w:val="0"/>
        </w:rPr>
      </w:pPr>
      <w:r>
        <w:rPr>
          <w:snapToGrid w:val="0"/>
        </w:rPr>
        <w:tab/>
        <w:t>(c)</w:t>
      </w:r>
      <w:r>
        <w:rPr>
          <w:snapToGrid w:val="0"/>
        </w:rPr>
        <w:tab/>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PermNotePara"/>
        <w:rPr>
          <w:snapToGrid w:val="0"/>
        </w:rPr>
      </w:pPr>
      <w:r>
        <w:rPr>
          <w:snapToGrid w:val="0"/>
        </w:rPr>
        <w:tab/>
        <w:t>(d)</w:t>
      </w:r>
      <w:r>
        <w:rPr>
          <w:snapToGrid w:val="0"/>
        </w:rPr>
        <w:tab/>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PermNotePara"/>
        <w:rPr>
          <w:snapToGrid w:val="0"/>
        </w:rPr>
      </w:pPr>
      <w:r>
        <w:rPr>
          <w:snapToGrid w:val="0"/>
        </w:rPr>
        <w:tab/>
        <w:t>(e)</w:t>
      </w:r>
      <w:r>
        <w:rPr>
          <w:snapToGrid w:val="0"/>
        </w:rPr>
        <w:tab/>
        <w:t>gives the Governor</w:t>
      </w:r>
      <w:r>
        <w:rPr>
          <w:snapToGrid w:val="0"/>
        </w:rPr>
        <w:noBreakHyphen/>
        <w:t>General power to declare, by Proclamation, the limits of the Continental Shelf of Australia.</w:t>
      </w:r>
    </w:p>
    <w:p>
      <w:pPr>
        <w:pStyle w:val="PermNoteText"/>
      </w:pPr>
      <w:r>
        <w:tab/>
        <w:t>2.</w:t>
      </w:r>
      <w:r>
        <w:tab/>
        <w:t xml:space="preserve">The </w:t>
      </w:r>
      <w:r>
        <w:rPr>
          <w:i/>
        </w:rPr>
        <w:t>Coastal Waters (State Powers) Act 1980</w:t>
      </w:r>
      <w: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pPr>
        <w:pStyle w:val="PermNoteText"/>
      </w:pPr>
      <w:r>
        <w:tab/>
        <w:t>3.</w:t>
      </w:r>
      <w:r>
        <w:tab/>
        <w:t xml:space="preserve">The </w:t>
      </w:r>
      <w:r>
        <w:rPr>
          <w:i/>
        </w:rPr>
        <w:t>Coastal Waters (State Title) Act 1980</w:t>
      </w:r>
      <w:r>
        <w:t xml:space="preserve"> vests in each State certain property rights in the seabed beneath the coastal waters of the State.</w:t>
      </w:r>
    </w:p>
    <w:p>
      <w:pPr>
        <w:pStyle w:val="PermNoteText"/>
      </w:pPr>
      <w:r>
        <w:lastRenderedPageBreak/>
        <w:tab/>
        <w:t>4.</w:t>
      </w:r>
      <w:r>
        <w:tab/>
        <w:t xml:space="preserve">The </w:t>
      </w:r>
      <w:r>
        <w:rPr>
          <w:i/>
        </w:rPr>
        <w:t>Petroleum (Submerged Lands) Act 1967</w:t>
      </w:r>
      <w:r>
        <w:t xml:space="preserve"> of the Commonwealth and the </w:t>
      </w:r>
      <w:r>
        <w:rPr>
          <w:i/>
        </w:rPr>
        <w:t>Petroleum (Submerged Lands) Act 1982</w:t>
      </w:r>
      <w:r>
        <w:t xml:space="preserve"> of this State make provision, based on the agreement referred to in subsection (1), for the licensing regime that applies to the exploration for and recovery of petroleum in coastal waters and offshore areas of this State.</w:t>
      </w:r>
    </w:p>
    <w:p>
      <w:pPr>
        <w:pStyle w:val="Heading3"/>
        <w:pageBreakBefore/>
      </w:pPr>
      <w:bookmarkStart w:id="11" w:name="_Toc166674820"/>
      <w:bookmarkStart w:id="12" w:name="_Toc166675335"/>
      <w:bookmarkStart w:id="13" w:name="_Toc166675087"/>
      <w:r>
        <w:rPr>
          <w:rStyle w:val="CharDivNo"/>
        </w:rPr>
        <w:lastRenderedPageBreak/>
        <w:t>Part 1.2</w:t>
      </w:r>
      <w:r>
        <w:rPr>
          <w:snapToGrid w:val="0"/>
        </w:rPr>
        <w:t xml:space="preserve"> — </w:t>
      </w:r>
      <w:r>
        <w:rPr>
          <w:rStyle w:val="CharDivText"/>
        </w:rPr>
        <w:t>Interpretation</w:t>
      </w:r>
      <w:bookmarkEnd w:id="11"/>
      <w:bookmarkEnd w:id="12"/>
      <w:bookmarkEnd w:id="13"/>
    </w:p>
    <w:p>
      <w:pPr>
        <w:pStyle w:val="Heading4"/>
        <w:rPr>
          <w:b w:val="0"/>
        </w:rPr>
      </w:pPr>
      <w:bookmarkStart w:id="14" w:name="_Toc166674821"/>
      <w:bookmarkStart w:id="15" w:name="_Toc166675336"/>
      <w:bookmarkStart w:id="16" w:name="_Toc166675088"/>
      <w:r>
        <w:rPr>
          <w:b w:val="0"/>
        </w:rPr>
        <w:t>Division 1 — General</w:t>
      </w:r>
      <w:bookmarkEnd w:id="14"/>
      <w:bookmarkEnd w:id="15"/>
      <w:bookmarkEnd w:id="16"/>
    </w:p>
    <w:p>
      <w:pPr>
        <w:pStyle w:val="Heading5"/>
        <w:rPr>
          <w:snapToGrid w:val="0"/>
        </w:rPr>
      </w:pPr>
      <w:bookmarkStart w:id="17" w:name="_Toc166675089"/>
      <w:r>
        <w:rPr>
          <w:rStyle w:val="CharSectno"/>
        </w:rPr>
        <w:t>4</w:t>
      </w:r>
      <w:r>
        <w:rPr>
          <w:snapToGrid w:val="0"/>
        </w:rPr>
        <w:t>.</w:t>
      </w:r>
      <w:r>
        <w:rPr>
          <w:snapToGrid w:val="0"/>
        </w:rPr>
        <w:tab/>
        <w:t>Notes in the text</w:t>
      </w:r>
      <w:bookmarkEnd w:id="17"/>
      <w:r>
        <w:rPr>
          <w:snapToGrid w:val="0"/>
        </w:rPr>
        <w:t xml:space="preserve"> </w:t>
      </w:r>
    </w:p>
    <w:p>
      <w:pPr>
        <w:pStyle w:val="Subsection"/>
        <w:rPr>
          <w:snapToGrid w:val="0"/>
        </w:rPr>
      </w:pPr>
      <w:r>
        <w:rPr>
          <w:snapToGrid w:val="0"/>
        </w:rPr>
        <w:tab/>
      </w:r>
      <w:r>
        <w:rPr>
          <w:snapToGrid w:val="0"/>
        </w:rPr>
        <w:tab/>
        <w:t>Notes and diagrams in this Act are provided to assist understanding and do not form part of the Act.</w:t>
      </w:r>
    </w:p>
    <w:p>
      <w:pPr>
        <w:pStyle w:val="Heading5"/>
        <w:rPr>
          <w:snapToGrid w:val="0"/>
        </w:rPr>
      </w:pPr>
      <w:bookmarkStart w:id="18" w:name="_Toc166675090"/>
      <w:r>
        <w:rPr>
          <w:rStyle w:val="CharSectno"/>
        </w:rPr>
        <w:t>5</w:t>
      </w:r>
      <w:r>
        <w:rPr>
          <w:snapToGrid w:val="0"/>
        </w:rPr>
        <w:t>.</w:t>
      </w:r>
      <w:r>
        <w:rPr>
          <w:snapToGrid w:val="0"/>
        </w:rPr>
        <w:tab/>
        <w:t>Interpretation</w:t>
      </w:r>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approved</w:t>
      </w:r>
      <w:r>
        <w:t xml:space="preserve"> means approved by the Minister under section 41;</w:t>
      </w:r>
    </w:p>
    <w:p>
      <w:pPr>
        <w:pStyle w:val="Defstart"/>
      </w:pPr>
      <w:r>
        <w:rPr>
          <w:b/>
        </w:rPr>
        <w:tab/>
      </w:r>
      <w:r>
        <w:rPr>
          <w:rStyle w:val="CharDefText"/>
        </w:rPr>
        <w:t>associate</w:t>
      </w:r>
      <w:r>
        <w:t xml:space="preserve"> has the meaning given by section 26(1);</w:t>
      </w:r>
    </w:p>
    <w:p>
      <w:pPr>
        <w:pStyle w:val="Defstart"/>
      </w:pPr>
      <w:r>
        <w:rPr>
          <w:b/>
        </w:rPr>
        <w:tab/>
      </w:r>
      <w:r>
        <w:rPr>
          <w:rStyle w:val="CharDefText"/>
        </w:rPr>
        <w:t>associated agent of an associated contractor</w:t>
      </w:r>
      <w:r>
        <w:t xml:space="preserve"> has the meaning given by section 26(4);</w:t>
      </w:r>
    </w:p>
    <w:p>
      <w:pPr>
        <w:pStyle w:val="Defstart"/>
      </w:pPr>
      <w:r>
        <w:rPr>
          <w:b/>
        </w:rPr>
        <w:tab/>
      </w:r>
      <w:r>
        <w:rPr>
          <w:rStyle w:val="CharDefText"/>
        </w:rPr>
        <w:t>associated agent of the holder</w:t>
      </w:r>
      <w:r>
        <w:t xml:space="preserve"> has the meaning given by section 26(3);</w:t>
      </w:r>
    </w:p>
    <w:p>
      <w:pPr>
        <w:pStyle w:val="Defstart"/>
      </w:pPr>
      <w:r>
        <w:rPr>
          <w:b/>
        </w:rPr>
        <w:tab/>
      </w:r>
      <w:r>
        <w:rPr>
          <w:rStyle w:val="CharDefText"/>
        </w:rPr>
        <w:t>associated contractor of the holder</w:t>
      </w:r>
      <w:r>
        <w:t xml:space="preserve"> has the meaning given by section 26(2);</w:t>
      </w:r>
    </w:p>
    <w:p>
      <w:pPr>
        <w:pStyle w:val="Defstart"/>
      </w:pPr>
      <w:r>
        <w:rPr>
          <w:b/>
        </w:rPr>
        <w:tab/>
      </w:r>
      <w:r>
        <w:rPr>
          <w:rStyle w:val="CharDefText"/>
        </w:rPr>
        <w:t>associated employee of an associated contractor</w:t>
      </w:r>
      <w:r>
        <w:t xml:space="preserve"> has the meaning given by section 26(6);</w:t>
      </w:r>
    </w:p>
    <w:p>
      <w:pPr>
        <w:pStyle w:val="Defstart"/>
      </w:pPr>
      <w:r>
        <w:rPr>
          <w:b/>
        </w:rPr>
        <w:tab/>
      </w:r>
      <w:r>
        <w:rPr>
          <w:rStyle w:val="CharDefText"/>
        </w:rPr>
        <w:t>associated employee of the holder</w:t>
      </w:r>
      <w:r>
        <w:t xml:space="preserve"> has the meaning given by section 26(5);</w:t>
      </w:r>
    </w:p>
    <w:p>
      <w:pPr>
        <w:pStyle w:val="Defstart"/>
      </w:pPr>
      <w:r>
        <w:rPr>
          <w:b/>
        </w:rPr>
        <w:tab/>
      </w:r>
      <w:r>
        <w:rPr>
          <w:rStyle w:val="CharDefText"/>
        </w:rPr>
        <w:t>block</w:t>
      </w:r>
      <w:r>
        <w:t xml:space="preserve"> means a portion of the coastal waters constituted according to section 17;</w:t>
      </w:r>
    </w:p>
    <w:p>
      <w:pPr>
        <w:pStyle w:val="Defstart"/>
      </w:pPr>
      <w:r>
        <w:rPr>
          <w:b/>
        </w:rPr>
        <w:tab/>
      </w:r>
      <w:r>
        <w:rPr>
          <w:rStyle w:val="CharDefText"/>
        </w:rPr>
        <w:t>caveat</w:t>
      </w:r>
      <w:r>
        <w:t xml:space="preserve"> on a licence means a caveat against — </w:t>
      </w:r>
    </w:p>
    <w:p>
      <w:pPr>
        <w:pStyle w:val="Defpara"/>
      </w:pPr>
      <w:r>
        <w:tab/>
        <w:t>(a)</w:t>
      </w:r>
      <w:r>
        <w:tab/>
        <w:t>the registration of dealings in relation to the licence; or</w:t>
      </w:r>
    </w:p>
    <w:p>
      <w:pPr>
        <w:pStyle w:val="Defpara"/>
      </w:pPr>
      <w:r>
        <w:tab/>
        <w:t>(b)</w:t>
      </w:r>
      <w:r>
        <w:tab/>
        <w:t>the registration of a person as a holder of the licence under section 340;</w:t>
      </w:r>
    </w:p>
    <w:p>
      <w:pPr>
        <w:pStyle w:val="Defstart"/>
      </w:pPr>
      <w:r>
        <w:rPr>
          <w:b/>
        </w:rPr>
        <w:tab/>
      </w:r>
      <w:r>
        <w:rPr>
          <w:rStyle w:val="CharDefText"/>
        </w:rPr>
        <w:t>coastal waters</w:t>
      </w:r>
      <w:r>
        <w:t xml:space="preserve"> has the meaning given by section 16(1) and (2);</w:t>
      </w:r>
    </w:p>
    <w:p>
      <w:pPr>
        <w:pStyle w:val="Defstart"/>
      </w:pPr>
      <w:r>
        <w:rPr>
          <w:b/>
        </w:rPr>
        <w:tab/>
      </w:r>
      <w:r>
        <w:rPr>
          <w:rStyle w:val="CharDefText"/>
        </w:rPr>
        <w:t>Commonwealth Act</w:t>
      </w:r>
      <w:r>
        <w:t xml:space="preserve"> means the </w:t>
      </w:r>
      <w:r>
        <w:rPr>
          <w:i/>
        </w:rPr>
        <w:t>Offshore Minerals Act 1994</w:t>
      </w:r>
      <w:r>
        <w:t xml:space="preserve"> of the Commonwealth;</w:t>
      </w:r>
    </w:p>
    <w:p>
      <w:pPr>
        <w:pStyle w:val="Defstart"/>
      </w:pPr>
      <w:r>
        <w:rPr>
          <w:b/>
        </w:rPr>
        <w:lastRenderedPageBreak/>
        <w:tab/>
      </w:r>
      <w:r>
        <w:rPr>
          <w:rStyle w:val="CharDefText"/>
        </w:rPr>
        <w:t>Commonwealth Minister</w:t>
      </w:r>
      <w:r>
        <w:t xml:space="preserve"> means a Minister of State for the Commonwealth;</w:t>
      </w:r>
    </w:p>
    <w:p>
      <w:pPr>
        <w:pStyle w:val="Defstart"/>
      </w:pPr>
      <w:r>
        <w:rPr>
          <w:b/>
        </w:rPr>
        <w:tab/>
      </w:r>
      <w:r>
        <w:rPr>
          <w:rStyle w:val="CharDefText"/>
        </w:rPr>
        <w:t>compliance inspection</w:t>
      </w:r>
      <w:r>
        <w:t xml:space="preserve"> has the meaning given by section 377;</w:t>
      </w:r>
    </w:p>
    <w:p>
      <w:pPr>
        <w:pStyle w:val="Defstart"/>
      </w:pPr>
      <w:r>
        <w:rPr>
          <w:b/>
        </w:rPr>
        <w:tab/>
      </w:r>
      <w:r>
        <w:rPr>
          <w:rStyle w:val="CharDefText"/>
        </w:rPr>
        <w:t>confidential information</w:t>
      </w:r>
      <w:r>
        <w:t xml:space="preserve"> has the meaning given by section 27;</w:t>
      </w:r>
    </w:p>
    <w:p>
      <w:pPr>
        <w:pStyle w:val="Defstart"/>
      </w:pPr>
      <w:r>
        <w:rPr>
          <w:b/>
        </w:rPr>
        <w:tab/>
      </w:r>
      <w:r>
        <w:rPr>
          <w:rStyle w:val="CharDefText"/>
        </w:rPr>
        <w:t>confidential sample</w:t>
      </w:r>
      <w:r>
        <w:t xml:space="preserve"> has the meaning given by section 28;</w:t>
      </w:r>
    </w:p>
    <w:p>
      <w:pPr>
        <w:pStyle w:val="Defstart"/>
      </w:pPr>
      <w:r>
        <w:rPr>
          <w:b/>
        </w:rPr>
        <w:tab/>
      </w:r>
      <w:r>
        <w:rPr>
          <w:rStyle w:val="CharDefText"/>
        </w:rPr>
        <w:t>consent area</w:t>
      </w:r>
      <w:r>
        <w:t xml:space="preserve"> means the block or blocks specified in a special purpose consent;</w:t>
      </w:r>
    </w:p>
    <w:p>
      <w:pPr>
        <w:pStyle w:val="Defstart"/>
      </w:pPr>
      <w:r>
        <w:rPr>
          <w:b/>
        </w:rPr>
        <w:tab/>
      </w:r>
      <w:r>
        <w:rPr>
          <w:rStyle w:val="CharDefText"/>
        </w:rPr>
        <w:t>dealing</w:t>
      </w:r>
      <w:r>
        <w:t xml:space="preserve"> in a licence means a transaction that creates, transfers, affects or otherwise deals with an interest in the licence and includes — </w:t>
      </w:r>
    </w:p>
    <w:p>
      <w:pPr>
        <w:pStyle w:val="Defpara"/>
      </w:pPr>
      <w:r>
        <w:tab/>
        <w:t>(a)</w:t>
      </w:r>
      <w:r>
        <w:tab/>
        <w:t>a transfer of the licence; and</w:t>
      </w:r>
    </w:p>
    <w:p>
      <w:pPr>
        <w:pStyle w:val="Defpara"/>
      </w:pPr>
      <w:r>
        <w:tab/>
        <w:t>(b)</w:t>
      </w:r>
      <w:r>
        <w:tab/>
        <w:t>a transfer of a share in the licence,</w:t>
      </w:r>
    </w:p>
    <w:p>
      <w:pPr>
        <w:pStyle w:val="Defstart"/>
      </w:pPr>
      <w:r>
        <w:tab/>
      </w:r>
      <w:r>
        <w:tab/>
        <w:t>but does not include a document that comes within section 337(1) other than a document by which a block or a licence is surrendered;</w:t>
      </w:r>
    </w:p>
    <w:p>
      <w:pPr>
        <w:pStyle w:val="Defstart"/>
      </w:pPr>
      <w:r>
        <w:rPr>
          <w:b/>
        </w:rPr>
        <w:tab/>
      </w:r>
      <w:r>
        <w:rPr>
          <w:rStyle w:val="CharDefText"/>
        </w:rPr>
        <w:t>discrete area</w:t>
      </w:r>
      <w:r>
        <w:t xml:space="preserve"> has the meaning given by section 21;</w:t>
      </w:r>
    </w:p>
    <w:p>
      <w:pPr>
        <w:pStyle w:val="Defstart"/>
      </w:pPr>
      <w:r>
        <w:rPr>
          <w:b/>
        </w:rPr>
        <w:tab/>
      </w:r>
      <w:r>
        <w:rPr>
          <w:rStyle w:val="CharDefText"/>
        </w:rPr>
        <w:t>document file</w:t>
      </w:r>
      <w:r>
        <w:t xml:space="preserve"> means a document file kept for the purposes of Part 3.1;</w:t>
      </w:r>
    </w:p>
    <w:p>
      <w:pPr>
        <w:pStyle w:val="Defstart"/>
      </w:pPr>
      <w:r>
        <w:rPr>
          <w:b/>
        </w:rPr>
        <w:tab/>
      </w:r>
      <w:r>
        <w:rPr>
          <w:rStyle w:val="CharDefText"/>
        </w:rPr>
        <w:t>exploration</w:t>
      </w:r>
      <w:r>
        <w:t xml:space="preserve"> has the meaning given by section 23;</w:t>
      </w:r>
    </w:p>
    <w:p>
      <w:pPr>
        <w:pStyle w:val="Defstart"/>
      </w:pPr>
      <w:r>
        <w:tab/>
      </w:r>
      <w:r>
        <w:rPr>
          <w:rStyle w:val="CharDefText"/>
        </w:rPr>
        <w:t>holder of a licence</w:t>
      </w:r>
      <w:r>
        <w:t xml:space="preserve"> has the meaning given by section 25(1);</w:t>
      </w:r>
    </w:p>
    <w:p>
      <w:pPr>
        <w:pStyle w:val="Defstart"/>
      </w:pPr>
      <w:r>
        <w:rPr>
          <w:b/>
        </w:rPr>
        <w:tab/>
      </w:r>
      <w:r>
        <w:rPr>
          <w:rStyle w:val="CharDefText"/>
        </w:rPr>
        <w:t>hydrocarbon</w:t>
      </w:r>
      <w:r>
        <w:t xml:space="preserve"> means a hydrocarbon whether in a gaseous, liquid or solid state;</w:t>
      </w:r>
    </w:p>
    <w:p>
      <w:pPr>
        <w:pStyle w:val="Defstart"/>
      </w:pPr>
      <w:r>
        <w:rPr>
          <w:b/>
        </w:rPr>
        <w:tab/>
      </w:r>
      <w:r>
        <w:rPr>
          <w:rStyle w:val="CharDefText"/>
        </w:rPr>
        <w:t>inspector</w:t>
      </w:r>
      <w:r>
        <w:t xml:space="preserve"> means an inspector appointed under section 421;</w:t>
      </w:r>
    </w:p>
    <w:p>
      <w:pPr>
        <w:pStyle w:val="Defstart"/>
      </w:pPr>
      <w:r>
        <w:rPr>
          <w:b/>
        </w:rPr>
        <w:tab/>
      </w:r>
      <w:r>
        <w:rPr>
          <w:rStyle w:val="CharDefText"/>
        </w:rPr>
        <w:t>interest</w:t>
      </w:r>
      <w:r>
        <w:t>, in relation to a licence, includes — </w:t>
      </w:r>
    </w:p>
    <w:p>
      <w:pPr>
        <w:pStyle w:val="Defpara"/>
      </w:pPr>
      <w:r>
        <w:tab/>
        <w:t>(a)</w:t>
      </w:r>
      <w:r>
        <w:tab/>
        <w:t>an equitable interest in the licence; and</w:t>
      </w:r>
    </w:p>
    <w:p>
      <w:pPr>
        <w:pStyle w:val="Defpara"/>
      </w:pPr>
      <w:r>
        <w:tab/>
        <w:t>(b)</w:t>
      </w:r>
      <w:r>
        <w:tab/>
        <w:t>a security interest in the licence;</w:t>
      </w:r>
    </w:p>
    <w:p>
      <w:pPr>
        <w:pStyle w:val="Defstart"/>
      </w:pPr>
      <w:r>
        <w:rPr>
          <w:b/>
        </w:rPr>
        <w:tab/>
      </w:r>
      <w:r>
        <w:rPr>
          <w:rStyle w:val="CharDefText"/>
        </w:rPr>
        <w:t>licence</w:t>
      </w:r>
      <w:r>
        <w:t xml:space="preserve"> means — </w:t>
      </w:r>
    </w:p>
    <w:p>
      <w:pPr>
        <w:pStyle w:val="Defpara"/>
      </w:pPr>
      <w:r>
        <w:tab/>
        <w:t>(a)</w:t>
      </w:r>
      <w:r>
        <w:tab/>
        <w:t>an exploration licence; or</w:t>
      </w:r>
    </w:p>
    <w:p>
      <w:pPr>
        <w:pStyle w:val="Defpara"/>
      </w:pPr>
      <w:r>
        <w:tab/>
        <w:t>(b)</w:t>
      </w:r>
      <w:r>
        <w:tab/>
        <w:t>a retention licence; or</w:t>
      </w:r>
    </w:p>
    <w:p>
      <w:pPr>
        <w:pStyle w:val="Defpara"/>
      </w:pPr>
      <w:r>
        <w:tab/>
        <w:t>(c)</w:t>
      </w:r>
      <w:r>
        <w:tab/>
        <w:t>a mining licence; or</w:t>
      </w:r>
    </w:p>
    <w:p>
      <w:pPr>
        <w:pStyle w:val="Defpara"/>
      </w:pPr>
      <w:r>
        <w:lastRenderedPageBreak/>
        <w:tab/>
        <w:t>(d)</w:t>
      </w:r>
      <w:r>
        <w:tab/>
        <w:t>a works licence;</w:t>
      </w:r>
    </w:p>
    <w:p>
      <w:pPr>
        <w:pStyle w:val="Defstart"/>
      </w:pPr>
      <w:r>
        <w:rPr>
          <w:b/>
        </w:rPr>
        <w:tab/>
      </w:r>
      <w:r>
        <w:rPr>
          <w:rStyle w:val="CharDefText"/>
        </w:rPr>
        <w:t>licence area</w:t>
      </w:r>
      <w:r>
        <w:t xml:space="preserve"> means the block or blocks covered by a licence;</w:t>
      </w:r>
    </w:p>
    <w:p>
      <w:pPr>
        <w:pStyle w:val="Defstart"/>
      </w:pPr>
      <w:r>
        <w:rPr>
          <w:b/>
        </w:rPr>
        <w:tab/>
      </w:r>
      <w:r>
        <w:rPr>
          <w:rStyle w:val="CharDefText"/>
        </w:rPr>
        <w:t>licence holder</w:t>
      </w:r>
      <w:r>
        <w:t xml:space="preserve"> has the meaning given by section 25(1);</w:t>
      </w:r>
    </w:p>
    <w:p>
      <w:pPr>
        <w:pStyle w:val="Defstart"/>
      </w:pPr>
      <w:r>
        <w:rPr>
          <w:b/>
        </w:rPr>
        <w:tab/>
      </w:r>
      <w:r>
        <w:rPr>
          <w:rStyle w:val="CharDefText"/>
        </w:rPr>
        <w:t>mineral</w:t>
      </w:r>
      <w:r>
        <w:t xml:space="preserve"> has the meaning given by section 22;</w:t>
      </w:r>
    </w:p>
    <w:p>
      <w:pPr>
        <w:pStyle w:val="Defstart"/>
      </w:pPr>
      <w:r>
        <w:rPr>
          <w:b/>
        </w:rPr>
        <w:tab/>
      </w:r>
      <w:r>
        <w:rPr>
          <w:rStyle w:val="CharDefText"/>
        </w:rPr>
        <w:t>offshore exploration or mining activities</w:t>
      </w:r>
      <w:r>
        <w:t xml:space="preserve"> means — </w:t>
      </w:r>
    </w:p>
    <w:p>
      <w:pPr>
        <w:pStyle w:val="Defpara"/>
      </w:pPr>
      <w:r>
        <w:tab/>
        <w:t>(a)</w:t>
      </w:r>
      <w:r>
        <w:tab/>
        <w:t>the exploration for minerals in coastal waters; or</w:t>
      </w:r>
    </w:p>
    <w:p>
      <w:pPr>
        <w:pStyle w:val="Defpara"/>
      </w:pPr>
      <w:r>
        <w:tab/>
        <w:t>(b)</w:t>
      </w:r>
      <w:r>
        <w:tab/>
        <w:t>the recovery of minerals from coastal waters; or</w:t>
      </w:r>
    </w:p>
    <w:p>
      <w:pPr>
        <w:pStyle w:val="Defpara"/>
      </w:pPr>
      <w:r>
        <w:tab/>
        <w:t>(c)</w:t>
      </w:r>
      <w:r>
        <w:tab/>
        <w:t>activities carried out in coastal waters under a works licence;</w:t>
      </w:r>
    </w:p>
    <w:p>
      <w:pPr>
        <w:pStyle w:val="Defstart"/>
      </w:pPr>
      <w:r>
        <w:rPr>
          <w:b/>
        </w:rPr>
        <w:tab/>
      </w:r>
      <w:r>
        <w:rPr>
          <w:rStyle w:val="CharDefText"/>
        </w:rPr>
        <w:t>offshore mining register</w:t>
      </w:r>
      <w:r>
        <w:t xml:space="preserve"> means a register kept for the purposes of Part 3.1;</w:t>
      </w:r>
    </w:p>
    <w:p>
      <w:pPr>
        <w:pStyle w:val="Defstart"/>
      </w:pPr>
      <w:r>
        <w:rPr>
          <w:b/>
        </w:rPr>
        <w:tab/>
      </w:r>
      <w:r>
        <w:rPr>
          <w:rStyle w:val="CharDefText"/>
        </w:rPr>
        <w:t>petroleum</w:t>
      </w:r>
      <w:r>
        <w:t xml:space="preserve"> means — </w:t>
      </w:r>
    </w:p>
    <w:p>
      <w:pPr>
        <w:pStyle w:val="Defpara"/>
      </w:pPr>
      <w:r>
        <w:tab/>
        <w:t>(a)</w:t>
      </w:r>
      <w:r>
        <w:tab/>
        <w:t>a hydrocarbon or a mixture of hydrocarbons; or</w:t>
      </w:r>
    </w:p>
    <w:p>
      <w:pPr>
        <w:pStyle w:val="Defpara"/>
      </w:pPr>
      <w:r>
        <w:tab/>
        <w:t>(b)</w:t>
      </w:r>
      <w:r>
        <w:tab/>
        <w:t>a mixture of one or more hydrocarbons and one or more of the following — </w:t>
      </w:r>
    </w:p>
    <w:p>
      <w:pPr>
        <w:pStyle w:val="Defsubpara"/>
      </w:pPr>
      <w:r>
        <w:tab/>
        <w:t>(i)</w:t>
      </w:r>
      <w:r>
        <w:tab/>
        <w:t>hydrogen sulphide;</w:t>
      </w:r>
    </w:p>
    <w:p>
      <w:pPr>
        <w:pStyle w:val="Defsubpara"/>
      </w:pPr>
      <w:r>
        <w:tab/>
        <w:t>(ii)</w:t>
      </w:r>
      <w:r>
        <w:tab/>
        <w:t>nitrogen;</w:t>
      </w:r>
    </w:p>
    <w:p>
      <w:pPr>
        <w:pStyle w:val="Defsubpara"/>
      </w:pPr>
      <w:r>
        <w:tab/>
        <w:t>(iii)</w:t>
      </w:r>
      <w:r>
        <w:tab/>
        <w:t>helium;</w:t>
      </w:r>
    </w:p>
    <w:p>
      <w:pPr>
        <w:pStyle w:val="Defsubpara"/>
      </w:pPr>
      <w:r>
        <w:tab/>
        <w:t>(iv)</w:t>
      </w:r>
      <w:r>
        <w:tab/>
        <w:t>carbon dioxide;</w:t>
      </w:r>
    </w:p>
    <w:p>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pPr>
        <w:pStyle w:val="Defpara"/>
      </w:pPr>
      <w:r>
        <w:tab/>
        <w:t>(a)</w:t>
      </w:r>
      <w:r>
        <w:tab/>
        <w:t>in the case of the grant of an exploration licence, under section 66; and</w:t>
      </w:r>
    </w:p>
    <w:p>
      <w:pPr>
        <w:pStyle w:val="Defpara"/>
      </w:pPr>
      <w:r>
        <w:tab/>
        <w:t>(b)</w:t>
      </w:r>
      <w:r>
        <w:tab/>
        <w:t>in the case of the renewal of an exploration licence, under section 110; and</w:t>
      </w:r>
    </w:p>
    <w:p>
      <w:pPr>
        <w:pStyle w:val="Defpara"/>
      </w:pPr>
      <w:r>
        <w:tab/>
        <w:t>(c)</w:t>
      </w:r>
      <w:r>
        <w:tab/>
        <w:t>in the case of the grant of a retention licence, under section 147; and</w:t>
      </w:r>
    </w:p>
    <w:p>
      <w:pPr>
        <w:pStyle w:val="Defpara"/>
      </w:pPr>
      <w:r>
        <w:tab/>
        <w:t>(d)</w:t>
      </w:r>
      <w:r>
        <w:tab/>
        <w:t>in the case of the renewal of a retention licence, under section 169; and</w:t>
      </w:r>
    </w:p>
    <w:p>
      <w:pPr>
        <w:pStyle w:val="Defpara"/>
      </w:pPr>
      <w:r>
        <w:lastRenderedPageBreak/>
        <w:tab/>
        <w:t>(e)</w:t>
      </w:r>
      <w:r>
        <w:tab/>
        <w:t>in the case of the grant of a mining licence, under section 210; and</w:t>
      </w:r>
    </w:p>
    <w:p>
      <w:pPr>
        <w:pStyle w:val="Defpara"/>
      </w:pPr>
      <w:r>
        <w:tab/>
        <w:t>(f)</w:t>
      </w:r>
      <w:r>
        <w:tab/>
        <w:t>in the case of the renewal of a mining licence, under section 246; and</w:t>
      </w:r>
    </w:p>
    <w:p>
      <w:pPr>
        <w:pStyle w:val="Defpara"/>
      </w:pPr>
      <w:r>
        <w:tab/>
        <w:t>(g)</w:t>
      </w:r>
      <w:r>
        <w:tab/>
        <w:t>in the case of the grant of a works licence, under section 279; and</w:t>
      </w:r>
    </w:p>
    <w:p>
      <w:pPr>
        <w:pStyle w:val="Defpara"/>
      </w:pPr>
      <w:r>
        <w:tab/>
        <w:t>(h)</w:t>
      </w:r>
      <w:r>
        <w:tab/>
        <w:t>in the case of the renewal of a works licence, under section 296;</w:t>
      </w:r>
    </w:p>
    <w:p>
      <w:pPr>
        <w:pStyle w:val="Defstart"/>
      </w:pPr>
      <w:r>
        <w:rPr>
          <w:b/>
        </w:rPr>
        <w:tab/>
      </w:r>
      <w:r>
        <w:rPr>
          <w:rStyle w:val="CharDefText"/>
        </w:rPr>
        <w:t>provisional holder</w:t>
      </w:r>
      <w:r>
        <w:t xml:space="preserve"> means a person who has been provisionally granted a licence;</w:t>
      </w:r>
    </w:p>
    <w:p>
      <w:pPr>
        <w:pStyle w:val="Defstart"/>
      </w:pPr>
      <w:r>
        <w:rPr>
          <w:b/>
        </w:rPr>
        <w:tab/>
      </w:r>
      <w:r>
        <w:rPr>
          <w:rStyle w:val="CharDefText"/>
        </w:rPr>
        <w:t>recovery</w:t>
      </w:r>
      <w:r>
        <w:t xml:space="preserve"> has the meaning given by section 24;</w:t>
      </w:r>
    </w:p>
    <w:p>
      <w:pPr>
        <w:pStyle w:val="Defstart"/>
      </w:pPr>
      <w:r>
        <w:rPr>
          <w:b/>
        </w:rPr>
        <w:tab/>
      </w:r>
      <w:r>
        <w:rPr>
          <w:rStyle w:val="CharDefText"/>
        </w:rPr>
        <w:t>registered</w:t>
      </w:r>
      <w:r>
        <w:t xml:space="preserve"> means registered in an offshore mining register;</w:t>
      </w:r>
    </w:p>
    <w:p>
      <w:pPr>
        <w:pStyle w:val="Defstart"/>
      </w:pPr>
      <w:r>
        <w:rPr>
          <w:b/>
        </w:rPr>
        <w:tab/>
      </w:r>
      <w:r>
        <w:rPr>
          <w:rStyle w:val="CharDefText"/>
        </w:rPr>
        <w:t>Registration Fees Act</w:t>
      </w:r>
      <w:r>
        <w:t xml:space="preserve"> means the </w:t>
      </w:r>
      <w:r>
        <w:rPr>
          <w:i/>
        </w:rPr>
        <w:t>Offshore Minerals (Registration Fees) Act 2003</w:t>
      </w:r>
      <w:r>
        <w:t>;`</w:t>
      </w:r>
    </w:p>
    <w:p>
      <w:pPr>
        <w:pStyle w:val="Defstart"/>
      </w:pPr>
      <w:r>
        <w:rPr>
          <w:b/>
        </w:rPr>
        <w:tab/>
      </w:r>
      <w:r>
        <w:rPr>
          <w:rStyle w:val="CharDefText"/>
        </w:rPr>
        <w:t>reserved block</w:t>
      </w:r>
      <w:r>
        <w:t xml:space="preserve"> means a block that is declared to be reserved under section 18;</w:t>
      </w:r>
    </w:p>
    <w:p>
      <w:pPr>
        <w:pStyle w:val="Defstart"/>
      </w:pPr>
      <w:r>
        <w:rPr>
          <w:b/>
        </w:rPr>
        <w:tab/>
      </w:r>
      <w:r>
        <w:rPr>
          <w:rStyle w:val="CharDefText"/>
        </w:rPr>
        <w:t>responsible Commonwealth Minister</w:t>
      </w:r>
      <w:r>
        <w:t xml:space="preserve"> means the Commonwealth Minister who is responsible for the administration of the Commonwealth Act;</w:t>
      </w:r>
    </w:p>
    <w:p>
      <w:pPr>
        <w:pStyle w:val="Defstart"/>
      </w:pPr>
      <w:r>
        <w:rPr>
          <w:b/>
        </w:rPr>
        <w:tab/>
      </w:r>
      <w:r>
        <w:rPr>
          <w:rStyle w:val="CharDefText"/>
        </w:rPr>
        <w:t>sample</w:t>
      </w:r>
      <w:r>
        <w:t xml:space="preserve"> of the seabed or subsoil includes a core or cutting from the seabed or subsoil;</w:t>
      </w:r>
    </w:p>
    <w:p>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pPr>
        <w:pStyle w:val="Defstart"/>
      </w:pPr>
      <w:r>
        <w:rPr>
          <w:b/>
        </w:rPr>
        <w:tab/>
      </w:r>
      <w:r>
        <w:rPr>
          <w:rStyle w:val="CharDefText"/>
        </w:rPr>
        <w:t>share</w:t>
      </w:r>
      <w:r>
        <w:t xml:space="preserve"> in a licence has the meaning given by section 6(1), (2) and (3);</w:t>
      </w:r>
    </w:p>
    <w:p>
      <w:pPr>
        <w:pStyle w:val="Defstart"/>
      </w:pPr>
      <w:r>
        <w:rPr>
          <w:b/>
        </w:rPr>
        <w:tab/>
      </w:r>
      <w:r>
        <w:rPr>
          <w:rStyle w:val="CharDefText"/>
        </w:rPr>
        <w:t>special purpose consent</w:t>
      </w:r>
      <w:r>
        <w:t xml:space="preserve"> means a consent granted under Part 2.6;</w:t>
      </w:r>
    </w:p>
    <w:p>
      <w:pPr>
        <w:pStyle w:val="Defstart"/>
      </w:pPr>
      <w:r>
        <w:rPr>
          <w:b/>
        </w:rPr>
        <w:tab/>
      </w:r>
      <w:r>
        <w:rPr>
          <w:rStyle w:val="CharDefText"/>
        </w:rPr>
        <w:t>standard block</w:t>
      </w:r>
      <w:r>
        <w:t xml:space="preserve"> has the meaning given by section 19;</w:t>
      </w:r>
    </w:p>
    <w:p>
      <w:pPr>
        <w:pStyle w:val="Defstart"/>
        <w:outlineLvl w:val="0"/>
      </w:pPr>
      <w:r>
        <w:rPr>
          <w:b/>
        </w:rPr>
        <w:tab/>
      </w:r>
      <w:r>
        <w:rPr>
          <w:rStyle w:val="CharDefText"/>
        </w:rPr>
        <w:t>State Minister</w:t>
      </w:r>
      <w:r>
        <w:t xml:space="preserve"> means — </w:t>
      </w:r>
    </w:p>
    <w:p>
      <w:pPr>
        <w:pStyle w:val="Defpara"/>
      </w:pPr>
      <w:r>
        <w:tab/>
        <w:t>(a)</w:t>
      </w:r>
      <w:r>
        <w:tab/>
        <w:t>a Minister of State for a State; or</w:t>
      </w:r>
    </w:p>
    <w:p>
      <w:pPr>
        <w:pStyle w:val="Defpara"/>
      </w:pPr>
      <w:r>
        <w:lastRenderedPageBreak/>
        <w:tab/>
        <w:t>(b)</w:t>
      </w:r>
      <w:r>
        <w:tab/>
        <w:t>a Minister of State for the Northern Territory;</w:t>
      </w:r>
    </w:p>
    <w:p>
      <w:pPr>
        <w:pStyle w:val="Defstart"/>
      </w:pPr>
      <w:r>
        <w:rPr>
          <w:b/>
        </w:rPr>
        <w:tab/>
      </w:r>
      <w:r>
        <w:rPr>
          <w:rStyle w:val="CharDefText"/>
        </w:rPr>
        <w:t>successor licence</w:t>
      </w:r>
      <w:r>
        <w:t xml:space="preserve"> to a licence has the meaning given by section 8;</w:t>
      </w:r>
    </w:p>
    <w:p>
      <w:pPr>
        <w:pStyle w:val="Defstart"/>
      </w:pPr>
      <w:r>
        <w:rPr>
          <w:b/>
        </w:rPr>
        <w:tab/>
      </w:r>
      <w:r>
        <w:rPr>
          <w:rStyle w:val="CharDefText"/>
        </w:rPr>
        <w:t>surrender day</w:t>
      </w:r>
      <w:r>
        <w:t xml:space="preserve"> for an exploration licence means — </w:t>
      </w:r>
    </w:p>
    <w:p>
      <w:pPr>
        <w:pStyle w:val="Defpara"/>
      </w:pPr>
      <w:r>
        <w:tab/>
        <w:t>(a)</w:t>
      </w:r>
      <w:r>
        <w:tab/>
        <w:t>the day on which the initial term of the licence ends; or</w:t>
      </w:r>
    </w:p>
    <w:p>
      <w:pPr>
        <w:pStyle w:val="Defpara"/>
      </w:pPr>
      <w:r>
        <w:tab/>
        <w:t>(b)</w:t>
      </w:r>
      <w:r>
        <w:tab/>
        <w:t>a day on which the term of a renewal of the licence ends;</w:t>
      </w:r>
    </w:p>
    <w:p>
      <w:pPr>
        <w:pStyle w:val="Defstart"/>
      </w:pPr>
      <w:r>
        <w:rPr>
          <w:b/>
        </w:rPr>
        <w:tab/>
      </w:r>
      <w:r>
        <w:rPr>
          <w:rStyle w:val="CharDefText"/>
        </w:rPr>
        <w:t>tender block</w:t>
      </w:r>
      <w:r>
        <w:t xml:space="preserve"> has the meaning given by section 20;</w:t>
      </w:r>
    </w:p>
    <w:p>
      <w:pPr>
        <w:pStyle w:val="Defstart"/>
      </w:pPr>
      <w:r>
        <w:rPr>
          <w:b/>
        </w:rPr>
        <w:tab/>
      </w:r>
      <w:r>
        <w:rPr>
          <w:rStyle w:val="CharDefText"/>
        </w:rPr>
        <w:t xml:space="preserve">transfer </w:t>
      </w:r>
      <w:r>
        <w:t>— </w:t>
      </w:r>
    </w:p>
    <w:p>
      <w:pPr>
        <w:pStyle w:val="Defpara"/>
      </w:pPr>
      <w:r>
        <w:tab/>
        <w:t>(a)</w:t>
      </w:r>
      <w:r>
        <w:tab/>
        <w:t>when used in relation to a licence, has the meaning given by section 7(1); and</w:t>
      </w:r>
    </w:p>
    <w:p>
      <w:pPr>
        <w:pStyle w:val="Defpara"/>
      </w:pPr>
      <w:r>
        <w:tab/>
        <w:t>(b)</w:t>
      </w:r>
      <w:r>
        <w:tab/>
        <w:t>when used in relation to a share in a licence, has the meaning given by section 7(2) and (3);</w:t>
      </w:r>
    </w:p>
    <w:p>
      <w:pPr>
        <w:pStyle w:val="Defstart"/>
      </w:pPr>
      <w:r>
        <w:rPr>
          <w:b/>
        </w:rPr>
        <w:tab/>
      </w:r>
      <w:r>
        <w:rPr>
          <w:rStyle w:val="CharDefText"/>
        </w:rPr>
        <w:t>vary</w:t>
      </w:r>
      <w:r>
        <w:t xml:space="preserve"> a licence condition includes revoke or suspend.</w:t>
      </w:r>
    </w:p>
    <w:p>
      <w:pPr>
        <w:pStyle w:val="Heading5"/>
        <w:rPr>
          <w:snapToGrid w:val="0"/>
        </w:rPr>
      </w:pPr>
      <w:bookmarkStart w:id="19" w:name="_Toc166675091"/>
      <w:r>
        <w:rPr>
          <w:snapToGrid w:val="0"/>
        </w:rPr>
        <w:t>5A.</w:t>
      </w:r>
      <w:r>
        <w:rPr>
          <w:snapToGrid w:val="0"/>
        </w:rPr>
        <w:tab/>
        <w:t xml:space="preserve">Relationship with </w:t>
      </w:r>
      <w:r>
        <w:rPr>
          <w:i/>
          <w:snapToGrid w:val="0"/>
        </w:rPr>
        <w:t>Environmental Protection Act 1986</w:t>
      </w:r>
      <w:bookmarkEnd w:id="19"/>
    </w:p>
    <w:p>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Heading5"/>
        <w:rPr>
          <w:snapToGrid w:val="0"/>
        </w:rPr>
      </w:pPr>
      <w:bookmarkStart w:id="20" w:name="_Toc166675092"/>
      <w:r>
        <w:rPr>
          <w:rStyle w:val="CharSectno"/>
        </w:rPr>
        <w:t>6</w:t>
      </w:r>
      <w:r>
        <w:rPr>
          <w:snapToGrid w:val="0"/>
        </w:rPr>
        <w:t>.</w:t>
      </w:r>
      <w:r>
        <w:rPr>
          <w:snapToGrid w:val="0"/>
        </w:rPr>
        <w:tab/>
        <w:t>Shares in a licence</w:t>
      </w:r>
      <w:bookmarkEnd w:id="20"/>
      <w:r>
        <w:rPr>
          <w:snapToGrid w:val="0"/>
        </w:rPr>
        <w:t xml:space="preserve"> </w:t>
      </w:r>
    </w:p>
    <w:p>
      <w:pPr>
        <w:pStyle w:val="Subsection"/>
        <w:rPr>
          <w:snapToGrid w:val="0"/>
        </w:rPr>
      </w:pPr>
      <w:r>
        <w:tab/>
        <w:t>(1)</w:t>
      </w:r>
      <w:r>
        <w:tab/>
      </w:r>
      <w:r>
        <w:rPr>
          <w:snapToGrid w:val="0"/>
        </w:rPr>
        <w:t>A person has a share in a licence if the person is the holder, or one of the holders, of the licence.</w:t>
      </w:r>
    </w:p>
    <w:p>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PermNoteHeading"/>
      </w:pPr>
      <w:r>
        <w:tab/>
        <w:t>Note:</w:t>
      </w:r>
    </w:p>
    <w:p>
      <w:pPr>
        <w:pStyle w:val="PermNoteText"/>
      </w:pPr>
      <w:r>
        <w:tab/>
      </w:r>
      <w:r>
        <w:tab/>
      </w:r>
      <w:r>
        <w:rPr>
          <w:snapToGrid w:val="0"/>
        </w:rPr>
        <w:t>A sole holder has a 100% share in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is a registered holder of a licence; and</w:t>
      </w:r>
    </w:p>
    <w:p>
      <w:pPr>
        <w:pStyle w:val="Indenta"/>
        <w:rPr>
          <w:snapToGrid w:val="0"/>
        </w:rPr>
      </w:pPr>
      <w:r>
        <w:rPr>
          <w:snapToGrid w:val="0"/>
        </w:rPr>
        <w:lastRenderedPageBreak/>
        <w:tab/>
        <w:t>(b)</w:t>
      </w:r>
      <w:r>
        <w:rPr>
          <w:snapToGrid w:val="0"/>
        </w:rPr>
        <w:tab/>
        <w:t>the person is shown in an offshore mining register as being entitled to a specified percentage of the value of the rights conferred by the licence,</w:t>
      </w:r>
    </w:p>
    <w:p>
      <w:pPr>
        <w:pStyle w:val="Subsection"/>
        <w:rPr>
          <w:snapToGrid w:val="0"/>
        </w:rPr>
      </w:pPr>
      <w:r>
        <w:rPr>
          <w:snapToGrid w:val="0"/>
        </w:rPr>
        <w:tab/>
      </w:r>
      <w:r>
        <w:rPr>
          <w:snapToGrid w:val="0"/>
        </w:rPr>
        <w:tab/>
        <w:t>the person’s share in the licence is taken to be the percentage specified in the register.</w:t>
      </w:r>
    </w:p>
    <w:p>
      <w:pPr>
        <w:pStyle w:val="Heading5"/>
        <w:rPr>
          <w:snapToGrid w:val="0"/>
        </w:rPr>
      </w:pPr>
      <w:bookmarkStart w:id="21" w:name="_Toc166675093"/>
      <w:r>
        <w:rPr>
          <w:rStyle w:val="CharSectno"/>
        </w:rPr>
        <w:t>7</w:t>
      </w:r>
      <w:r>
        <w:rPr>
          <w:snapToGrid w:val="0"/>
        </w:rPr>
        <w:t>.</w:t>
      </w:r>
      <w:r>
        <w:rPr>
          <w:snapToGrid w:val="0"/>
        </w:rPr>
        <w:tab/>
        <w:t>Transfer of a licence</w:t>
      </w:r>
      <w:bookmarkEnd w:id="21"/>
      <w:r>
        <w:rPr>
          <w:snapToGrid w:val="0"/>
        </w:rPr>
        <w:t xml:space="preserve"> </w:t>
      </w:r>
    </w:p>
    <w:p>
      <w:pPr>
        <w:pStyle w:val="Subsection"/>
        <w:rPr>
          <w:snapToGrid w:val="0"/>
        </w:rPr>
      </w:pPr>
      <w:r>
        <w:tab/>
        <w:t>(1)</w:t>
      </w:r>
      <w:r>
        <w:tab/>
      </w:r>
      <w:r>
        <w:rPr>
          <w:snapToGrid w:val="0"/>
        </w:rPr>
        <w:t>For the purposes of this Act, a licence is transferred if — </w:t>
      </w:r>
    </w:p>
    <w:p>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Subsection"/>
        <w:rPr>
          <w:snapToGrid w:val="0"/>
        </w:rPr>
      </w:pPr>
      <w:r>
        <w:rPr>
          <w:snapToGrid w:val="0"/>
        </w:rPr>
        <w:tab/>
        <w:t>(2)</w:t>
      </w:r>
      <w:r>
        <w:rPr>
          <w:snapToGrid w:val="0"/>
        </w:rPr>
        <w:tab/>
        <w:t>For the purposes of this Act, a share in a licence is transferred if — </w:t>
      </w:r>
    </w:p>
    <w:p>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Indenta"/>
        <w:keepNext/>
        <w:rPr>
          <w:snapToGrid w:val="0"/>
        </w:rPr>
      </w:pPr>
      <w:r>
        <w:rPr>
          <w:snapToGrid w:val="0"/>
        </w:rPr>
        <w:tab/>
        <w:t>(b)</w:t>
      </w:r>
      <w:r>
        <w:rPr>
          <w:snapToGrid w:val="0"/>
        </w:rPr>
        <w:tab/>
        <w:t>the licence has 2 or more holders and — </w:t>
      </w:r>
    </w:p>
    <w:p>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pPr>
        <w:pStyle w:val="Subsection"/>
        <w:spacing w:before="120"/>
        <w:rPr>
          <w:snapToGrid w:val="0"/>
        </w:rPr>
      </w:pPr>
      <w:r>
        <w:rPr>
          <w:snapToGrid w:val="0"/>
        </w:rPr>
        <w:tab/>
        <w:t>(3)</w:t>
      </w:r>
      <w:r>
        <w:rPr>
          <w:snapToGrid w:val="0"/>
        </w:rPr>
        <w:tab/>
        <w:t>The other person referred to in subsection (2)(b) may be an existing licence holder.</w:t>
      </w:r>
    </w:p>
    <w:p>
      <w:pPr>
        <w:pStyle w:val="Heading5"/>
        <w:spacing w:before="180"/>
        <w:rPr>
          <w:snapToGrid w:val="0"/>
        </w:rPr>
      </w:pPr>
      <w:bookmarkStart w:id="22" w:name="_Toc166675094"/>
      <w:r>
        <w:rPr>
          <w:rStyle w:val="CharSectno"/>
        </w:rPr>
        <w:t>8</w:t>
      </w:r>
      <w:r>
        <w:rPr>
          <w:snapToGrid w:val="0"/>
        </w:rPr>
        <w:t>.</w:t>
      </w:r>
      <w:r>
        <w:rPr>
          <w:snapToGrid w:val="0"/>
        </w:rPr>
        <w:tab/>
        <w:t>Successor licences</w:t>
      </w:r>
      <w:bookmarkEnd w:id="22"/>
      <w:r>
        <w:rPr>
          <w:snapToGrid w:val="0"/>
        </w:rPr>
        <w:t xml:space="preserve"> </w:t>
      </w:r>
    </w:p>
    <w:p>
      <w:pPr>
        <w:pStyle w:val="Subsection"/>
        <w:spacing w:before="120"/>
        <w:rPr>
          <w:snapToGrid w:val="0"/>
        </w:rPr>
      </w:pPr>
      <w:r>
        <w:tab/>
        <w:t>(1)</w:t>
      </w:r>
      <w:r>
        <w:tab/>
      </w:r>
      <w:r>
        <w:rPr>
          <w:snapToGrid w:val="0"/>
        </w:rPr>
        <w:t>If — </w:t>
      </w:r>
    </w:p>
    <w:p>
      <w:pPr>
        <w:pStyle w:val="Indenta"/>
        <w:spacing w:before="60"/>
        <w:rPr>
          <w:snapToGrid w:val="0"/>
        </w:rPr>
      </w:pPr>
      <w:r>
        <w:rPr>
          <w:snapToGrid w:val="0"/>
        </w:rPr>
        <w:tab/>
        <w:t>(a)</w:t>
      </w:r>
      <w:r>
        <w:rPr>
          <w:snapToGrid w:val="0"/>
        </w:rPr>
        <w:tab/>
        <w:t>a mining licence takes effect immediately after an exploration licence expires; and</w:t>
      </w:r>
    </w:p>
    <w:p>
      <w:pPr>
        <w:pStyle w:val="Indenta"/>
        <w:spacing w:before="60"/>
        <w:rPr>
          <w:snapToGrid w:val="0"/>
        </w:rPr>
      </w:pPr>
      <w:r>
        <w:rPr>
          <w:snapToGrid w:val="0"/>
        </w:rPr>
        <w:lastRenderedPageBreak/>
        <w:tab/>
        <w:t>(b)</w:t>
      </w:r>
      <w:r>
        <w:rPr>
          <w:snapToGrid w:val="0"/>
        </w:rPr>
        <w:tab/>
        <w:t>the holder of the mining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w:t>
      </w:r>
    </w:p>
    <w:p>
      <w:pPr>
        <w:pStyle w:val="Subsection"/>
        <w:spacing w:before="12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retention licence takes effect immediately after an exploration licence expires; and</w:t>
      </w:r>
    </w:p>
    <w:p>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retention licence is a successor licence to the exploration licence.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mining licence takes effect immediately after a retention licence expires; and</w:t>
      </w:r>
    </w:p>
    <w:p>
      <w:pPr>
        <w:pStyle w:val="Indenta"/>
        <w:spacing w:before="60"/>
        <w:rPr>
          <w:snapToGrid w:val="0"/>
        </w:rPr>
      </w:pPr>
      <w:r>
        <w:rPr>
          <w:snapToGrid w:val="0"/>
        </w:rPr>
        <w:tab/>
        <w:t>(b)</w:t>
      </w:r>
      <w:r>
        <w:rPr>
          <w:snapToGrid w:val="0"/>
        </w:rPr>
        <w:tab/>
        <w:t>the retention licence took effect immediately after an exploration licence expired; and</w:t>
      </w:r>
    </w:p>
    <w:p>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 and the retention licence.</w:t>
      </w:r>
    </w:p>
    <w:p>
      <w:pPr>
        <w:pStyle w:val="Heading5"/>
        <w:spacing w:before="180"/>
        <w:rPr>
          <w:snapToGrid w:val="0"/>
        </w:rPr>
      </w:pPr>
      <w:bookmarkStart w:id="23" w:name="_Toc166675095"/>
      <w:r>
        <w:rPr>
          <w:rStyle w:val="CharSectno"/>
        </w:rPr>
        <w:t>9</w:t>
      </w:r>
      <w:r>
        <w:rPr>
          <w:snapToGrid w:val="0"/>
        </w:rPr>
        <w:t>.</w:t>
      </w:r>
      <w:r>
        <w:rPr>
          <w:snapToGrid w:val="0"/>
        </w:rPr>
        <w:tab/>
        <w:t>Section number not used</w:t>
      </w:r>
      <w:bookmarkEnd w:id="23"/>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24" w:name="_Toc166675096"/>
      <w:r>
        <w:rPr>
          <w:rStyle w:val="CharSectno"/>
        </w:rPr>
        <w:t>10</w:t>
      </w:r>
      <w:r>
        <w:rPr>
          <w:snapToGrid w:val="0"/>
        </w:rPr>
        <w:t>.</w:t>
      </w:r>
      <w:r>
        <w:rPr>
          <w:snapToGrid w:val="0"/>
        </w:rPr>
        <w:tab/>
        <w:t>Position on the Earth’s surface</w:t>
      </w:r>
      <w:bookmarkEnd w:id="24"/>
      <w:r>
        <w:rPr>
          <w:snapToGrid w:val="0"/>
        </w:rPr>
        <w:t xml:space="preserve"> </w:t>
      </w:r>
    </w:p>
    <w:p>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w:t>
      </w:r>
      <w:r>
        <w:rPr>
          <w:snapToGrid w:val="0"/>
        </w:rPr>
        <w:lastRenderedPageBreak/>
        <w:t xml:space="preserve">Earth of a point, line or area, that position is to be determined by reference to the prescribed Australian datum. </w:t>
      </w:r>
    </w:p>
    <w:p>
      <w:pPr>
        <w:pStyle w:val="Subsection"/>
        <w:spacing w:before="120"/>
        <w:rPr>
          <w:snapToGrid w:val="0"/>
        </w:rPr>
      </w:pPr>
      <w:r>
        <w:rPr>
          <w:snapToGrid w:val="0"/>
        </w:rPr>
        <w:tab/>
        <w:t>(2)</w:t>
      </w:r>
      <w:r>
        <w:rPr>
          <w:snapToGrid w:val="0"/>
        </w:rPr>
        <w:tab/>
        <w:t>In subsection (1) — </w:t>
      </w:r>
    </w:p>
    <w:p>
      <w:pPr>
        <w:pStyle w:val="Defstart"/>
        <w:spacing w:before="120"/>
      </w:pPr>
      <w:r>
        <w:rPr>
          <w:b/>
        </w:rPr>
        <w:tab/>
      </w:r>
      <w:r>
        <w:rPr>
          <w:rStyle w:val="CharDefText"/>
        </w:rPr>
        <w:t>subordinate instrument</w:t>
      </w:r>
      <w:r>
        <w:t xml:space="preserve"> means — </w:t>
      </w:r>
    </w:p>
    <w:p>
      <w:pPr>
        <w:pStyle w:val="Defpara"/>
      </w:pPr>
      <w:r>
        <w:tab/>
        <w:t>(a)</w:t>
      </w:r>
      <w:r>
        <w:tab/>
        <w:t>the regulations; or</w:t>
      </w:r>
    </w:p>
    <w:p>
      <w:pPr>
        <w:pStyle w:val="Defpara"/>
      </w:pPr>
      <w:r>
        <w:tab/>
        <w:t>(b)</w:t>
      </w:r>
      <w:r>
        <w:tab/>
        <w:t>an instrument under this Act or the regulations.</w:t>
      </w:r>
    </w:p>
    <w:p>
      <w:pPr>
        <w:pStyle w:val="Subsection"/>
        <w:spacing w:before="120"/>
      </w:pPr>
      <w:r>
        <w:tab/>
        <w:t>(3)</w:t>
      </w:r>
      <w:r>
        <w:tab/>
        <w:t>A datum may be prescribed for all or some of the purposes referred to in subsection (1), and different datums may be prescribed for different purposes.</w:t>
      </w:r>
    </w:p>
    <w:p>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licences granted before the regulations take effect (including licences referred to in Schedule 2); or</w:t>
      </w:r>
    </w:p>
    <w:p>
      <w:pPr>
        <w:pStyle w:val="Indenta"/>
      </w:pPr>
      <w:r>
        <w:tab/>
        <w:t>(b)</w:t>
      </w:r>
      <w:r>
        <w:tab/>
        <w:t>in relation to applications for licences pending when the regulations take effect (including applications referred to in Schedule 2); or</w:t>
      </w:r>
    </w:p>
    <w:p>
      <w:pPr>
        <w:pStyle w:val="Indenta"/>
      </w:pPr>
      <w:r>
        <w:tab/>
        <w:t>(c)</w:t>
      </w:r>
      <w:r>
        <w:tab/>
        <w:t>for any other purpose.</w:t>
      </w:r>
    </w:p>
    <w:p>
      <w:pPr>
        <w:pStyle w:val="Subsection"/>
        <w:rPr>
          <w:snapToGrid w:val="0"/>
        </w:rPr>
      </w:pPr>
      <w:r>
        <w:rPr>
          <w:snapToGrid w:val="0"/>
        </w:rPr>
        <w:tab/>
        <w:t>(5)</w:t>
      </w:r>
      <w:r>
        <w:rPr>
          <w:snapToGrid w:val="0"/>
        </w:rPr>
        <w:tab/>
        <w:t>Regulations referred to in subsection (4) may modify or otherwise affect the operation of this Act.</w:t>
      </w:r>
    </w:p>
    <w:p>
      <w:pPr>
        <w:pStyle w:val="Heading5"/>
        <w:rPr>
          <w:snapToGrid w:val="0"/>
        </w:rPr>
      </w:pPr>
      <w:bookmarkStart w:id="25" w:name="_Toc166675097"/>
      <w:r>
        <w:rPr>
          <w:rStyle w:val="CharSectno"/>
        </w:rPr>
        <w:t>11</w:t>
      </w:r>
      <w:r>
        <w:rPr>
          <w:snapToGrid w:val="0"/>
        </w:rPr>
        <w:t>.</w:t>
      </w:r>
      <w:r>
        <w:rPr>
          <w:snapToGrid w:val="0"/>
        </w:rPr>
        <w:tab/>
        <w:t>Section number not used</w:t>
      </w:r>
      <w:bookmarkEnd w:id="2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6" w:name="_Toc166675098"/>
      <w:r>
        <w:rPr>
          <w:rStyle w:val="CharSectno"/>
        </w:rPr>
        <w:t>12</w:t>
      </w:r>
      <w:r>
        <w:rPr>
          <w:snapToGrid w:val="0"/>
        </w:rPr>
        <w:t>.</w:t>
      </w:r>
      <w:r>
        <w:rPr>
          <w:snapToGrid w:val="0"/>
        </w:rPr>
        <w:tab/>
        <w:t>Power to vary and revoke instruments</w:t>
      </w:r>
      <w:bookmarkEnd w:id="26"/>
      <w:r>
        <w:rPr>
          <w:snapToGrid w:val="0"/>
        </w:rPr>
        <w:t xml:space="preserve"> </w:t>
      </w:r>
    </w:p>
    <w:p>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Subsection"/>
        <w:rPr>
          <w:snapToGrid w:val="0"/>
        </w:rPr>
      </w:pPr>
      <w:r>
        <w:rPr>
          <w:snapToGrid w:val="0"/>
        </w:rPr>
        <w:tab/>
        <w:t>(2)</w:t>
      </w:r>
      <w:r>
        <w:rPr>
          <w:snapToGrid w:val="0"/>
        </w:rPr>
        <w:tab/>
        <w:t>The power to revoke or amend — </w:t>
      </w:r>
    </w:p>
    <w:p>
      <w:pPr>
        <w:pStyle w:val="Indenta"/>
        <w:rPr>
          <w:snapToGrid w:val="0"/>
        </w:rPr>
      </w:pPr>
      <w:r>
        <w:rPr>
          <w:snapToGrid w:val="0"/>
        </w:rPr>
        <w:tab/>
        <w:t>(a)</w:t>
      </w:r>
      <w:r>
        <w:rPr>
          <w:snapToGrid w:val="0"/>
        </w:rPr>
        <w:tab/>
        <w:t>must also be exercised in writing; and</w:t>
      </w:r>
    </w:p>
    <w:p>
      <w:pPr>
        <w:pStyle w:val="Indenta"/>
        <w:rPr>
          <w:snapToGrid w:val="0"/>
        </w:rPr>
      </w:pPr>
      <w:r>
        <w:rPr>
          <w:snapToGrid w:val="0"/>
        </w:rPr>
        <w:lastRenderedPageBreak/>
        <w:tab/>
        <w:t>(b)</w:t>
      </w:r>
      <w:r>
        <w:rPr>
          <w:snapToGrid w:val="0"/>
        </w:rPr>
        <w:tab/>
        <w:t>is subject to the same procedural requirements as the original power; and</w:t>
      </w:r>
    </w:p>
    <w:p>
      <w:pPr>
        <w:pStyle w:val="Indenta"/>
        <w:rPr>
          <w:snapToGrid w:val="0"/>
        </w:rPr>
      </w:pPr>
      <w:r>
        <w:rPr>
          <w:snapToGrid w:val="0"/>
        </w:rPr>
        <w:tab/>
        <w:t>(c)</w:t>
      </w:r>
      <w:r>
        <w:rPr>
          <w:snapToGrid w:val="0"/>
        </w:rPr>
        <w:tab/>
        <w:t>is subject to the same conditions as those that governed the exercise of the original power.</w:t>
      </w:r>
    </w:p>
    <w:p>
      <w:pPr>
        <w:pStyle w:val="Heading4"/>
        <w:rPr>
          <w:b w:val="0"/>
        </w:rPr>
      </w:pPr>
      <w:bookmarkStart w:id="27" w:name="_Toc166674832"/>
      <w:bookmarkStart w:id="28" w:name="_Toc166675347"/>
      <w:bookmarkStart w:id="29" w:name="_Toc166675100"/>
      <w:r>
        <w:rPr>
          <w:b w:val="0"/>
          <w:snapToGrid w:val="0"/>
        </w:rPr>
        <w:t xml:space="preserve">Division 2 — </w:t>
      </w:r>
      <w:r>
        <w:rPr>
          <w:b w:val="0"/>
        </w:rPr>
        <w:t>Basic concepts</w:t>
      </w:r>
      <w:bookmarkEnd w:id="27"/>
      <w:bookmarkEnd w:id="28"/>
      <w:bookmarkEnd w:id="29"/>
    </w:p>
    <w:p>
      <w:pPr>
        <w:pStyle w:val="Heading5"/>
        <w:rPr>
          <w:snapToGrid w:val="0"/>
        </w:rPr>
      </w:pPr>
      <w:bookmarkStart w:id="30" w:name="_Toc166675101"/>
      <w:r>
        <w:rPr>
          <w:rStyle w:val="CharSectno"/>
        </w:rPr>
        <w:t>13</w:t>
      </w:r>
      <w:r>
        <w:rPr>
          <w:snapToGrid w:val="0"/>
        </w:rPr>
        <w:t>. – 15.</w:t>
      </w:r>
      <w:r>
        <w:rPr>
          <w:snapToGrid w:val="0"/>
        </w:rPr>
        <w:tab/>
        <w:t>Section numbers not used</w:t>
      </w:r>
      <w:bookmarkEnd w:id="3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31" w:name="_Toc166675102"/>
      <w:r>
        <w:rPr>
          <w:rStyle w:val="CharSectno"/>
        </w:rPr>
        <w:t>16</w:t>
      </w:r>
      <w:r>
        <w:rPr>
          <w:snapToGrid w:val="0"/>
        </w:rPr>
        <w:t>.</w:t>
      </w:r>
      <w:r>
        <w:rPr>
          <w:snapToGrid w:val="0"/>
        </w:rPr>
        <w:tab/>
        <w:t>Coastal waters, and effect of change in baseline</w:t>
      </w:r>
      <w:bookmarkEnd w:id="31"/>
      <w:r>
        <w:rPr>
          <w:snapToGrid w:val="0"/>
        </w:rPr>
        <w:t xml:space="preserve"> </w:t>
      </w:r>
    </w:p>
    <w:p>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Subsection"/>
        <w:spacing w:before="120"/>
        <w:rPr>
          <w:snapToGrid w:val="0"/>
        </w:rPr>
      </w:pPr>
      <w:r>
        <w:rPr>
          <w:snapToGrid w:val="0"/>
        </w:rPr>
        <w:tab/>
        <w:t>(2)</w:t>
      </w:r>
      <w:r>
        <w:rPr>
          <w:snapToGrid w:val="0"/>
        </w:rPr>
        <w:tab/>
        <w:t>The coastal waters do not include any waters that are inside the baseline.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licence has been granted on the basis that an area is within coastal waters;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pPr>
        <w:pStyle w:val="Subsection"/>
        <w:spacing w:before="80"/>
        <w:rPr>
          <w:snapToGrid w:val="0"/>
        </w:rPr>
      </w:pPr>
      <w:r>
        <w:rPr>
          <w:snapToGrid w:val="0"/>
        </w:rPr>
        <w:tab/>
      </w:r>
      <w:r>
        <w:rPr>
          <w:snapToGrid w:val="0"/>
        </w:rPr>
        <w:tab/>
        <w:t>this Act applies as if the area were still within coastal waters.</w:t>
      </w:r>
    </w:p>
    <w:p>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pPr>
        <w:pStyle w:val="Subsection"/>
        <w:spacing w:before="120"/>
        <w:rPr>
          <w:snapToGrid w:val="0"/>
        </w:rPr>
      </w:pPr>
      <w:r>
        <w:rPr>
          <w:snapToGrid w:val="0"/>
        </w:rPr>
        <w:tab/>
        <w:t>(5)</w:t>
      </w:r>
      <w:r>
        <w:rPr>
          <w:snapToGrid w:val="0"/>
        </w:rPr>
        <w:tab/>
        <w:t>If — </w:t>
      </w:r>
    </w:p>
    <w:p>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Indenta"/>
        <w:spacing w:before="60"/>
        <w:rPr>
          <w:snapToGrid w:val="0"/>
        </w:rPr>
      </w:pPr>
      <w:r>
        <w:rPr>
          <w:snapToGrid w:val="0"/>
        </w:rPr>
        <w:lastRenderedPageBreak/>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 </w:t>
      </w:r>
    </w:p>
    <w:p>
      <w:pPr>
        <w:pStyle w:val="Indenti"/>
        <w:spacing w:before="60"/>
        <w:rPr>
          <w:snapToGrid w:val="0"/>
        </w:rPr>
      </w:pPr>
      <w:r>
        <w:rPr>
          <w:snapToGrid w:val="0"/>
        </w:rPr>
        <w:tab/>
        <w:t>(i)</w:t>
      </w:r>
      <w:r>
        <w:rPr>
          <w:snapToGrid w:val="0"/>
        </w:rPr>
        <w:tab/>
        <w:t>ceases to be within the offshore area under the Commonwealth Act; and</w:t>
      </w:r>
    </w:p>
    <w:p>
      <w:pPr>
        <w:pStyle w:val="Indenti"/>
        <w:spacing w:before="60"/>
        <w:rPr>
          <w:snapToGrid w:val="0"/>
        </w:rPr>
      </w:pPr>
      <w:r>
        <w:rPr>
          <w:snapToGrid w:val="0"/>
        </w:rPr>
        <w:tab/>
        <w:t>(ii)</w:t>
      </w:r>
      <w:r>
        <w:rPr>
          <w:snapToGrid w:val="0"/>
        </w:rPr>
        <w:tab/>
        <w:t>falls within coastal waters,</w:t>
      </w:r>
    </w:p>
    <w:p>
      <w:pPr>
        <w:pStyle w:val="Subsection"/>
        <w:spacing w:before="80"/>
        <w:rPr>
          <w:snapToGrid w:val="0"/>
        </w:rPr>
      </w:pPr>
      <w:r>
        <w:rPr>
          <w:snapToGrid w:val="0"/>
        </w:rPr>
        <w:tab/>
      </w:r>
      <w:r>
        <w:rPr>
          <w:snapToGrid w:val="0"/>
        </w:rPr>
        <w:tab/>
        <w:t>this Act does not apply to the area.</w:t>
      </w:r>
    </w:p>
    <w:p>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Subsection"/>
        <w:rPr>
          <w:snapToGrid w:val="0"/>
        </w:rPr>
      </w:pPr>
      <w:r>
        <w:rPr>
          <w:snapToGrid w:val="0"/>
        </w:rPr>
        <w:tab/>
        <w:t>(8)</w:t>
      </w:r>
      <w:r>
        <w:rPr>
          <w:snapToGrid w:val="0"/>
        </w:rPr>
        <w:tab/>
        <w:t>In this section — </w:t>
      </w:r>
    </w:p>
    <w:p>
      <w:pPr>
        <w:pStyle w:val="Defstart"/>
      </w:pPr>
      <w:r>
        <w:tab/>
      </w:r>
      <w:r>
        <w:rPr>
          <w:rStyle w:val="CharDefText"/>
        </w:rPr>
        <w:t>baseline</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PermNoteHeading"/>
      </w:pPr>
      <w:r>
        <w:tab/>
        <w:t>Note:</w:t>
      </w:r>
    </w:p>
    <w:p>
      <w:pPr>
        <w:pStyle w:val="PermNoteText"/>
      </w:pPr>
      <w:r>
        <w:tab/>
        <w:t>1.</w:t>
      </w:r>
      <w:r>
        <w:tab/>
        <w:t>Generally</w:t>
      </w:r>
      <w:r>
        <w:rPr>
          <w:snapToGrid w:val="0"/>
        </w:rPr>
        <w:t xml:space="preserve"> the baseline is the lowest astronomical tide along the coast but it also includes lines enclosing bays and indentations that are not bays and straight baselines that depart from the coast. See </w:t>
      </w:r>
      <w:r>
        <w:rPr>
          <w:i/>
          <w:snapToGrid w:val="0"/>
        </w:rPr>
        <w:t>Australia’s territorial sea baseline</w:t>
      </w:r>
      <w:r>
        <w:rPr>
          <w:snapToGrid w:val="0"/>
        </w:rPr>
        <w:t xml:space="preserve"> published 1988 by the Australian Government Printing Service.</w:t>
      </w:r>
    </w:p>
    <w:p>
      <w:pPr>
        <w:pStyle w:val="PermNoteText"/>
      </w:pPr>
      <w:r>
        <w:rPr>
          <w:snapToGrid w:val="0"/>
        </w:rPr>
        <w:br w:type="page"/>
      </w:r>
      <w:r>
        <w:rPr>
          <w:snapToGrid w:val="0"/>
        </w:rPr>
        <w:lastRenderedPageBreak/>
        <w:tab/>
      </w:r>
      <w:r>
        <w:t>2.</w:t>
      </w:r>
      <w:r>
        <w:tab/>
        <w:t>The following diagram illustrates the coastal waters of the State — </w:t>
      </w:r>
    </w:p>
    <w:p>
      <w:pPr>
        <w:pStyle w:val="PermNoteText"/>
        <w:jc w:val="center"/>
        <w:rPr>
          <w:snapToGrid w:val="0"/>
        </w:rPr>
      </w:pPr>
      <w:r>
        <w:rPr>
          <w:noProof/>
          <w:snapToGrid w:val="0"/>
        </w:rPr>
        <w:drawing>
          <wp:inline distT="0" distB="0" distL="0" distR="0">
            <wp:extent cx="3959352" cy="2892552"/>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59352" cy="2892552"/>
                    </a:xfrm>
                    <a:prstGeom prst="rect">
                      <a:avLst/>
                    </a:prstGeom>
                  </pic:spPr>
                </pic:pic>
              </a:graphicData>
            </a:graphic>
          </wp:inline>
        </w:drawing>
      </w:r>
    </w:p>
    <w:p>
      <w:pPr>
        <w:pStyle w:val="Heading5"/>
        <w:rPr>
          <w:snapToGrid w:val="0"/>
        </w:rPr>
      </w:pPr>
      <w:bookmarkStart w:id="32" w:name="_Toc166675103"/>
      <w:r>
        <w:rPr>
          <w:rStyle w:val="CharSectno"/>
        </w:rPr>
        <w:t>17</w:t>
      </w:r>
      <w:r>
        <w:rPr>
          <w:snapToGrid w:val="0"/>
        </w:rPr>
        <w:t>.</w:t>
      </w:r>
      <w:r>
        <w:rPr>
          <w:snapToGrid w:val="0"/>
        </w:rPr>
        <w:tab/>
        <w:t>Blocks</w:t>
      </w:r>
      <w:bookmarkEnd w:id="32"/>
      <w:r>
        <w:rPr>
          <w:snapToGrid w:val="0"/>
        </w:rPr>
        <w:t xml:space="preserve"> </w:t>
      </w:r>
    </w:p>
    <w:p>
      <w:pPr>
        <w:pStyle w:val="Subsection"/>
        <w:keepNext/>
        <w:spacing w:before="120"/>
        <w:rPr>
          <w:snapToGrid w:val="0"/>
        </w:rPr>
      </w:pPr>
      <w:r>
        <w:rPr>
          <w:snapToGrid w:val="0"/>
        </w:rPr>
        <w:tab/>
      </w:r>
      <w:r>
        <w:rPr>
          <w:snapToGrid w:val="0"/>
        </w:rPr>
        <w:tab/>
        <w:t>This is how a block is constituted in coastal waters — </w:t>
      </w:r>
    </w:p>
    <w:p>
      <w:pPr>
        <w:pStyle w:val="Indenta"/>
        <w:rPr>
          <w:snapToGrid w:val="0"/>
        </w:rPr>
      </w:pPr>
      <w:r>
        <w:rPr>
          <w:snapToGrid w:val="0"/>
        </w:rPr>
        <w:tab/>
        <w:t>(a)</w:t>
      </w:r>
      <w:r>
        <w:rPr>
          <w:snapToGrid w:val="0"/>
        </w:rPr>
        <w:tab/>
        <w:t>assume that there is laid over the coastal waters a grid constituted by — </w:t>
      </w:r>
    </w:p>
    <w:p>
      <w:pPr>
        <w:pStyle w:val="Indenti"/>
        <w:rPr>
          <w:snapToGrid w:val="0"/>
        </w:rPr>
      </w:pPr>
      <w:r>
        <w:rPr>
          <w:snapToGrid w:val="0"/>
        </w:rPr>
        <w:tab/>
        <w:t>(i)</w:t>
      </w:r>
      <w:r>
        <w:rPr>
          <w:snapToGrid w:val="0"/>
        </w:rPr>
        <w:tab/>
        <w:t>lines running along meridians drawn through each degree of longitude and the minutes between those degrees; and</w:t>
      </w:r>
    </w:p>
    <w:p>
      <w:pPr>
        <w:pStyle w:val="Indenti"/>
        <w:rPr>
          <w:snapToGrid w:val="0"/>
        </w:rPr>
      </w:pPr>
      <w:r>
        <w:rPr>
          <w:snapToGrid w:val="0"/>
        </w:rPr>
        <w:tab/>
        <w:t>(ii)</w:t>
      </w:r>
      <w:r>
        <w:rPr>
          <w:snapToGrid w:val="0"/>
        </w:rPr>
        <w:tab/>
        <w:t>lines running along parallels drawn through each degree of latitude and the minutes between those degrees;</w:t>
      </w:r>
    </w:p>
    <w:p>
      <w:pPr>
        <w:pStyle w:val="Indenta"/>
        <w:rPr>
          <w:snapToGrid w:val="0"/>
        </w:rPr>
      </w:pPr>
      <w:r>
        <w:rPr>
          <w:snapToGrid w:val="0"/>
        </w:rPr>
        <w:tab/>
        <w:t>(b)</w:t>
      </w:r>
      <w:r>
        <w:rPr>
          <w:snapToGrid w:val="0"/>
        </w:rPr>
        <w:tab/>
        <w:t>take a bounded space defined by the grid;</w:t>
      </w:r>
    </w:p>
    <w:p>
      <w:pPr>
        <w:pStyle w:val="Indenta"/>
        <w:rPr>
          <w:snapToGrid w:val="0"/>
        </w:rPr>
      </w:pPr>
      <w:r>
        <w:rPr>
          <w:snapToGrid w:val="0"/>
        </w:rPr>
        <w:tab/>
        <w:t>(c)</w:t>
      </w:r>
      <w:r>
        <w:rPr>
          <w:snapToGrid w:val="0"/>
        </w:rPr>
        <w:tab/>
        <w:t>the seabed and subsoil within the coastal waters that is under that space is a block.</w:t>
      </w:r>
    </w:p>
    <w:p>
      <w:pPr>
        <w:pStyle w:val="PermNoteHeading"/>
      </w:pPr>
      <w:r>
        <w:tab/>
        <w:t>Note:</w:t>
      </w:r>
    </w:p>
    <w:p>
      <w:pPr>
        <w:pStyle w:val="PermNoteText"/>
      </w:pPr>
      <w:r>
        <w:tab/>
      </w:r>
      <w:r>
        <w:tab/>
      </w:r>
      <w:r>
        <w:rPr>
          <w:snapToGrid w:val="0"/>
        </w:rPr>
        <w:t>The following diagram shows how a block is constituted.</w:t>
      </w:r>
    </w:p>
    <w:p>
      <w:pPr>
        <w:pStyle w:val="PermNoteText"/>
        <w:rPr>
          <w:snapToGrid w:val="0"/>
        </w:rPr>
      </w:pPr>
      <w:r>
        <w:rPr>
          <w:snapToGrid w:val="0"/>
        </w:rPr>
        <w:lastRenderedPageBreak/>
        <w:tab/>
      </w: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pStyle w:val="PermNoteText"/>
        <w:jc w:val="center"/>
        <w:rPr>
          <w:snapToGrid w:val="0"/>
        </w:rPr>
      </w:pPr>
      <w:r>
        <w:rPr>
          <w:noProof/>
          <w:snapToGrid w:val="0"/>
        </w:rPr>
        <w:drawing>
          <wp:inline distT="0" distB="0" distL="0" distR="0">
            <wp:extent cx="4056888" cy="2721864"/>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056888" cy="2721864"/>
                    </a:xfrm>
                    <a:prstGeom prst="rect">
                      <a:avLst/>
                    </a:prstGeom>
                  </pic:spPr>
                </pic:pic>
              </a:graphicData>
            </a:graphic>
          </wp:inline>
        </w:drawing>
      </w:r>
    </w:p>
    <w:p>
      <w:pPr>
        <w:pStyle w:val="Heading5"/>
        <w:rPr>
          <w:snapToGrid w:val="0"/>
        </w:rPr>
      </w:pPr>
      <w:bookmarkStart w:id="33" w:name="_Toc166675104"/>
      <w:r>
        <w:rPr>
          <w:rStyle w:val="CharSectno"/>
        </w:rPr>
        <w:t>18</w:t>
      </w:r>
      <w:r>
        <w:rPr>
          <w:snapToGrid w:val="0"/>
        </w:rPr>
        <w:t>.</w:t>
      </w:r>
      <w:r>
        <w:rPr>
          <w:snapToGrid w:val="0"/>
        </w:rPr>
        <w:tab/>
        <w:t>Reserved block</w:t>
      </w:r>
      <w:bookmarkEnd w:id="33"/>
      <w:r>
        <w:rPr>
          <w:snapToGrid w:val="0"/>
        </w:rPr>
        <w:t xml:space="preserve"> </w:t>
      </w:r>
    </w:p>
    <w:p>
      <w:pPr>
        <w:pStyle w:val="Subsection"/>
        <w:rPr>
          <w:snapToGrid w:val="0"/>
        </w:rPr>
      </w:pPr>
      <w:r>
        <w:rPr>
          <w:snapToGrid w:val="0"/>
        </w:rPr>
        <w:tab/>
        <w:t>(1)</w:t>
      </w:r>
      <w:r>
        <w:rPr>
          <w:snapToGrid w:val="0"/>
        </w:rPr>
        <w:tab/>
        <w:t>Subject to subsection (2), the Minister may declare that a block in coastal waters is a reserved block.</w:t>
      </w:r>
    </w:p>
    <w:p>
      <w:pPr>
        <w:pStyle w:val="PermNoteHeading"/>
      </w:pPr>
      <w:r>
        <w:tab/>
        <w:t>Note:</w:t>
      </w:r>
    </w:p>
    <w:p>
      <w:pPr>
        <w:pStyle w:val="PermNoteText"/>
      </w:pPr>
      <w:r>
        <w:tab/>
        <w:t>1.</w:t>
      </w:r>
      <w:r>
        <w:tab/>
      </w:r>
      <w:r>
        <w:rPr>
          <w:snapToGrid w:val="0"/>
        </w:rPr>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PermNoteText"/>
      </w:pPr>
      <w:r>
        <w:tab/>
        <w:t>2.</w:t>
      </w:r>
      <w:r>
        <w:tab/>
        <w:t xml:space="preserve">Section 10(c) of the </w:t>
      </w:r>
      <w:r>
        <w:rPr>
          <w:i/>
        </w:rPr>
        <w:t>Interpretation Act 1984</w:t>
      </w:r>
      <w:r>
        <w:t xml:space="preserve"> allows a single declaration under this subsection to be made in respect of 2 or more blocks.</w:t>
      </w:r>
    </w:p>
    <w:p>
      <w:pPr>
        <w:pStyle w:val="Subsection"/>
        <w:rPr>
          <w:snapToGrid w:val="0"/>
        </w:rPr>
      </w:pPr>
      <w:r>
        <w:rPr>
          <w:snapToGrid w:val="0"/>
        </w:rPr>
        <w:tab/>
        <w:t>(2)</w:t>
      </w:r>
      <w:r>
        <w:rPr>
          <w:snapToGrid w:val="0"/>
        </w:rPr>
        <w:tab/>
        <w:t>A declaration under subsection (1) must not be made in relation to a block if — </w:t>
      </w:r>
    </w:p>
    <w:p>
      <w:pPr>
        <w:pStyle w:val="Indenta"/>
        <w:rPr>
          <w:snapToGrid w:val="0"/>
        </w:rPr>
      </w:pPr>
      <w:r>
        <w:rPr>
          <w:snapToGrid w:val="0"/>
        </w:rPr>
        <w:tab/>
        <w:t>(a)</w:t>
      </w:r>
      <w:r>
        <w:rPr>
          <w:snapToGrid w:val="0"/>
        </w:rPr>
        <w:tab/>
        <w:t>a licence over that block is in force; or</w:t>
      </w:r>
    </w:p>
    <w:p>
      <w:pPr>
        <w:pStyle w:val="Indenta"/>
        <w:rPr>
          <w:snapToGrid w:val="0"/>
        </w:rPr>
      </w:pPr>
      <w:r>
        <w:rPr>
          <w:snapToGrid w:val="0"/>
        </w:rPr>
        <w:tab/>
        <w:t>(b)</w:t>
      </w:r>
      <w:r>
        <w:rPr>
          <w:snapToGrid w:val="0"/>
        </w:rPr>
        <w:tab/>
        <w:t>an application for a licence over that block has been made and has not been determined.</w:t>
      </w:r>
    </w:p>
    <w:p>
      <w:pPr>
        <w:pStyle w:val="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Heading5"/>
        <w:rPr>
          <w:snapToGrid w:val="0"/>
        </w:rPr>
      </w:pPr>
      <w:bookmarkStart w:id="34" w:name="_Toc166675105"/>
      <w:r>
        <w:rPr>
          <w:rStyle w:val="CharSectno"/>
        </w:rPr>
        <w:lastRenderedPageBreak/>
        <w:t>19</w:t>
      </w:r>
      <w:r>
        <w:rPr>
          <w:snapToGrid w:val="0"/>
        </w:rPr>
        <w:t>.</w:t>
      </w:r>
      <w:r>
        <w:rPr>
          <w:snapToGrid w:val="0"/>
        </w:rPr>
        <w:tab/>
        <w:t>Standard block</w:t>
      </w:r>
      <w:bookmarkEnd w:id="34"/>
      <w:r>
        <w:rPr>
          <w:snapToGrid w:val="0"/>
        </w:rPr>
        <w:t xml:space="preserve"> </w:t>
      </w:r>
    </w:p>
    <w:p>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Heading5"/>
        <w:rPr>
          <w:snapToGrid w:val="0"/>
        </w:rPr>
      </w:pPr>
      <w:bookmarkStart w:id="35" w:name="_Toc166675106"/>
      <w:r>
        <w:rPr>
          <w:rStyle w:val="CharSectno"/>
        </w:rPr>
        <w:t>20</w:t>
      </w:r>
      <w:r>
        <w:rPr>
          <w:snapToGrid w:val="0"/>
        </w:rPr>
        <w:t>.</w:t>
      </w:r>
      <w:r>
        <w:rPr>
          <w:snapToGrid w:val="0"/>
        </w:rPr>
        <w:tab/>
        <w:t>Tender block</w:t>
      </w:r>
      <w:bookmarkEnd w:id="35"/>
      <w:r>
        <w:rPr>
          <w:snapToGrid w:val="0"/>
        </w:rPr>
        <w:t xml:space="preserve"> </w:t>
      </w:r>
    </w:p>
    <w:p>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Heading5"/>
        <w:rPr>
          <w:snapToGrid w:val="0"/>
        </w:rPr>
      </w:pPr>
      <w:bookmarkStart w:id="36" w:name="_Toc166675107"/>
      <w:r>
        <w:rPr>
          <w:rStyle w:val="CharSectno"/>
        </w:rPr>
        <w:t>21</w:t>
      </w:r>
      <w:r>
        <w:rPr>
          <w:snapToGrid w:val="0"/>
        </w:rPr>
        <w:t>.</w:t>
      </w:r>
      <w:r>
        <w:rPr>
          <w:snapToGrid w:val="0"/>
        </w:rPr>
        <w:tab/>
        <w:t>Discrete area</w:t>
      </w:r>
      <w:bookmarkEnd w:id="36"/>
      <w:r>
        <w:rPr>
          <w:snapToGrid w:val="0"/>
        </w:rPr>
        <w:t xml:space="preserve"> </w:t>
      </w:r>
    </w:p>
    <w:p>
      <w:pPr>
        <w:pStyle w:val="Subsection"/>
        <w:rPr>
          <w:snapToGrid w:val="0"/>
        </w:rPr>
      </w:pPr>
      <w:r>
        <w:rPr>
          <w:snapToGrid w:val="0"/>
        </w:rPr>
        <w:tab/>
        <w:t>(1)</w:t>
      </w:r>
      <w:r>
        <w:rPr>
          <w:snapToGrid w:val="0"/>
        </w:rPr>
        <w:tab/>
        <w:t>A group of blocks forms a discrete area if the area formed by the blocks is continuous.</w:t>
      </w:r>
    </w:p>
    <w:p>
      <w:pPr>
        <w:pStyle w:val="Subsection"/>
        <w:keepNext/>
        <w:rPr>
          <w:snapToGrid w:val="0"/>
        </w:rPr>
      </w:pPr>
      <w:r>
        <w:rPr>
          <w:snapToGrid w:val="0"/>
        </w:rPr>
        <w:tab/>
        <w:t>(2)</w:t>
      </w:r>
      <w:r>
        <w:rPr>
          <w:snapToGrid w:val="0"/>
        </w:rPr>
        <w:tab/>
        <w:t>Two blocks that are joined at one point only do not form a continuous area.</w:t>
      </w:r>
    </w:p>
    <w:p>
      <w:pPr>
        <w:pStyle w:val="Heading5"/>
        <w:rPr>
          <w:snapToGrid w:val="0"/>
        </w:rPr>
      </w:pPr>
      <w:bookmarkStart w:id="37" w:name="_Toc166675108"/>
      <w:r>
        <w:rPr>
          <w:rStyle w:val="CharSectno"/>
        </w:rPr>
        <w:t>22</w:t>
      </w:r>
      <w:r>
        <w:rPr>
          <w:snapToGrid w:val="0"/>
        </w:rPr>
        <w:t>.</w:t>
      </w:r>
      <w:r>
        <w:rPr>
          <w:snapToGrid w:val="0"/>
        </w:rPr>
        <w:tab/>
        <w:t>Minerals</w:t>
      </w:r>
      <w:bookmarkEnd w:id="37"/>
      <w:r>
        <w:rPr>
          <w:snapToGrid w:val="0"/>
        </w:rPr>
        <w:t xml:space="preserve"> </w:t>
      </w:r>
    </w:p>
    <w:p>
      <w:pPr>
        <w:pStyle w:val="Subsection"/>
        <w:rPr>
          <w:snapToGrid w:val="0"/>
        </w:rPr>
      </w:pPr>
      <w:r>
        <w:rPr>
          <w:snapToGrid w:val="0"/>
        </w:rPr>
        <w:tab/>
        <w:t>(1)</w:t>
      </w:r>
      <w:r>
        <w:rPr>
          <w:snapToGrid w:val="0"/>
        </w:rPr>
        <w:tab/>
        <w:t>A mineral is a naturally occurring substance or a naturally occurring mixture of substances.</w:t>
      </w:r>
    </w:p>
    <w:p>
      <w:pPr>
        <w:pStyle w:val="PermNoteHeading"/>
      </w:pPr>
      <w:r>
        <w:tab/>
        <w:t>Note:</w:t>
      </w:r>
    </w:p>
    <w:p>
      <w:pPr>
        <w:pStyle w:val="PermNoteText"/>
      </w:pPr>
      <w:r>
        <w:tab/>
      </w:r>
      <w:r>
        <w:tab/>
      </w:r>
      <w:r>
        <w:rPr>
          <w:snapToGrid w:val="0"/>
        </w:rPr>
        <w:t>This Act does not apply to petroleum (see section 35).</w:t>
      </w:r>
    </w:p>
    <w:p>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Heading5"/>
        <w:rPr>
          <w:snapToGrid w:val="0"/>
        </w:rPr>
      </w:pPr>
      <w:bookmarkStart w:id="38" w:name="_Toc166675109"/>
      <w:r>
        <w:rPr>
          <w:rStyle w:val="CharSectno"/>
        </w:rPr>
        <w:t>23</w:t>
      </w:r>
      <w:r>
        <w:rPr>
          <w:snapToGrid w:val="0"/>
        </w:rPr>
        <w:t>.</w:t>
      </w:r>
      <w:r>
        <w:rPr>
          <w:snapToGrid w:val="0"/>
        </w:rPr>
        <w:tab/>
        <w:t>Exploration</w:t>
      </w:r>
      <w:bookmarkEnd w:id="38"/>
      <w:r>
        <w:rPr>
          <w:snapToGrid w:val="0"/>
        </w:rPr>
        <w:t xml:space="preserve"> </w:t>
      </w:r>
    </w:p>
    <w:p>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w:t>
      </w:r>
      <w:r>
        <w:rPr>
          <w:snapToGrid w:val="0"/>
        </w:rPr>
        <w:lastRenderedPageBreak/>
        <w:t xml:space="preserve">State if that exploration is carried out in accordance with the </w:t>
      </w:r>
      <w:r>
        <w:rPr>
          <w:i/>
          <w:snapToGrid w:val="0"/>
        </w:rPr>
        <w:t>Mining Act 1978</w:t>
      </w:r>
      <w:r>
        <w:rPr>
          <w:snapToGrid w:val="0"/>
        </w:rPr>
        <w:t>.</w:t>
      </w:r>
    </w:p>
    <w:p>
      <w:pPr>
        <w:pStyle w:val="Heading5"/>
        <w:rPr>
          <w:snapToGrid w:val="0"/>
        </w:rPr>
      </w:pPr>
      <w:bookmarkStart w:id="39" w:name="_Toc166675111"/>
      <w:r>
        <w:rPr>
          <w:rStyle w:val="CharSectno"/>
        </w:rPr>
        <w:t>24</w:t>
      </w:r>
      <w:r>
        <w:rPr>
          <w:snapToGrid w:val="0"/>
        </w:rPr>
        <w:t>.</w:t>
      </w:r>
      <w:r>
        <w:rPr>
          <w:snapToGrid w:val="0"/>
        </w:rPr>
        <w:tab/>
        <w:t>Recovery</w:t>
      </w:r>
      <w:bookmarkEnd w:id="39"/>
      <w:r>
        <w:rPr>
          <w:snapToGrid w:val="0"/>
        </w:rPr>
        <w:t xml:space="preserve"> </w:t>
      </w:r>
    </w:p>
    <w:p>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40" w:name="_Toc166675112"/>
      <w:r>
        <w:rPr>
          <w:rStyle w:val="CharSectno"/>
        </w:rPr>
        <w:t>25</w:t>
      </w:r>
      <w:r>
        <w:rPr>
          <w:snapToGrid w:val="0"/>
        </w:rPr>
        <w:t>.</w:t>
      </w:r>
      <w:r>
        <w:rPr>
          <w:snapToGrid w:val="0"/>
        </w:rPr>
        <w:tab/>
        <w:t>Licence holder</w:t>
      </w:r>
      <w:bookmarkEnd w:id="40"/>
      <w:r>
        <w:rPr>
          <w:snapToGrid w:val="0"/>
        </w:rPr>
        <w:t xml:space="preserve"> </w:t>
      </w:r>
    </w:p>
    <w:p>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PermNoteHeading"/>
      </w:pPr>
      <w:r>
        <w:tab/>
        <w:t>Note:</w:t>
      </w:r>
    </w:p>
    <w:p>
      <w:pPr>
        <w:pStyle w:val="PermNoteText"/>
        <w:rPr>
          <w:snapToGrid w:val="0"/>
        </w:rPr>
      </w:pPr>
      <w:r>
        <w:tab/>
        <w:t>1.</w:t>
      </w:r>
      <w:r>
        <w:tab/>
      </w:r>
      <w:r>
        <w:rPr>
          <w:snapToGrid w:val="0"/>
        </w:rPr>
        <w:t>This Act is based upon the grant and registration of licences.</w:t>
      </w:r>
    </w:p>
    <w:p>
      <w:pPr>
        <w:pStyle w:val="PermNoteText"/>
        <w:rPr>
          <w:snapToGrid w:val="0"/>
        </w:rPr>
      </w:pPr>
      <w:r>
        <w:rPr>
          <w:snapToGrid w:val="0"/>
        </w:rPr>
        <w:tab/>
        <w:t>2.</w:t>
      </w:r>
      <w:r>
        <w:rPr>
          <w:snapToGrid w:val="0"/>
        </w:rPr>
        <w:tab/>
        <w:t>If a licence is granted to a person, that person’s name is entered in the register (see section 333).</w:t>
      </w:r>
    </w:p>
    <w:p>
      <w:pPr>
        <w:pStyle w:val="PermNoteText"/>
      </w:pPr>
      <w:r>
        <w:rPr>
          <w:snapToGrid w:val="0"/>
        </w:rPr>
        <w:tab/>
        <w:t>3.</w:t>
      </w:r>
      <w:r>
        <w:rPr>
          <w:snapToGrid w:val="0"/>
        </w:rPr>
        <w:tab/>
        <w:t>The entry in the register in relation to a licence will be varied if there is a change in the holder of the licence (see section 338(4)).</w:t>
      </w:r>
    </w:p>
    <w:p>
      <w:pPr>
        <w:pStyle w:val="Subsection"/>
        <w:rPr>
          <w:snapToGrid w:val="0"/>
        </w:rPr>
      </w:pPr>
      <w:r>
        <w:rPr>
          <w:snapToGrid w:val="0"/>
        </w:rPr>
        <w:tab/>
        <w:t>(2)</w:t>
      </w:r>
      <w:r>
        <w:rPr>
          <w:snapToGrid w:val="0"/>
        </w:rPr>
        <w:tab/>
        <w:t>A licence may be held by more than one person.</w:t>
      </w:r>
    </w:p>
    <w:p>
      <w:pPr>
        <w:pStyle w:val="Heading5"/>
        <w:rPr>
          <w:snapToGrid w:val="0"/>
        </w:rPr>
      </w:pPr>
      <w:bookmarkStart w:id="41" w:name="_Toc166675113"/>
      <w:r>
        <w:rPr>
          <w:rStyle w:val="CharSectno"/>
        </w:rPr>
        <w:t>26</w:t>
      </w:r>
      <w:r>
        <w:rPr>
          <w:snapToGrid w:val="0"/>
        </w:rPr>
        <w:t>.</w:t>
      </w:r>
      <w:r>
        <w:rPr>
          <w:snapToGrid w:val="0"/>
        </w:rPr>
        <w:tab/>
        <w:t>Associates</w:t>
      </w:r>
      <w:bookmarkEnd w:id="41"/>
      <w:r>
        <w:rPr>
          <w:snapToGrid w:val="0"/>
        </w:rPr>
        <w:t xml:space="preserve"> </w:t>
      </w:r>
    </w:p>
    <w:p>
      <w:pPr>
        <w:pStyle w:val="Subsection"/>
        <w:rPr>
          <w:snapToGrid w:val="0"/>
        </w:rPr>
      </w:pPr>
      <w:r>
        <w:rPr>
          <w:snapToGrid w:val="0"/>
        </w:rPr>
        <w:tab/>
        <w:t>(1)</w:t>
      </w:r>
      <w:r>
        <w:rPr>
          <w:snapToGrid w:val="0"/>
        </w:rPr>
        <w:tab/>
        <w:t>For the purposes of this Act, the following are the associates of a licence holder — </w:t>
      </w:r>
    </w:p>
    <w:p>
      <w:pPr>
        <w:pStyle w:val="Indenta"/>
        <w:rPr>
          <w:snapToGrid w:val="0"/>
        </w:rPr>
      </w:pPr>
      <w:r>
        <w:rPr>
          <w:snapToGrid w:val="0"/>
        </w:rPr>
        <w:tab/>
        <w:t>(a)</w:t>
      </w:r>
      <w:r>
        <w:rPr>
          <w:snapToGrid w:val="0"/>
        </w:rPr>
        <w:tab/>
        <w:t>associated contractors of the holder;</w:t>
      </w:r>
    </w:p>
    <w:p>
      <w:pPr>
        <w:pStyle w:val="Indenta"/>
        <w:rPr>
          <w:snapToGrid w:val="0"/>
        </w:rPr>
      </w:pPr>
      <w:r>
        <w:rPr>
          <w:snapToGrid w:val="0"/>
        </w:rPr>
        <w:tab/>
        <w:t>(b)</w:t>
      </w:r>
      <w:r>
        <w:rPr>
          <w:snapToGrid w:val="0"/>
        </w:rPr>
        <w:tab/>
        <w:t>associated agents of the holder;</w:t>
      </w:r>
    </w:p>
    <w:p>
      <w:pPr>
        <w:pStyle w:val="Indenta"/>
        <w:rPr>
          <w:snapToGrid w:val="0"/>
        </w:rPr>
      </w:pPr>
      <w:r>
        <w:rPr>
          <w:snapToGrid w:val="0"/>
        </w:rPr>
        <w:tab/>
        <w:t>(c)</w:t>
      </w:r>
      <w:r>
        <w:rPr>
          <w:snapToGrid w:val="0"/>
        </w:rPr>
        <w:tab/>
        <w:t>associated agents of associated contractors;</w:t>
      </w:r>
    </w:p>
    <w:p>
      <w:pPr>
        <w:pStyle w:val="Indenta"/>
        <w:rPr>
          <w:snapToGrid w:val="0"/>
        </w:rPr>
      </w:pPr>
      <w:r>
        <w:rPr>
          <w:snapToGrid w:val="0"/>
        </w:rPr>
        <w:tab/>
        <w:t>(d)</w:t>
      </w:r>
      <w:r>
        <w:rPr>
          <w:snapToGrid w:val="0"/>
        </w:rPr>
        <w:tab/>
        <w:t>associated employees of the holder;</w:t>
      </w:r>
    </w:p>
    <w:p>
      <w:pPr>
        <w:pStyle w:val="Indenta"/>
        <w:rPr>
          <w:snapToGrid w:val="0"/>
        </w:rPr>
      </w:pPr>
      <w:r>
        <w:rPr>
          <w:snapToGrid w:val="0"/>
        </w:rPr>
        <w:tab/>
        <w:t>(e)</w:t>
      </w:r>
      <w:r>
        <w:rPr>
          <w:snapToGrid w:val="0"/>
        </w:rPr>
        <w:tab/>
        <w:t>associated employees of associated contractors.</w:t>
      </w:r>
    </w:p>
    <w:p>
      <w:pPr>
        <w:pStyle w:val="Subsection"/>
        <w:rPr>
          <w:snapToGrid w:val="0"/>
        </w:rPr>
      </w:pPr>
      <w:r>
        <w:rPr>
          <w:snapToGrid w:val="0"/>
        </w:rPr>
        <w:lastRenderedPageBreak/>
        <w:tab/>
        <w:t>(2)</w:t>
      </w:r>
      <w:r>
        <w:rPr>
          <w:snapToGrid w:val="0"/>
        </w:rPr>
        <w:tab/>
        <w:t>A person is an associated contractor of the holder if — </w:t>
      </w:r>
    </w:p>
    <w:p>
      <w:pPr>
        <w:pStyle w:val="Indenta"/>
        <w:rPr>
          <w:snapToGrid w:val="0"/>
        </w:rPr>
      </w:pPr>
      <w:r>
        <w:rPr>
          <w:snapToGrid w:val="0"/>
        </w:rPr>
        <w:tab/>
        <w:t>(a)</w:t>
      </w:r>
      <w:r>
        <w:rPr>
          <w:snapToGrid w:val="0"/>
        </w:rPr>
        <w:tab/>
        <w:t>the person enters into an agreement with the holder for carrying out activities under the licence; or</w:t>
      </w:r>
    </w:p>
    <w:p>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Heading5"/>
        <w:rPr>
          <w:snapToGrid w:val="0"/>
        </w:rPr>
      </w:pPr>
      <w:bookmarkStart w:id="42" w:name="_Toc166675114"/>
      <w:r>
        <w:rPr>
          <w:rStyle w:val="CharSectno"/>
        </w:rPr>
        <w:t>27</w:t>
      </w:r>
      <w:r>
        <w:rPr>
          <w:snapToGrid w:val="0"/>
        </w:rPr>
        <w:t>.</w:t>
      </w:r>
      <w:r>
        <w:rPr>
          <w:snapToGrid w:val="0"/>
        </w:rPr>
        <w:tab/>
        <w:t>Confidential information</w:t>
      </w:r>
      <w:bookmarkEnd w:id="42"/>
      <w:r>
        <w:rPr>
          <w:snapToGrid w:val="0"/>
        </w:rPr>
        <w:t xml:space="preserve"> </w:t>
      </w:r>
    </w:p>
    <w:p>
      <w:pPr>
        <w:pStyle w:val="Subsection"/>
        <w:rPr>
          <w:snapToGrid w:val="0"/>
        </w:rPr>
      </w:pPr>
      <w:r>
        <w:rPr>
          <w:snapToGrid w:val="0"/>
        </w:rPr>
        <w:tab/>
        <w:t>(1)</w:t>
      </w:r>
      <w:r>
        <w:rPr>
          <w:snapToGrid w:val="0"/>
        </w:rPr>
        <w:tab/>
        <w:t>For the purposes of this Act, information is confidential information if — </w:t>
      </w:r>
    </w:p>
    <w:p>
      <w:pPr>
        <w:pStyle w:val="Indenta"/>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is in a record, return, report or document; and</w:t>
      </w:r>
    </w:p>
    <w:p>
      <w:pPr>
        <w:pStyle w:val="Indenta"/>
        <w:rPr>
          <w:snapToGrid w:val="0"/>
        </w:rPr>
      </w:pPr>
      <w:r>
        <w:rPr>
          <w:snapToGrid w:val="0"/>
        </w:rPr>
        <w:tab/>
        <w:t>(c)</w:t>
      </w:r>
      <w:r>
        <w:rPr>
          <w:snapToGrid w:val="0"/>
        </w:rPr>
        <w:tab/>
        <w:t>it relates to activities authorised by the licence; and</w:t>
      </w:r>
    </w:p>
    <w:p>
      <w:pPr>
        <w:pStyle w:val="Indenta"/>
        <w:rPr>
          <w:snapToGrid w:val="0"/>
        </w:rPr>
      </w:pPr>
      <w:r>
        <w:rPr>
          <w:snapToGrid w:val="0"/>
        </w:rPr>
        <w:tab/>
        <w:t>(d)</w:t>
      </w:r>
      <w:r>
        <w:rPr>
          <w:snapToGrid w:val="0"/>
        </w:rPr>
        <w:tab/>
        <w:t>it relates to an area of the seabed or subsoil that is covered by the licence or a successor licence to the licence.</w:t>
      </w:r>
    </w:p>
    <w:p>
      <w:pPr>
        <w:pStyle w:val="Subsection"/>
        <w:rPr>
          <w:snapToGrid w:val="0"/>
        </w:rPr>
      </w:pPr>
      <w:r>
        <w:rPr>
          <w:snapToGrid w:val="0"/>
        </w:rPr>
        <w:tab/>
        <w:t>(2)</w:t>
      </w:r>
      <w:r>
        <w:rPr>
          <w:snapToGrid w:val="0"/>
        </w:rPr>
        <w:tab/>
        <w:t>However, if — </w:t>
      </w:r>
    </w:p>
    <w:p>
      <w:pPr>
        <w:pStyle w:val="Indenta"/>
        <w:rPr>
          <w:snapToGrid w:val="0"/>
        </w:rPr>
      </w:pPr>
      <w:r>
        <w:rPr>
          <w:snapToGrid w:val="0"/>
        </w:rPr>
        <w:lastRenderedPageBreak/>
        <w:tab/>
        <w:t>(a)</w:t>
      </w:r>
      <w:r>
        <w:rPr>
          <w:snapToGrid w:val="0"/>
        </w:rPr>
        <w:tab/>
        <w:t>a person is required to give the Minister a report in relation to particular blocks; and</w:t>
      </w:r>
    </w:p>
    <w:p>
      <w:pPr>
        <w:pStyle w:val="Indenta"/>
        <w:rPr>
          <w:snapToGrid w:val="0"/>
        </w:rPr>
      </w:pPr>
      <w:r>
        <w:rPr>
          <w:snapToGrid w:val="0"/>
        </w:rPr>
        <w:tab/>
        <w:t>(b)</w:t>
      </w:r>
      <w:r>
        <w:rPr>
          <w:snapToGrid w:val="0"/>
        </w:rPr>
        <w:tab/>
        <w:t>the person gives the Minister a report that relates not only to those blocks but also to other blocks; and</w:t>
      </w:r>
    </w:p>
    <w:p>
      <w:pPr>
        <w:pStyle w:val="Indenta"/>
        <w:rPr>
          <w:snapToGrid w:val="0"/>
        </w:rPr>
      </w:pPr>
      <w:r>
        <w:rPr>
          <w:snapToGrid w:val="0"/>
        </w:rPr>
        <w:tab/>
        <w:t>(c)</w:t>
      </w:r>
      <w:r>
        <w:rPr>
          <w:snapToGrid w:val="0"/>
        </w:rPr>
        <w:tab/>
        <w:t>the Minister is required to make the report available under section 376,</w:t>
      </w:r>
    </w:p>
    <w:p>
      <w:pPr>
        <w:pStyle w:val="Subsection"/>
        <w:rPr>
          <w:snapToGrid w:val="0"/>
        </w:rPr>
      </w:pPr>
      <w:r>
        <w:rPr>
          <w:snapToGrid w:val="0"/>
        </w:rPr>
        <w:tab/>
      </w:r>
      <w:r>
        <w:rPr>
          <w:snapToGrid w:val="0"/>
        </w:rPr>
        <w:tab/>
        <w:t>the information that relates to those other blocks is not confidential information.</w:t>
      </w:r>
    </w:p>
    <w:p>
      <w:pPr>
        <w:pStyle w:val="Heading5"/>
        <w:rPr>
          <w:snapToGrid w:val="0"/>
        </w:rPr>
      </w:pPr>
      <w:bookmarkStart w:id="43" w:name="_Toc166675117"/>
      <w:r>
        <w:rPr>
          <w:rStyle w:val="CharSectno"/>
        </w:rPr>
        <w:t>28</w:t>
      </w:r>
      <w:r>
        <w:rPr>
          <w:snapToGrid w:val="0"/>
        </w:rPr>
        <w:t>.</w:t>
      </w:r>
      <w:r>
        <w:rPr>
          <w:snapToGrid w:val="0"/>
        </w:rPr>
        <w:tab/>
        <w:t>Confidential sample</w:t>
      </w:r>
      <w:bookmarkEnd w:id="43"/>
      <w:r>
        <w:rPr>
          <w:snapToGrid w:val="0"/>
        </w:rPr>
        <w:t xml:space="preserve"> </w:t>
      </w:r>
    </w:p>
    <w:p>
      <w:pPr>
        <w:pStyle w:val="Subsection"/>
        <w:keepNext/>
        <w:keepLines/>
        <w:rPr>
          <w:snapToGrid w:val="0"/>
        </w:rPr>
      </w:pPr>
      <w:r>
        <w:rPr>
          <w:snapToGrid w:val="0"/>
        </w:rPr>
        <w:tab/>
      </w:r>
      <w:r>
        <w:rPr>
          <w:snapToGrid w:val="0"/>
        </w:rPr>
        <w:tab/>
        <w:t>For the purposes of this Act, a sample is a confidential sample if — </w:t>
      </w:r>
    </w:p>
    <w:p>
      <w:pPr>
        <w:pStyle w:val="Indenta"/>
        <w:keepNext/>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was recovered in the course of activities authorised by the licence; and</w:t>
      </w:r>
    </w:p>
    <w:p>
      <w:pPr>
        <w:pStyle w:val="Indenta"/>
        <w:rPr>
          <w:snapToGrid w:val="0"/>
        </w:rPr>
      </w:pPr>
      <w:r>
        <w:rPr>
          <w:snapToGrid w:val="0"/>
        </w:rPr>
        <w:tab/>
        <w:t>(c)</w:t>
      </w:r>
      <w:r>
        <w:rPr>
          <w:snapToGrid w:val="0"/>
        </w:rPr>
        <w:tab/>
        <w:t>it was recovered from an area of the seabed or subsoil that is covered by the licence or a successor licence to the licence.</w:t>
      </w:r>
    </w:p>
    <w:p>
      <w:pPr>
        <w:pStyle w:val="Heading3"/>
        <w:pageBreakBefore/>
      </w:pPr>
      <w:bookmarkStart w:id="44" w:name="_Toc166674847"/>
      <w:bookmarkStart w:id="45" w:name="_Toc166675362"/>
      <w:bookmarkStart w:id="46" w:name="_Toc166675118"/>
      <w:r>
        <w:rPr>
          <w:rStyle w:val="CharDivNo"/>
        </w:rPr>
        <w:lastRenderedPageBreak/>
        <w:t>Part 1.3</w:t>
      </w:r>
      <w:r>
        <w:rPr>
          <w:snapToGrid w:val="0"/>
        </w:rPr>
        <w:t xml:space="preserve"> — </w:t>
      </w:r>
      <w:r>
        <w:rPr>
          <w:rStyle w:val="CharDivText"/>
        </w:rPr>
        <w:t>Administration of the Commonwealth</w:t>
      </w:r>
      <w:r>
        <w:rPr>
          <w:rStyle w:val="CharDivText"/>
        </w:rPr>
        <w:noBreakHyphen/>
        <w:t>State offshore area</w:t>
      </w:r>
      <w:bookmarkEnd w:id="44"/>
      <w:bookmarkEnd w:id="45"/>
      <w:bookmarkEnd w:id="46"/>
    </w:p>
    <w:p>
      <w:pPr>
        <w:pStyle w:val="Heading5"/>
        <w:rPr>
          <w:snapToGrid w:val="0"/>
        </w:rPr>
      </w:pPr>
      <w:bookmarkStart w:id="47" w:name="_Toc166675119"/>
      <w:r>
        <w:rPr>
          <w:rStyle w:val="CharSectno"/>
        </w:rPr>
        <w:t>29</w:t>
      </w:r>
      <w:r>
        <w:rPr>
          <w:snapToGrid w:val="0"/>
        </w:rPr>
        <w:t>.</w:t>
      </w:r>
      <w:r>
        <w:rPr>
          <w:snapToGrid w:val="0"/>
        </w:rPr>
        <w:tab/>
        <w:t>Definitions</w:t>
      </w:r>
      <w:bookmarkEnd w:id="4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associated revenue Act</w:t>
      </w:r>
      <w:r>
        <w:t xml:space="preserve"> has the same meaning as in the Commonwealth Act;</w:t>
      </w:r>
    </w:p>
    <w:p>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pPr>
        <w:pStyle w:val="Heading5"/>
        <w:rPr>
          <w:snapToGrid w:val="0"/>
        </w:rPr>
      </w:pPr>
      <w:bookmarkStart w:id="48" w:name="_Toc166675121"/>
      <w:r>
        <w:rPr>
          <w:rStyle w:val="CharSectno"/>
        </w:rPr>
        <w:t>30</w:t>
      </w:r>
      <w:r>
        <w:rPr>
          <w:snapToGrid w:val="0"/>
        </w:rPr>
        <w:t>.</w:t>
      </w:r>
      <w:r>
        <w:rPr>
          <w:snapToGrid w:val="0"/>
        </w:rPr>
        <w:tab/>
        <w:t>Minister as member of Joint Authority, or as Designated Authority</w:t>
      </w:r>
      <w:bookmarkEnd w:id="48"/>
      <w:r>
        <w:rPr>
          <w:snapToGrid w:val="0"/>
        </w:rPr>
        <w:t xml:space="preserve"> </w:t>
      </w:r>
    </w:p>
    <w:p>
      <w:pPr>
        <w:pStyle w:val="Subsection"/>
        <w:rPr>
          <w:snapToGrid w:val="0"/>
        </w:rPr>
      </w:pPr>
      <w:r>
        <w:rPr>
          <w:snapToGrid w:val="0"/>
        </w:rPr>
        <w:tab/>
        <w:t>(1)</w:t>
      </w:r>
      <w:r>
        <w:rPr>
          <w:snapToGrid w:val="0"/>
        </w:rPr>
        <w:tab/>
        <w:t>The Minister may perform any function that the Minister has under the Commonwealth Act or an associated revenue Act — </w:t>
      </w:r>
    </w:p>
    <w:p>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Indenta"/>
        <w:rPr>
          <w:snapToGrid w:val="0"/>
        </w:rPr>
      </w:pPr>
      <w:r>
        <w:rPr>
          <w:snapToGrid w:val="0"/>
        </w:rPr>
        <w:tab/>
        <w:t>(b)</w:t>
      </w:r>
      <w:r>
        <w:rPr>
          <w:snapToGrid w:val="0"/>
        </w:rPr>
        <w:tab/>
        <w:t>as the Designated Authority for that area provided for by section 29(2) of that Act.</w:t>
      </w:r>
    </w:p>
    <w:p>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Heading5"/>
        <w:rPr>
          <w:snapToGrid w:val="0"/>
        </w:rPr>
      </w:pPr>
      <w:bookmarkStart w:id="49" w:name="_Toc166675122"/>
      <w:r>
        <w:rPr>
          <w:rStyle w:val="CharSectno"/>
        </w:rPr>
        <w:t>31</w:t>
      </w:r>
      <w:r>
        <w:rPr>
          <w:snapToGrid w:val="0"/>
        </w:rPr>
        <w:t>.</w:t>
      </w:r>
      <w:r>
        <w:rPr>
          <w:snapToGrid w:val="0"/>
        </w:rPr>
        <w:tab/>
        <w:t>State officer acting under delegation</w:t>
      </w:r>
      <w:bookmarkEnd w:id="49"/>
      <w:r>
        <w:rPr>
          <w:snapToGrid w:val="0"/>
        </w:rPr>
        <w:t xml:space="preserve"> </w:t>
      </w:r>
    </w:p>
    <w:p>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Heading5"/>
        <w:rPr>
          <w:snapToGrid w:val="0"/>
        </w:rPr>
      </w:pPr>
      <w:bookmarkStart w:id="50" w:name="_Toc166675123"/>
      <w:r>
        <w:rPr>
          <w:rStyle w:val="CharSectno"/>
        </w:rPr>
        <w:lastRenderedPageBreak/>
        <w:t>32</w:t>
      </w:r>
      <w:r>
        <w:rPr>
          <w:snapToGrid w:val="0"/>
        </w:rPr>
        <w:t>. – 34.</w:t>
      </w:r>
      <w:r>
        <w:rPr>
          <w:snapToGrid w:val="0"/>
        </w:rPr>
        <w:tab/>
        <w:t>Section numbers not used</w:t>
      </w:r>
      <w:bookmarkEnd w:id="5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51" w:name="_Toc166674852"/>
      <w:bookmarkStart w:id="52" w:name="_Toc166675367"/>
      <w:bookmarkStart w:id="53" w:name="_Toc166675124"/>
      <w:r>
        <w:rPr>
          <w:rStyle w:val="CharDivNo"/>
        </w:rPr>
        <w:lastRenderedPageBreak/>
        <w:t>Part 1.4</w:t>
      </w:r>
      <w:r>
        <w:rPr>
          <w:snapToGrid w:val="0"/>
        </w:rPr>
        <w:t xml:space="preserve"> — </w:t>
      </w:r>
      <w:r>
        <w:rPr>
          <w:rStyle w:val="CharDivText"/>
        </w:rPr>
        <w:t>Application of this Act</w:t>
      </w:r>
      <w:bookmarkEnd w:id="51"/>
      <w:bookmarkEnd w:id="52"/>
      <w:bookmarkEnd w:id="53"/>
    </w:p>
    <w:p>
      <w:pPr>
        <w:pStyle w:val="Heading5"/>
        <w:rPr>
          <w:snapToGrid w:val="0"/>
        </w:rPr>
      </w:pPr>
      <w:bookmarkStart w:id="54" w:name="_Toc166675125"/>
      <w:r>
        <w:rPr>
          <w:rStyle w:val="CharSectno"/>
        </w:rPr>
        <w:t>35</w:t>
      </w:r>
      <w:r>
        <w:rPr>
          <w:snapToGrid w:val="0"/>
        </w:rPr>
        <w:t>.</w:t>
      </w:r>
      <w:r>
        <w:rPr>
          <w:snapToGrid w:val="0"/>
        </w:rPr>
        <w:tab/>
        <w:t>Act does not apply to exploration for or recovery of petroleum</w:t>
      </w:r>
      <w:bookmarkEnd w:id="54"/>
      <w:r>
        <w:rPr>
          <w:snapToGrid w:val="0"/>
        </w:rPr>
        <w:t xml:space="preserve"> </w:t>
      </w:r>
    </w:p>
    <w:p>
      <w:pPr>
        <w:pStyle w:val="Subsection"/>
        <w:rPr>
          <w:snapToGrid w:val="0"/>
        </w:rPr>
      </w:pPr>
      <w:r>
        <w:rPr>
          <w:snapToGrid w:val="0"/>
        </w:rPr>
        <w:tab/>
      </w:r>
      <w:r>
        <w:rPr>
          <w:snapToGrid w:val="0"/>
        </w:rPr>
        <w:tab/>
        <w:t>This Act does not apply to the exploration for or recovery of petroleum.</w:t>
      </w:r>
    </w:p>
    <w:p>
      <w:pPr>
        <w:pStyle w:val="PermNoteHeading"/>
      </w:pPr>
      <w:r>
        <w:tab/>
        <w:t>Note:</w:t>
      </w:r>
    </w:p>
    <w:p>
      <w:pPr>
        <w:pStyle w:val="PermNoteText"/>
        <w:rPr>
          <w:snapToGrid w:val="0"/>
        </w:rPr>
      </w:pPr>
      <w:r>
        <w:tab/>
        <w:t>1.</w:t>
      </w:r>
      <w:r>
        <w:tab/>
      </w:r>
      <w:r>
        <w:rPr>
          <w:snapToGrid w:val="0"/>
        </w:rPr>
        <w:t>For “petroleum” see section 5.</w:t>
      </w:r>
    </w:p>
    <w:p>
      <w:pPr>
        <w:pStyle w:val="PermNoteText"/>
      </w:pPr>
      <w:r>
        <w:rPr>
          <w:snapToGrid w:val="0"/>
        </w:rPr>
        <w:tab/>
        <w:t>2.</w:t>
      </w:r>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Heading5"/>
        <w:rPr>
          <w:snapToGrid w:val="0"/>
        </w:rPr>
      </w:pPr>
      <w:bookmarkStart w:id="55" w:name="_Toc166675126"/>
      <w:r>
        <w:rPr>
          <w:rStyle w:val="CharSectno"/>
        </w:rPr>
        <w:t>36</w:t>
      </w:r>
      <w:r>
        <w:rPr>
          <w:snapToGrid w:val="0"/>
        </w:rPr>
        <w:t>.</w:t>
      </w:r>
      <w:r>
        <w:rPr>
          <w:snapToGrid w:val="0"/>
        </w:rPr>
        <w:tab/>
        <w:t>Section number not used</w:t>
      </w:r>
      <w:bookmarkEnd w:id="5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56" w:name="_Toc166675127"/>
      <w:r>
        <w:rPr>
          <w:rStyle w:val="CharSectno"/>
        </w:rPr>
        <w:t>37</w:t>
      </w:r>
      <w:r>
        <w:rPr>
          <w:snapToGrid w:val="0"/>
        </w:rPr>
        <w:t>.</w:t>
      </w:r>
      <w:r>
        <w:rPr>
          <w:snapToGrid w:val="0"/>
        </w:rPr>
        <w:tab/>
        <w:t>Act applies to all individuals and corporations</w:t>
      </w:r>
      <w:bookmarkEnd w:id="56"/>
      <w:r>
        <w:rPr>
          <w:snapToGrid w:val="0"/>
        </w:rPr>
        <w:t xml:space="preserve"> </w:t>
      </w:r>
    </w:p>
    <w:p>
      <w:pPr>
        <w:pStyle w:val="Subsection"/>
        <w:rPr>
          <w:snapToGrid w:val="0"/>
        </w:rPr>
      </w:pPr>
      <w:r>
        <w:rPr>
          <w:snapToGrid w:val="0"/>
        </w:rPr>
        <w:tab/>
        <w:t>(1)</w:t>
      </w:r>
      <w:r>
        <w:rPr>
          <w:snapToGrid w:val="0"/>
        </w:rPr>
        <w:tab/>
        <w:t>This Act applies to all individuals, including — </w:t>
      </w:r>
    </w:p>
    <w:p>
      <w:pPr>
        <w:pStyle w:val="Indenta"/>
        <w:rPr>
          <w:snapToGrid w:val="0"/>
        </w:rPr>
      </w:pPr>
      <w:r>
        <w:rPr>
          <w:snapToGrid w:val="0"/>
        </w:rPr>
        <w:tab/>
        <w:t>(a)</w:t>
      </w:r>
      <w:r>
        <w:rPr>
          <w:snapToGrid w:val="0"/>
        </w:rPr>
        <w:tab/>
        <w:t>individuals who are not Australian citizens; and</w:t>
      </w:r>
    </w:p>
    <w:p>
      <w:pPr>
        <w:pStyle w:val="Indenta"/>
        <w:rPr>
          <w:snapToGrid w:val="0"/>
        </w:rPr>
      </w:pPr>
      <w:r>
        <w:rPr>
          <w:snapToGrid w:val="0"/>
        </w:rPr>
        <w:tab/>
        <w:t>(b)</w:t>
      </w:r>
      <w:r>
        <w:rPr>
          <w:snapToGrid w:val="0"/>
        </w:rPr>
        <w:tab/>
        <w:t>individuals who are not resident in Western Australia.</w:t>
      </w:r>
    </w:p>
    <w:p>
      <w:pPr>
        <w:pStyle w:val="Subsection"/>
        <w:rPr>
          <w:snapToGrid w:val="0"/>
        </w:rPr>
      </w:pPr>
      <w:r>
        <w:rPr>
          <w:snapToGrid w:val="0"/>
        </w:rPr>
        <w:tab/>
        <w:t>(2)</w:t>
      </w:r>
      <w:r>
        <w:rPr>
          <w:snapToGrid w:val="0"/>
        </w:rPr>
        <w:tab/>
        <w:t>This Act applies to all corporations, including — </w:t>
      </w:r>
    </w:p>
    <w:p>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Western Australia; and</w:t>
      </w:r>
    </w:p>
    <w:p>
      <w:pPr>
        <w:pStyle w:val="Indenta"/>
        <w:rPr>
          <w:snapToGrid w:val="0"/>
        </w:rPr>
      </w:pPr>
      <w:r>
        <w:rPr>
          <w:snapToGrid w:val="0"/>
        </w:rPr>
        <w:tab/>
        <w:t>(b)</w:t>
      </w:r>
      <w:r>
        <w:rPr>
          <w:snapToGrid w:val="0"/>
        </w:rPr>
        <w:tab/>
        <w:t>corporations that do not carry on business in Western Australia.</w:t>
      </w:r>
    </w:p>
    <w:p>
      <w:pPr>
        <w:pStyle w:val="Heading2"/>
      </w:pPr>
      <w:bookmarkStart w:id="57" w:name="_Toc166674856"/>
      <w:bookmarkStart w:id="58" w:name="_Toc166675371"/>
      <w:bookmarkStart w:id="59" w:name="_Toc166675128"/>
      <w:r>
        <w:rPr>
          <w:rStyle w:val="CharPartNo"/>
        </w:rPr>
        <w:lastRenderedPageBreak/>
        <w:t>Chapter 2</w:t>
      </w:r>
      <w:r>
        <w:t xml:space="preserve"> — </w:t>
      </w:r>
      <w:r>
        <w:rPr>
          <w:rStyle w:val="CharPartText"/>
        </w:rPr>
        <w:t>Regulation of offshore exploration and mining</w:t>
      </w:r>
      <w:bookmarkEnd w:id="57"/>
      <w:bookmarkEnd w:id="58"/>
      <w:bookmarkEnd w:id="59"/>
    </w:p>
    <w:p>
      <w:pPr>
        <w:pStyle w:val="Heading3"/>
      </w:pPr>
      <w:bookmarkStart w:id="60" w:name="_Toc166674857"/>
      <w:bookmarkStart w:id="61" w:name="_Toc166675372"/>
      <w:bookmarkStart w:id="62" w:name="_Toc166675129"/>
      <w:r>
        <w:rPr>
          <w:rStyle w:val="CharDivNo"/>
        </w:rPr>
        <w:t>Part 2.1</w:t>
      </w:r>
      <w:r>
        <w:t xml:space="preserve"> — </w:t>
      </w:r>
      <w:r>
        <w:rPr>
          <w:rStyle w:val="CharDivText"/>
        </w:rPr>
        <w:t>General</w:t>
      </w:r>
      <w:bookmarkEnd w:id="60"/>
      <w:bookmarkEnd w:id="61"/>
      <w:bookmarkEnd w:id="62"/>
    </w:p>
    <w:p>
      <w:pPr>
        <w:pStyle w:val="Heading5"/>
      </w:pPr>
      <w:bookmarkStart w:id="63" w:name="_Toc166675130"/>
      <w:r>
        <w:rPr>
          <w:rStyle w:val="CharSectno"/>
        </w:rPr>
        <w:t>38</w:t>
      </w:r>
      <w:r>
        <w:rPr>
          <w:snapToGrid w:val="0"/>
        </w:rPr>
        <w:t>.</w:t>
      </w:r>
      <w:r>
        <w:rPr>
          <w:snapToGrid w:val="0"/>
        </w:rPr>
        <w:tab/>
        <w:t>General prohibition on exploring and mining without appropriate authorisation</w:t>
      </w:r>
      <w:bookmarkEnd w:id="6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explore for minerals in coastal waters; or</w:t>
      </w:r>
    </w:p>
    <w:p>
      <w:pPr>
        <w:pStyle w:val="Indenta"/>
        <w:rPr>
          <w:snapToGrid w:val="0"/>
        </w:rPr>
      </w:pPr>
      <w:r>
        <w:rPr>
          <w:snapToGrid w:val="0"/>
        </w:rPr>
        <w:tab/>
        <w:t>(b)</w:t>
      </w:r>
      <w:r>
        <w:rPr>
          <w:snapToGrid w:val="0"/>
        </w:rPr>
        <w:tab/>
        <w:t>recover minerals from coastal waters,</w:t>
      </w:r>
    </w:p>
    <w:p>
      <w:pPr>
        <w:pStyle w:val="Subsection"/>
        <w:rPr>
          <w:snapToGrid w:val="0"/>
        </w:rPr>
      </w:pPr>
      <w:r>
        <w:rPr>
          <w:snapToGrid w:val="0"/>
        </w:rPr>
        <w:tab/>
      </w:r>
      <w:r>
        <w:rPr>
          <w:snapToGrid w:val="0"/>
        </w:rPr>
        <w:tab/>
        <w:t>unless the exploration or recovery is authorised by a licence or special purpose consent granted under this Act.</w:t>
      </w:r>
    </w:p>
    <w:p>
      <w:pPr>
        <w:pStyle w:val="Penstart"/>
        <w:rPr>
          <w:snapToGrid w:val="0"/>
        </w:rPr>
      </w:pPr>
      <w:r>
        <w:rPr>
          <w:snapToGrid w:val="0"/>
        </w:rPr>
        <w:tab/>
        <w:t>Maximum penalty: $30 000.</w:t>
      </w:r>
    </w:p>
    <w:p>
      <w:pPr>
        <w:pStyle w:val="PermNoteHeading"/>
      </w:pPr>
      <w:r>
        <w:tab/>
        <w:t>Note:</w:t>
      </w:r>
    </w:p>
    <w:p>
      <w:pPr>
        <w:pStyle w:val="PermNoteText"/>
        <w:rPr>
          <w:snapToGrid w:val="0"/>
        </w:rPr>
      </w:pPr>
      <w:r>
        <w:tab/>
        <w:t>1.</w:t>
      </w:r>
      <w:r>
        <w:tab/>
      </w:r>
      <w:r>
        <w:rPr>
          <w:snapToGrid w:val="0"/>
        </w:rPr>
        <w:t>A works licence may be necessary because “exploration” includes activities that are directly related to exploration (see section 23(1)) and “recovery” includes activities that are directly related to recovery (see section 24(1)).</w:t>
      </w:r>
    </w:p>
    <w:p>
      <w:pPr>
        <w:pStyle w:val="PermNoteText"/>
      </w:pPr>
      <w:r>
        <w:rPr>
          <w:snapToGrid w:val="0"/>
        </w:rPr>
        <w:tab/>
        <w:t>2.</w:t>
      </w:r>
      <w:r>
        <w:rPr>
          <w:snapToGrid w:val="0"/>
        </w:rP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64" w:name="_Toc166675131"/>
      <w:r>
        <w:rPr>
          <w:rStyle w:val="CharSectno"/>
        </w:rPr>
        <w:t>38A</w:t>
      </w:r>
      <w:r>
        <w:rPr>
          <w:snapToGrid w:val="0"/>
        </w:rPr>
        <w:t>.</w:t>
      </w:r>
      <w:r>
        <w:rPr>
          <w:snapToGrid w:val="0"/>
        </w:rPr>
        <w:tab/>
        <w:t>Exploration and mining in marine reserves and fish habitat protection areas</w:t>
      </w:r>
      <w:bookmarkEnd w:id="64"/>
    </w:p>
    <w:p>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Indenta"/>
        <w:rPr>
          <w:snapToGrid w:val="0"/>
        </w:rPr>
      </w:pPr>
      <w:r>
        <w:rPr>
          <w:snapToGrid w:val="0"/>
        </w:rPr>
        <w:tab/>
        <w:t>(a)</w:t>
      </w:r>
      <w:r>
        <w:rPr>
          <w:snapToGrid w:val="0"/>
        </w:rPr>
        <w:tab/>
        <w:t>prevents a licence or special purpose consent from being applied for, granted, held or renewed; or</w:t>
      </w:r>
    </w:p>
    <w:p>
      <w:pPr>
        <w:pStyle w:val="Indenta"/>
        <w:rPr>
          <w:snapToGrid w:val="0"/>
        </w:rPr>
      </w:pPr>
      <w:r>
        <w:rPr>
          <w:snapToGrid w:val="0"/>
        </w:rPr>
        <w:tab/>
        <w:t>(b)</w:t>
      </w:r>
      <w:r>
        <w:rPr>
          <w:snapToGrid w:val="0"/>
        </w:rPr>
        <w:tab/>
        <w:t>affects the validity or effect of a licence or special purpose consent,</w:t>
      </w:r>
    </w:p>
    <w:p>
      <w:pPr>
        <w:pStyle w:val="Subsection"/>
        <w:rPr>
          <w:snapToGrid w:val="0"/>
        </w:rPr>
      </w:pPr>
      <w:r>
        <w:rPr>
          <w:snapToGrid w:val="0"/>
        </w:rPr>
        <w:tab/>
      </w:r>
      <w:r>
        <w:rPr>
          <w:snapToGrid w:val="0"/>
        </w:rPr>
        <w:tab/>
        <w:t>over an area in a marine nature reserve, marine park or marine management area.</w:t>
      </w:r>
    </w:p>
    <w:p>
      <w:pPr>
        <w:pStyle w:val="Subsection"/>
        <w:rPr>
          <w:snapToGrid w:val="0"/>
        </w:rPr>
      </w:pPr>
      <w:r>
        <w:rPr>
          <w:snapToGrid w:val="0"/>
        </w:rPr>
        <w:lastRenderedPageBreak/>
        <w:tab/>
        <w:t>(2)</w:t>
      </w:r>
      <w:r>
        <w:rPr>
          <w:snapToGrid w:val="0"/>
        </w:rPr>
        <w:tab/>
        <w:t>Despite sections 206, 225 and 231, a mining licence over a marine nature reserve or marine park, or part of such a reserve or park, may be provisionally granted under those sections — </w:t>
      </w:r>
    </w:p>
    <w:p>
      <w:pPr>
        <w:pStyle w:val="Indenta"/>
        <w:rPr>
          <w:snapToGrid w:val="0"/>
        </w:rPr>
      </w:pPr>
      <w:r>
        <w:rPr>
          <w:snapToGrid w:val="0"/>
        </w:rPr>
        <w:tab/>
        <w:t>(a)</w:t>
      </w:r>
      <w:r>
        <w:rPr>
          <w:snapToGrid w:val="0"/>
        </w:rPr>
        <w:tab/>
        <w:t xml:space="preserve">only if both Houses of Parliament by resolution consent to the provisional grant; and </w:t>
      </w:r>
    </w:p>
    <w:p>
      <w:pPr>
        <w:pStyle w:val="Indenta"/>
        <w:rPr>
          <w:snapToGrid w:val="0"/>
        </w:rPr>
      </w:pPr>
      <w:r>
        <w:rPr>
          <w:snapToGrid w:val="0"/>
        </w:rPr>
        <w:tab/>
        <w:t>(b)</w:t>
      </w:r>
      <w:r>
        <w:rPr>
          <w:snapToGrid w:val="0"/>
        </w:rPr>
        <w:tab/>
        <w:t>on such terms and conditions as are specified in the resolution.</w:t>
      </w:r>
    </w:p>
    <w:p>
      <w:pPr>
        <w:pStyle w:val="Subsection"/>
        <w:spacing w:before="120"/>
        <w:rPr>
          <w:snapToGrid w:val="0"/>
        </w:rPr>
      </w:pPr>
      <w:r>
        <w:rPr>
          <w:snapToGrid w:val="0"/>
        </w:rPr>
        <w:tab/>
        <w:t>(3)</w:t>
      </w:r>
      <w:r>
        <w:rPr>
          <w:snapToGrid w:val="0"/>
        </w:rPr>
        <w:tab/>
        <w:t>Despite — </w:t>
      </w:r>
    </w:p>
    <w:p>
      <w:pPr>
        <w:pStyle w:val="Indenta"/>
        <w:rPr>
          <w:snapToGrid w:val="0"/>
        </w:rPr>
      </w:pPr>
      <w:r>
        <w:rPr>
          <w:snapToGrid w:val="0"/>
        </w:rPr>
        <w:tab/>
        <w:t>(a)</w:t>
      </w:r>
      <w:r>
        <w:rPr>
          <w:snapToGrid w:val="0"/>
        </w:rPr>
        <w:tab/>
        <w:t>the grant of a licence or special purpose consent; or</w:t>
      </w:r>
    </w:p>
    <w:p>
      <w:pPr>
        <w:pStyle w:val="Indenta"/>
        <w:rPr>
          <w:snapToGrid w:val="0"/>
        </w:rPr>
      </w:pPr>
      <w:r>
        <w:rPr>
          <w:snapToGrid w:val="0"/>
        </w:rPr>
        <w:tab/>
        <w:t>(b)</w:t>
      </w:r>
      <w:r>
        <w:rPr>
          <w:snapToGrid w:val="0"/>
        </w:rPr>
        <w:tab/>
        <w:t>any provision of this Act,</w:t>
      </w:r>
    </w:p>
    <w:p>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spacing w:before="120"/>
        <w:rPr>
          <w:snapToGrid w:val="0"/>
        </w:rPr>
      </w:pPr>
      <w:r>
        <w:rPr>
          <w:snapToGrid w:val="0"/>
        </w:rPr>
        <w:tab/>
        <w:t>(4)</w:t>
      </w:r>
      <w:r>
        <w:rPr>
          <w:snapToGrid w:val="0"/>
        </w:rPr>
        <w:tab/>
        <w:t>Before giving consent under subsection (3), whether conditionally or unconditionally, the Minister must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20"/>
        <w:rPr>
          <w:snapToGrid w:val="0"/>
        </w:rPr>
      </w:pPr>
      <w:r>
        <w:rPr>
          <w:snapToGrid w:val="0"/>
        </w:rPr>
        <w:tab/>
        <w:t>(5)</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lastRenderedPageBreak/>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Subsection"/>
        <w:rPr>
          <w:snapToGrid w:val="0"/>
        </w:rPr>
      </w:pPr>
      <w:r>
        <w:rPr>
          <w:snapToGrid w:val="0"/>
        </w:rPr>
        <w:tab/>
        <w:t>(7)</w:t>
      </w:r>
      <w:r>
        <w:rPr>
          <w:snapToGrid w:val="0"/>
        </w:rPr>
        <w:tab/>
        <w:t>Nothing in this Act authorises, or enables the Minister to authorise or consent to, the disturbance of — </w:t>
      </w:r>
    </w:p>
    <w:p>
      <w:pPr>
        <w:pStyle w:val="Indenta"/>
        <w:rPr>
          <w:snapToGrid w:val="0"/>
        </w:rPr>
      </w:pPr>
      <w:r>
        <w:rPr>
          <w:snapToGrid w:val="0"/>
        </w:rPr>
        <w:tab/>
        <w:t>(a)</w:t>
      </w:r>
      <w:r>
        <w:rPr>
          <w:snapToGrid w:val="0"/>
        </w:rPr>
        <w:tab/>
        <w:t xml:space="preserve">the seabed; or </w:t>
      </w:r>
    </w:p>
    <w:p>
      <w:pPr>
        <w:pStyle w:val="Indenta"/>
        <w:rPr>
          <w:snapToGrid w:val="0"/>
        </w:rPr>
      </w:pPr>
      <w:r>
        <w:rPr>
          <w:snapToGrid w:val="0"/>
        </w:rPr>
        <w:tab/>
        <w:t>(b)</w:t>
      </w:r>
      <w:r>
        <w:rPr>
          <w:snapToGrid w:val="0"/>
        </w:rPr>
        <w:tab/>
        <w:t>subsoil below the seabed to a depth of 200 metres,</w:t>
      </w:r>
    </w:p>
    <w:p>
      <w:pPr>
        <w:pStyle w:val="Subsection"/>
        <w:rPr>
          <w:snapToGrid w:val="0"/>
        </w:rPr>
      </w:pPr>
      <w:r>
        <w:rPr>
          <w:snapToGrid w:val="0"/>
        </w:rPr>
        <w:tab/>
      </w:r>
      <w:r>
        <w:rPr>
          <w:snapToGrid w:val="0"/>
        </w:rPr>
        <w:tab/>
        <w:t>in a marine nature reserve or a restricted area in respect of which a licence or special purpose consent is in force.</w:t>
      </w:r>
    </w:p>
    <w:p>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Subsection"/>
        <w:rPr>
          <w:snapToGrid w:val="0"/>
        </w:rPr>
      </w:pPr>
      <w:r>
        <w:rPr>
          <w:snapToGrid w:val="0"/>
        </w:rPr>
        <w:tab/>
        <w:t>(9)</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pPr>
        <w:pStyle w:val="Defstart"/>
      </w:pPr>
      <w:r>
        <w:rPr>
          <w:b/>
        </w:rPr>
        <w:lastRenderedPageBreak/>
        <w:tab/>
      </w:r>
      <w:r>
        <w:rPr>
          <w:rStyle w:val="CharDefText"/>
        </w:rPr>
        <w:t>fish habitat protection area</w:t>
      </w:r>
      <w:r>
        <w:t xml:space="preserve"> has the meaning given to it by the </w:t>
      </w:r>
      <w:r>
        <w:rPr>
          <w:i/>
        </w:rPr>
        <w:t>Fish Resources Management Act 1994</w:t>
      </w:r>
      <w:r>
        <w:t>;</w:t>
      </w:r>
    </w:p>
    <w:p>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marine Minister</w:t>
      </w:r>
      <w:r>
        <w:t xml:space="preserve"> means the Minister for the time being administering the </w:t>
      </w:r>
      <w:r>
        <w:rPr>
          <w:i/>
        </w:rPr>
        <w:t>Marine and Harbours Act 1981</w:t>
      </w:r>
      <w:r>
        <w:t>;</w:t>
      </w:r>
    </w:p>
    <w:p>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pPr>
        <w:pStyle w:val="Defpara"/>
      </w:pPr>
      <w:r>
        <w:tab/>
        <w:t>(a)</w:t>
      </w:r>
      <w:r>
        <w:tab/>
        <w:t>a sanctuary area; or</w:t>
      </w:r>
    </w:p>
    <w:p>
      <w:pPr>
        <w:pStyle w:val="Defpara"/>
      </w:pPr>
      <w:r>
        <w:tab/>
        <w:t>(b)</w:t>
      </w:r>
      <w:r>
        <w:tab/>
        <w:t>a recreation area; or</w:t>
      </w:r>
    </w:p>
    <w:p>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Heading5"/>
        <w:rPr>
          <w:rStyle w:val="CharSectno"/>
        </w:rPr>
      </w:pPr>
      <w:bookmarkStart w:id="65" w:name="_Toc166675132"/>
      <w:r>
        <w:rPr>
          <w:rStyle w:val="CharSectno"/>
        </w:rPr>
        <w:t>38B.</w:t>
      </w:r>
      <w:r>
        <w:rPr>
          <w:rStyle w:val="CharSectno"/>
        </w:rPr>
        <w:tab/>
        <w:t>Consultation with other Ministers</w:t>
      </w:r>
      <w:bookmarkEnd w:id="65"/>
    </w:p>
    <w:p>
      <w:pPr>
        <w:pStyle w:val="Subsection"/>
        <w:keepNext/>
      </w:pPr>
      <w:r>
        <w:tab/>
      </w:r>
      <w:r>
        <w:tab/>
        <w:t>Before granting a licence or special purpose consent, the Minister must consult and obtain the recommendations of —</w:t>
      </w:r>
    </w:p>
    <w:p>
      <w:pPr>
        <w:pStyle w:val="Indenta"/>
      </w:pPr>
      <w:r>
        <w:tab/>
        <w:t>(a)</w:t>
      </w:r>
      <w:r>
        <w:tab/>
        <w:t xml:space="preserve">the Minister for the time being administering the </w:t>
      </w:r>
      <w:r>
        <w:rPr>
          <w:i/>
        </w:rPr>
        <w:t>Environmental Protection Act 1986</w:t>
      </w:r>
      <w:r>
        <w:t>; and</w:t>
      </w:r>
    </w:p>
    <w:p>
      <w:pPr>
        <w:pStyle w:val="Indenta"/>
      </w:pPr>
      <w:r>
        <w:tab/>
        <w:t>(b)</w:t>
      </w:r>
      <w:r>
        <w:tab/>
        <w:t xml:space="preserve">the Minister for the time being administering the </w:t>
      </w:r>
      <w:r>
        <w:rPr>
          <w:i/>
        </w:rPr>
        <w:t>Fish Resources Management Act 1994</w:t>
      </w:r>
      <w:r>
        <w:t>; and</w:t>
      </w:r>
    </w:p>
    <w:p>
      <w:pPr>
        <w:pStyle w:val="Indenta"/>
      </w:pPr>
      <w:r>
        <w:tab/>
        <w:t>(c)</w:t>
      </w:r>
      <w:r>
        <w:tab/>
        <w:t xml:space="preserve">the Minister for the time being administering the </w:t>
      </w:r>
      <w:r>
        <w:rPr>
          <w:i/>
        </w:rPr>
        <w:t>Land Administration Act 1997</w:t>
      </w:r>
      <w:r>
        <w:t>; and</w:t>
      </w:r>
    </w:p>
    <w:p>
      <w:pPr>
        <w:pStyle w:val="Indenta"/>
      </w:pPr>
      <w:r>
        <w:tab/>
        <w:t>(d)</w:t>
      </w:r>
      <w:r>
        <w:tab/>
        <w:t xml:space="preserve">the Minister for the time being administering the </w:t>
      </w:r>
      <w:r>
        <w:rPr>
          <w:i/>
        </w:rPr>
        <w:t>Marine and Harbours Act 1981</w:t>
      </w:r>
      <w:r>
        <w:t>; and</w:t>
      </w:r>
    </w:p>
    <w:p>
      <w:pPr>
        <w:pStyle w:val="Indenta"/>
      </w:pPr>
      <w:r>
        <w:lastRenderedPageBreak/>
        <w:tab/>
        <w:t>(e)</w:t>
      </w:r>
      <w:r>
        <w:tab/>
        <w:t xml:space="preserve">the Minister for the time being administering the </w:t>
      </w:r>
      <w:r>
        <w:rPr>
          <w:i/>
        </w:rPr>
        <w:t>Pearling Act 1990</w:t>
      </w:r>
      <w:r>
        <w:t>.</w:t>
      </w:r>
    </w:p>
    <w:p>
      <w:pPr>
        <w:pStyle w:val="Heading5"/>
        <w:spacing w:before="120"/>
        <w:rPr>
          <w:snapToGrid w:val="0"/>
        </w:rPr>
      </w:pPr>
      <w:bookmarkStart w:id="66" w:name="_Toc166675133"/>
      <w:r>
        <w:rPr>
          <w:rStyle w:val="CharSectno"/>
        </w:rPr>
        <w:t>39</w:t>
      </w:r>
      <w:r>
        <w:rPr>
          <w:snapToGrid w:val="0"/>
        </w:rPr>
        <w:t>.</w:t>
      </w:r>
      <w:r>
        <w:rPr>
          <w:snapToGrid w:val="0"/>
        </w:rPr>
        <w:tab/>
        <w:t>Licences and consents available under this Act</w:t>
      </w:r>
      <w:bookmarkEnd w:id="66"/>
      <w:r>
        <w:rPr>
          <w:snapToGrid w:val="0"/>
        </w:rPr>
        <w:t xml:space="preserve"> </w:t>
      </w:r>
    </w:p>
    <w:p>
      <w:pPr>
        <w:pStyle w:val="Subsection"/>
        <w:keepNext/>
        <w:keepLines/>
        <w:rPr>
          <w:snapToGrid w:val="0"/>
        </w:rPr>
      </w:pPr>
      <w:r>
        <w:rPr>
          <w:snapToGrid w:val="0"/>
        </w:rPr>
        <w:tab/>
      </w:r>
      <w:r>
        <w:rPr>
          <w:snapToGrid w:val="0"/>
        </w:rPr>
        <w:tab/>
        <w:t>This Act provides for the grant of — </w:t>
      </w:r>
    </w:p>
    <w:p>
      <w:pPr>
        <w:pStyle w:val="Indenta"/>
        <w:rPr>
          <w:snapToGrid w:val="0"/>
        </w:rPr>
      </w:pPr>
      <w:r>
        <w:rPr>
          <w:snapToGrid w:val="0"/>
        </w:rPr>
        <w:tab/>
        <w:t>(a)</w:t>
      </w:r>
      <w:r>
        <w:rPr>
          <w:snapToGrid w:val="0"/>
        </w:rPr>
        <w:tab/>
        <w:t>exploration licences (see Part 2.2); and</w:t>
      </w:r>
    </w:p>
    <w:p>
      <w:pPr>
        <w:pStyle w:val="Indenta"/>
        <w:rPr>
          <w:snapToGrid w:val="0"/>
        </w:rPr>
      </w:pPr>
      <w:r>
        <w:rPr>
          <w:snapToGrid w:val="0"/>
        </w:rPr>
        <w:tab/>
        <w:t>(b)</w:t>
      </w:r>
      <w:r>
        <w:rPr>
          <w:snapToGrid w:val="0"/>
        </w:rPr>
        <w:tab/>
        <w:t>retention licences (see Part 2.3); and</w:t>
      </w:r>
    </w:p>
    <w:p>
      <w:pPr>
        <w:pStyle w:val="Indenta"/>
        <w:rPr>
          <w:snapToGrid w:val="0"/>
        </w:rPr>
      </w:pPr>
      <w:r>
        <w:rPr>
          <w:snapToGrid w:val="0"/>
        </w:rPr>
        <w:tab/>
        <w:t>(c)</w:t>
      </w:r>
      <w:r>
        <w:rPr>
          <w:snapToGrid w:val="0"/>
        </w:rPr>
        <w:tab/>
        <w:t>mining licences (see Part 2.4); and</w:t>
      </w:r>
    </w:p>
    <w:p>
      <w:pPr>
        <w:pStyle w:val="Indenta"/>
        <w:rPr>
          <w:snapToGrid w:val="0"/>
        </w:rPr>
      </w:pPr>
      <w:r>
        <w:rPr>
          <w:snapToGrid w:val="0"/>
        </w:rPr>
        <w:tab/>
        <w:t>(d)</w:t>
      </w:r>
      <w:r>
        <w:rPr>
          <w:snapToGrid w:val="0"/>
        </w:rPr>
        <w:tab/>
        <w:t>works licences (see Part 2.5); and</w:t>
      </w:r>
    </w:p>
    <w:p>
      <w:pPr>
        <w:pStyle w:val="Indenta"/>
        <w:rPr>
          <w:snapToGrid w:val="0"/>
        </w:rPr>
      </w:pPr>
      <w:r>
        <w:rPr>
          <w:snapToGrid w:val="0"/>
        </w:rPr>
        <w:tab/>
        <w:t>(e)</w:t>
      </w:r>
      <w:r>
        <w:rPr>
          <w:snapToGrid w:val="0"/>
        </w:rPr>
        <w:tab/>
        <w:t>special purpose consents (see Part 2.6).</w:t>
      </w:r>
    </w:p>
    <w:p>
      <w:pPr>
        <w:pStyle w:val="PermNoteHeading"/>
      </w:pPr>
      <w:r>
        <w:tab/>
        <w:t>Note:</w:t>
      </w:r>
    </w:p>
    <w:p>
      <w:pPr>
        <w:pStyle w:val="PermNoteText"/>
        <w:rPr>
          <w:snapToGrid w:val="0"/>
        </w:rPr>
      </w:pPr>
      <w:r>
        <w:tab/>
        <w:t>1.</w:t>
      </w:r>
      <w:r>
        <w:tab/>
      </w:r>
      <w:r>
        <w:rPr>
          <w:snapToGrid w:val="0"/>
        </w:rPr>
        <w:t>An exploration licence is designed to cover the exploration phase of a project and authorises — </w:t>
      </w:r>
    </w:p>
    <w:p>
      <w:pPr>
        <w:pStyle w:val="PermNotePara"/>
        <w:rPr>
          <w:snapToGrid w:val="0"/>
        </w:rPr>
      </w:pPr>
      <w:r>
        <w:tab/>
        <w:t>(a)</w:t>
      </w:r>
      <w:r>
        <w:tab/>
      </w:r>
      <w:r>
        <w:rPr>
          <w:snapToGrid w:val="0"/>
        </w:rPr>
        <w:t>exploration; and</w:t>
      </w:r>
    </w:p>
    <w:p>
      <w:pPr>
        <w:pStyle w:val="PermNotePara"/>
      </w:pPr>
      <w:r>
        <w:rPr>
          <w:snapToGrid w:val="0"/>
        </w:rPr>
        <w:tab/>
        <w:t>(b)</w:t>
      </w:r>
      <w:r>
        <w:rPr>
          <w:snapToGrid w:val="0"/>
        </w:rPr>
        <w:tab/>
        <w:t>the recovery of mineral samples.</w:t>
      </w:r>
    </w:p>
    <w:p>
      <w:pPr>
        <w:pStyle w:val="PermNoteText"/>
      </w:pPr>
      <w:r>
        <w:tab/>
        <w:t>2.</w:t>
      </w:r>
      <w:r>
        <w:tab/>
        <w:t>A retention licence is designed to ensure the retention of rights pending the transition of a project from the exploration phase to the commercial mining phase and authorises — </w:t>
      </w:r>
    </w:p>
    <w:p>
      <w:pPr>
        <w:pStyle w:val="PermNotePara"/>
      </w:pPr>
      <w:r>
        <w:tab/>
        <w:t>(a)</w:t>
      </w:r>
      <w:r>
        <w:tab/>
        <w:t>exploration; and</w:t>
      </w:r>
    </w:p>
    <w:p>
      <w:pPr>
        <w:pStyle w:val="PermNotePara"/>
      </w:pPr>
      <w:r>
        <w:tab/>
        <w:t>(b)</w:t>
      </w:r>
      <w:r>
        <w:tab/>
        <w:t>the recovery of minerals but not as part of a commercial mining operation.</w:t>
      </w:r>
    </w:p>
    <w:p>
      <w:pPr>
        <w:pStyle w:val="PermNoteText"/>
      </w:pPr>
      <w:r>
        <w:tab/>
        <w:t>3.</w:t>
      </w:r>
      <w:r>
        <w:tab/>
        <w:t>A mining licence is designed to cover the commercial mining phase of a project and authorises — </w:t>
      </w:r>
    </w:p>
    <w:p>
      <w:pPr>
        <w:pStyle w:val="PermNotePara"/>
      </w:pPr>
      <w:r>
        <w:tab/>
        <w:t>(a)</w:t>
      </w:r>
      <w:r>
        <w:tab/>
        <w:t>exploration; and</w:t>
      </w:r>
    </w:p>
    <w:p>
      <w:pPr>
        <w:pStyle w:val="PermNotePara"/>
      </w:pPr>
      <w:r>
        <w:tab/>
        <w:t>(b)</w:t>
      </w:r>
      <w:r>
        <w:tab/>
        <w:t>full commercial recovery.</w:t>
      </w:r>
    </w:p>
    <w:p>
      <w:pPr>
        <w:pStyle w:val="PermNoteText"/>
      </w:pPr>
      <w:r>
        <w:tab/>
        <w:t>4.</w:t>
      </w:r>
      <w:r>
        <w:tab/>
        <w:t>A project might make use of any of the following 3 licence arrangements — </w:t>
      </w:r>
    </w:p>
    <w:p>
      <w:pPr>
        <w:pStyle w:val="PermNotePara"/>
      </w:pPr>
      <w:r>
        <w:tab/>
        <w:t>(a)</w:t>
      </w:r>
      <w:r>
        <w:tab/>
        <w:t>an exploration licence leading to a mining licence;</w:t>
      </w:r>
    </w:p>
    <w:p>
      <w:pPr>
        <w:pStyle w:val="PermNotePara"/>
      </w:pPr>
      <w:r>
        <w:tab/>
        <w:t>(b)</w:t>
      </w:r>
      <w:r>
        <w:tab/>
        <w:t>an exploration licence leading to a retention licence and then a mining licence;</w:t>
      </w:r>
    </w:p>
    <w:p>
      <w:pPr>
        <w:pStyle w:val="PermNotePara"/>
      </w:pPr>
      <w:r>
        <w:tab/>
        <w:t>(c)</w:t>
      </w:r>
      <w:r>
        <w:tab/>
        <w:t>a mining licence (without progressing through an exploration/retention licence stage).</w:t>
      </w:r>
    </w:p>
    <w:p>
      <w:pPr>
        <w:pStyle w:val="PermNoteText"/>
      </w:pPr>
      <w:r>
        <w:tab/>
        <w:t>5.</w:t>
      </w:r>
      <w: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PermNoteText"/>
      </w:pPr>
      <w:r>
        <w:tab/>
        <w:t>6.</w:t>
      </w:r>
      <w:r>
        <w:tab/>
        <w:t>If a person wants to carry out — </w:t>
      </w:r>
    </w:p>
    <w:p>
      <w:pPr>
        <w:pStyle w:val="PermNotePara"/>
      </w:pPr>
      <w:r>
        <w:lastRenderedPageBreak/>
        <w:tab/>
        <w:t>(a)</w:t>
      </w:r>
      <w:r>
        <w:tab/>
        <w:t>a scientific investigation; or</w:t>
      </w:r>
    </w:p>
    <w:p>
      <w:pPr>
        <w:pStyle w:val="PermNotePara"/>
      </w:pPr>
      <w:r>
        <w:tab/>
        <w:t>(b)</w:t>
      </w:r>
      <w:r>
        <w:tab/>
        <w:t>a reconnaissance survey; or</w:t>
      </w:r>
    </w:p>
    <w:p>
      <w:pPr>
        <w:pStyle w:val="PermNotePara"/>
      </w:pPr>
      <w:r>
        <w:tab/>
        <w:t>(c)</w:t>
      </w:r>
      <w:r>
        <w:tab/>
        <w:t>the collection of only small amounts of minerals,</w:t>
      </w:r>
    </w:p>
    <w:p>
      <w:pPr>
        <w:pStyle w:val="PermNoteText"/>
      </w:pPr>
      <w:r>
        <w:tab/>
      </w:r>
      <w:r>
        <w:tab/>
        <w:t>in coastal waters, the person must obtain a special purpose consent under Part 2.6 to carry out the activity.</w:t>
      </w:r>
    </w:p>
    <w:p>
      <w:pPr>
        <w:pStyle w:val="PermNoteText"/>
      </w:pPr>
      <w:r>
        <w:tab/>
        <w:t>7.</w:t>
      </w:r>
      <w:r>
        <w:tab/>
        <w:t>Even though a person has a licence or special purpose consent, the person must not interfere unnecessarily with navigation, native title, fishing, resource conservation or other activities in the area (see section 44).</w:t>
      </w:r>
    </w:p>
    <w:p>
      <w:pPr>
        <w:pStyle w:val="Heading5"/>
        <w:rPr>
          <w:snapToGrid w:val="0"/>
        </w:rPr>
      </w:pPr>
      <w:bookmarkStart w:id="67" w:name="_Toc166675134"/>
      <w:r>
        <w:rPr>
          <w:rStyle w:val="CharSectno"/>
        </w:rPr>
        <w:t>40</w:t>
      </w:r>
      <w:r>
        <w:rPr>
          <w:snapToGrid w:val="0"/>
        </w:rPr>
        <w:t>.</w:t>
      </w:r>
      <w:r>
        <w:rPr>
          <w:snapToGrid w:val="0"/>
        </w:rPr>
        <w:tab/>
        <w:t>Steps involved in the grant of a fully effective licence</w:t>
      </w:r>
      <w:bookmarkEnd w:id="67"/>
      <w:r>
        <w:rPr>
          <w:snapToGrid w:val="0"/>
        </w:rPr>
        <w:t xml:space="preserve"> </w:t>
      </w:r>
    </w:p>
    <w:p>
      <w:pPr>
        <w:pStyle w:val="Subsection"/>
        <w:rPr>
          <w:snapToGrid w:val="0"/>
        </w:rPr>
      </w:pPr>
      <w:r>
        <w:rPr>
          <w:snapToGrid w:val="0"/>
        </w:rPr>
        <w:tab/>
        <w:t>(1)</w:t>
      </w:r>
      <w:r>
        <w:rPr>
          <w:snapToGrid w:val="0"/>
        </w:rPr>
        <w:tab/>
        <w:t>The following 3 steps must occur before a licence comes into force — </w:t>
      </w:r>
    </w:p>
    <w:p>
      <w:pPr>
        <w:pStyle w:val="Indenta"/>
        <w:rPr>
          <w:snapToGrid w:val="0"/>
        </w:rPr>
      </w:pPr>
      <w:r>
        <w:rPr>
          <w:snapToGrid w:val="0"/>
        </w:rPr>
        <w:tab/>
        <w:t>(a)</w:t>
      </w:r>
      <w:r>
        <w:rPr>
          <w:snapToGrid w:val="0"/>
        </w:rPr>
        <w:tab/>
        <w:t>provisional grant of the licence;</w:t>
      </w:r>
    </w:p>
    <w:p>
      <w:pPr>
        <w:pStyle w:val="Indenta"/>
        <w:rPr>
          <w:snapToGrid w:val="0"/>
        </w:rPr>
      </w:pPr>
      <w:r>
        <w:rPr>
          <w:snapToGrid w:val="0"/>
        </w:rPr>
        <w:tab/>
        <w:t>(b)</w:t>
      </w:r>
      <w:r>
        <w:rPr>
          <w:snapToGrid w:val="0"/>
        </w:rPr>
        <w:tab/>
        <w:t>proper acceptance of the grant;</w:t>
      </w:r>
    </w:p>
    <w:p>
      <w:pPr>
        <w:pStyle w:val="Indenta"/>
        <w:rPr>
          <w:snapToGrid w:val="0"/>
        </w:rPr>
      </w:pPr>
      <w:r>
        <w:rPr>
          <w:snapToGrid w:val="0"/>
        </w:rPr>
        <w:tab/>
        <w:t>(c)</w:t>
      </w:r>
      <w:r>
        <w:rPr>
          <w:snapToGrid w:val="0"/>
        </w:rPr>
        <w:tab/>
        <w:t>registration of the grant.</w:t>
      </w:r>
    </w:p>
    <w:p>
      <w:pPr>
        <w:pStyle w:val="PermNoteHeading"/>
      </w:pPr>
      <w:r>
        <w:tab/>
        <w:t>Note:</w:t>
      </w:r>
    </w:p>
    <w:p>
      <w:pPr>
        <w:pStyle w:val="PermNoteText"/>
      </w:pPr>
      <w:r>
        <w:tab/>
        <w:t>1.</w:t>
      </w:r>
      <w:r>
        <w:tab/>
        <w:t>See sections 88, 154, 232 and 286.</w:t>
      </w:r>
    </w:p>
    <w:p>
      <w:pPr>
        <w:pStyle w:val="PermNoteText"/>
      </w:pPr>
      <w:r>
        <w:tab/>
        <w:t>2.</w:t>
      </w:r>
      <w:r>
        <w:tab/>
        <w:t xml:space="preserve">Section 38A(2) requires the consent of Parliament to be obtained to the provisional grant under section 206, 225 or 231 of a mining licence over a marine nature reserve or a marine park. </w:t>
      </w:r>
    </w:p>
    <w:p>
      <w:pPr>
        <w:pStyle w:val="Subsection"/>
        <w:rPr>
          <w:snapToGrid w:val="0"/>
        </w:rPr>
      </w:pPr>
      <w:r>
        <w:rPr>
          <w:snapToGrid w:val="0"/>
        </w:rPr>
        <w:tab/>
        <w:t>(2)</w:t>
      </w:r>
      <w:r>
        <w:rPr>
          <w:snapToGrid w:val="0"/>
        </w:rPr>
        <w:tab/>
        <w:t>If a licence is provisionally granted to a person, the person must do the following to properly accept the grant — </w:t>
      </w:r>
    </w:p>
    <w:p>
      <w:pPr>
        <w:pStyle w:val="Indenta"/>
        <w:rPr>
          <w:snapToGrid w:val="0"/>
        </w:rPr>
      </w:pPr>
      <w:r>
        <w:rPr>
          <w:snapToGrid w:val="0"/>
        </w:rPr>
        <w:tab/>
        <w:t>(a)</w:t>
      </w:r>
      <w:r>
        <w:rPr>
          <w:snapToGrid w:val="0"/>
        </w:rPr>
        <w:tab/>
        <w:t>give the Minister a written acceptance;</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PermNoteHeading"/>
      </w:pPr>
      <w:r>
        <w:tab/>
        <w:t>Note:</w:t>
      </w:r>
    </w:p>
    <w:p>
      <w:pPr>
        <w:pStyle w:val="PermNoteText"/>
      </w:pPr>
      <w:r>
        <w:tab/>
      </w:r>
      <w:r>
        <w:tab/>
      </w:r>
      <w:r>
        <w:rPr>
          <w:snapToGrid w:val="0"/>
        </w:rPr>
        <w:t>See sections 70, 84, 151, 214, 228 and 283.</w:t>
      </w:r>
    </w:p>
    <w:p>
      <w:pPr>
        <w:pStyle w:val="Subsection"/>
        <w:rPr>
          <w:snapToGrid w:val="0"/>
        </w:rPr>
      </w:pPr>
      <w:r>
        <w:rPr>
          <w:snapToGrid w:val="0"/>
        </w:rPr>
        <w:tab/>
        <w:t>(3)</w:t>
      </w:r>
      <w:r>
        <w:rPr>
          <w:snapToGrid w:val="0"/>
        </w:rPr>
        <w:tab/>
        <w:t>The following 3 steps must occur before a renewal of a licence comes into force — </w:t>
      </w:r>
    </w:p>
    <w:p>
      <w:pPr>
        <w:pStyle w:val="Indenta"/>
        <w:rPr>
          <w:snapToGrid w:val="0"/>
        </w:rPr>
      </w:pPr>
      <w:r>
        <w:rPr>
          <w:snapToGrid w:val="0"/>
        </w:rPr>
        <w:tab/>
        <w:t>(a)</w:t>
      </w:r>
      <w:r>
        <w:rPr>
          <w:snapToGrid w:val="0"/>
        </w:rPr>
        <w:tab/>
        <w:t>provisional renewal of the licence;</w:t>
      </w:r>
    </w:p>
    <w:p>
      <w:pPr>
        <w:pStyle w:val="Indenta"/>
        <w:rPr>
          <w:snapToGrid w:val="0"/>
        </w:rPr>
      </w:pPr>
      <w:r>
        <w:rPr>
          <w:snapToGrid w:val="0"/>
        </w:rPr>
        <w:tab/>
        <w:t>(b)</w:t>
      </w:r>
      <w:r>
        <w:rPr>
          <w:snapToGrid w:val="0"/>
        </w:rPr>
        <w:tab/>
        <w:t>proper acceptance of the renewal;</w:t>
      </w:r>
    </w:p>
    <w:p>
      <w:pPr>
        <w:pStyle w:val="Indenta"/>
        <w:rPr>
          <w:snapToGrid w:val="0"/>
        </w:rPr>
      </w:pPr>
      <w:r>
        <w:rPr>
          <w:snapToGrid w:val="0"/>
        </w:rPr>
        <w:tab/>
        <w:t>(c)</w:t>
      </w:r>
      <w:r>
        <w:rPr>
          <w:snapToGrid w:val="0"/>
        </w:rPr>
        <w:tab/>
        <w:t>registration of the renewal.</w:t>
      </w:r>
    </w:p>
    <w:p>
      <w:pPr>
        <w:pStyle w:val="PermNoteHeading"/>
      </w:pPr>
      <w:r>
        <w:lastRenderedPageBreak/>
        <w:tab/>
        <w:t>Note:</w:t>
      </w:r>
    </w:p>
    <w:p>
      <w:pPr>
        <w:pStyle w:val="PermNoteText"/>
      </w:pPr>
      <w:r>
        <w:tab/>
      </w:r>
      <w:r>
        <w:tab/>
      </w:r>
      <w:r>
        <w:rPr>
          <w:snapToGrid w:val="0"/>
        </w:rPr>
        <w:t>See sections 89, 155, 233 and 287.</w:t>
      </w:r>
    </w:p>
    <w:p>
      <w:pPr>
        <w:pStyle w:val="Subsection"/>
        <w:rPr>
          <w:snapToGrid w:val="0"/>
        </w:rPr>
      </w:pPr>
      <w:r>
        <w:rPr>
          <w:snapToGrid w:val="0"/>
        </w:rPr>
        <w:tab/>
        <w:t>(4)</w:t>
      </w:r>
      <w:r>
        <w:rPr>
          <w:snapToGrid w:val="0"/>
        </w:rPr>
        <w:tab/>
        <w:t>If a licence is provisionally renewed, the holder must do the following to properly accept the renewal — </w:t>
      </w:r>
    </w:p>
    <w:p>
      <w:pPr>
        <w:pStyle w:val="Indenta"/>
        <w:rPr>
          <w:snapToGrid w:val="0"/>
        </w:rPr>
      </w:pPr>
      <w:r>
        <w:rPr>
          <w:snapToGrid w:val="0"/>
        </w:rPr>
        <w:tab/>
        <w:t>(a)</w:t>
      </w:r>
      <w:r>
        <w:rPr>
          <w:snapToGrid w:val="0"/>
        </w:rPr>
        <w:tab/>
        <w:t>give the Minister a written acceptance of the renewal;</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PermNoteHeading"/>
      </w:pPr>
      <w:r>
        <w:tab/>
        <w:t>Note:</w:t>
      </w:r>
    </w:p>
    <w:p>
      <w:pPr>
        <w:pStyle w:val="PermNoteText"/>
      </w:pPr>
      <w:r>
        <w:tab/>
      </w:r>
      <w:r>
        <w:tab/>
      </w:r>
      <w:r>
        <w:rPr>
          <w:snapToGrid w:val="0"/>
        </w:rPr>
        <w:t>See sections 114, 173, 250 and 300.</w:t>
      </w:r>
    </w:p>
    <w:p>
      <w:pPr>
        <w:pStyle w:val="Heading5"/>
        <w:rPr>
          <w:snapToGrid w:val="0"/>
        </w:rPr>
      </w:pPr>
      <w:bookmarkStart w:id="68" w:name="_Toc166675135"/>
      <w:r>
        <w:rPr>
          <w:rStyle w:val="CharSectno"/>
        </w:rPr>
        <w:t>41</w:t>
      </w:r>
      <w:r>
        <w:rPr>
          <w:snapToGrid w:val="0"/>
        </w:rPr>
        <w:t>.</w:t>
      </w:r>
      <w:r>
        <w:rPr>
          <w:snapToGrid w:val="0"/>
        </w:rPr>
        <w:tab/>
        <w:t>Approval of form and manner of applications etc.</w:t>
      </w:r>
      <w:bookmarkEnd w:id="68"/>
      <w:r>
        <w:rPr>
          <w:snapToGrid w:val="0"/>
        </w:rPr>
        <w:t xml:space="preserve"> </w:t>
      </w:r>
    </w:p>
    <w:p>
      <w:pPr>
        <w:pStyle w:val="Subsection"/>
        <w:rPr>
          <w:snapToGrid w:val="0"/>
        </w:rPr>
      </w:pPr>
      <w:r>
        <w:rPr>
          <w:snapToGrid w:val="0"/>
        </w:rPr>
        <w:tab/>
        <w:t>(1)</w:t>
      </w:r>
      <w:r>
        <w:rPr>
          <w:snapToGrid w:val="0"/>
        </w:rPr>
        <w:tab/>
        <w:t>The Minister may approve the form and the manner in which the following are to be made — </w:t>
      </w:r>
    </w:p>
    <w:p>
      <w:pPr>
        <w:pStyle w:val="Indenta"/>
        <w:rPr>
          <w:snapToGrid w:val="0"/>
        </w:rPr>
      </w:pPr>
      <w:r>
        <w:rPr>
          <w:snapToGrid w:val="0"/>
        </w:rPr>
        <w:tab/>
        <w:t>(a)</w:t>
      </w:r>
      <w:r>
        <w:rPr>
          <w:snapToGrid w:val="0"/>
        </w:rPr>
        <w:tab/>
        <w:t>applications for licences over blocks in coastal waters;</w:t>
      </w:r>
    </w:p>
    <w:p>
      <w:pPr>
        <w:pStyle w:val="Indenta"/>
        <w:rPr>
          <w:snapToGrid w:val="0"/>
        </w:rPr>
      </w:pPr>
      <w:r>
        <w:rPr>
          <w:snapToGrid w:val="0"/>
        </w:rPr>
        <w:tab/>
        <w:t>(b)</w:t>
      </w:r>
      <w:r>
        <w:rPr>
          <w:snapToGrid w:val="0"/>
        </w:rPr>
        <w:tab/>
        <w:t>applications for the renewal of licences over blocks in coastal waters.</w:t>
      </w:r>
    </w:p>
    <w:p>
      <w:pPr>
        <w:pStyle w:val="Subsection"/>
        <w:rPr>
          <w:snapToGrid w:val="0"/>
        </w:rPr>
      </w:pPr>
      <w:r>
        <w:rPr>
          <w:snapToGrid w:val="0"/>
        </w:rPr>
        <w:tab/>
        <w:t>(2)</w:t>
      </w:r>
      <w:r>
        <w:rPr>
          <w:snapToGrid w:val="0"/>
        </w:rPr>
        <w:tab/>
        <w:t>An approval under subsection (1) is to be made in writing.</w:t>
      </w:r>
    </w:p>
    <w:p>
      <w:pPr>
        <w:pStyle w:val="Heading5"/>
        <w:rPr>
          <w:snapToGrid w:val="0"/>
        </w:rPr>
      </w:pPr>
      <w:bookmarkStart w:id="69" w:name="_Toc166675136"/>
      <w:r>
        <w:rPr>
          <w:rStyle w:val="CharSectno"/>
        </w:rPr>
        <w:t>42</w:t>
      </w:r>
      <w:r>
        <w:rPr>
          <w:snapToGrid w:val="0"/>
        </w:rPr>
        <w:t>.</w:t>
      </w:r>
      <w:r>
        <w:rPr>
          <w:snapToGrid w:val="0"/>
        </w:rPr>
        <w:tab/>
        <w:t>Rights to minerals recovered</w:t>
      </w:r>
      <w:bookmarkEnd w:id="69"/>
      <w:r>
        <w:rPr>
          <w:snapToGrid w:val="0"/>
        </w:rPr>
        <w:t xml:space="preserve"> </w:t>
      </w:r>
    </w:p>
    <w:p>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Subsection"/>
        <w:rPr>
          <w:snapToGrid w:val="0"/>
        </w:rPr>
      </w:pPr>
      <w:r>
        <w:rPr>
          <w:snapToGrid w:val="0"/>
        </w:rPr>
        <w:tab/>
        <w:t>(3)</w:t>
      </w:r>
      <w:r>
        <w:rPr>
          <w:snapToGrid w:val="0"/>
        </w:rPr>
        <w:tab/>
        <w:t>Subsection (1) does not apply to the recovery of minerals by a works licence holder.</w:t>
      </w:r>
    </w:p>
    <w:p>
      <w:pPr>
        <w:pStyle w:val="Subsection"/>
        <w:rPr>
          <w:snapToGrid w:val="0"/>
        </w:rPr>
      </w:pPr>
      <w:r>
        <w:rPr>
          <w:snapToGrid w:val="0"/>
        </w:rPr>
        <w:tab/>
        <w:t>(4)</w:t>
      </w:r>
      <w:r>
        <w:rPr>
          <w:snapToGrid w:val="0"/>
        </w:rPr>
        <w:tab/>
        <w:t>The minerals recovered are not subject to the rights of any other person.</w:t>
      </w:r>
    </w:p>
    <w:p>
      <w:pPr>
        <w:pStyle w:val="Subsection"/>
        <w:rPr>
          <w:snapToGrid w:val="0"/>
        </w:rPr>
      </w:pPr>
      <w:r>
        <w:rPr>
          <w:snapToGrid w:val="0"/>
        </w:rPr>
        <w:tab/>
        <w:t>(5)</w:t>
      </w:r>
      <w:r>
        <w:rPr>
          <w:snapToGrid w:val="0"/>
        </w:rPr>
        <w:tab/>
        <w:t>Subsection (4) does not apply to rights that the licence or consent holder transfers to the other person.</w:t>
      </w:r>
    </w:p>
    <w:p>
      <w:pPr>
        <w:pStyle w:val="Heading5"/>
        <w:rPr>
          <w:snapToGrid w:val="0"/>
        </w:rPr>
      </w:pPr>
      <w:bookmarkStart w:id="70" w:name="_Toc166675138"/>
      <w:r>
        <w:rPr>
          <w:rStyle w:val="CharSectno"/>
        </w:rPr>
        <w:lastRenderedPageBreak/>
        <w:t>43</w:t>
      </w:r>
      <w:r>
        <w:rPr>
          <w:snapToGrid w:val="0"/>
        </w:rPr>
        <w:t>.</w:t>
      </w:r>
      <w:r>
        <w:rPr>
          <w:snapToGrid w:val="0"/>
        </w:rPr>
        <w:tab/>
        <w:t>Effect of grant of licence or special purpose consent on native title</w:t>
      </w:r>
      <w:bookmarkEnd w:id="70"/>
      <w:r>
        <w:rPr>
          <w:snapToGrid w:val="0"/>
        </w:rPr>
        <w:t xml:space="preserve"> </w:t>
      </w:r>
    </w:p>
    <w:p>
      <w:pPr>
        <w:pStyle w:val="Subsection"/>
        <w:rPr>
          <w:snapToGrid w:val="0"/>
        </w:rPr>
      </w:pPr>
      <w:r>
        <w:rPr>
          <w:snapToGrid w:val="0"/>
        </w:rPr>
        <w:tab/>
        <w:t>(1)</w:t>
      </w:r>
      <w:r>
        <w:rPr>
          <w:snapToGrid w:val="0"/>
        </w:rPr>
        <w:tab/>
        <w:t>The grant of a licence or special purpose consent does not extinguish native title in the licence or consent area.</w:t>
      </w:r>
    </w:p>
    <w:p>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Subsection"/>
        <w:rPr>
          <w:snapToGrid w:val="0"/>
        </w:rPr>
      </w:pPr>
      <w:r>
        <w:rPr>
          <w:snapToGrid w:val="0"/>
        </w:rPr>
        <w:tab/>
        <w:t>(5)</w:t>
      </w:r>
      <w:r>
        <w:rPr>
          <w:snapToGrid w:val="0"/>
        </w:rPr>
        <w:tab/>
        <w:t>In subsection (3) — </w:t>
      </w:r>
    </w:p>
    <w:p>
      <w:pPr>
        <w:pStyle w:val="Defstart"/>
      </w:pPr>
      <w:r>
        <w:rPr>
          <w:b/>
        </w:rPr>
        <w:tab/>
      </w:r>
      <w:r>
        <w:rPr>
          <w:rStyle w:val="CharDefText"/>
        </w:rPr>
        <w:t>grant</w:t>
      </w:r>
      <w:r>
        <w:t xml:space="preserve"> includes renewal.</w:t>
      </w:r>
    </w:p>
    <w:p>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Heading5"/>
        <w:rPr>
          <w:snapToGrid w:val="0"/>
        </w:rPr>
      </w:pPr>
      <w:bookmarkStart w:id="71" w:name="_Toc166675139"/>
      <w:r>
        <w:rPr>
          <w:rStyle w:val="CharSectno"/>
        </w:rPr>
        <w:lastRenderedPageBreak/>
        <w:t>44</w:t>
      </w:r>
      <w:r>
        <w:rPr>
          <w:snapToGrid w:val="0"/>
        </w:rPr>
        <w:t>.</w:t>
      </w:r>
      <w:r>
        <w:rPr>
          <w:snapToGrid w:val="0"/>
        </w:rPr>
        <w:tab/>
        <w:t>Licence etc. does not authorise unnecessary interference with other activities in the licence area</w:t>
      </w:r>
      <w:bookmarkEnd w:id="71"/>
      <w:r>
        <w:rPr>
          <w:snapToGrid w:val="0"/>
        </w:rPr>
        <w:t xml:space="preserve"> </w:t>
      </w:r>
    </w:p>
    <w:p>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Indenta"/>
        <w:rPr>
          <w:snapToGrid w:val="0"/>
        </w:rPr>
      </w:pPr>
      <w:r>
        <w:rPr>
          <w:snapToGrid w:val="0"/>
        </w:rPr>
        <w:tab/>
        <w:t>(a)</w:t>
      </w:r>
      <w:r>
        <w:rPr>
          <w:snapToGrid w:val="0"/>
        </w:rPr>
        <w:tab/>
        <w:t>navigation; or</w:t>
      </w:r>
    </w:p>
    <w:p>
      <w:pPr>
        <w:pStyle w:val="Indenta"/>
        <w:rPr>
          <w:snapToGrid w:val="0"/>
        </w:rPr>
      </w:pPr>
      <w:r>
        <w:rPr>
          <w:snapToGrid w:val="0"/>
        </w:rPr>
        <w:tab/>
        <w:t>(b)</w:t>
      </w:r>
      <w:r>
        <w:rPr>
          <w:snapToGrid w:val="0"/>
        </w:rPr>
        <w:tab/>
        <w:t>the exercise of native title rights and interests; or</w:t>
      </w:r>
    </w:p>
    <w:p>
      <w:pPr>
        <w:pStyle w:val="Indenta"/>
        <w:rPr>
          <w:snapToGrid w:val="0"/>
        </w:rPr>
      </w:pPr>
      <w:r>
        <w:rPr>
          <w:snapToGrid w:val="0"/>
        </w:rPr>
        <w:tab/>
        <w:t>(c)</w:t>
      </w:r>
      <w:r>
        <w:rPr>
          <w:snapToGrid w:val="0"/>
        </w:rPr>
        <w:tab/>
        <w:t>fishing, pearling or aquaculture; or</w:t>
      </w:r>
    </w:p>
    <w:p>
      <w:pPr>
        <w:pStyle w:val="Indenta"/>
        <w:rPr>
          <w:snapToGrid w:val="0"/>
        </w:rPr>
      </w:pPr>
      <w:r>
        <w:rPr>
          <w:snapToGrid w:val="0"/>
        </w:rPr>
        <w:tab/>
        <w:t>(d)</w:t>
      </w:r>
      <w:r>
        <w:rPr>
          <w:snapToGrid w:val="0"/>
        </w:rPr>
        <w:tab/>
        <w:t>the conservation of the resources of the sea or the seabed; or</w:t>
      </w:r>
    </w:p>
    <w:p>
      <w:pPr>
        <w:pStyle w:val="Indenta"/>
        <w:rPr>
          <w:snapToGrid w:val="0"/>
        </w:rPr>
      </w:pPr>
      <w:r>
        <w:rPr>
          <w:snapToGrid w:val="0"/>
        </w:rPr>
        <w:tab/>
        <w:t>(e)</w:t>
      </w:r>
      <w:r>
        <w:rPr>
          <w:snapToGrid w:val="0"/>
        </w:rPr>
        <w:tab/>
        <w:t>any activities that someone else is lawfully carrying out,</w:t>
      </w:r>
    </w:p>
    <w:p>
      <w:pPr>
        <w:pStyle w:val="Subsection"/>
        <w:rPr>
          <w:snapToGrid w:val="0"/>
        </w:rPr>
      </w:pPr>
      <w:r>
        <w:rPr>
          <w:snapToGrid w:val="0"/>
        </w:rPr>
        <w:tab/>
      </w:r>
      <w:r>
        <w:rPr>
          <w:snapToGrid w:val="0"/>
        </w:rPr>
        <w:tab/>
        <w:t>to a greater extent than is necessary for — </w:t>
      </w:r>
    </w:p>
    <w:p>
      <w:pPr>
        <w:pStyle w:val="Indenta"/>
        <w:rPr>
          <w:snapToGrid w:val="0"/>
        </w:rPr>
      </w:pPr>
      <w:r>
        <w:rPr>
          <w:snapToGrid w:val="0"/>
        </w:rPr>
        <w:tab/>
        <w:t>(f)</w:t>
      </w:r>
      <w:r>
        <w:rPr>
          <w:snapToGrid w:val="0"/>
        </w:rPr>
        <w:tab/>
        <w:t>the reasonable exercise of the person’s rights under the licence or consent; or</w:t>
      </w:r>
    </w:p>
    <w:p>
      <w:pPr>
        <w:pStyle w:val="Indenta"/>
        <w:rPr>
          <w:snapToGrid w:val="0"/>
        </w:rPr>
      </w:pPr>
      <w:r>
        <w:rPr>
          <w:snapToGrid w:val="0"/>
        </w:rPr>
        <w:tab/>
        <w:t>(g)</w:t>
      </w:r>
      <w:r>
        <w:rPr>
          <w:snapToGrid w:val="0"/>
        </w:rPr>
        <w:tab/>
        <w:t>the performance of the person’s duties under the licence or consent.</w:t>
      </w:r>
    </w:p>
    <w:p>
      <w:pPr>
        <w:pStyle w:val="Penstart"/>
        <w:rPr>
          <w:snapToGrid w:val="0"/>
        </w:rPr>
      </w:pPr>
      <w:r>
        <w:rPr>
          <w:snapToGrid w:val="0"/>
        </w:rPr>
        <w:tab/>
        <w:t>Maximum penalty: $10 000.</w:t>
      </w:r>
    </w:p>
    <w:p>
      <w:pPr>
        <w:pStyle w:val="PermNoteHeading"/>
      </w:pPr>
      <w:r>
        <w:tab/>
        <w:t>Note:</w:t>
      </w:r>
    </w:p>
    <w:p>
      <w:pPr>
        <w:pStyle w:val="PermNoteText"/>
      </w:pPr>
      <w:r>
        <w:tab/>
      </w:r>
      <w:r>
        <w:tab/>
      </w:r>
      <w:r>
        <w:rPr>
          <w:snapToGrid w:val="0"/>
        </w:rPr>
        <w:t>The person referred to here might be the licence holder or consent holder or might be an associated person.</w:t>
      </w:r>
    </w:p>
    <w:p>
      <w:pPr>
        <w:pStyle w:val="Subsection"/>
      </w:pPr>
      <w:r>
        <w:tab/>
        <w:t>(2)</w:t>
      </w:r>
      <w:r>
        <w:tab/>
        <w:t>In subsection (1)(1)(c) —</w:t>
      </w:r>
    </w:p>
    <w:p>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pPr>
        <w:pStyle w:val="Defstart"/>
        <w:rPr>
          <w:i/>
        </w:rPr>
      </w:pPr>
      <w:r>
        <w:tab/>
      </w:r>
      <w:r>
        <w:rPr>
          <w:b/>
        </w:rPr>
        <w:t xml:space="preserve">pearling </w:t>
      </w:r>
      <w:r>
        <w:t xml:space="preserve">has the same meaning as it has in the </w:t>
      </w:r>
      <w:r>
        <w:rPr>
          <w:i/>
        </w:rPr>
        <w:t>Pearling Act 1990.</w:t>
      </w:r>
    </w:p>
    <w:p>
      <w:pPr>
        <w:pStyle w:val="Heading3"/>
        <w:pageBreakBefore/>
      </w:pPr>
      <w:bookmarkStart w:id="72" w:name="_Toc166674867"/>
      <w:bookmarkStart w:id="73" w:name="_Toc166675382"/>
      <w:bookmarkStart w:id="74" w:name="_Toc166675140"/>
      <w:r>
        <w:rPr>
          <w:rStyle w:val="CharDivNo"/>
        </w:rPr>
        <w:lastRenderedPageBreak/>
        <w:t>Part 2.2</w:t>
      </w:r>
      <w:r>
        <w:rPr>
          <w:snapToGrid w:val="0"/>
        </w:rPr>
        <w:t xml:space="preserve"> — </w:t>
      </w:r>
      <w:r>
        <w:rPr>
          <w:rStyle w:val="CharDivText"/>
        </w:rPr>
        <w:t>Exploration licences</w:t>
      </w:r>
      <w:bookmarkEnd w:id="72"/>
      <w:bookmarkEnd w:id="73"/>
      <w:bookmarkEnd w:id="74"/>
    </w:p>
    <w:p>
      <w:pPr>
        <w:pStyle w:val="Heading4"/>
        <w:rPr>
          <w:b w:val="0"/>
        </w:rPr>
      </w:pPr>
      <w:bookmarkStart w:id="75" w:name="_Toc166674868"/>
      <w:bookmarkStart w:id="76" w:name="_Toc166675383"/>
      <w:bookmarkStart w:id="77" w:name="_Toc166675142"/>
      <w:r>
        <w:rPr>
          <w:b w:val="0"/>
        </w:rPr>
        <w:t>Division 1 — General</w:t>
      </w:r>
      <w:bookmarkEnd w:id="75"/>
      <w:bookmarkEnd w:id="76"/>
      <w:bookmarkEnd w:id="77"/>
    </w:p>
    <w:p>
      <w:pPr>
        <w:pStyle w:val="Heading5"/>
        <w:rPr>
          <w:snapToGrid w:val="0"/>
        </w:rPr>
      </w:pPr>
      <w:bookmarkStart w:id="78" w:name="_Toc166675143"/>
      <w:r>
        <w:rPr>
          <w:rStyle w:val="CharSectno"/>
        </w:rPr>
        <w:t>45</w:t>
      </w:r>
      <w:r>
        <w:rPr>
          <w:snapToGrid w:val="0"/>
        </w:rPr>
        <w:t>.</w:t>
      </w:r>
      <w:r>
        <w:rPr>
          <w:snapToGrid w:val="0"/>
        </w:rPr>
        <w:tab/>
        <w:t>Exploration licences</w:t>
      </w:r>
      <w:bookmarkEnd w:id="78"/>
      <w:r>
        <w:rPr>
          <w:snapToGrid w:val="0"/>
        </w:rPr>
        <w:t xml:space="preserve"> </w:t>
      </w:r>
    </w:p>
    <w:p>
      <w:pPr>
        <w:pStyle w:val="Subsection"/>
        <w:rPr>
          <w:snapToGrid w:val="0"/>
        </w:rPr>
      </w:pPr>
      <w:r>
        <w:rPr>
          <w:snapToGrid w:val="0"/>
        </w:rPr>
        <w:tab/>
        <w:t>(1)</w:t>
      </w:r>
      <w:r>
        <w:rPr>
          <w:snapToGrid w:val="0"/>
        </w:rPr>
        <w:tab/>
        <w:t>This Part provides for the grant of exploration licences over blocks in coastal waters.</w:t>
      </w:r>
    </w:p>
    <w:p>
      <w:pPr>
        <w:pStyle w:val="Subsection"/>
        <w:rPr>
          <w:snapToGrid w:val="0"/>
        </w:rPr>
      </w:pPr>
      <w:r>
        <w:rPr>
          <w:snapToGrid w:val="0"/>
        </w:rPr>
        <w:tab/>
        <w:t>(2)</w:t>
      </w:r>
      <w:r>
        <w:rPr>
          <w:snapToGrid w:val="0"/>
        </w:rPr>
        <w:tab/>
        <w:t>An exploration licence may be granted over a standard block (see Division 2) or over a tender block (see Division 3).</w:t>
      </w:r>
    </w:p>
    <w:p>
      <w:pPr>
        <w:pStyle w:val="PermNoteHeading"/>
      </w:pPr>
      <w:r>
        <w:tab/>
        <w:t>Note:</w:t>
      </w:r>
    </w:p>
    <w:p>
      <w:pPr>
        <w:pStyle w:val="PermNoteText"/>
      </w:pPr>
      <w:r>
        <w:tab/>
      </w:r>
      <w:r>
        <w:tab/>
      </w:r>
      <w:r>
        <w:rPr>
          <w:snapToGrid w:val="0"/>
        </w:rPr>
        <w:t>A tender block is a block that has been declared available for tender. A standard block is any block that is not a reserved block (see sections 19 and 20).</w:t>
      </w:r>
    </w:p>
    <w:p>
      <w:pPr>
        <w:pStyle w:val="Heading5"/>
        <w:rPr>
          <w:snapToGrid w:val="0"/>
        </w:rPr>
      </w:pPr>
      <w:bookmarkStart w:id="79" w:name="_Toc166675144"/>
      <w:r>
        <w:rPr>
          <w:rStyle w:val="CharSectno"/>
        </w:rPr>
        <w:t>46</w:t>
      </w:r>
      <w:r>
        <w:rPr>
          <w:snapToGrid w:val="0"/>
        </w:rPr>
        <w:t>.</w:t>
      </w:r>
      <w:r>
        <w:rPr>
          <w:snapToGrid w:val="0"/>
        </w:rPr>
        <w:tab/>
        <w:t>Activities authorised by an exploration licence</w:t>
      </w:r>
      <w:bookmarkEnd w:id="79"/>
      <w:r>
        <w:rPr>
          <w:snapToGrid w:val="0"/>
        </w:rPr>
        <w:t xml:space="preserve"> </w:t>
      </w:r>
    </w:p>
    <w:p>
      <w:pPr>
        <w:pStyle w:val="Subsection"/>
        <w:rPr>
          <w:snapToGrid w:val="0"/>
        </w:rPr>
      </w:pPr>
      <w:r>
        <w:rPr>
          <w:snapToGrid w:val="0"/>
        </w:rPr>
        <w:tab/>
        <w:t>(1)</w:t>
      </w:r>
      <w:r>
        <w:rPr>
          <w:snapToGrid w:val="0"/>
        </w:rPr>
        <w:tab/>
        <w:t>Subject to subsection (2), an exploration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take samples of minerals in the licence area.</w:t>
      </w:r>
    </w:p>
    <w:p>
      <w:pPr>
        <w:pStyle w:val="PermNoteHeading"/>
      </w:pPr>
      <w:r>
        <w:tab/>
        <w:t>Note:</w:t>
      </w:r>
    </w:p>
    <w:p>
      <w:pPr>
        <w:pStyle w:val="PermNoteText"/>
        <w:rPr>
          <w:snapToGrid w:val="0"/>
        </w:rPr>
      </w:pPr>
      <w:r>
        <w:tab/>
        <w:t>1.</w:t>
      </w:r>
      <w:r>
        <w:tab/>
      </w:r>
      <w:r>
        <w:rPr>
          <w:snapToGrid w:val="0"/>
        </w:rPr>
        <w:t>Under section 23(1) the concept of “exploration” extends to activities that are directly related to exploration.</w:t>
      </w:r>
    </w:p>
    <w:p>
      <w:pPr>
        <w:pStyle w:val="PermNoteText"/>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 xml:space="preserve">For the purposes of subsection (2), the holder does not take samples of an excluded mineral if, in the course of exploring </w:t>
      </w:r>
      <w:r>
        <w:rPr>
          <w:snapToGrid w:val="0"/>
        </w:rPr>
        <w:lastRenderedPageBreak/>
        <w:t>for, or taking samples of, another mineral, the holder recovers some excluded mineral.</w:t>
      </w:r>
    </w:p>
    <w:p>
      <w:pPr>
        <w:pStyle w:val="Heading5"/>
        <w:rPr>
          <w:snapToGrid w:val="0"/>
        </w:rPr>
      </w:pPr>
      <w:bookmarkStart w:id="80" w:name="_Toc166675145"/>
      <w:r>
        <w:rPr>
          <w:rStyle w:val="CharSectno"/>
        </w:rPr>
        <w:t>47</w:t>
      </w:r>
      <w:r>
        <w:rPr>
          <w:snapToGrid w:val="0"/>
        </w:rPr>
        <w:t>.</w:t>
      </w:r>
      <w:r>
        <w:rPr>
          <w:snapToGrid w:val="0"/>
        </w:rPr>
        <w:tab/>
        <w:t>Minister may cancel or not renew exploration licence without compensation</w:t>
      </w:r>
      <w:bookmarkEnd w:id="80"/>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PermNoteHeading"/>
      </w:pPr>
      <w:r>
        <w:tab/>
        <w:t>Note:</w:t>
      </w:r>
    </w:p>
    <w:p>
      <w:pPr>
        <w:pStyle w:val="PermNoteText"/>
        <w:rPr>
          <w:snapToGrid w:val="0"/>
        </w:rPr>
      </w:pPr>
      <w:r>
        <w:tab/>
        <w:t>1.</w:t>
      </w:r>
      <w:r>
        <w:tab/>
      </w:r>
      <w:r>
        <w:rPr>
          <w:snapToGrid w:val="0"/>
        </w:rPr>
        <w:t>The Minister may cancel the licence under section 130.</w:t>
      </w:r>
    </w:p>
    <w:p>
      <w:pPr>
        <w:pStyle w:val="PermNoteText"/>
      </w:pPr>
      <w:r>
        <w:rPr>
          <w:snapToGrid w:val="0"/>
        </w:rPr>
        <w:tab/>
        <w:t>2.</w:t>
      </w:r>
      <w:r>
        <w:rPr>
          <w:snapToGrid w:val="0"/>
        </w:rPr>
        <w:tab/>
        <w:t>The Minister may refuse under section 108 to renew the licence.</w:t>
      </w:r>
    </w:p>
    <w:p>
      <w:pPr>
        <w:pStyle w:val="Heading5"/>
        <w:rPr>
          <w:snapToGrid w:val="0"/>
        </w:rPr>
      </w:pPr>
      <w:bookmarkStart w:id="81" w:name="_Toc166675146"/>
      <w:r>
        <w:rPr>
          <w:rStyle w:val="CharSectno"/>
        </w:rPr>
        <w:t>48</w:t>
      </w:r>
      <w:r>
        <w:rPr>
          <w:snapToGrid w:val="0"/>
        </w:rPr>
        <w:t>.</w:t>
      </w:r>
      <w:r>
        <w:rPr>
          <w:snapToGrid w:val="0"/>
        </w:rPr>
        <w:tab/>
        <w:t>Licence rights may be suspended</w:t>
      </w:r>
      <w:bookmarkEnd w:id="81"/>
      <w:r>
        <w:rPr>
          <w:snapToGrid w:val="0"/>
        </w:rPr>
        <w:t xml:space="preserve"> </w:t>
      </w:r>
    </w:p>
    <w:p>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an exploration licence; or</w:t>
      </w:r>
    </w:p>
    <w:p>
      <w:pPr>
        <w:pStyle w:val="Indenta"/>
        <w:rPr>
          <w:snapToGrid w:val="0"/>
        </w:rPr>
      </w:pPr>
      <w:r>
        <w:rPr>
          <w:snapToGrid w:val="0"/>
        </w:rPr>
        <w:tab/>
        <w:t>(b)</w:t>
      </w:r>
      <w:r>
        <w:rPr>
          <w:snapToGrid w:val="0"/>
        </w:rPr>
        <w:tab/>
        <w:t>ends a suspension,</w:t>
      </w:r>
    </w:p>
    <w:p>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PermNoteHeading"/>
      </w:pPr>
      <w:r>
        <w:tab/>
        <w:t>Note:</w:t>
      </w:r>
    </w:p>
    <w:p>
      <w:pPr>
        <w:pStyle w:val="PermNoteText"/>
      </w:pPr>
      <w:r>
        <w:tab/>
      </w:r>
      <w:r>
        <w:tab/>
      </w:r>
      <w:r>
        <w:rPr>
          <w:snapToGrid w:val="0"/>
        </w:rPr>
        <w:t>See section 122 for the effect of the suspension on the obligations associated with the licence.</w:t>
      </w:r>
    </w:p>
    <w:p>
      <w:pPr>
        <w:pStyle w:val="Subsection"/>
        <w:rPr>
          <w:snapToGrid w:val="0"/>
        </w:rPr>
      </w:pPr>
      <w:r>
        <w:rPr>
          <w:snapToGrid w:val="0"/>
        </w:rPr>
        <w:tab/>
        <w:t>(6)</w:t>
      </w:r>
      <w:r>
        <w:rPr>
          <w:snapToGrid w:val="0"/>
        </w:rPr>
        <w:tab/>
        <w:t>A suspension takes effect when — </w:t>
      </w:r>
    </w:p>
    <w:p>
      <w:pPr>
        <w:pStyle w:val="Indenta"/>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lastRenderedPageBreak/>
        <w:tab/>
        <w:t>(b)</w:t>
      </w:r>
      <w:r>
        <w:rPr>
          <w:snapToGrid w:val="0"/>
        </w:rPr>
        <w:tab/>
        <w:t>the suspension has been registered under section 337.</w:t>
      </w:r>
    </w:p>
    <w:p>
      <w:pPr>
        <w:pStyle w:val="Heading5"/>
        <w:rPr>
          <w:snapToGrid w:val="0"/>
        </w:rPr>
      </w:pPr>
      <w:bookmarkStart w:id="82" w:name="_Toc166675147"/>
      <w:r>
        <w:rPr>
          <w:rStyle w:val="CharSectno"/>
        </w:rPr>
        <w:t>49</w:t>
      </w:r>
      <w:r>
        <w:rPr>
          <w:snapToGrid w:val="0"/>
        </w:rPr>
        <w:t>.</w:t>
      </w:r>
      <w:r>
        <w:rPr>
          <w:snapToGrid w:val="0"/>
        </w:rPr>
        <w:tab/>
        <w:t>Compensation for acquisition of property due to suspension of rights</w:t>
      </w:r>
      <w:bookmarkEnd w:id="82"/>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83" w:name="_Toc166674874"/>
      <w:bookmarkStart w:id="84" w:name="_Toc166675389"/>
      <w:bookmarkStart w:id="85" w:name="_Toc166675148"/>
      <w:r>
        <w:rPr>
          <w:b w:val="0"/>
        </w:rPr>
        <w:lastRenderedPageBreak/>
        <w:t>Division 2 — Application for and grant of exploration licence over standard blocks</w:t>
      </w:r>
      <w:bookmarkEnd w:id="83"/>
      <w:bookmarkEnd w:id="84"/>
      <w:bookmarkEnd w:id="85"/>
    </w:p>
    <w:p>
      <w:pPr>
        <w:pStyle w:val="Heading5"/>
        <w:rPr>
          <w:snapToGrid w:val="0"/>
        </w:rPr>
      </w:pPr>
      <w:bookmarkStart w:id="86" w:name="_Toc166675149"/>
      <w:r>
        <w:rPr>
          <w:rStyle w:val="CharSectno"/>
        </w:rPr>
        <w:t>50</w:t>
      </w:r>
      <w:r>
        <w:rPr>
          <w:snapToGrid w:val="0"/>
        </w:rPr>
        <w:t>.</w:t>
      </w:r>
      <w:r>
        <w:rPr>
          <w:snapToGrid w:val="0"/>
        </w:rPr>
        <w:tab/>
        <w:t>Application for exploration licence over standard block</w:t>
      </w:r>
      <w:bookmarkEnd w:id="86"/>
      <w:r>
        <w:rPr>
          <w:snapToGrid w:val="0"/>
        </w:rPr>
        <w:t xml:space="preserve"> </w:t>
      </w:r>
    </w:p>
    <w:p>
      <w:pPr>
        <w:pStyle w:val="Subsection"/>
        <w:rPr>
          <w:snapToGrid w:val="0"/>
        </w:rPr>
      </w:pPr>
      <w:r>
        <w:rPr>
          <w:snapToGrid w:val="0"/>
        </w:rPr>
        <w:tab/>
        <w:t>(1)</w:t>
      </w:r>
      <w:r>
        <w:rPr>
          <w:snapToGrid w:val="0"/>
        </w:rPr>
        <w:tab/>
        <w:t>A person may apply to the Minister for an exploration licence over a standard block if — </w:t>
      </w:r>
    </w:p>
    <w:p>
      <w:pPr>
        <w:pStyle w:val="Indenta"/>
        <w:rPr>
          <w:snapToGrid w:val="0"/>
        </w:rPr>
      </w:pPr>
      <w:r>
        <w:rPr>
          <w:snapToGrid w:val="0"/>
        </w:rPr>
        <w:tab/>
        <w:t>(a)</w:t>
      </w:r>
      <w:r>
        <w:rPr>
          <w:snapToGrid w:val="0"/>
        </w:rPr>
        <w:tab/>
        <w:t>the block is vacant; and</w:t>
      </w:r>
    </w:p>
    <w:p>
      <w:pPr>
        <w:pStyle w:val="Indenta"/>
        <w:rPr>
          <w:snapToGrid w:val="0"/>
        </w:rPr>
      </w:pPr>
      <w:r>
        <w:rPr>
          <w:snapToGrid w:val="0"/>
        </w:rPr>
        <w:tab/>
        <w:t>(b)</w:t>
      </w:r>
      <w:r>
        <w:rPr>
          <w:snapToGrid w:val="0"/>
        </w:rPr>
        <w:tab/>
        <w:t>the block is not excluded.</w:t>
      </w:r>
    </w:p>
    <w:p>
      <w:pPr>
        <w:pStyle w:val="PermNoteHeading"/>
      </w:pPr>
      <w:r>
        <w:tab/>
        <w:t>Note:</w:t>
      </w:r>
    </w:p>
    <w:p>
      <w:pPr>
        <w:pStyle w:val="PermNoteText"/>
      </w:pPr>
      <w:r>
        <w:tab/>
      </w:r>
      <w:r>
        <w:tab/>
      </w:r>
      <w:r>
        <w:rPr>
          <w:snapToGrid w:val="0"/>
        </w:rPr>
        <w:t>For “excluded blocks” see section 51.</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A person may apply for an exploration licence over a group of standard blocks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500 blocks in the group.</w:t>
      </w:r>
    </w:p>
    <w:p>
      <w:pPr>
        <w:pStyle w:val="PermNoteHeading"/>
      </w:pPr>
      <w:r>
        <w:tab/>
        <w:t>Note:</w:t>
      </w:r>
    </w:p>
    <w:p>
      <w:pPr>
        <w:pStyle w:val="PermNoteText"/>
      </w:pPr>
      <w:r>
        <w:tab/>
      </w:r>
      <w:r>
        <w:tab/>
      </w:r>
      <w:r>
        <w:rPr>
          <w:snapToGrid w:val="0"/>
        </w:rPr>
        <w:t>The Minister may, in certain circumstances, allow an application to be made for an exploration licence covering up to 3 discrete areas (see section 53).</w:t>
      </w:r>
    </w:p>
    <w:p>
      <w:pPr>
        <w:pStyle w:val="Heading5"/>
        <w:rPr>
          <w:snapToGrid w:val="0"/>
        </w:rPr>
      </w:pPr>
      <w:bookmarkStart w:id="87" w:name="_Toc166675150"/>
      <w:r>
        <w:rPr>
          <w:rStyle w:val="CharSectno"/>
        </w:rPr>
        <w:t>51</w:t>
      </w:r>
      <w:r>
        <w:rPr>
          <w:snapToGrid w:val="0"/>
        </w:rPr>
        <w:t>.</w:t>
      </w:r>
      <w:r>
        <w:rPr>
          <w:snapToGrid w:val="0"/>
        </w:rPr>
        <w:tab/>
        <w:t>Excluded blocks</w:t>
      </w:r>
      <w:bookmarkEnd w:id="87"/>
      <w:r>
        <w:rPr>
          <w:snapToGrid w:val="0"/>
        </w:rPr>
        <w:t xml:space="preserve"> </w:t>
      </w:r>
    </w:p>
    <w:p>
      <w:pPr>
        <w:pStyle w:val="Subsection"/>
        <w:rPr>
          <w:snapToGrid w:val="0"/>
        </w:rPr>
      </w:pPr>
      <w:r>
        <w:rPr>
          <w:snapToGrid w:val="0"/>
        </w:rPr>
        <w:tab/>
        <w:t>(1)</w:t>
      </w:r>
      <w:r>
        <w:rPr>
          <w:snapToGrid w:val="0"/>
        </w:rPr>
        <w:tab/>
        <w:t>A block is excluded if — </w:t>
      </w:r>
    </w:p>
    <w:p>
      <w:pPr>
        <w:pStyle w:val="Indenta"/>
        <w:rPr>
          <w:snapToGrid w:val="0"/>
        </w:rPr>
      </w:pPr>
      <w:r>
        <w:rPr>
          <w:snapToGrid w:val="0"/>
        </w:rPr>
        <w:tab/>
        <w:t>(a)</w:t>
      </w:r>
      <w:r>
        <w:rPr>
          <w:snapToGrid w:val="0"/>
        </w:rPr>
        <w:tab/>
        <w:t>an exploration licence over the block has been surrendered or cancelled; and</w:t>
      </w:r>
    </w:p>
    <w:p>
      <w:pPr>
        <w:pStyle w:val="Indenta"/>
        <w:rPr>
          <w:snapToGrid w:val="0"/>
        </w:rPr>
      </w:pPr>
      <w:r>
        <w:rPr>
          <w:snapToGrid w:val="0"/>
        </w:rPr>
        <w:tab/>
        <w:t>(b)</w:t>
      </w:r>
      <w:r>
        <w:rPr>
          <w:snapToGrid w:val="0"/>
        </w:rPr>
        <w:tab/>
        <w:t>a period of 30 days after the day on which the licence was surrendered or cancelled has not ended.</w:t>
      </w:r>
    </w:p>
    <w:p>
      <w:pPr>
        <w:pStyle w:val="Subsection"/>
        <w:rPr>
          <w:snapToGrid w:val="0"/>
        </w:rPr>
      </w:pPr>
      <w:r>
        <w:rPr>
          <w:snapToGrid w:val="0"/>
        </w:rPr>
        <w:tab/>
        <w:t>(2)</w:t>
      </w:r>
      <w:r>
        <w:rPr>
          <w:snapToGrid w:val="0"/>
        </w:rPr>
        <w:tab/>
        <w:t>A block is excluded for a particular applicant if — </w:t>
      </w:r>
    </w:p>
    <w:p>
      <w:pPr>
        <w:pStyle w:val="Indenta"/>
        <w:rPr>
          <w:snapToGrid w:val="0"/>
        </w:rPr>
      </w:pPr>
      <w:r>
        <w:rPr>
          <w:snapToGrid w:val="0"/>
        </w:rPr>
        <w:tab/>
        <w:t>(a)</w:t>
      </w:r>
      <w:r>
        <w:rPr>
          <w:snapToGrid w:val="0"/>
        </w:rPr>
        <w:tab/>
        <w:t>the applicant previously applied for an exploration licence over the block; and</w:t>
      </w:r>
    </w:p>
    <w:p>
      <w:pPr>
        <w:pStyle w:val="Indenta"/>
        <w:rPr>
          <w:snapToGrid w:val="0"/>
        </w:rPr>
      </w:pPr>
      <w:r>
        <w:rPr>
          <w:snapToGrid w:val="0"/>
        </w:rPr>
        <w:tab/>
        <w:t>(b)</w:t>
      </w:r>
      <w:r>
        <w:rPr>
          <w:snapToGrid w:val="0"/>
        </w:rPr>
        <w:tab/>
        <w:t>the application was refused; and</w:t>
      </w:r>
    </w:p>
    <w:p>
      <w:pPr>
        <w:pStyle w:val="Indenta"/>
        <w:rPr>
          <w:snapToGrid w:val="0"/>
        </w:rPr>
      </w:pPr>
      <w:r>
        <w:rPr>
          <w:snapToGrid w:val="0"/>
        </w:rPr>
        <w:lastRenderedPageBreak/>
        <w:tab/>
        <w:t>(c)</w:t>
      </w:r>
      <w:r>
        <w:rPr>
          <w:snapToGrid w:val="0"/>
        </w:rPr>
        <w:tab/>
        <w:t>a period of 6 months after the day on which the previous application was refused has not ended.</w:t>
      </w:r>
    </w:p>
    <w:p>
      <w:pPr>
        <w:pStyle w:val="Subsection"/>
        <w:rPr>
          <w:snapToGrid w:val="0"/>
        </w:rPr>
      </w:pPr>
      <w:r>
        <w:rPr>
          <w:snapToGrid w:val="0"/>
        </w:rPr>
        <w:tab/>
        <w:t>(3)</w:t>
      </w:r>
      <w:r>
        <w:rPr>
          <w:snapToGrid w:val="0"/>
        </w:rPr>
        <w:tab/>
        <w:t>A block is excluded for a particular applicant if — </w:t>
      </w:r>
    </w:p>
    <w:p>
      <w:pPr>
        <w:pStyle w:val="Indenta"/>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that previous licence was surrendered or cancelled; and</w:t>
      </w:r>
    </w:p>
    <w:p>
      <w:pPr>
        <w:pStyle w:val="Indenta"/>
        <w:rPr>
          <w:snapToGrid w:val="0"/>
        </w:rPr>
      </w:pPr>
      <w:r>
        <w:rPr>
          <w:snapToGrid w:val="0"/>
        </w:rPr>
        <w:tab/>
        <w:t>(c)</w:t>
      </w:r>
      <w:r>
        <w:rPr>
          <w:snapToGrid w:val="0"/>
        </w:rPr>
        <w:tab/>
        <w:t>a period of 6 months after the day on which the previous licence was surrendered or cancelled has not ended.</w:t>
      </w:r>
    </w:p>
    <w:p>
      <w:pPr>
        <w:pStyle w:val="Subsection"/>
        <w:keepNext/>
        <w:keepLines/>
        <w:rPr>
          <w:snapToGrid w:val="0"/>
        </w:rPr>
      </w:pPr>
      <w:r>
        <w:rPr>
          <w:snapToGrid w:val="0"/>
        </w:rPr>
        <w:tab/>
        <w:t>(4)</w:t>
      </w:r>
      <w:r>
        <w:rPr>
          <w:snapToGrid w:val="0"/>
        </w:rPr>
        <w:tab/>
        <w:t>A block is excluded for a particular applicant if — </w:t>
      </w:r>
    </w:p>
    <w:p>
      <w:pPr>
        <w:pStyle w:val="Indenta"/>
        <w:keepNext/>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the holder was — </w:t>
      </w:r>
    </w:p>
    <w:p>
      <w:pPr>
        <w:pStyle w:val="Indenti"/>
        <w:rPr>
          <w:snapToGrid w:val="0"/>
        </w:rPr>
      </w:pPr>
      <w:r>
        <w:rPr>
          <w:snapToGrid w:val="0"/>
        </w:rPr>
        <w:tab/>
        <w:t>(i)</w:t>
      </w:r>
      <w:r>
        <w:rPr>
          <w:snapToGrid w:val="0"/>
        </w:rPr>
        <w:tab/>
        <w:t>required by the licence conditions; or</w:t>
      </w:r>
    </w:p>
    <w:p>
      <w:pPr>
        <w:pStyle w:val="Indenti"/>
        <w:rPr>
          <w:snapToGrid w:val="0"/>
        </w:rPr>
      </w:pPr>
      <w:r>
        <w:rPr>
          <w:snapToGrid w:val="0"/>
        </w:rPr>
        <w:tab/>
        <w:t>(ii)</w:t>
      </w:r>
      <w:r>
        <w:rPr>
          <w:snapToGrid w:val="0"/>
        </w:rPr>
        <w:tab/>
        <w:t>given a direction under section 387 or 392,</w:t>
      </w:r>
    </w:p>
    <w:p>
      <w:pPr>
        <w:pStyle w:val="Indenta"/>
        <w:rPr>
          <w:snapToGrid w:val="0"/>
        </w:rPr>
      </w:pPr>
      <w:r>
        <w:rPr>
          <w:snapToGrid w:val="0"/>
        </w:rPr>
        <w:tab/>
      </w:r>
      <w:r>
        <w:rPr>
          <w:snapToGrid w:val="0"/>
        </w:rPr>
        <w:tab/>
        <w:t>to provide the Minister with information; and</w:t>
      </w:r>
    </w:p>
    <w:p>
      <w:pPr>
        <w:pStyle w:val="Indenta"/>
        <w:rPr>
          <w:snapToGrid w:val="0"/>
        </w:rPr>
      </w:pPr>
      <w:r>
        <w:rPr>
          <w:snapToGrid w:val="0"/>
        </w:rPr>
        <w:tab/>
        <w:t>(c)</w:t>
      </w:r>
      <w:r>
        <w:rPr>
          <w:snapToGrid w:val="0"/>
        </w:rPr>
        <w:tab/>
        <w:t>the holder provided the information; and</w:t>
      </w:r>
    </w:p>
    <w:p>
      <w:pPr>
        <w:pStyle w:val="Indenta"/>
        <w:rPr>
          <w:snapToGrid w:val="0"/>
        </w:rPr>
      </w:pPr>
      <w:r>
        <w:rPr>
          <w:snapToGrid w:val="0"/>
        </w:rPr>
        <w:tab/>
        <w:t>(d)</w:t>
      </w:r>
      <w:r>
        <w:rPr>
          <w:snapToGrid w:val="0"/>
        </w:rPr>
        <w:tab/>
        <w:t>the holder surrendered the licence; and</w:t>
      </w:r>
    </w:p>
    <w:p>
      <w:pPr>
        <w:pStyle w:val="Indenta"/>
        <w:rPr>
          <w:snapToGrid w:val="0"/>
        </w:rPr>
      </w:pPr>
      <w:r>
        <w:rPr>
          <w:snapToGrid w:val="0"/>
        </w:rPr>
        <w:tab/>
        <w:t>(e)</w:t>
      </w:r>
      <w:r>
        <w:rPr>
          <w:snapToGrid w:val="0"/>
        </w:rPr>
        <w:tab/>
        <w:t>a period of 6 months from the day on which the holder provided the information has not ended.</w:t>
      </w:r>
    </w:p>
    <w:p>
      <w:pPr>
        <w:pStyle w:val="Heading5"/>
        <w:rPr>
          <w:snapToGrid w:val="0"/>
        </w:rPr>
      </w:pPr>
      <w:bookmarkStart w:id="88" w:name="_Toc166675151"/>
      <w:r>
        <w:rPr>
          <w:rStyle w:val="CharSectno"/>
        </w:rPr>
        <w:t>52</w:t>
      </w:r>
      <w:r>
        <w:rPr>
          <w:snapToGrid w:val="0"/>
        </w:rPr>
        <w:t>.</w:t>
      </w:r>
      <w:r>
        <w:rPr>
          <w:snapToGrid w:val="0"/>
        </w:rPr>
        <w:tab/>
        <w:t>Minister may determine that excluded block is available</w:t>
      </w:r>
      <w:bookmarkEnd w:id="88"/>
      <w:r>
        <w:rPr>
          <w:snapToGrid w:val="0"/>
        </w:rPr>
        <w:t xml:space="preserve"> </w:t>
      </w:r>
    </w:p>
    <w:p>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Subsection"/>
        <w:rPr>
          <w:snapToGrid w:val="0"/>
        </w:rPr>
      </w:pPr>
      <w:r>
        <w:rPr>
          <w:snapToGrid w:val="0"/>
        </w:rPr>
        <w:tab/>
        <w:t>(2)</w:t>
      </w:r>
      <w:r>
        <w:rPr>
          <w:snapToGrid w:val="0"/>
        </w:rPr>
        <w:tab/>
        <w:t>The Minister may determine that the person may apply for the licence over the block despite section 51.</w:t>
      </w:r>
    </w:p>
    <w:p>
      <w:pPr>
        <w:pStyle w:val="Subsection"/>
        <w:rPr>
          <w:snapToGrid w:val="0"/>
        </w:rPr>
      </w:pPr>
      <w:r>
        <w:rPr>
          <w:snapToGrid w:val="0"/>
        </w:rPr>
        <w:tab/>
        <w:t>(3)</w:t>
      </w:r>
      <w:r>
        <w:rPr>
          <w:snapToGrid w:val="0"/>
        </w:rPr>
        <w:tab/>
        <w:t>The determination is to be made in writing.</w:t>
      </w:r>
    </w:p>
    <w:p>
      <w:pPr>
        <w:pStyle w:val="Heading5"/>
        <w:rPr>
          <w:snapToGrid w:val="0"/>
        </w:rPr>
      </w:pPr>
      <w:bookmarkStart w:id="89" w:name="_Toc166675152"/>
      <w:r>
        <w:rPr>
          <w:rStyle w:val="CharSectno"/>
        </w:rPr>
        <w:lastRenderedPageBreak/>
        <w:t>53</w:t>
      </w:r>
      <w:r>
        <w:rPr>
          <w:snapToGrid w:val="0"/>
        </w:rPr>
        <w:t>.</w:t>
      </w:r>
      <w:r>
        <w:rPr>
          <w:snapToGrid w:val="0"/>
        </w:rPr>
        <w:tab/>
        <w:t>Minister may allow application for more than one discrete area</w:t>
      </w:r>
      <w:bookmarkEnd w:id="8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pPr>
        <w:pStyle w:val="Indenta"/>
        <w:rPr>
          <w:snapToGrid w:val="0"/>
        </w:rPr>
      </w:pPr>
      <w:r>
        <w:rPr>
          <w:snapToGrid w:val="0"/>
        </w:rPr>
        <w:tab/>
        <w:t>(c)</w:t>
      </w:r>
      <w:r>
        <w:rPr>
          <w:snapToGrid w:val="0"/>
        </w:rPr>
        <w:tab/>
        <w:t>an exploration licence is then granted to the first applicant; and</w:t>
      </w:r>
    </w:p>
    <w:p>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PermNoteHeading"/>
      </w:pPr>
      <w:r>
        <w:tab/>
        <w:t>Note:</w:t>
      </w:r>
    </w:p>
    <w:p>
      <w:pPr>
        <w:pStyle w:val="PermNoteText"/>
      </w:pPr>
      <w:r>
        <w:tab/>
      </w:r>
      <w:r>
        <w:tab/>
      </w:r>
      <w:r>
        <w:rPr>
          <w:snapToGrid w:val="0"/>
        </w:rPr>
        <w:t>See also section 59.</w:t>
      </w:r>
    </w:p>
    <w:p>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Heading5"/>
        <w:rPr>
          <w:snapToGrid w:val="0"/>
        </w:rPr>
      </w:pPr>
      <w:bookmarkStart w:id="90" w:name="_Toc166675153"/>
      <w:r>
        <w:rPr>
          <w:rStyle w:val="CharSectno"/>
        </w:rPr>
        <w:t>54</w:t>
      </w:r>
      <w:r>
        <w:rPr>
          <w:snapToGrid w:val="0"/>
        </w:rPr>
        <w:t>.</w:t>
      </w:r>
      <w:r>
        <w:rPr>
          <w:snapToGrid w:val="0"/>
        </w:rPr>
        <w:tab/>
        <w:t>How to apply</w:t>
      </w:r>
      <w:bookmarkEnd w:id="9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rPr>
          <w:snapToGrid w:val="0"/>
        </w:rPr>
      </w:pPr>
      <w:r>
        <w:rPr>
          <w:snapToGrid w:val="0"/>
        </w:rPr>
        <w:lastRenderedPageBreak/>
        <w:tab/>
        <w:t>(d)</w:t>
      </w:r>
      <w:r>
        <w:rPr>
          <w:snapToGrid w:val="0"/>
        </w:rPr>
        <w:tab/>
        <w:t>include details of — </w:t>
      </w:r>
    </w:p>
    <w:p>
      <w:pPr>
        <w:pStyle w:val="Indenti"/>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 xml:space="preserve">comply with the regulations;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rPr>
          <w:snapToGrid w:val="0"/>
        </w:rPr>
      </w:pPr>
      <w:r>
        <w:tab/>
        <w:t>1.</w:t>
      </w:r>
      <w:r>
        <w:tab/>
      </w:r>
      <w:r>
        <w:rPr>
          <w:snapToGrid w:val="0"/>
        </w:rPr>
        <w:t>For paragraphs (a) and (b) see section 41.</w:t>
      </w:r>
    </w:p>
    <w:p>
      <w:pPr>
        <w:pStyle w:val="PermNoteText"/>
      </w:pPr>
      <w:r>
        <w:tab/>
        <w:t>2.</w:t>
      </w:r>
      <w:r>
        <w:tab/>
      </w:r>
      <w:r>
        <w:rPr>
          <w:snapToGrid w:val="0"/>
        </w:rPr>
        <w:t>Paragraph (c): the Minister may, after consulting the applicant, vary the blocks applied for (see section 59).</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91" w:name="_Toc166675154"/>
      <w:r>
        <w:rPr>
          <w:rStyle w:val="CharSectno"/>
        </w:rPr>
        <w:lastRenderedPageBreak/>
        <w:t>55</w:t>
      </w:r>
      <w:r>
        <w:rPr>
          <w:snapToGrid w:val="0"/>
        </w:rPr>
        <w:t>.</w:t>
      </w:r>
      <w:r>
        <w:rPr>
          <w:snapToGrid w:val="0"/>
        </w:rPr>
        <w:tab/>
        <w:t>Effect of inclusion of unavailable block in application</w:t>
      </w:r>
      <w:bookmarkEnd w:id="9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for a licence over a group of standard blocks; and</w:t>
      </w:r>
    </w:p>
    <w:p>
      <w:pPr>
        <w:pStyle w:val="Indenta"/>
        <w:rPr>
          <w:snapToGrid w:val="0"/>
        </w:rPr>
      </w:pPr>
      <w:r>
        <w:rPr>
          <w:snapToGrid w:val="0"/>
        </w:rPr>
        <w:tab/>
        <w:t>(b)</w:t>
      </w:r>
      <w:r>
        <w:rPr>
          <w:snapToGrid w:val="0"/>
        </w:rPr>
        <w:tab/>
        <w:t>because of section 18, 50 or 51 an exploration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PermNoteHeading"/>
      </w:pPr>
      <w:r>
        <w:tab/>
        <w:t>Note:</w:t>
      </w:r>
    </w:p>
    <w:p>
      <w:pPr>
        <w:pStyle w:val="PermNoteText"/>
      </w:pPr>
      <w:r>
        <w:tab/>
      </w:r>
      <w:r>
        <w:tab/>
      </w:r>
      <w:r>
        <w:rPr>
          <w:snapToGrid w:val="0"/>
        </w:rPr>
        <w:t>An exploration licence cannot be granted over a block that is not vacant or is excluded (see sections 50 and 51) or over a reserved block (see section 18).</w:t>
      </w:r>
    </w:p>
    <w:p>
      <w:pPr>
        <w:pStyle w:val="Heading5"/>
        <w:rPr>
          <w:snapToGrid w:val="0"/>
        </w:rPr>
      </w:pPr>
      <w:bookmarkStart w:id="92" w:name="_Toc166675155"/>
      <w:r>
        <w:rPr>
          <w:rStyle w:val="CharSectno"/>
        </w:rPr>
        <w:t>56</w:t>
      </w:r>
      <w:r>
        <w:rPr>
          <w:snapToGrid w:val="0"/>
        </w:rPr>
        <w:t>.</w:t>
      </w:r>
      <w:r>
        <w:rPr>
          <w:snapToGrid w:val="0"/>
        </w:rPr>
        <w:tab/>
        <w:t>Payment of fee</w:t>
      </w:r>
      <w:bookmarkEnd w:id="9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93" w:name="_Toc166675157"/>
      <w:r>
        <w:rPr>
          <w:rStyle w:val="CharSectno"/>
        </w:rPr>
        <w:t>57</w:t>
      </w:r>
      <w:r>
        <w:rPr>
          <w:snapToGrid w:val="0"/>
        </w:rPr>
        <w:t>.</w:t>
      </w:r>
      <w:r>
        <w:rPr>
          <w:snapToGrid w:val="0"/>
        </w:rPr>
        <w:tab/>
        <w:t>Application must be advertised</w:t>
      </w:r>
      <w:bookmarkEnd w:id="93"/>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lastRenderedPageBreak/>
        <w:tab/>
        <w:t>(d)</w:t>
      </w:r>
      <w:r>
        <w:rPr>
          <w:snapToGrid w:val="0"/>
        </w:rPr>
        <w:tab/>
        <w:t>a statement that — </w:t>
      </w:r>
    </w:p>
    <w:p>
      <w:pPr>
        <w:pStyle w:val="Indenti"/>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94" w:name="_Toc166675158"/>
      <w:r>
        <w:rPr>
          <w:rStyle w:val="CharSectno"/>
        </w:rPr>
        <w:t>58</w:t>
      </w:r>
      <w:r>
        <w:rPr>
          <w:snapToGrid w:val="0"/>
        </w:rPr>
        <w:t>.</w:t>
      </w:r>
      <w:r>
        <w:rPr>
          <w:snapToGrid w:val="0"/>
        </w:rPr>
        <w:tab/>
        <w:t>How multiple applications are dealt with</w:t>
      </w:r>
      <w:bookmarkEnd w:id="94"/>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PermNoteHeading"/>
      </w:pPr>
      <w:r>
        <w:tab/>
        <w:t>Note:</w:t>
      </w:r>
    </w:p>
    <w:p>
      <w:pPr>
        <w:pStyle w:val="PermNoteText"/>
      </w:pPr>
      <w:r>
        <w:tab/>
      </w:r>
      <w:r>
        <w:tab/>
      </w:r>
      <w:r>
        <w:rPr>
          <w:snapToGrid w:val="0"/>
        </w:rPr>
        <w:t>See also section 203.</w:t>
      </w:r>
    </w:p>
    <w:p>
      <w:pPr>
        <w:pStyle w:val="Subsection"/>
        <w:rPr>
          <w:snapToGrid w:val="0"/>
        </w:rPr>
      </w:pPr>
      <w:r>
        <w:rPr>
          <w:snapToGrid w:val="0"/>
        </w:rPr>
        <w:tab/>
        <w:t>(2)</w:t>
      </w:r>
      <w:r>
        <w:rPr>
          <w:snapToGrid w:val="0"/>
        </w:rPr>
        <w:tab/>
        <w:t>If — </w:t>
      </w:r>
    </w:p>
    <w:p>
      <w:pPr>
        <w:pStyle w:val="Indenta"/>
        <w:rPr>
          <w:snapToGrid w:val="0"/>
        </w:rPr>
      </w:pPr>
      <w:r>
        <w:rPr>
          <w:snapToGrid w:val="0"/>
        </w:rPr>
        <w:lastRenderedPageBreak/>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95" w:name="_Toc166675159"/>
      <w:r>
        <w:rPr>
          <w:rStyle w:val="CharSectno"/>
        </w:rPr>
        <w:t>59</w:t>
      </w:r>
      <w:r>
        <w:rPr>
          <w:snapToGrid w:val="0"/>
        </w:rPr>
        <w:t>.</w:t>
      </w:r>
      <w:r>
        <w:rPr>
          <w:snapToGrid w:val="0"/>
        </w:rPr>
        <w:tab/>
        <w:t>Discussions about blocks applied for</w:t>
      </w:r>
      <w:bookmarkEnd w:id="95"/>
      <w:r>
        <w:rPr>
          <w:snapToGrid w:val="0"/>
        </w:rPr>
        <w:t xml:space="preserve"> </w:t>
      </w:r>
    </w:p>
    <w:p>
      <w:pPr>
        <w:pStyle w:val="Subsection"/>
        <w:rPr>
          <w:snapToGrid w:val="0"/>
        </w:rPr>
      </w:pPr>
      <w:r>
        <w:rPr>
          <w:snapToGrid w:val="0"/>
        </w:rPr>
        <w:tab/>
        <w:t>(1)</w:t>
      </w:r>
      <w:r>
        <w:rPr>
          <w:snapToGrid w:val="0"/>
        </w:rPr>
        <w:tab/>
        <w:t>The Minister may ask the applicant to discuss with the Minister the blocks covered by the application.</w:t>
      </w:r>
    </w:p>
    <w:p>
      <w:pPr>
        <w:pStyle w:val="Subsection"/>
        <w:rPr>
          <w:snapToGrid w:val="0"/>
        </w:rPr>
      </w:pPr>
      <w:r>
        <w:rPr>
          <w:snapToGrid w:val="0"/>
        </w:rPr>
        <w:tab/>
        <w:t>(2)</w:t>
      </w:r>
      <w:r>
        <w:rPr>
          <w:snapToGrid w:val="0"/>
        </w:rPr>
        <w:tab/>
        <w:t>The request under subsection (1) must be — </w:t>
      </w:r>
    </w:p>
    <w:p>
      <w:pPr>
        <w:pStyle w:val="Indenta"/>
        <w:rPr>
          <w:snapToGrid w:val="0"/>
        </w:rPr>
      </w:pPr>
      <w:r>
        <w:rPr>
          <w:snapToGrid w:val="0"/>
        </w:rPr>
        <w:tab/>
        <w:t>(a)</w:t>
      </w:r>
      <w:r>
        <w:rPr>
          <w:snapToGrid w:val="0"/>
        </w:rPr>
        <w:tab/>
        <w:t>made in writing; and</w:t>
      </w:r>
    </w:p>
    <w:p>
      <w:pPr>
        <w:pStyle w:val="Indenta"/>
        <w:rPr>
          <w:snapToGrid w:val="0"/>
        </w:rPr>
      </w:pPr>
      <w:r>
        <w:rPr>
          <w:snapToGrid w:val="0"/>
        </w:rPr>
        <w:tab/>
        <w:t>(b)</w:t>
      </w:r>
      <w:r>
        <w:rPr>
          <w:snapToGrid w:val="0"/>
        </w:rPr>
        <w:tab/>
        <w:t>given to the applicant.</w:t>
      </w:r>
    </w:p>
    <w:p>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Subsection"/>
        <w:keepNext/>
        <w:keepLines/>
        <w:rPr>
          <w:snapToGrid w:val="0"/>
        </w:rPr>
      </w:pPr>
      <w:r>
        <w:rPr>
          <w:snapToGrid w:val="0"/>
        </w:rPr>
        <w:tab/>
        <w:t>(6)</w:t>
      </w:r>
      <w:r>
        <w:rPr>
          <w:snapToGrid w:val="0"/>
        </w:rPr>
        <w:tab/>
        <w:t>If the Minister and the applicant do not agree on the blocks to be covered by the application — </w:t>
      </w:r>
    </w:p>
    <w:p>
      <w:pPr>
        <w:pStyle w:val="Indenta"/>
        <w:keepNext/>
        <w:rPr>
          <w:snapToGrid w:val="0"/>
        </w:rPr>
      </w:pPr>
      <w:r>
        <w:rPr>
          <w:snapToGrid w:val="0"/>
        </w:rPr>
        <w:tab/>
        <w:t>(a)</w:t>
      </w:r>
      <w:r>
        <w:rPr>
          <w:snapToGrid w:val="0"/>
        </w:rPr>
        <w:tab/>
        <w:t>the Minister may make a written determination specifying the blocks to be covered by the application; and</w:t>
      </w:r>
    </w:p>
    <w:p>
      <w:pPr>
        <w:pStyle w:val="Indenta"/>
        <w:rPr>
          <w:snapToGrid w:val="0"/>
        </w:rPr>
      </w:pPr>
      <w:r>
        <w:rPr>
          <w:snapToGrid w:val="0"/>
        </w:rPr>
        <w:tab/>
        <w:t>(b)</w:t>
      </w:r>
      <w:r>
        <w:rPr>
          <w:snapToGrid w:val="0"/>
        </w:rPr>
        <w:tab/>
        <w:t>the applicant is taken to have applied for an exploration licence over the blocks specified in the determination.</w:t>
      </w:r>
    </w:p>
    <w:p>
      <w:pPr>
        <w:pStyle w:val="Subsection"/>
        <w:rPr>
          <w:snapToGrid w:val="0"/>
        </w:rPr>
      </w:pPr>
      <w:r>
        <w:rPr>
          <w:snapToGrid w:val="0"/>
        </w:rPr>
        <w:lastRenderedPageBreak/>
        <w:tab/>
        <w:t>(7)</w:t>
      </w:r>
      <w:r>
        <w:rPr>
          <w:snapToGrid w:val="0"/>
        </w:rPr>
        <w:tab/>
        <w:t>The Minister may include in the written determination a direction that the applicant must advertise the revised application under section 60.</w:t>
      </w:r>
    </w:p>
    <w:p>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Heading5"/>
        <w:rPr>
          <w:snapToGrid w:val="0"/>
        </w:rPr>
      </w:pPr>
      <w:bookmarkStart w:id="96" w:name="_Toc166675160"/>
      <w:r>
        <w:rPr>
          <w:rStyle w:val="CharSectno"/>
        </w:rPr>
        <w:t>60</w:t>
      </w:r>
      <w:r>
        <w:rPr>
          <w:snapToGrid w:val="0"/>
        </w:rPr>
        <w:t>.</w:t>
      </w:r>
      <w:r>
        <w:rPr>
          <w:snapToGrid w:val="0"/>
        </w:rPr>
        <w:tab/>
        <w:t>Advertising revised application</w:t>
      </w:r>
      <w:bookmarkEnd w:id="9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application has been revised under section 59; and</w:t>
      </w:r>
    </w:p>
    <w:p>
      <w:pPr>
        <w:pStyle w:val="Indenta"/>
        <w:rPr>
          <w:snapToGrid w:val="0"/>
        </w:rPr>
      </w:pPr>
      <w:r>
        <w:rPr>
          <w:snapToGrid w:val="0"/>
        </w:rPr>
        <w:tab/>
        <w:t>(b)</w:t>
      </w:r>
      <w:r>
        <w:rPr>
          <w:snapToGrid w:val="0"/>
        </w:rPr>
        <w:tab/>
        <w:t>the applicant has been given a direction under section 59(5) or (7),</w:t>
      </w:r>
    </w:p>
    <w:p>
      <w:pPr>
        <w:pStyle w:val="Subsection"/>
        <w:rPr>
          <w:snapToGrid w:val="0"/>
        </w:rPr>
      </w:pPr>
      <w:r>
        <w:rPr>
          <w:snapToGrid w:val="0"/>
        </w:rPr>
        <w:tab/>
      </w:r>
      <w:r>
        <w:rPr>
          <w:snapToGrid w:val="0"/>
        </w:rPr>
        <w:tab/>
        <w:t>the applicant must advertise the revised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pPr>
        <w:pStyle w:val="Indenta"/>
        <w:rPr>
          <w:snapToGrid w:val="0"/>
        </w:rPr>
      </w:pPr>
      <w:r>
        <w:rPr>
          <w:snapToGrid w:val="0"/>
        </w:rPr>
        <w:tab/>
        <w:t>(c)</w:t>
      </w:r>
      <w:r>
        <w:rPr>
          <w:snapToGrid w:val="0"/>
        </w:rPr>
        <w:tab/>
        <w:t>the address of the Minister; and</w:t>
      </w:r>
    </w:p>
    <w:p>
      <w:pPr>
        <w:pStyle w:val="Indenta"/>
        <w:keepNext/>
        <w:rPr>
          <w:snapToGrid w:val="0"/>
        </w:rPr>
      </w:pPr>
      <w:r>
        <w:rPr>
          <w:snapToGrid w:val="0"/>
        </w:rPr>
        <w:tab/>
        <w:t>(d)</w:t>
      </w:r>
      <w:r>
        <w:rPr>
          <w:snapToGrid w:val="0"/>
        </w:rPr>
        <w:tab/>
        <w:t>a statement that — </w:t>
      </w:r>
    </w:p>
    <w:p>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lastRenderedPageBreak/>
        <w:tab/>
        <w:t>(a)</w:t>
      </w:r>
      <w:r>
        <w:rPr>
          <w:snapToGrid w:val="0"/>
        </w:rPr>
        <w:tab/>
        <w:t>if the Minister and the applicant agree on the blocks applied for under section 59(3), as soon as possible after the applicant is given written confirmation of the agreement under section 59(4); or</w:t>
      </w:r>
    </w:p>
    <w:p>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Subsection"/>
        <w:rPr>
          <w:snapToGrid w:val="0"/>
        </w:rPr>
      </w:pPr>
      <w:r>
        <w:rPr>
          <w:snapToGrid w:val="0"/>
        </w:rPr>
        <w:tab/>
      </w:r>
      <w:r>
        <w:rPr>
          <w:snapToGrid w:val="0"/>
        </w:rPr>
        <w:tab/>
        <w:t>but in any case, subject to subsection (4), within 14 days after the applicant is given the confirmation or copy.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97" w:name="_Toc166675161"/>
      <w:r>
        <w:rPr>
          <w:rStyle w:val="CharSectno"/>
        </w:rPr>
        <w:t>61</w:t>
      </w:r>
      <w:r>
        <w:rPr>
          <w:snapToGrid w:val="0"/>
        </w:rPr>
        <w:t>.</w:t>
      </w:r>
      <w:r>
        <w:rPr>
          <w:snapToGrid w:val="0"/>
        </w:rPr>
        <w:tab/>
        <w:t>Request for further information</w:t>
      </w:r>
      <w:bookmarkEnd w:id="97"/>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98" w:name="_Toc166675162"/>
      <w:r>
        <w:rPr>
          <w:rStyle w:val="CharSectno"/>
        </w:rPr>
        <w:lastRenderedPageBreak/>
        <w:t>62</w:t>
      </w:r>
      <w:r>
        <w:rPr>
          <w:snapToGrid w:val="0"/>
        </w:rPr>
        <w:t>.</w:t>
      </w:r>
      <w:r>
        <w:rPr>
          <w:snapToGrid w:val="0"/>
        </w:rPr>
        <w:tab/>
        <w:t>Section number not used</w:t>
      </w:r>
      <w:bookmarkEnd w:id="98"/>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99" w:name="_Toc166675163"/>
      <w:r>
        <w:rPr>
          <w:rStyle w:val="CharSectno"/>
        </w:rPr>
        <w:t>63</w:t>
      </w:r>
      <w:r>
        <w:rPr>
          <w:snapToGrid w:val="0"/>
        </w:rPr>
        <w:t>.</w:t>
      </w:r>
      <w:r>
        <w:rPr>
          <w:snapToGrid w:val="0"/>
        </w:rPr>
        <w:tab/>
        <w:t>Minister may provisionally grant licence</w:t>
      </w:r>
      <w:bookmarkEnd w:id="99"/>
      <w:r>
        <w:rPr>
          <w:snapToGrid w:val="0"/>
        </w:rPr>
        <w:t xml:space="preserve"> </w:t>
      </w:r>
    </w:p>
    <w:p>
      <w:pPr>
        <w:pStyle w:val="Subsection"/>
        <w:rPr>
          <w:snapToGrid w:val="0"/>
        </w:rPr>
      </w:pPr>
      <w:r>
        <w:rPr>
          <w:snapToGrid w:val="0"/>
        </w:rPr>
        <w:tab/>
      </w:r>
      <w:r>
        <w:rPr>
          <w:snapToGrid w:val="0"/>
        </w:rPr>
        <w:tab/>
        <w:t>If the applicant does what is required by sections 54 to 61, the Minister may — </w:t>
      </w:r>
    </w:p>
    <w:p>
      <w:pPr>
        <w:pStyle w:val="Indenta"/>
        <w:rPr>
          <w:snapToGrid w:val="0"/>
        </w:rPr>
      </w:pPr>
      <w:r>
        <w:rPr>
          <w:snapToGrid w:val="0"/>
        </w:rPr>
        <w:tab/>
        <w:t>(a)</w:t>
      </w:r>
      <w:r>
        <w:rPr>
          <w:snapToGrid w:val="0"/>
        </w:rPr>
        <w:tab/>
        <w:t>provisionally grant an exploration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pPr>
      <w:r>
        <w:tab/>
      </w:r>
      <w:r>
        <w:tab/>
      </w:r>
      <w:r>
        <w:rPr>
          <w:snapToGrid w:val="0"/>
        </w:rPr>
        <w:t>Under section 88, the grant of the licence cannot be effective before it is registered (see section 333 for registration). The grant will not be registered until it has been properly accepted (see section 70 for “proper acceptance”).</w:t>
      </w:r>
    </w:p>
    <w:p>
      <w:pPr>
        <w:pStyle w:val="Heading5"/>
        <w:rPr>
          <w:snapToGrid w:val="0"/>
        </w:rPr>
      </w:pPr>
      <w:bookmarkStart w:id="100" w:name="_Toc166675164"/>
      <w:r>
        <w:rPr>
          <w:rStyle w:val="CharSectno"/>
        </w:rPr>
        <w:t>64</w:t>
      </w:r>
      <w:r>
        <w:rPr>
          <w:snapToGrid w:val="0"/>
        </w:rPr>
        <w:t>.</w:t>
      </w:r>
      <w:r>
        <w:rPr>
          <w:snapToGrid w:val="0"/>
        </w:rPr>
        <w:tab/>
        <w:t>Section number not used</w:t>
      </w:r>
      <w:bookmarkEnd w:id="100"/>
      <w:r>
        <w:rPr>
          <w:snapToGrid w:val="0"/>
        </w:rPr>
        <w:t xml:space="preserve"> </w:t>
      </w:r>
    </w:p>
    <w:p>
      <w:pPr>
        <w:pStyle w:val="Subsection"/>
        <w:keepNext/>
        <w:keepLines/>
        <w:rPr>
          <w:snapToGrid w:val="0"/>
        </w:rPr>
      </w:pPr>
      <w:r>
        <w:rPr>
          <w:snapToGrid w:val="0"/>
        </w:rPr>
        <w:tab/>
      </w:r>
      <w:r>
        <w:rPr>
          <w:snapToGrid w:val="0"/>
        </w:rPr>
        <w:tab/>
        <w:t>See note 2 to section 3(1).</w:t>
      </w:r>
    </w:p>
    <w:p>
      <w:pPr>
        <w:pStyle w:val="Heading5"/>
        <w:rPr>
          <w:snapToGrid w:val="0"/>
        </w:rPr>
      </w:pPr>
      <w:bookmarkStart w:id="101" w:name="_Toc166675166"/>
      <w:r>
        <w:rPr>
          <w:rStyle w:val="CharSectno"/>
        </w:rPr>
        <w:t>65</w:t>
      </w:r>
      <w:r>
        <w:rPr>
          <w:snapToGrid w:val="0"/>
        </w:rPr>
        <w:t>.</w:t>
      </w:r>
      <w:r>
        <w:rPr>
          <w:snapToGrid w:val="0"/>
        </w:rPr>
        <w:tab/>
        <w:t>Matters to be specified in the licence</w:t>
      </w:r>
      <w:bookmarkEnd w:id="101"/>
      <w:r>
        <w:rPr>
          <w:snapToGrid w:val="0"/>
        </w:rPr>
        <w:t xml:space="preserve"> </w:t>
      </w:r>
    </w:p>
    <w:p>
      <w:pPr>
        <w:pStyle w:val="Subsection"/>
        <w:keepNext/>
        <w:keepLines/>
        <w:rPr>
          <w:snapToGrid w:val="0"/>
        </w:rPr>
      </w:pPr>
      <w:r>
        <w:rPr>
          <w:snapToGrid w:val="0"/>
        </w:rPr>
        <w:tab/>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tab/>
        <w:t xml:space="preserve">Note: </w:t>
      </w:r>
    </w:p>
    <w:p>
      <w:pPr>
        <w:pStyle w:val="PermNoteText"/>
      </w:pPr>
      <w:r>
        <w:tab/>
      </w:r>
      <w:r>
        <w:tab/>
        <w:t>For the term of a licence see section 88.</w:t>
      </w:r>
    </w:p>
    <w:p>
      <w:pPr>
        <w:pStyle w:val="Heading5"/>
        <w:rPr>
          <w:snapToGrid w:val="0"/>
        </w:rPr>
      </w:pPr>
      <w:bookmarkStart w:id="102" w:name="_Toc166675167"/>
      <w:r>
        <w:rPr>
          <w:rStyle w:val="CharSectno"/>
        </w:rPr>
        <w:t>66</w:t>
      </w:r>
      <w:r>
        <w:rPr>
          <w:snapToGrid w:val="0"/>
        </w:rPr>
        <w:t>.</w:t>
      </w:r>
      <w:r>
        <w:rPr>
          <w:snapToGrid w:val="0"/>
        </w:rPr>
        <w:tab/>
        <w:t>Applicant must be notified</w:t>
      </w:r>
      <w:bookmarkEnd w:id="102"/>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63.</w:t>
      </w:r>
    </w:p>
    <w:p>
      <w:pPr>
        <w:pStyle w:val="Subsection"/>
        <w:keepNext/>
        <w:keepLines/>
        <w:rPr>
          <w:snapToGrid w:val="0"/>
        </w:rPr>
      </w:pPr>
      <w:r>
        <w:rPr>
          <w:snapToGrid w:val="0"/>
        </w:rPr>
        <w:lastRenderedPageBreak/>
        <w:tab/>
        <w:t>(2)</w:t>
      </w:r>
      <w:r>
        <w:rPr>
          <w:snapToGrid w:val="0"/>
        </w:rPr>
        <w:tab/>
        <w:t>If the Minister provisionally grants an exploration licence — </w:t>
      </w:r>
    </w:p>
    <w:p>
      <w:pPr>
        <w:pStyle w:val="Indenta"/>
        <w:keepNext/>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03" w:name="_Toc166675168"/>
      <w:r>
        <w:rPr>
          <w:rStyle w:val="CharSectno"/>
        </w:rPr>
        <w:t>67</w:t>
      </w:r>
      <w:r>
        <w:rPr>
          <w:snapToGrid w:val="0"/>
        </w:rPr>
        <w:t>.</w:t>
      </w:r>
      <w:r>
        <w:rPr>
          <w:snapToGrid w:val="0"/>
        </w:rPr>
        <w:tab/>
        <w:t>Amendment of conditions</w:t>
      </w:r>
      <w:bookmarkEnd w:id="103"/>
      <w:r>
        <w:rPr>
          <w:snapToGrid w:val="0"/>
        </w:rPr>
        <w:t xml:space="preserve"> </w:t>
      </w:r>
    </w:p>
    <w:p>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104" w:name="_Toc166675169"/>
      <w:r>
        <w:rPr>
          <w:rStyle w:val="CharSectno"/>
        </w:rPr>
        <w:t>68</w:t>
      </w:r>
      <w:r>
        <w:rPr>
          <w:snapToGrid w:val="0"/>
        </w:rPr>
        <w:t>.</w:t>
      </w:r>
      <w:r>
        <w:rPr>
          <w:snapToGrid w:val="0"/>
        </w:rPr>
        <w:tab/>
        <w:t>Amendment of security requirements</w:t>
      </w:r>
      <w:bookmarkEnd w:id="104"/>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keepNext/>
        <w:rPr>
          <w:snapToGrid w:val="0"/>
        </w:rPr>
      </w:pPr>
      <w:r>
        <w:rPr>
          <w:snapToGrid w:val="0"/>
        </w:rPr>
        <w:lastRenderedPageBreak/>
        <w:tab/>
        <w:t>(b)</w:t>
      </w:r>
      <w:r>
        <w:rPr>
          <w:snapToGrid w:val="0"/>
        </w:rPr>
        <w:tab/>
        <w:t>is dissatisfied with the amount of the security required,</w:t>
      </w:r>
    </w:p>
    <w:p>
      <w:pPr>
        <w:pStyle w:val="Subsection"/>
        <w:keepNext/>
        <w:keepLines/>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keepNext w:val="0"/>
        <w:keepLines w:val="0"/>
        <w:rPr>
          <w:snapToGrid w:val="0"/>
        </w:rPr>
      </w:pPr>
      <w:bookmarkStart w:id="105" w:name="_Toc166675171"/>
      <w:r>
        <w:rPr>
          <w:rStyle w:val="CharSectno"/>
        </w:rPr>
        <w:t>69</w:t>
      </w:r>
      <w:r>
        <w:rPr>
          <w:snapToGrid w:val="0"/>
        </w:rPr>
        <w:t>.</w:t>
      </w:r>
      <w:r>
        <w:rPr>
          <w:snapToGrid w:val="0"/>
        </w:rPr>
        <w:tab/>
        <w:t>Extension of primary payment period</w:t>
      </w:r>
      <w:bookmarkEnd w:id="105"/>
      <w:r>
        <w:rPr>
          <w:snapToGrid w:val="0"/>
        </w:rPr>
        <w:t xml:space="preserve"> </w:t>
      </w:r>
    </w:p>
    <w:p>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06" w:name="_Toc166675172"/>
      <w:r>
        <w:rPr>
          <w:rStyle w:val="CharSectno"/>
        </w:rPr>
        <w:t>70</w:t>
      </w:r>
      <w:r>
        <w:rPr>
          <w:snapToGrid w:val="0"/>
        </w:rPr>
        <w:t>.</w:t>
      </w:r>
      <w:r>
        <w:rPr>
          <w:snapToGrid w:val="0"/>
        </w:rPr>
        <w:tab/>
        <w:t>Acceptance of grant of exploration licence for standard block</w:t>
      </w:r>
      <w:bookmarkEnd w:id="106"/>
      <w:r>
        <w:rPr>
          <w:snapToGrid w:val="0"/>
        </w:rPr>
        <w:t xml:space="preserve"> </w:t>
      </w:r>
    </w:p>
    <w:p>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lastRenderedPageBreak/>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PermNoteHeading"/>
      </w:pPr>
      <w:r>
        <w:tab/>
        <w:t>Note:</w:t>
      </w:r>
    </w:p>
    <w:p>
      <w:pPr>
        <w:pStyle w:val="PermNoteText"/>
      </w:pPr>
      <w:r>
        <w:tab/>
      </w:r>
      <w:r>
        <w:tab/>
        <w:t>Under section 88, the grant of the licence cannot be effective before it is registered (see section 333 for registration).</w:t>
      </w:r>
    </w:p>
    <w:p>
      <w:pPr>
        <w:pStyle w:val="Heading5"/>
        <w:rPr>
          <w:snapToGrid w:val="0"/>
        </w:rPr>
      </w:pPr>
      <w:bookmarkStart w:id="107" w:name="_Toc166675173"/>
      <w:r>
        <w:rPr>
          <w:rStyle w:val="CharSectno"/>
        </w:rPr>
        <w:t>71</w:t>
      </w:r>
      <w:r>
        <w:rPr>
          <w:snapToGrid w:val="0"/>
        </w:rPr>
        <w:t>.</w:t>
      </w:r>
      <w:r>
        <w:rPr>
          <w:snapToGrid w:val="0"/>
        </w:rPr>
        <w:tab/>
        <w:t>Conditions applicable to licence on grant</w:t>
      </w:r>
      <w:bookmarkEnd w:id="107"/>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70, it is subject to — </w:t>
      </w:r>
    </w:p>
    <w:p>
      <w:pPr>
        <w:pStyle w:val="Indenta"/>
        <w:keepNext/>
        <w:rPr>
          <w:snapToGrid w:val="0"/>
        </w:rPr>
      </w:pPr>
      <w:r>
        <w:rPr>
          <w:snapToGrid w:val="0"/>
        </w:rPr>
        <w:tab/>
        <w:t>(a)</w:t>
      </w:r>
      <w:r>
        <w:rPr>
          <w:snapToGrid w:val="0"/>
        </w:rPr>
        <w:tab/>
        <w:t>the conditions specified in the licence given to the applicant under section 66; or</w:t>
      </w:r>
    </w:p>
    <w:p>
      <w:pPr>
        <w:pStyle w:val="Indenta"/>
        <w:rPr>
          <w:snapToGrid w:val="0"/>
        </w:rPr>
      </w:pPr>
      <w:r>
        <w:rPr>
          <w:snapToGrid w:val="0"/>
        </w:rPr>
        <w:tab/>
        <w:t>(b)</w:t>
      </w:r>
      <w:r>
        <w:rPr>
          <w:snapToGrid w:val="0"/>
        </w:rPr>
        <w:tab/>
        <w:t>if the Minister amended those conditions under section 67, those conditions as amended.</w:t>
      </w:r>
    </w:p>
    <w:p>
      <w:pPr>
        <w:pStyle w:val="Heading5"/>
        <w:rPr>
          <w:snapToGrid w:val="0"/>
        </w:rPr>
      </w:pPr>
      <w:bookmarkStart w:id="108" w:name="_Toc166675174"/>
      <w:r>
        <w:rPr>
          <w:rStyle w:val="CharSectno"/>
        </w:rPr>
        <w:t>72</w:t>
      </w:r>
      <w:r>
        <w:rPr>
          <w:snapToGrid w:val="0"/>
        </w:rPr>
        <w:t>.</w:t>
      </w:r>
      <w:r>
        <w:rPr>
          <w:snapToGrid w:val="0"/>
        </w:rPr>
        <w:tab/>
        <w:t>Lapse of provisional grant of exploration licence</w:t>
      </w:r>
      <w:bookmarkEnd w:id="108"/>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70, the provisional grant lapses.</w:t>
      </w:r>
    </w:p>
    <w:p>
      <w:pPr>
        <w:pStyle w:val="Heading4"/>
        <w:rPr>
          <w:b w:val="0"/>
        </w:rPr>
      </w:pPr>
      <w:bookmarkStart w:id="109" w:name="_Toc166674898"/>
      <w:bookmarkStart w:id="110" w:name="_Toc166675413"/>
      <w:bookmarkStart w:id="111" w:name="_Toc166675175"/>
      <w:r>
        <w:rPr>
          <w:b w:val="0"/>
        </w:rPr>
        <w:t>Division 3 — Application for and grant of exploration licence over tender block</w:t>
      </w:r>
      <w:bookmarkEnd w:id="109"/>
      <w:bookmarkEnd w:id="110"/>
      <w:bookmarkEnd w:id="111"/>
    </w:p>
    <w:p>
      <w:pPr>
        <w:pStyle w:val="Heading5"/>
        <w:rPr>
          <w:snapToGrid w:val="0"/>
        </w:rPr>
      </w:pPr>
      <w:bookmarkStart w:id="112" w:name="_Toc166675176"/>
      <w:r>
        <w:rPr>
          <w:rStyle w:val="CharSectno"/>
        </w:rPr>
        <w:t>73</w:t>
      </w:r>
      <w:r>
        <w:rPr>
          <w:snapToGrid w:val="0"/>
        </w:rPr>
        <w:t>.</w:t>
      </w:r>
      <w:r>
        <w:rPr>
          <w:snapToGrid w:val="0"/>
        </w:rPr>
        <w:tab/>
        <w:t>Matters to be determined before applications for exploration licence over tender blocks invited</w:t>
      </w:r>
      <w:bookmarkEnd w:id="112"/>
      <w:r>
        <w:rPr>
          <w:snapToGrid w:val="0"/>
        </w:rPr>
        <w:t xml:space="preserve"> </w:t>
      </w:r>
    </w:p>
    <w:p>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licence conditions.</w:t>
      </w:r>
    </w:p>
    <w:p>
      <w:pPr>
        <w:pStyle w:val="Heading5"/>
        <w:rPr>
          <w:snapToGrid w:val="0"/>
        </w:rPr>
      </w:pPr>
      <w:bookmarkStart w:id="113" w:name="_Toc166675177"/>
      <w:r>
        <w:rPr>
          <w:rStyle w:val="CharSectno"/>
        </w:rPr>
        <w:lastRenderedPageBreak/>
        <w:t>74</w:t>
      </w:r>
      <w:r>
        <w:rPr>
          <w:snapToGrid w:val="0"/>
        </w:rPr>
        <w:t>.</w:t>
      </w:r>
      <w:r>
        <w:rPr>
          <w:snapToGrid w:val="0"/>
        </w:rPr>
        <w:tab/>
        <w:t>Minister may invite applications for exploration licence over tender blocks</w:t>
      </w:r>
      <w:bookmarkEnd w:id="113"/>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an exploration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Heading5"/>
        <w:rPr>
          <w:snapToGrid w:val="0"/>
        </w:rPr>
      </w:pPr>
      <w:bookmarkStart w:id="114" w:name="_Toc166675178"/>
      <w:r>
        <w:rPr>
          <w:rStyle w:val="CharSectno"/>
        </w:rPr>
        <w:t>75</w:t>
      </w:r>
      <w:r>
        <w:rPr>
          <w:snapToGrid w:val="0"/>
        </w:rPr>
        <w:t>.</w:t>
      </w:r>
      <w:r>
        <w:rPr>
          <w:snapToGrid w:val="0"/>
        </w:rPr>
        <w:tab/>
        <w:t>Tender block licence notice — exploration licence</w:t>
      </w:r>
      <w:bookmarkEnd w:id="114"/>
      <w:r>
        <w:rPr>
          <w:snapToGrid w:val="0"/>
        </w:rPr>
        <w:t xml:space="preserve"> </w:t>
      </w:r>
    </w:p>
    <w:p>
      <w:pPr>
        <w:pStyle w:val="Subsection"/>
        <w:rPr>
          <w:snapToGrid w:val="0"/>
        </w:rPr>
      </w:pPr>
      <w:r>
        <w:rPr>
          <w:snapToGrid w:val="0"/>
        </w:rPr>
        <w:tab/>
        <w:t>(1)</w:t>
      </w:r>
      <w:r>
        <w:rPr>
          <w:snapToGrid w:val="0"/>
        </w:rPr>
        <w:tab/>
        <w:t>A tender block licence notice for an exploration licence must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exploration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lastRenderedPageBreak/>
        <w:tab/>
        <w:t>(3)</w:t>
      </w:r>
      <w:r>
        <w:rPr>
          <w:snapToGrid w:val="0"/>
        </w:rPr>
        <w:tab/>
        <w:t>The tender block licence notice may specify not more than 500 blocks for the exploration licence.</w:t>
      </w:r>
    </w:p>
    <w:p>
      <w:pPr>
        <w:pStyle w:val="Heading5"/>
        <w:rPr>
          <w:snapToGrid w:val="0"/>
        </w:rPr>
      </w:pPr>
      <w:bookmarkStart w:id="115" w:name="_Toc166675179"/>
      <w:r>
        <w:rPr>
          <w:rStyle w:val="CharSectno"/>
        </w:rPr>
        <w:t>76</w:t>
      </w:r>
      <w:r>
        <w:rPr>
          <w:snapToGrid w:val="0"/>
        </w:rPr>
        <w:t>.</w:t>
      </w:r>
      <w:r>
        <w:rPr>
          <w:snapToGrid w:val="0"/>
        </w:rPr>
        <w:tab/>
        <w:t>Application for exploration licence over tender blocks</w:t>
      </w:r>
      <w:bookmarkEnd w:id="115"/>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Heading5"/>
        <w:rPr>
          <w:snapToGrid w:val="0"/>
        </w:rPr>
      </w:pPr>
      <w:bookmarkStart w:id="116" w:name="_Toc166675180"/>
      <w:r>
        <w:rPr>
          <w:rStyle w:val="CharSectno"/>
        </w:rPr>
        <w:t>77</w:t>
      </w:r>
      <w:r>
        <w:rPr>
          <w:snapToGrid w:val="0"/>
        </w:rPr>
        <w:t>.</w:t>
      </w:r>
      <w:r>
        <w:rPr>
          <w:snapToGrid w:val="0"/>
        </w:rPr>
        <w:tab/>
        <w:t>How to apply</w:t>
      </w:r>
      <w:bookmarkEnd w:id="116"/>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75(1)(c);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Indenta"/>
        <w:spacing w:before="0"/>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pPr>
      <w:r>
        <w:tab/>
      </w:r>
      <w:r>
        <w:tab/>
      </w:r>
      <w:r>
        <w:rPr>
          <w:snapToGrid w:val="0"/>
        </w:rPr>
        <w:t>For paragraphs (a) and (b) see section 41.</w:t>
      </w:r>
    </w:p>
    <w:p>
      <w:pPr>
        <w:pStyle w:val="Subsection"/>
        <w:rPr>
          <w:snapToGrid w:val="0"/>
        </w:rPr>
      </w:pPr>
      <w:r>
        <w:rPr>
          <w:snapToGrid w:val="0"/>
        </w:rPr>
        <w:lastRenderedPageBreak/>
        <w:tab/>
        <w:t>(2)</w:t>
      </w:r>
      <w:r>
        <w:rPr>
          <w:snapToGrid w:val="0"/>
        </w:rPr>
        <w:tab/>
        <w:t>The applicant may include in the application any other information that the applicant thinks is relevant.</w:t>
      </w:r>
    </w:p>
    <w:p>
      <w:pPr>
        <w:pStyle w:val="Heading5"/>
        <w:rPr>
          <w:snapToGrid w:val="0"/>
        </w:rPr>
      </w:pPr>
      <w:bookmarkStart w:id="117" w:name="_Toc166675181"/>
      <w:r>
        <w:rPr>
          <w:rStyle w:val="CharSectno"/>
        </w:rPr>
        <w:t>78</w:t>
      </w:r>
      <w:r>
        <w:rPr>
          <w:snapToGrid w:val="0"/>
        </w:rPr>
        <w:t>.</w:t>
      </w:r>
      <w:r>
        <w:rPr>
          <w:snapToGrid w:val="0"/>
        </w:rPr>
        <w:tab/>
        <w:t>Payment of fee</w:t>
      </w:r>
      <w:bookmarkEnd w:id="117"/>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18" w:name="_Toc166675182"/>
      <w:r>
        <w:rPr>
          <w:rStyle w:val="CharSectno"/>
        </w:rPr>
        <w:t>79</w:t>
      </w:r>
      <w:r>
        <w:rPr>
          <w:snapToGrid w:val="0"/>
        </w:rPr>
        <w:t>.</w:t>
      </w:r>
      <w:r>
        <w:rPr>
          <w:snapToGrid w:val="0"/>
        </w:rPr>
        <w:tab/>
        <w:t>Request for further information</w:t>
      </w:r>
      <w:bookmarkEnd w:id="118"/>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19" w:name="_Toc166675183"/>
      <w:r>
        <w:rPr>
          <w:rStyle w:val="CharSectno"/>
        </w:rPr>
        <w:t>80</w:t>
      </w:r>
      <w:r>
        <w:rPr>
          <w:snapToGrid w:val="0"/>
        </w:rPr>
        <w:t>.</w:t>
      </w:r>
      <w:r>
        <w:rPr>
          <w:snapToGrid w:val="0"/>
        </w:rPr>
        <w:tab/>
        <w:t>Section number not used</w:t>
      </w:r>
      <w:bookmarkEnd w:id="119"/>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20" w:name="_Toc166675187"/>
      <w:r>
        <w:rPr>
          <w:rStyle w:val="CharSectno"/>
        </w:rPr>
        <w:t>81</w:t>
      </w:r>
      <w:r>
        <w:rPr>
          <w:snapToGrid w:val="0"/>
        </w:rPr>
        <w:t>.</w:t>
      </w:r>
      <w:r>
        <w:rPr>
          <w:snapToGrid w:val="0"/>
        </w:rPr>
        <w:tab/>
        <w:t>Minister may provisionally grant licence</w:t>
      </w:r>
      <w:bookmarkEnd w:id="120"/>
      <w:r>
        <w:rPr>
          <w:snapToGrid w:val="0"/>
        </w:rPr>
        <w:t xml:space="preserve"> </w:t>
      </w:r>
    </w:p>
    <w:p>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Subsection"/>
        <w:rPr>
          <w:snapToGrid w:val="0"/>
        </w:rPr>
      </w:pPr>
      <w:r>
        <w:rPr>
          <w:snapToGrid w:val="0"/>
        </w:rPr>
        <w:tab/>
        <w:t>(2)</w:t>
      </w:r>
      <w:r>
        <w:rPr>
          <w:snapToGrid w:val="0"/>
        </w:rPr>
        <w:tab/>
        <w:t xml:space="preserve">When provisionally granting a licence under subsection (1), the Minister must follow the procedure and apply the criteria </w:t>
      </w:r>
      <w:r>
        <w:rPr>
          <w:snapToGrid w:val="0"/>
        </w:rPr>
        <w:lastRenderedPageBreak/>
        <w:t>specified in the tender block licence notice published for the licence under section 74.</w:t>
      </w:r>
    </w:p>
    <w:p>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Heading5"/>
        <w:rPr>
          <w:snapToGrid w:val="0"/>
        </w:rPr>
      </w:pPr>
      <w:bookmarkStart w:id="121" w:name="_Toc166675188"/>
      <w:r>
        <w:rPr>
          <w:rStyle w:val="CharSectno"/>
        </w:rPr>
        <w:t>82</w:t>
      </w:r>
      <w:r>
        <w:rPr>
          <w:snapToGrid w:val="0"/>
        </w:rPr>
        <w:t>.</w:t>
      </w:r>
      <w:r>
        <w:rPr>
          <w:snapToGrid w:val="0"/>
        </w:rPr>
        <w:tab/>
        <w:t>Section number not used</w:t>
      </w:r>
      <w:bookmarkEnd w:id="121"/>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22" w:name="_Toc166675189"/>
      <w:r>
        <w:rPr>
          <w:rStyle w:val="CharSectno"/>
        </w:rPr>
        <w:t>83</w:t>
      </w:r>
      <w:r>
        <w:rPr>
          <w:snapToGrid w:val="0"/>
        </w:rPr>
        <w:t>.</w:t>
      </w:r>
      <w:r>
        <w:rPr>
          <w:snapToGrid w:val="0"/>
        </w:rPr>
        <w:tab/>
        <w:t>Successful applicant must be notified</w:t>
      </w:r>
      <w:bookmarkEnd w:id="122"/>
      <w:r>
        <w:rPr>
          <w:snapToGrid w:val="0"/>
        </w:rPr>
        <w:t xml:space="preserve"> </w:t>
      </w:r>
    </w:p>
    <w:p>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Subsection"/>
        <w:keepNext/>
        <w:keepLines/>
        <w:rPr>
          <w:snapToGrid w:val="0"/>
        </w:rPr>
      </w:pPr>
      <w:r>
        <w:rPr>
          <w:snapToGrid w:val="0"/>
        </w:rPr>
        <w:tab/>
        <w:t>(2)</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lastRenderedPageBreak/>
        <w:tab/>
        <w:t>Note:</w:t>
      </w:r>
    </w:p>
    <w:p>
      <w:pPr>
        <w:pStyle w:val="PermNoteText"/>
      </w:pPr>
      <w:r>
        <w:tab/>
      </w:r>
      <w:r>
        <w:tab/>
      </w:r>
      <w:r>
        <w:rPr>
          <w:snapToGrid w:val="0"/>
        </w:rPr>
        <w:t>For the term of a licence see section 88.</w:t>
      </w:r>
    </w:p>
    <w:p>
      <w:pPr>
        <w:pStyle w:val="Heading5"/>
        <w:rPr>
          <w:snapToGrid w:val="0"/>
        </w:rPr>
      </w:pPr>
      <w:bookmarkStart w:id="123" w:name="_Toc166675190"/>
      <w:r>
        <w:rPr>
          <w:rStyle w:val="CharSectno"/>
        </w:rPr>
        <w:t>84</w:t>
      </w:r>
      <w:r>
        <w:rPr>
          <w:snapToGrid w:val="0"/>
        </w:rPr>
        <w:t>.</w:t>
      </w:r>
      <w:r>
        <w:rPr>
          <w:snapToGrid w:val="0"/>
        </w:rPr>
        <w:tab/>
        <w:t>Acceptance of grant of exploration licence over tender blocks</w:t>
      </w:r>
      <w:bookmarkEnd w:id="123"/>
      <w:r>
        <w:rPr>
          <w:snapToGrid w:val="0"/>
        </w:rPr>
        <w:t xml:space="preserve"> </w:t>
      </w:r>
    </w:p>
    <w:p>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PermNoteHeading"/>
      </w:pPr>
      <w:r>
        <w:tab/>
        <w:t>Note:</w:t>
      </w:r>
    </w:p>
    <w:p>
      <w:pPr>
        <w:pStyle w:val="PermNoteText"/>
      </w:pPr>
      <w:r>
        <w:tab/>
      </w:r>
      <w:r>
        <w:tab/>
      </w:r>
      <w:r>
        <w:rPr>
          <w:snapToGrid w:val="0"/>
        </w:rPr>
        <w:t>Under section 88, the grant of the licence cannot be effective before it is registered (see section 333 for registration).</w:t>
      </w:r>
    </w:p>
    <w:p>
      <w:pPr>
        <w:pStyle w:val="Heading5"/>
        <w:rPr>
          <w:snapToGrid w:val="0"/>
        </w:rPr>
      </w:pPr>
      <w:bookmarkStart w:id="124" w:name="_Toc166675191"/>
      <w:r>
        <w:rPr>
          <w:rStyle w:val="CharSectno"/>
        </w:rPr>
        <w:t>85</w:t>
      </w:r>
      <w:r>
        <w:rPr>
          <w:snapToGrid w:val="0"/>
        </w:rPr>
        <w:t>.</w:t>
      </w:r>
      <w:r>
        <w:rPr>
          <w:snapToGrid w:val="0"/>
        </w:rPr>
        <w:tab/>
        <w:t>Conditions applicable to licence on grant</w:t>
      </w:r>
      <w:bookmarkEnd w:id="124"/>
      <w:r>
        <w:rPr>
          <w:snapToGrid w:val="0"/>
        </w:rPr>
        <w:t xml:space="preserve"> </w:t>
      </w:r>
    </w:p>
    <w:p>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pPr>
        <w:pStyle w:val="Heading5"/>
        <w:rPr>
          <w:snapToGrid w:val="0"/>
        </w:rPr>
      </w:pPr>
      <w:bookmarkStart w:id="125" w:name="_Toc166675194"/>
      <w:r>
        <w:rPr>
          <w:rStyle w:val="CharSectno"/>
        </w:rPr>
        <w:t>86</w:t>
      </w:r>
      <w:r>
        <w:rPr>
          <w:snapToGrid w:val="0"/>
        </w:rPr>
        <w:t>.</w:t>
      </w:r>
      <w:r>
        <w:rPr>
          <w:snapToGrid w:val="0"/>
        </w:rPr>
        <w:tab/>
        <w:t>Lapse of provisional grant of exploration licence</w:t>
      </w:r>
      <w:bookmarkEnd w:id="125"/>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84, the provisional grant lapses.</w:t>
      </w:r>
    </w:p>
    <w:p>
      <w:pPr>
        <w:pStyle w:val="Heading5"/>
        <w:rPr>
          <w:snapToGrid w:val="0"/>
        </w:rPr>
      </w:pPr>
      <w:bookmarkStart w:id="126" w:name="_Toc166675195"/>
      <w:r>
        <w:rPr>
          <w:rStyle w:val="CharSectno"/>
        </w:rPr>
        <w:t>87</w:t>
      </w:r>
      <w:r>
        <w:rPr>
          <w:snapToGrid w:val="0"/>
        </w:rPr>
        <w:t>.</w:t>
      </w:r>
      <w:r>
        <w:rPr>
          <w:snapToGrid w:val="0"/>
        </w:rPr>
        <w:tab/>
        <w:t>Provisional grant to next applicant if grant lapses</w:t>
      </w:r>
      <w:bookmarkEnd w:id="126"/>
      <w:r>
        <w:rPr>
          <w:snapToGrid w:val="0"/>
        </w:rPr>
        <w:t xml:space="preserve"> </w:t>
      </w:r>
    </w:p>
    <w:p>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Subsection"/>
        <w:rPr>
          <w:snapToGrid w:val="0"/>
        </w:rPr>
      </w:pPr>
      <w:r>
        <w:rPr>
          <w:snapToGrid w:val="0"/>
        </w:rPr>
        <w:lastRenderedPageBreak/>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Heading4"/>
        <w:rPr>
          <w:b w:val="0"/>
        </w:rPr>
      </w:pPr>
      <w:bookmarkStart w:id="127" w:name="_Toc166674914"/>
      <w:bookmarkStart w:id="128" w:name="_Toc166675429"/>
      <w:bookmarkStart w:id="129" w:name="_Toc166675196"/>
      <w:r>
        <w:rPr>
          <w:b w:val="0"/>
          <w:snapToGrid w:val="0"/>
        </w:rPr>
        <w:t xml:space="preserve">Division 4 — </w:t>
      </w:r>
      <w:r>
        <w:rPr>
          <w:b w:val="0"/>
        </w:rPr>
        <w:t>Duration of exploration licence</w:t>
      </w:r>
      <w:bookmarkEnd w:id="127"/>
      <w:bookmarkEnd w:id="128"/>
      <w:bookmarkEnd w:id="129"/>
    </w:p>
    <w:p>
      <w:pPr>
        <w:pStyle w:val="Heading5"/>
        <w:rPr>
          <w:snapToGrid w:val="0"/>
        </w:rPr>
      </w:pPr>
      <w:bookmarkStart w:id="130" w:name="_Toc166675197"/>
      <w:r>
        <w:rPr>
          <w:rStyle w:val="CharSectno"/>
        </w:rPr>
        <w:t>88</w:t>
      </w:r>
      <w:r>
        <w:rPr>
          <w:snapToGrid w:val="0"/>
        </w:rPr>
        <w:t>.</w:t>
      </w:r>
      <w:r>
        <w:rPr>
          <w:snapToGrid w:val="0"/>
        </w:rPr>
        <w:tab/>
        <w:t>Initial term of exploration licence</w:t>
      </w:r>
      <w:bookmarkEnd w:id="130"/>
      <w:r>
        <w:rPr>
          <w:snapToGrid w:val="0"/>
        </w:rPr>
        <w:t xml:space="preserve"> </w:t>
      </w:r>
    </w:p>
    <w:p>
      <w:pPr>
        <w:pStyle w:val="Subsection"/>
        <w:rPr>
          <w:snapToGrid w:val="0"/>
        </w:rPr>
      </w:pPr>
      <w:r>
        <w:rPr>
          <w:snapToGrid w:val="0"/>
        </w:rPr>
        <w:tab/>
        <w:t>(1)</w:t>
      </w:r>
      <w:r>
        <w:rPr>
          <w:snapToGrid w:val="0"/>
        </w:rPr>
        <w:tab/>
        <w:t>An exploration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keepNext/>
        <w:keepLines/>
        <w:rPr>
          <w:snapToGrid w:val="0"/>
        </w:rPr>
      </w:pPr>
      <w:r>
        <w:rPr>
          <w:snapToGrid w:val="0"/>
        </w:rPr>
        <w:tab/>
        <w:t>(2)</w:t>
      </w:r>
      <w:r>
        <w:rPr>
          <w:snapToGrid w:val="0"/>
        </w:rPr>
        <w:tab/>
        <w:t>The initial term of an exploration licence ends — </w:t>
      </w:r>
    </w:p>
    <w:p>
      <w:pPr>
        <w:pStyle w:val="Indenta"/>
        <w:keepNext/>
        <w:rPr>
          <w:snapToGrid w:val="0"/>
        </w:rPr>
      </w:pPr>
      <w:r>
        <w:rPr>
          <w:snapToGrid w:val="0"/>
        </w:rPr>
        <w:tab/>
        <w:t>(a)</w:t>
      </w:r>
      <w:r>
        <w:rPr>
          <w:snapToGrid w:val="0"/>
        </w:rPr>
        <w:tab/>
        <w:t>4 years after 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PermNoteHeading"/>
      </w:pPr>
      <w:r>
        <w:tab/>
        <w:t>Note:</w:t>
      </w:r>
    </w:p>
    <w:p>
      <w:pPr>
        <w:pStyle w:val="PermNoteText"/>
      </w:pPr>
      <w:r>
        <w:tab/>
      </w:r>
      <w:r>
        <w:tab/>
      </w:r>
      <w:r>
        <w:rPr>
          <w:snapToGrid w:val="0"/>
        </w:rPr>
        <w:t>The licence may be surrendered at any time (see section 127).</w:t>
      </w:r>
    </w:p>
    <w:p>
      <w:pPr>
        <w:pStyle w:val="Heading5"/>
        <w:rPr>
          <w:snapToGrid w:val="0"/>
        </w:rPr>
      </w:pPr>
      <w:bookmarkStart w:id="131" w:name="_Toc166675198"/>
      <w:r>
        <w:rPr>
          <w:rStyle w:val="CharSectno"/>
        </w:rPr>
        <w:t>89</w:t>
      </w:r>
      <w:r>
        <w:rPr>
          <w:snapToGrid w:val="0"/>
        </w:rPr>
        <w:t>.</w:t>
      </w:r>
      <w:r>
        <w:rPr>
          <w:snapToGrid w:val="0"/>
        </w:rPr>
        <w:tab/>
        <w:t>Term of renewal of exploration licence</w:t>
      </w:r>
      <w:bookmarkEnd w:id="131"/>
      <w:r>
        <w:rPr>
          <w:snapToGrid w:val="0"/>
        </w:rPr>
        <w:t xml:space="preserve"> </w:t>
      </w:r>
    </w:p>
    <w:p>
      <w:pPr>
        <w:pStyle w:val="Subsection"/>
        <w:rPr>
          <w:snapToGrid w:val="0"/>
        </w:rPr>
      </w:pPr>
      <w:r>
        <w:rPr>
          <w:snapToGrid w:val="0"/>
        </w:rPr>
        <w:tab/>
        <w:t>(1)</w:t>
      </w:r>
      <w:r>
        <w:rPr>
          <w:snapToGrid w:val="0"/>
        </w:rPr>
        <w:tab/>
        <w:t>A renewal of an exploration licence comes into force on — </w:t>
      </w:r>
    </w:p>
    <w:p>
      <w:pPr>
        <w:pStyle w:val="Indenta"/>
        <w:rPr>
          <w:snapToGrid w:val="0"/>
        </w:rPr>
      </w:pPr>
      <w:r>
        <w:rPr>
          <w:snapToGrid w:val="0"/>
        </w:rPr>
        <w:tab/>
        <w:t>(a)</w:t>
      </w:r>
      <w:r>
        <w:rPr>
          <w:snapToGrid w:val="0"/>
        </w:rPr>
        <w:tab/>
        <w:t>the day on which the renewal is registered; or</w:t>
      </w:r>
    </w:p>
    <w:p>
      <w:pPr>
        <w:pStyle w:val="Indenta"/>
        <w:keepNext/>
        <w:rPr>
          <w:snapToGrid w:val="0"/>
        </w:rPr>
      </w:pPr>
      <w:r>
        <w:rPr>
          <w:snapToGrid w:val="0"/>
        </w:rPr>
        <w:tab/>
        <w:t>(b)</w:t>
      </w:r>
      <w:r>
        <w:rPr>
          <w:snapToGrid w:val="0"/>
        </w:rPr>
        <w:tab/>
        <w:t>the day on which the previous term of the licence expires,</w:t>
      </w:r>
    </w:p>
    <w:p>
      <w:pPr>
        <w:pStyle w:val="Subsection"/>
        <w:keepNext/>
        <w:keepLines/>
        <w:spacing w:before="120"/>
        <w:rPr>
          <w:snapToGrid w:val="0"/>
        </w:rPr>
      </w:pPr>
      <w:r>
        <w:rPr>
          <w:snapToGrid w:val="0"/>
        </w:rPr>
        <w:tab/>
      </w:r>
      <w:r>
        <w:rPr>
          <w:snapToGrid w:val="0"/>
        </w:rPr>
        <w:tab/>
        <w:t>whichever is the later.</w:t>
      </w:r>
    </w:p>
    <w:p>
      <w:pPr>
        <w:pStyle w:val="PermNoteHeading"/>
      </w:pPr>
      <w:r>
        <w:tab/>
        <w:t>Note:</w:t>
      </w:r>
    </w:p>
    <w:p>
      <w:pPr>
        <w:pStyle w:val="PermNoteText"/>
      </w:pPr>
      <w:r>
        <w:tab/>
      </w:r>
      <w:r>
        <w:tab/>
        <w:t>See Division 6 for renewal.</w:t>
      </w:r>
    </w:p>
    <w:p>
      <w:pPr>
        <w:pStyle w:val="Subsection"/>
        <w:rPr>
          <w:snapToGrid w:val="0"/>
        </w:rPr>
      </w:pPr>
      <w:r>
        <w:rPr>
          <w:snapToGrid w:val="0"/>
        </w:rPr>
        <w:tab/>
        <w:t>(2)</w:t>
      </w:r>
      <w:r>
        <w:rPr>
          <w:snapToGrid w:val="0"/>
        </w:rPr>
        <w:tab/>
        <w:t>The term of a renewal of a licence ends 2 years after the day on which the previous term of the licence expires.</w:t>
      </w:r>
    </w:p>
    <w:p>
      <w:pPr>
        <w:pStyle w:val="PermNoteHeading"/>
      </w:pPr>
      <w:r>
        <w:lastRenderedPageBreak/>
        <w:tab/>
        <w:t>Note:</w:t>
      </w:r>
    </w:p>
    <w:p>
      <w:pPr>
        <w:pStyle w:val="PermNoteText"/>
      </w:pPr>
      <w:r>
        <w:tab/>
      </w:r>
      <w:r>
        <w:tab/>
        <w:t>The licence may be surrendered at any time (see section 127).</w:t>
      </w:r>
    </w:p>
    <w:p>
      <w:pPr>
        <w:pStyle w:val="Subsection"/>
        <w:rPr>
          <w:snapToGrid w:val="0"/>
        </w:rPr>
      </w:pPr>
      <w:r>
        <w:rPr>
          <w:snapToGrid w:val="0"/>
        </w:rPr>
        <w:tab/>
        <w:t>(3)</w:t>
      </w:r>
      <w:r>
        <w:rPr>
          <w:snapToGrid w:val="0"/>
        </w:rPr>
        <w:tab/>
        <w:t>In working out the previous term of the licence, section 90 is to be disregarded.</w:t>
      </w:r>
    </w:p>
    <w:p>
      <w:pPr>
        <w:pStyle w:val="Subsection"/>
        <w:rPr>
          <w:snapToGrid w:val="0"/>
        </w:rPr>
      </w:pPr>
      <w:r>
        <w:rPr>
          <w:snapToGrid w:val="0"/>
        </w:rPr>
        <w:tab/>
        <w:t>(4)</w:t>
      </w:r>
      <w:r>
        <w:rPr>
          <w:snapToGrid w:val="0"/>
        </w:rPr>
        <w:tab/>
        <w:t>An exploration licence is not to be renewed more than 3 times.</w:t>
      </w:r>
    </w:p>
    <w:p>
      <w:pPr>
        <w:pStyle w:val="Heading5"/>
        <w:rPr>
          <w:snapToGrid w:val="0"/>
        </w:rPr>
      </w:pPr>
      <w:bookmarkStart w:id="132" w:name="_Toc166675199"/>
      <w:r>
        <w:rPr>
          <w:rStyle w:val="CharSectno"/>
        </w:rPr>
        <w:t>90</w:t>
      </w:r>
      <w:r>
        <w:rPr>
          <w:snapToGrid w:val="0"/>
        </w:rPr>
        <w:t>.</w:t>
      </w:r>
      <w:r>
        <w:rPr>
          <w:snapToGrid w:val="0"/>
        </w:rPr>
        <w:tab/>
        <w:t>Effect of suspension of rights on term of exploration licence</w:t>
      </w:r>
      <w:bookmarkEnd w:id="132"/>
      <w:r>
        <w:rPr>
          <w:snapToGrid w:val="0"/>
        </w:rPr>
        <w:t xml:space="preserve"> </w:t>
      </w:r>
    </w:p>
    <w:p>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Subsection"/>
        <w:rPr>
          <w:snapToGrid w:val="0"/>
        </w:rPr>
      </w:pPr>
      <w:r>
        <w:rPr>
          <w:snapToGrid w:val="0"/>
        </w:rPr>
        <w:tab/>
        <w:t>(2)</w:t>
      </w:r>
      <w:r>
        <w:rPr>
          <w:snapToGrid w:val="0"/>
        </w:rPr>
        <w:tab/>
        <w:t>An extension of a licence term under subsection (1) — </w:t>
      </w:r>
    </w:p>
    <w:p>
      <w:pPr>
        <w:pStyle w:val="Indenta"/>
        <w:rPr>
          <w:snapToGrid w:val="0"/>
        </w:rPr>
      </w:pPr>
      <w:r>
        <w:rPr>
          <w:snapToGrid w:val="0"/>
        </w:rPr>
        <w:tab/>
        <w:t>(a)</w:t>
      </w:r>
      <w:r>
        <w:rPr>
          <w:snapToGrid w:val="0"/>
        </w:rPr>
        <w:tab/>
        <w:t>must not be for a period that is longer than the period for which the licence rights were suspended; and</w:t>
      </w:r>
    </w:p>
    <w:p>
      <w:pPr>
        <w:pStyle w:val="Indenta"/>
        <w:rPr>
          <w:snapToGrid w:val="0"/>
        </w:rPr>
      </w:pPr>
      <w:r>
        <w:rPr>
          <w:snapToGrid w:val="0"/>
        </w:rPr>
        <w:tab/>
        <w:t>(b)</w:t>
      </w:r>
      <w:r>
        <w:rPr>
          <w:snapToGrid w:val="0"/>
        </w:rPr>
        <w:tab/>
        <w:t>must be in writing.</w:t>
      </w:r>
    </w:p>
    <w:p>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Indenta"/>
        <w:keepNext/>
        <w:rPr>
          <w:snapToGrid w:val="0"/>
        </w:rPr>
      </w:pPr>
      <w:r>
        <w:rPr>
          <w:snapToGrid w:val="0"/>
        </w:rPr>
        <w:tab/>
        <w:t>(a)</w:t>
      </w:r>
      <w:r>
        <w:rPr>
          <w:snapToGrid w:val="0"/>
        </w:rPr>
        <w:tab/>
        <w:t>that the licence has been extended; and</w:t>
      </w:r>
    </w:p>
    <w:p>
      <w:pPr>
        <w:pStyle w:val="Indenta"/>
        <w:rPr>
          <w:snapToGrid w:val="0"/>
        </w:rPr>
      </w:pPr>
      <w:r>
        <w:rPr>
          <w:snapToGrid w:val="0"/>
        </w:rPr>
        <w:tab/>
        <w:t>(b)</w:t>
      </w:r>
      <w:r>
        <w:rPr>
          <w:snapToGrid w:val="0"/>
        </w:rPr>
        <w:tab/>
        <w:t>of the period of the extension.</w:t>
      </w:r>
    </w:p>
    <w:p>
      <w:pPr>
        <w:pStyle w:val="Heading5"/>
        <w:rPr>
          <w:snapToGrid w:val="0"/>
        </w:rPr>
      </w:pPr>
      <w:bookmarkStart w:id="133" w:name="_Toc166675200"/>
      <w:r>
        <w:rPr>
          <w:rStyle w:val="CharSectno"/>
        </w:rPr>
        <w:t>91</w:t>
      </w:r>
      <w:r>
        <w:rPr>
          <w:snapToGrid w:val="0"/>
        </w:rPr>
        <w:t>.</w:t>
      </w:r>
      <w:r>
        <w:rPr>
          <w:snapToGrid w:val="0"/>
        </w:rPr>
        <w:tab/>
        <w:t>Effect of application for renewal on term of exploration licence</w:t>
      </w:r>
      <w:bookmarkEnd w:id="133"/>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an exploration licence holder applies to renew the licence under section 101;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lastRenderedPageBreak/>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5"/>
        <w:spacing w:before="180"/>
        <w:rPr>
          <w:snapToGrid w:val="0"/>
        </w:rPr>
      </w:pPr>
      <w:bookmarkStart w:id="134" w:name="_Toc166675201"/>
      <w:r>
        <w:rPr>
          <w:rStyle w:val="CharSectno"/>
        </w:rPr>
        <w:t>92</w:t>
      </w:r>
      <w:r>
        <w:rPr>
          <w:snapToGrid w:val="0"/>
        </w:rPr>
        <w:t>.</w:t>
      </w:r>
      <w:r>
        <w:rPr>
          <w:snapToGrid w:val="0"/>
        </w:rPr>
        <w:tab/>
        <w:t>Effect of application for retention licence or mining licence on term of exploration licence</w:t>
      </w:r>
      <w:bookmarkEnd w:id="134"/>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holder applies for — </w:t>
      </w:r>
    </w:p>
    <w:p>
      <w:pPr>
        <w:pStyle w:val="Indenti"/>
        <w:rPr>
          <w:snapToGrid w:val="0"/>
        </w:rPr>
      </w:pPr>
      <w:r>
        <w:rPr>
          <w:snapToGrid w:val="0"/>
        </w:rPr>
        <w:tab/>
        <w:t>(i)</w:t>
      </w:r>
      <w:r>
        <w:rPr>
          <w:snapToGrid w:val="0"/>
        </w:rPr>
        <w:tab/>
        <w:t>a retention licence (see section 137); or</w:t>
      </w:r>
    </w:p>
    <w:p>
      <w:pPr>
        <w:pStyle w:val="Indenti"/>
        <w:rPr>
          <w:snapToGrid w:val="0"/>
        </w:rPr>
      </w:pPr>
      <w:r>
        <w:rPr>
          <w:snapToGrid w:val="0"/>
        </w:rPr>
        <w:tab/>
        <w:t>(ii)</w:t>
      </w:r>
      <w:r>
        <w:rPr>
          <w:snapToGrid w:val="0"/>
        </w:rPr>
        <w:tab/>
        <w:t>a mining licence (see section 198),</w:t>
      </w:r>
    </w:p>
    <w:p>
      <w:pPr>
        <w:pStyle w:val="Indenta"/>
        <w:rPr>
          <w:snapToGrid w:val="0"/>
        </w:rPr>
      </w:pPr>
      <w:r>
        <w:rPr>
          <w:snapToGrid w:val="0"/>
        </w:rPr>
        <w:tab/>
      </w:r>
      <w:r>
        <w:rPr>
          <w:snapToGrid w:val="0"/>
        </w:rPr>
        <w:tab/>
        <w:t>over the licence area, or part of the licence area, of the exploration licence; and</w:t>
      </w:r>
    </w:p>
    <w:p>
      <w:pPr>
        <w:pStyle w:val="Indenta"/>
        <w:rPr>
          <w:snapToGrid w:val="0"/>
        </w:rPr>
      </w:pPr>
      <w:r>
        <w:rPr>
          <w:snapToGrid w:val="0"/>
        </w:rPr>
        <w:tab/>
        <w:t>(b)</w:t>
      </w:r>
      <w:r>
        <w:rPr>
          <w:snapToGrid w:val="0"/>
        </w:rPr>
        <w:tab/>
        <w:t>the current term of the exploration licence expires; and</w:t>
      </w:r>
    </w:p>
    <w:p>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pPr>
        <w:pStyle w:val="Subsection"/>
        <w:spacing w:before="120"/>
        <w:rPr>
          <w:snapToGrid w:val="0"/>
        </w:rPr>
      </w:pPr>
      <w:r>
        <w:rPr>
          <w:snapToGrid w:val="0"/>
        </w:rPr>
        <w:tab/>
      </w:r>
      <w:r>
        <w:rPr>
          <w:snapToGrid w:val="0"/>
        </w:rPr>
        <w:tab/>
        <w:t>the exploration licence remains in force until — </w:t>
      </w:r>
    </w:p>
    <w:p>
      <w:pPr>
        <w:pStyle w:val="Indenta"/>
        <w:keepNext/>
        <w:rPr>
          <w:snapToGrid w:val="0"/>
        </w:rPr>
      </w:pPr>
      <w:r>
        <w:rPr>
          <w:snapToGrid w:val="0"/>
        </w:rPr>
        <w:tab/>
        <w:t>(d)</w:t>
      </w:r>
      <w:r>
        <w:rPr>
          <w:snapToGrid w:val="0"/>
        </w:rPr>
        <w:tab/>
        <w:t>the grant of the retention licence or mining licence takes effect; or</w:t>
      </w:r>
    </w:p>
    <w:p>
      <w:pPr>
        <w:pStyle w:val="Indenta"/>
        <w:rPr>
          <w:snapToGrid w:val="0"/>
        </w:rPr>
      </w:pPr>
      <w:r>
        <w:rPr>
          <w:snapToGrid w:val="0"/>
        </w:rPr>
        <w:tab/>
        <w:t>(e)</w:t>
      </w:r>
      <w:r>
        <w:rPr>
          <w:snapToGrid w:val="0"/>
        </w:rPr>
        <w:tab/>
        <w:t>a provisional grant of the retention licence or mining licence lapses; or</w:t>
      </w:r>
    </w:p>
    <w:p>
      <w:pPr>
        <w:pStyle w:val="Indenta"/>
        <w:rPr>
          <w:snapToGrid w:val="0"/>
        </w:rPr>
      </w:pPr>
      <w:r>
        <w:rPr>
          <w:snapToGrid w:val="0"/>
        </w:rPr>
        <w:tab/>
        <w:t>(f)</w:t>
      </w:r>
      <w:r>
        <w:rPr>
          <w:snapToGrid w:val="0"/>
        </w:rPr>
        <w:tab/>
        <w:t>the application for the retention licence or mining licence is withdrawn or refused.</w:t>
      </w:r>
    </w:p>
    <w:p>
      <w:pPr>
        <w:pStyle w:val="Heading5"/>
        <w:spacing w:before="180"/>
        <w:rPr>
          <w:snapToGrid w:val="0"/>
        </w:rPr>
      </w:pPr>
      <w:bookmarkStart w:id="135" w:name="_Toc166675203"/>
      <w:r>
        <w:rPr>
          <w:rStyle w:val="CharSectno"/>
        </w:rPr>
        <w:t>93</w:t>
      </w:r>
      <w:r>
        <w:rPr>
          <w:snapToGrid w:val="0"/>
        </w:rPr>
        <w:t>.</w:t>
      </w:r>
      <w:r>
        <w:rPr>
          <w:snapToGrid w:val="0"/>
        </w:rPr>
        <w:tab/>
        <w:t>Effect of application for extension on term of licence</w:t>
      </w:r>
      <w:bookmarkEnd w:id="135"/>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pPr>
        <w:pStyle w:val="Indenta"/>
        <w:spacing w:before="60"/>
        <w:rPr>
          <w:snapToGrid w:val="0"/>
        </w:rPr>
      </w:pPr>
      <w:r>
        <w:rPr>
          <w:snapToGrid w:val="0"/>
        </w:rPr>
        <w:tab/>
        <w:t>(b)</w:t>
      </w:r>
      <w:r>
        <w:rPr>
          <w:snapToGrid w:val="0"/>
        </w:rPr>
        <w:tab/>
        <w:t>the holder has also applied to renew the licence under section 101; and</w:t>
      </w:r>
    </w:p>
    <w:p>
      <w:pPr>
        <w:pStyle w:val="Indenta"/>
        <w:spacing w:before="60"/>
        <w:rPr>
          <w:snapToGrid w:val="0"/>
        </w:rPr>
      </w:pPr>
      <w:r>
        <w:rPr>
          <w:snapToGrid w:val="0"/>
        </w:rPr>
        <w:tab/>
        <w:t>(c)</w:t>
      </w:r>
      <w:r>
        <w:rPr>
          <w:snapToGrid w:val="0"/>
        </w:rPr>
        <w:tab/>
        <w:t>the extension application is not decided before the licence is due to expire,</w:t>
      </w:r>
    </w:p>
    <w:p>
      <w:pPr>
        <w:pStyle w:val="Subsection"/>
        <w:spacing w:before="80"/>
        <w:rPr>
          <w:snapToGrid w:val="0"/>
        </w:rPr>
      </w:pPr>
      <w:r>
        <w:rPr>
          <w:snapToGrid w:val="0"/>
        </w:rPr>
        <w:tab/>
      </w:r>
      <w:r>
        <w:rPr>
          <w:snapToGrid w:val="0"/>
        </w:rPr>
        <w:tab/>
        <w:t>then — </w:t>
      </w:r>
    </w:p>
    <w:p>
      <w:pPr>
        <w:pStyle w:val="Indenta"/>
        <w:rPr>
          <w:snapToGrid w:val="0"/>
        </w:rPr>
      </w:pPr>
      <w:r>
        <w:rPr>
          <w:snapToGrid w:val="0"/>
        </w:rPr>
        <w:lastRenderedPageBreak/>
        <w:tab/>
        <w:t>(d)</w:t>
      </w:r>
      <w:r>
        <w:rPr>
          <w:snapToGrid w:val="0"/>
        </w:rPr>
        <w:tab/>
        <w:t>the renewal application lapses; and</w:t>
      </w:r>
    </w:p>
    <w:p>
      <w:pPr>
        <w:pStyle w:val="Indenta"/>
        <w:rPr>
          <w:snapToGrid w:val="0"/>
        </w:rPr>
      </w:pPr>
      <w:r>
        <w:rPr>
          <w:snapToGrid w:val="0"/>
        </w:rPr>
        <w:tab/>
        <w:t>(e)</w:t>
      </w:r>
      <w:r>
        <w:rPr>
          <w:snapToGrid w:val="0"/>
        </w:rPr>
        <w:tab/>
        <w:t>the licence remains in force until — </w:t>
      </w:r>
    </w:p>
    <w:p>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Heading5"/>
        <w:rPr>
          <w:snapToGrid w:val="0"/>
        </w:rPr>
      </w:pPr>
      <w:bookmarkStart w:id="136" w:name="_Toc166675204"/>
      <w:r>
        <w:rPr>
          <w:rStyle w:val="CharSectno"/>
        </w:rPr>
        <w:t>94</w:t>
      </w:r>
      <w:r>
        <w:rPr>
          <w:snapToGrid w:val="0"/>
        </w:rPr>
        <w:t>.</w:t>
      </w:r>
      <w:r>
        <w:rPr>
          <w:snapToGrid w:val="0"/>
        </w:rPr>
        <w:tab/>
        <w:t>Extension of licence — activities disrupted</w:t>
      </w:r>
      <w:bookmarkEnd w:id="136"/>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an exploration licence authorises the licence holder to carry out an activity; and</w:t>
      </w:r>
    </w:p>
    <w:p>
      <w:pPr>
        <w:pStyle w:val="Indenta"/>
        <w:rPr>
          <w:snapToGrid w:val="0"/>
        </w:rPr>
      </w:pPr>
      <w:r>
        <w:rPr>
          <w:snapToGrid w:val="0"/>
        </w:rPr>
        <w:tab/>
        <w:t>(b)</w:t>
      </w:r>
      <w:r>
        <w:rPr>
          <w:snapToGrid w:val="0"/>
        </w:rPr>
        <w:tab/>
        <w:t>circumstances beyond the control of the holder prevent the holder from carrying out the activity,</w:t>
      </w:r>
    </w:p>
    <w:p>
      <w:pPr>
        <w:pStyle w:val="Subsection"/>
        <w:rPr>
          <w:snapToGrid w:val="0"/>
        </w:rPr>
      </w:pPr>
      <w:r>
        <w:rPr>
          <w:snapToGrid w:val="0"/>
        </w:rPr>
        <w:tab/>
      </w:r>
      <w:r>
        <w:rPr>
          <w:snapToGrid w:val="0"/>
        </w:rPr>
        <w:tab/>
        <w:t>the holder may apply to the Minister for an extension of the term of the licence.</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within 30 days after the day on which the holder first became aware of the circumstances; and</w:t>
      </w:r>
    </w:p>
    <w:p>
      <w:pPr>
        <w:pStyle w:val="Indenta"/>
        <w:rPr>
          <w:snapToGrid w:val="0"/>
        </w:rPr>
      </w:pPr>
      <w:r>
        <w:rPr>
          <w:snapToGrid w:val="0"/>
        </w:rPr>
        <w:tab/>
        <w:t>(b)</w:t>
      </w:r>
      <w:r>
        <w:rPr>
          <w:snapToGrid w:val="0"/>
        </w:rPr>
        <w:tab/>
        <w:t>before the licence expires.</w:t>
      </w:r>
    </w:p>
    <w:p>
      <w:pPr>
        <w:pStyle w:val="Heading5"/>
        <w:rPr>
          <w:snapToGrid w:val="0"/>
        </w:rPr>
      </w:pPr>
      <w:bookmarkStart w:id="137" w:name="_Toc166675205"/>
      <w:r>
        <w:rPr>
          <w:rStyle w:val="CharSectno"/>
        </w:rPr>
        <w:t>95</w:t>
      </w:r>
      <w:r>
        <w:rPr>
          <w:snapToGrid w:val="0"/>
        </w:rPr>
        <w:t>.</w:t>
      </w:r>
      <w:r>
        <w:rPr>
          <w:snapToGrid w:val="0"/>
        </w:rPr>
        <w:tab/>
        <w:t>Grant of licence extension — activities disrupted</w:t>
      </w:r>
      <w:bookmarkEnd w:id="137"/>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94, the Minister — </w:t>
      </w:r>
    </w:p>
    <w:p>
      <w:pPr>
        <w:pStyle w:val="Indenta"/>
        <w:rPr>
          <w:snapToGrid w:val="0"/>
        </w:rPr>
      </w:pPr>
      <w:r>
        <w:rPr>
          <w:snapToGrid w:val="0"/>
        </w:rPr>
        <w:tab/>
        <w:t>(a)</w:t>
      </w:r>
      <w:r>
        <w:rPr>
          <w:snapToGrid w:val="0"/>
        </w:rPr>
        <w:tab/>
        <w:t>must grant an extension of the term of the licence if the Minister is satisfied that — </w:t>
      </w:r>
    </w:p>
    <w:p>
      <w:pPr>
        <w:pStyle w:val="Indenti"/>
        <w:rPr>
          <w:snapToGrid w:val="0"/>
        </w:rPr>
      </w:pPr>
      <w:r>
        <w:rPr>
          <w:snapToGrid w:val="0"/>
        </w:rPr>
        <w:tab/>
        <w:t>(i)</w:t>
      </w:r>
      <w:r>
        <w:rPr>
          <w:snapToGrid w:val="0"/>
        </w:rPr>
        <w:tab/>
        <w:t>the holder is or has been unable to carry out the activities authorised by the licence; and</w:t>
      </w:r>
    </w:p>
    <w:p>
      <w:pPr>
        <w:pStyle w:val="Indenti"/>
        <w:rPr>
          <w:snapToGrid w:val="0"/>
        </w:rPr>
      </w:pPr>
      <w:r>
        <w:rPr>
          <w:snapToGrid w:val="0"/>
        </w:rPr>
        <w:lastRenderedPageBreak/>
        <w:tab/>
        <w:t>(ii)</w:t>
      </w:r>
      <w:r>
        <w:rPr>
          <w:snapToGrid w:val="0"/>
        </w:rPr>
        <w:tab/>
        <w:t>the holder is or has been unable to do so because of circumstances beyond the holder’s control; and</w:t>
      </w:r>
    </w:p>
    <w:p>
      <w:pPr>
        <w:pStyle w:val="Indenti"/>
        <w:rPr>
          <w:snapToGrid w:val="0"/>
        </w:rPr>
      </w:pPr>
      <w:r>
        <w:rPr>
          <w:snapToGrid w:val="0"/>
        </w:rPr>
        <w:tab/>
        <w:t>(iii)</w:t>
      </w:r>
      <w:r>
        <w:rPr>
          <w:snapToGrid w:val="0"/>
        </w:rPr>
        <w:tab/>
        <w:t>no excluded time is included in the period of inability for which an extension is sought;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refuse the application for extension if the Minister is not satisfied of the matters referred to in paragraph (a).</w:t>
      </w:r>
    </w:p>
    <w:p>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Subsection"/>
        <w:rPr>
          <w:snapToGrid w:val="0"/>
        </w:rPr>
      </w:pPr>
      <w:r>
        <w:rPr>
          <w:snapToGrid w:val="0"/>
        </w:rPr>
        <w:tab/>
        <w:t>(3)</w:t>
      </w:r>
      <w:r>
        <w:rPr>
          <w:snapToGrid w:val="0"/>
        </w:rPr>
        <w:tab/>
        <w:t>The extension may be granted subject to whatever conditions the Minister thinks appropriate.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pPr>
        <w:pStyle w:val="Defstart"/>
      </w:pPr>
      <w:r>
        <w:rPr>
          <w:b/>
        </w:rPr>
        <w:tab/>
      </w:r>
      <w:r>
        <w:rPr>
          <w:rStyle w:val="CharDefText"/>
        </w:rPr>
        <w:t>excluded time</w:t>
      </w:r>
      <w:r>
        <w:t xml:space="preserve"> for a licence means any period during which the licence was in force because of section 90, 91, 92 or 93.</w:t>
      </w:r>
    </w:p>
    <w:p>
      <w:pPr>
        <w:pStyle w:val="PermNoteHeading"/>
      </w:pPr>
      <w:r>
        <w:tab/>
        <w:t>Note:</w:t>
      </w:r>
    </w:p>
    <w:p>
      <w:pPr>
        <w:pStyle w:val="PermNoteText"/>
      </w:pPr>
      <w:r>
        <w:tab/>
      </w:r>
      <w:r>
        <w:tab/>
      </w:r>
      <w:r>
        <w:rPr>
          <w:snapToGrid w:val="0"/>
        </w:rPr>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Heading5"/>
        <w:rPr>
          <w:snapToGrid w:val="0"/>
        </w:rPr>
      </w:pPr>
      <w:bookmarkStart w:id="138" w:name="_Toc166675206"/>
      <w:r>
        <w:rPr>
          <w:rStyle w:val="CharSectno"/>
        </w:rPr>
        <w:lastRenderedPageBreak/>
        <w:t>96</w:t>
      </w:r>
      <w:r>
        <w:rPr>
          <w:snapToGrid w:val="0"/>
        </w:rPr>
        <w:t>.</w:t>
      </w:r>
      <w:r>
        <w:rPr>
          <w:snapToGrid w:val="0"/>
        </w:rPr>
        <w:tab/>
        <w:t>Extension of licence — other circumstances</w:t>
      </w:r>
      <w:bookmarkEnd w:id="138"/>
      <w:r>
        <w:rPr>
          <w:snapToGrid w:val="0"/>
        </w:rPr>
        <w:t xml:space="preserve"> </w:t>
      </w:r>
    </w:p>
    <w:p>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holder from complying with a licence condition.</w:t>
      </w:r>
    </w:p>
    <w:p>
      <w:pPr>
        <w:pStyle w:val="Subsection"/>
        <w:rPr>
          <w:snapToGrid w:val="0"/>
        </w:rPr>
      </w:pPr>
      <w:r>
        <w:rPr>
          <w:snapToGrid w:val="0"/>
        </w:rPr>
        <w:tab/>
        <w:t>(2)</w:t>
      </w:r>
      <w:r>
        <w:rPr>
          <w:snapToGrid w:val="0"/>
        </w:rPr>
        <w:tab/>
        <w:t>The application must be made not later than 30 days before the licence expires.</w:t>
      </w:r>
    </w:p>
    <w:p>
      <w:pPr>
        <w:pStyle w:val="Heading5"/>
        <w:rPr>
          <w:snapToGrid w:val="0"/>
        </w:rPr>
      </w:pPr>
      <w:bookmarkStart w:id="139" w:name="_Toc166675207"/>
      <w:r>
        <w:rPr>
          <w:rStyle w:val="CharSectno"/>
        </w:rPr>
        <w:t>97</w:t>
      </w:r>
      <w:r>
        <w:rPr>
          <w:snapToGrid w:val="0"/>
        </w:rPr>
        <w:t>.</w:t>
      </w:r>
      <w:r>
        <w:rPr>
          <w:snapToGrid w:val="0"/>
        </w:rPr>
        <w:tab/>
        <w:t>Grant of licence extension — other circumstances</w:t>
      </w:r>
      <w:bookmarkEnd w:id="139"/>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96, the Minister — </w:t>
      </w:r>
    </w:p>
    <w:p>
      <w:pPr>
        <w:pStyle w:val="Indenta"/>
        <w:rPr>
          <w:snapToGrid w:val="0"/>
        </w:rPr>
      </w:pPr>
      <w:r>
        <w:rPr>
          <w:snapToGrid w:val="0"/>
        </w:rPr>
        <w:tab/>
        <w:t>(a)</w:t>
      </w:r>
      <w:r>
        <w:rPr>
          <w:snapToGrid w:val="0"/>
        </w:rPr>
        <w:tab/>
        <w:t>may grant an extension of the term of the licence; or</w:t>
      </w:r>
    </w:p>
    <w:p>
      <w:pPr>
        <w:pStyle w:val="Indenta"/>
        <w:rPr>
          <w:snapToGrid w:val="0"/>
        </w:rPr>
      </w:pPr>
      <w:r>
        <w:rPr>
          <w:snapToGrid w:val="0"/>
        </w:rPr>
        <w:tab/>
        <w:t>(b)</w:t>
      </w:r>
      <w:r>
        <w:rPr>
          <w:snapToGrid w:val="0"/>
        </w:rPr>
        <w:tab/>
        <w:t>may refuse to grant an extension of the term of the licence.</w:t>
      </w:r>
    </w:p>
    <w:p>
      <w:pPr>
        <w:pStyle w:val="Subsection"/>
        <w:rPr>
          <w:snapToGrid w:val="0"/>
        </w:rPr>
      </w:pPr>
      <w:r>
        <w:rPr>
          <w:snapToGrid w:val="0"/>
        </w:rPr>
        <w:tab/>
        <w:t>(2)</w:t>
      </w:r>
      <w:r>
        <w:rPr>
          <w:snapToGrid w:val="0"/>
        </w:rPr>
        <w:tab/>
        <w:t>The extension must not be for a period that is longer than the period of the suspension or exemption.</w:t>
      </w:r>
    </w:p>
    <w:p>
      <w:pPr>
        <w:pStyle w:val="Subsection"/>
        <w:rPr>
          <w:snapToGrid w:val="0"/>
        </w:rPr>
      </w:pPr>
      <w:r>
        <w:rPr>
          <w:snapToGrid w:val="0"/>
        </w:rPr>
        <w:tab/>
        <w:t>(3)</w:t>
      </w:r>
      <w:r>
        <w:rPr>
          <w:snapToGrid w:val="0"/>
        </w:rPr>
        <w:tab/>
        <w:t>The extension may be granted subject to whatever conditions the Minister thinks appropriate.</w:t>
      </w:r>
    </w:p>
    <w:p>
      <w:pPr>
        <w:pStyle w:val="Heading5"/>
        <w:rPr>
          <w:snapToGrid w:val="0"/>
        </w:rPr>
      </w:pPr>
      <w:bookmarkStart w:id="140" w:name="_Toc166675208"/>
      <w:r>
        <w:rPr>
          <w:rStyle w:val="CharSectno"/>
        </w:rPr>
        <w:t>98</w:t>
      </w:r>
      <w:r>
        <w:rPr>
          <w:snapToGrid w:val="0"/>
        </w:rPr>
        <w:t>.</w:t>
      </w:r>
      <w:r>
        <w:rPr>
          <w:snapToGrid w:val="0"/>
        </w:rPr>
        <w:tab/>
        <w:t>Notification of decision</w:t>
      </w:r>
      <w:bookmarkEnd w:id="140"/>
      <w:r>
        <w:rPr>
          <w:snapToGrid w:val="0"/>
        </w:rPr>
        <w:t xml:space="preserve"> </w:t>
      </w:r>
    </w:p>
    <w:p>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Indenta"/>
        <w:rPr>
          <w:snapToGrid w:val="0"/>
        </w:rPr>
      </w:pPr>
      <w:r>
        <w:rPr>
          <w:snapToGrid w:val="0"/>
        </w:rPr>
        <w:tab/>
        <w:t>(a)</w:t>
      </w:r>
      <w:r>
        <w:rPr>
          <w:snapToGrid w:val="0"/>
        </w:rPr>
        <w:tab/>
        <w:t>the grant of extension; and</w:t>
      </w:r>
    </w:p>
    <w:p>
      <w:pPr>
        <w:pStyle w:val="Indenta"/>
        <w:rPr>
          <w:snapToGrid w:val="0"/>
        </w:rPr>
      </w:pPr>
      <w:r>
        <w:rPr>
          <w:snapToGrid w:val="0"/>
        </w:rPr>
        <w:tab/>
        <w:t>(b)</w:t>
      </w:r>
      <w:r>
        <w:rPr>
          <w:snapToGrid w:val="0"/>
        </w:rPr>
        <w:tab/>
        <w:t>the period of the extension; and</w:t>
      </w:r>
    </w:p>
    <w:p>
      <w:pPr>
        <w:pStyle w:val="Indenta"/>
        <w:rPr>
          <w:snapToGrid w:val="0"/>
        </w:rPr>
      </w:pPr>
      <w:r>
        <w:rPr>
          <w:snapToGrid w:val="0"/>
        </w:rPr>
        <w:tab/>
        <w:t>(c)</w:t>
      </w:r>
      <w:r>
        <w:rPr>
          <w:snapToGrid w:val="0"/>
        </w:rPr>
        <w:tab/>
        <w:t>if the extension is subject to conditions, the conditions.</w:t>
      </w:r>
    </w:p>
    <w:p>
      <w:pPr>
        <w:pStyle w:val="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Indenta"/>
        <w:rPr>
          <w:snapToGrid w:val="0"/>
        </w:rPr>
      </w:pPr>
      <w:r>
        <w:rPr>
          <w:snapToGrid w:val="0"/>
        </w:rPr>
        <w:lastRenderedPageBreak/>
        <w:tab/>
        <w:t>(a)</w:t>
      </w:r>
      <w:r>
        <w:rPr>
          <w:snapToGrid w:val="0"/>
        </w:rPr>
        <w:tab/>
        <w:t>the refusal; and</w:t>
      </w:r>
    </w:p>
    <w:p>
      <w:pPr>
        <w:pStyle w:val="Indenta"/>
        <w:rPr>
          <w:snapToGrid w:val="0"/>
        </w:rPr>
      </w:pPr>
      <w:r>
        <w:rPr>
          <w:snapToGrid w:val="0"/>
        </w:rPr>
        <w:tab/>
        <w:t>(b)</w:t>
      </w:r>
      <w:r>
        <w:rPr>
          <w:snapToGrid w:val="0"/>
        </w:rPr>
        <w:tab/>
        <w:t>the reasons for the refusal.</w:t>
      </w:r>
    </w:p>
    <w:p>
      <w:pPr>
        <w:pStyle w:val="Heading4"/>
        <w:rPr>
          <w:b w:val="0"/>
        </w:rPr>
      </w:pPr>
      <w:bookmarkStart w:id="141" w:name="_Toc166674926"/>
      <w:bookmarkStart w:id="142" w:name="_Toc166675441"/>
      <w:bookmarkStart w:id="143" w:name="_Toc166675209"/>
      <w:r>
        <w:rPr>
          <w:b w:val="0"/>
          <w:snapToGrid w:val="0"/>
        </w:rPr>
        <w:t>Division 5 — Voluntary surrender of part of exploration licence area</w:t>
      </w:r>
      <w:bookmarkEnd w:id="141"/>
      <w:bookmarkEnd w:id="142"/>
      <w:bookmarkEnd w:id="143"/>
    </w:p>
    <w:p>
      <w:pPr>
        <w:pStyle w:val="Heading5"/>
        <w:rPr>
          <w:snapToGrid w:val="0"/>
        </w:rPr>
      </w:pPr>
      <w:bookmarkStart w:id="144" w:name="_Toc166675210"/>
      <w:r>
        <w:rPr>
          <w:rStyle w:val="CharSectno"/>
        </w:rPr>
        <w:t>99</w:t>
      </w:r>
      <w:r>
        <w:rPr>
          <w:snapToGrid w:val="0"/>
        </w:rPr>
        <w:t>.</w:t>
      </w:r>
      <w:r>
        <w:rPr>
          <w:snapToGrid w:val="0"/>
        </w:rPr>
        <w:tab/>
        <w:t>Voluntary surrender of blocks if discrete area remains</w:t>
      </w:r>
      <w:bookmarkEnd w:id="144"/>
      <w:r>
        <w:rPr>
          <w:snapToGrid w:val="0"/>
        </w:rPr>
        <w:t xml:space="preserve"> </w:t>
      </w:r>
    </w:p>
    <w:p>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PermNoteHeading"/>
      </w:pPr>
      <w:r>
        <w:tab/>
        <w:t>Note:</w:t>
      </w:r>
    </w:p>
    <w:p>
      <w:pPr>
        <w:pStyle w:val="PermNoteText"/>
      </w:pPr>
      <w:r>
        <w:tab/>
      </w:r>
      <w:r>
        <w:tab/>
      </w:r>
      <w:r>
        <w:rPr>
          <w:snapToGrid w:val="0"/>
        </w:rPr>
        <w:t>See section 127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pPr>
      <w:r>
        <w:tab/>
        <w:t>Note:</w:t>
      </w:r>
    </w:p>
    <w:p>
      <w:pPr>
        <w:pStyle w:val="PermNoteText"/>
      </w:pPr>
      <w:r>
        <w:tab/>
      </w:r>
      <w:r>
        <w:tab/>
        <w:t>The surrender takes effect when it is registered under section 337 (see section 337(5)).</w:t>
      </w:r>
    </w:p>
    <w:p>
      <w:pPr>
        <w:pStyle w:val="Heading5"/>
        <w:rPr>
          <w:snapToGrid w:val="0"/>
        </w:rPr>
      </w:pPr>
      <w:bookmarkStart w:id="145" w:name="_Toc166675211"/>
      <w:r>
        <w:rPr>
          <w:rStyle w:val="CharSectno"/>
        </w:rPr>
        <w:t>100</w:t>
      </w:r>
      <w:r>
        <w:rPr>
          <w:snapToGrid w:val="0"/>
        </w:rPr>
        <w:t>.</w:t>
      </w:r>
      <w:r>
        <w:rPr>
          <w:snapToGrid w:val="0"/>
        </w:rPr>
        <w:tab/>
        <w:t>Voluntary surrender of blocks if up to 3 discrete areas remain</w:t>
      </w:r>
      <w:bookmarkEnd w:id="14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wants to surrender some of the blocks covered by the licence; and</w:t>
      </w:r>
    </w:p>
    <w:p>
      <w:pPr>
        <w:pStyle w:val="Indenta"/>
        <w:rPr>
          <w:snapToGrid w:val="0"/>
        </w:rPr>
      </w:pPr>
      <w:r>
        <w:rPr>
          <w:snapToGrid w:val="0"/>
        </w:rPr>
        <w:tab/>
        <w:t>(b)</w:t>
      </w:r>
      <w:r>
        <w:rPr>
          <w:snapToGrid w:val="0"/>
        </w:rPr>
        <w:tab/>
        <w:t>the blocks remaining in the licence area after the proposed surrender would form not more than 3 discrete areas,</w:t>
      </w:r>
    </w:p>
    <w:p>
      <w:pPr>
        <w:pStyle w:val="Subsection"/>
        <w:rPr>
          <w:snapToGrid w:val="0"/>
        </w:rPr>
      </w:pPr>
      <w:r>
        <w:rPr>
          <w:snapToGrid w:val="0"/>
        </w:rPr>
        <w:tab/>
      </w:r>
      <w:r>
        <w:rPr>
          <w:snapToGrid w:val="0"/>
        </w:rPr>
        <w:tab/>
        <w:t>the holder may apply to the Minister for approval of the proposed surrender.</w:t>
      </w:r>
    </w:p>
    <w:p>
      <w:pPr>
        <w:pStyle w:val="Subsection"/>
        <w:keepNext/>
        <w:rPr>
          <w:snapToGrid w:val="0"/>
        </w:rPr>
      </w:pPr>
      <w:r>
        <w:rPr>
          <w:snapToGrid w:val="0"/>
        </w:rPr>
        <w:tab/>
        <w:t>(2)</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lastRenderedPageBreak/>
        <w:tab/>
        <w:t>(b)</w:t>
      </w:r>
      <w:r>
        <w:rPr>
          <w:snapToGrid w:val="0"/>
        </w:rPr>
        <w:tab/>
        <w:t>must include a surrender proposal that identifies the blocks in the licence area that the holder proposes to surrender; and</w:t>
      </w:r>
    </w:p>
    <w:p>
      <w:pPr>
        <w:pStyle w:val="Indenta"/>
        <w:rPr>
          <w:snapToGrid w:val="0"/>
        </w:rPr>
      </w:pPr>
      <w:r>
        <w:rPr>
          <w:snapToGrid w:val="0"/>
        </w:rPr>
        <w:tab/>
        <w:t>(c)</w:t>
      </w:r>
      <w:r>
        <w:rPr>
          <w:snapToGrid w:val="0"/>
        </w:rPr>
        <w:tab/>
        <w:t>may include any other information that the holder thinks is relevant.</w:t>
      </w:r>
    </w:p>
    <w:p>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pStyle w:val="PermNoteHeading"/>
      </w:pPr>
      <w:r>
        <w:tab/>
        <w:t>Note:</w:t>
      </w:r>
    </w:p>
    <w:p>
      <w:pPr>
        <w:pStyle w:val="PermNoteText"/>
      </w:pPr>
      <w:r>
        <w:tab/>
      </w:r>
      <w:r>
        <w:tab/>
        <w:t>The surrender takes effect when it is registered under section 337 (see section 337(5)).</w:t>
      </w:r>
    </w:p>
    <w:p>
      <w:pPr>
        <w:pStyle w:val="Subsection"/>
        <w:rPr>
          <w:snapToGrid w:val="0"/>
        </w:rPr>
      </w:pPr>
      <w:r>
        <w:rPr>
          <w:snapToGrid w:val="0"/>
        </w:rPr>
        <w:tab/>
        <w:t>(4)</w:t>
      </w:r>
      <w:r>
        <w:rPr>
          <w:snapToGrid w:val="0"/>
        </w:rPr>
        <w:tab/>
        <w:t>If the Minister does not agree with the surrender proposal, the Minister may ask the holder to discuss the proposal.</w:t>
      </w:r>
    </w:p>
    <w:p>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pStyle w:val="PermNoteHeading"/>
      </w:pPr>
      <w:r>
        <w:tab/>
        <w:t>Note:</w:t>
      </w:r>
    </w:p>
    <w:p>
      <w:pPr>
        <w:pStyle w:val="PermNoteText"/>
      </w:pPr>
      <w:r>
        <w:tab/>
      </w:r>
      <w:r>
        <w:tab/>
        <w:t>The surrender takes effect when it is registered under section 337 (see section 337(5)).</w:t>
      </w:r>
    </w:p>
    <w:p>
      <w:pPr>
        <w:pStyle w:val="Subsection"/>
        <w:rPr>
          <w:snapToGrid w:val="0"/>
        </w:rPr>
      </w:pPr>
      <w:r>
        <w:rPr>
          <w:snapToGrid w:val="0"/>
        </w:rPr>
        <w:tab/>
        <w:t>(6)</w:t>
      </w:r>
      <w:r>
        <w:rPr>
          <w:snapToGrid w:val="0"/>
        </w:rPr>
        <w:tab/>
        <w:t>If, after discussions, the Minister and the holder do not agree on the surrender proposal, no blocks are surrendered.</w:t>
      </w:r>
    </w:p>
    <w:p>
      <w:pPr>
        <w:pStyle w:val="Heading4"/>
        <w:rPr>
          <w:b w:val="0"/>
        </w:rPr>
      </w:pPr>
      <w:bookmarkStart w:id="146" w:name="_Toc166674929"/>
      <w:bookmarkStart w:id="147" w:name="_Toc166675444"/>
      <w:bookmarkStart w:id="148" w:name="_Toc166675212"/>
      <w:r>
        <w:rPr>
          <w:b w:val="0"/>
          <w:snapToGrid w:val="0"/>
        </w:rPr>
        <w:t>Division 6 — Application for and grant of renewal of exploration licence</w:t>
      </w:r>
      <w:bookmarkEnd w:id="146"/>
      <w:bookmarkEnd w:id="147"/>
      <w:bookmarkEnd w:id="148"/>
    </w:p>
    <w:p>
      <w:pPr>
        <w:pStyle w:val="Heading5"/>
        <w:rPr>
          <w:snapToGrid w:val="0"/>
        </w:rPr>
      </w:pPr>
      <w:bookmarkStart w:id="149" w:name="_Toc166675213"/>
      <w:r>
        <w:rPr>
          <w:rStyle w:val="CharSectno"/>
        </w:rPr>
        <w:t>101</w:t>
      </w:r>
      <w:r>
        <w:rPr>
          <w:snapToGrid w:val="0"/>
        </w:rPr>
        <w:t>.</w:t>
      </w:r>
      <w:r>
        <w:rPr>
          <w:snapToGrid w:val="0"/>
        </w:rPr>
        <w:tab/>
        <w:t>Application for renewal of exploration licence</w:t>
      </w:r>
      <w:bookmarkEnd w:id="149"/>
      <w:r>
        <w:rPr>
          <w:snapToGrid w:val="0"/>
        </w:rPr>
        <w:t xml:space="preserve"> </w:t>
      </w:r>
    </w:p>
    <w:p>
      <w:pPr>
        <w:pStyle w:val="Subsection"/>
        <w:rPr>
          <w:snapToGrid w:val="0"/>
        </w:rPr>
      </w:pPr>
      <w:r>
        <w:rPr>
          <w:snapToGrid w:val="0"/>
        </w:rPr>
        <w:tab/>
      </w:r>
      <w:r>
        <w:rPr>
          <w:snapToGrid w:val="0"/>
        </w:rPr>
        <w:tab/>
        <w:t>An exploration licence holder may apply to the Minister to renew the licence.</w:t>
      </w:r>
    </w:p>
    <w:p>
      <w:pPr>
        <w:pStyle w:val="PermNoteHeading"/>
      </w:pPr>
      <w:r>
        <w:tab/>
        <w:t>Note:</w:t>
      </w:r>
    </w:p>
    <w:p>
      <w:pPr>
        <w:pStyle w:val="PermNoteText"/>
      </w:pPr>
      <w:r>
        <w:tab/>
        <w:t>1.</w:t>
      </w:r>
      <w:r>
        <w:tab/>
      </w:r>
      <w:r>
        <w:rPr>
          <w:snapToGrid w:val="0"/>
        </w:rPr>
        <w:t>Part of the licence area must be surrendered on each renewal (see section 104).</w:t>
      </w:r>
    </w:p>
    <w:p>
      <w:pPr>
        <w:pStyle w:val="PermNoteText"/>
      </w:pPr>
      <w:r>
        <w:tab/>
        <w:t>2.</w:t>
      </w:r>
      <w:r>
        <w:tab/>
        <w:t>At each renewal, the licence conditions are reviewed (see section 118).</w:t>
      </w:r>
    </w:p>
    <w:p>
      <w:pPr>
        <w:pStyle w:val="Heading5"/>
        <w:rPr>
          <w:snapToGrid w:val="0"/>
        </w:rPr>
      </w:pPr>
      <w:bookmarkStart w:id="150" w:name="_Toc166675215"/>
      <w:r>
        <w:rPr>
          <w:rStyle w:val="CharSectno"/>
        </w:rPr>
        <w:lastRenderedPageBreak/>
        <w:t>102</w:t>
      </w:r>
      <w:r>
        <w:rPr>
          <w:snapToGrid w:val="0"/>
        </w:rPr>
        <w:t>.</w:t>
      </w:r>
      <w:r>
        <w:rPr>
          <w:snapToGrid w:val="0"/>
        </w:rPr>
        <w:tab/>
        <w:t>When application to be made</w:t>
      </w:r>
      <w:bookmarkEnd w:id="150"/>
      <w:r>
        <w:rPr>
          <w:snapToGrid w:val="0"/>
        </w:rPr>
        <w:t xml:space="preserve"> </w:t>
      </w:r>
    </w:p>
    <w:p>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pPr>
        <w:pStyle w:val="PermNoteHeading"/>
      </w:pPr>
      <w:r>
        <w:tab/>
        <w:t>Note:</w:t>
      </w:r>
    </w:p>
    <w:p>
      <w:pPr>
        <w:pStyle w:val="PermNoteText"/>
      </w:pPr>
      <w:r>
        <w:tab/>
      </w:r>
      <w:r>
        <w:tab/>
        <w:t>If an application for extension of a licence is made, the expiry of the licence is postponed (see section 93). For expiry of a licence see section 126.</w:t>
      </w:r>
    </w:p>
    <w:p>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Heading5"/>
        <w:rPr>
          <w:snapToGrid w:val="0"/>
        </w:rPr>
      </w:pPr>
      <w:bookmarkStart w:id="151" w:name="_Toc166675216"/>
      <w:r>
        <w:rPr>
          <w:rStyle w:val="CharSectno"/>
        </w:rPr>
        <w:t>103</w:t>
      </w:r>
      <w:r>
        <w:rPr>
          <w:snapToGrid w:val="0"/>
        </w:rPr>
        <w:t>.</w:t>
      </w:r>
      <w:r>
        <w:rPr>
          <w:snapToGrid w:val="0"/>
        </w:rPr>
        <w:tab/>
        <w:t>How to apply for renewal</w:t>
      </w:r>
      <w:bookmarkEnd w:id="151"/>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lastRenderedPageBreak/>
        <w:tab/>
        <w:t>(iv)</w:t>
      </w:r>
      <w:r>
        <w:rPr>
          <w:snapToGrid w:val="0"/>
        </w:rPr>
        <w:tab/>
        <w:t xml:space="preserve">the amount of money that the applicant intends to spend on those activities during the term applied for;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specify the blocks that the applicant nominates for surrender in accordance with section 104.</w:t>
      </w:r>
    </w:p>
    <w:p>
      <w:pPr>
        <w:pStyle w:val="PermNoteHeading"/>
      </w:pPr>
      <w:r>
        <w:tab/>
        <w:t>Note:</w:t>
      </w:r>
    </w:p>
    <w:p>
      <w:pPr>
        <w:pStyle w:val="PermNoteText"/>
      </w:pPr>
      <w:r>
        <w:tab/>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52" w:name="_Toc166675217"/>
      <w:r>
        <w:rPr>
          <w:rStyle w:val="CharSectno"/>
        </w:rPr>
        <w:t>104</w:t>
      </w:r>
      <w:r>
        <w:rPr>
          <w:snapToGrid w:val="0"/>
        </w:rPr>
        <w:t>.</w:t>
      </w:r>
      <w:r>
        <w:rPr>
          <w:snapToGrid w:val="0"/>
        </w:rPr>
        <w:tab/>
        <w:t>Mandatory reduction of licence area on renewal of exploration licence</w:t>
      </w:r>
      <w:bookmarkEnd w:id="152"/>
      <w:r>
        <w:rPr>
          <w:snapToGrid w:val="0"/>
        </w:rPr>
        <w:t xml:space="preserve"> </w:t>
      </w:r>
    </w:p>
    <w:p>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Subsection"/>
        <w:rPr>
          <w:snapToGrid w:val="0"/>
        </w:rPr>
      </w:pPr>
      <w:r>
        <w:rPr>
          <w:snapToGrid w:val="0"/>
        </w:rPr>
        <w:tab/>
        <w:t>(2)</w:t>
      </w:r>
      <w:r>
        <w:rPr>
          <w:snapToGrid w:val="0"/>
        </w:rPr>
        <w:tab/>
        <w:t>Subject to subsection (4)(b), on each surrender day of an exploration licence, the licence holder must surrender — </w:t>
      </w:r>
    </w:p>
    <w:p>
      <w:pPr>
        <w:pStyle w:val="Indenta"/>
        <w:rPr>
          <w:snapToGrid w:val="0"/>
        </w:rPr>
      </w:pPr>
      <w:r>
        <w:rPr>
          <w:snapToGrid w:val="0"/>
        </w:rPr>
        <w:tab/>
        <w:t>(a)</w:t>
      </w:r>
      <w:r>
        <w:rPr>
          <w:snapToGrid w:val="0"/>
        </w:rPr>
        <w:tab/>
        <w:t>50% of the number of blocks in the licence area; or</w:t>
      </w:r>
    </w:p>
    <w:p>
      <w:pPr>
        <w:pStyle w:val="Indenta"/>
        <w:rPr>
          <w:snapToGrid w:val="0"/>
        </w:rPr>
      </w:pPr>
      <w:r>
        <w:rPr>
          <w:snapToGrid w:val="0"/>
        </w:rPr>
        <w:tab/>
        <w:t>(b)</w:t>
      </w:r>
      <w:r>
        <w:rPr>
          <w:snapToGrid w:val="0"/>
        </w:rPr>
        <w:tab/>
        <w:t>if 50% of that number of the blocks is a whole number and a fraction, the next higher whole number of the blocks.</w:t>
      </w:r>
    </w:p>
    <w:p>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Indenta"/>
        <w:rPr>
          <w:snapToGrid w:val="0"/>
        </w:rPr>
      </w:pPr>
      <w:r>
        <w:rPr>
          <w:snapToGrid w:val="0"/>
        </w:rPr>
        <w:tab/>
        <w:t>(b)</w:t>
      </w:r>
      <w:r>
        <w:rPr>
          <w:snapToGrid w:val="0"/>
        </w:rPr>
        <w:tab/>
        <w:t xml:space="preserve">give permission for a licence area to be reduced by less than 50% if the Minister considers that there are special </w:t>
      </w:r>
      <w:r>
        <w:rPr>
          <w:snapToGrid w:val="0"/>
        </w:rPr>
        <w:lastRenderedPageBreak/>
        <w:t>circumstances present in relation to the renewal application.</w:t>
      </w:r>
    </w:p>
    <w:p>
      <w:pPr>
        <w:pStyle w:val="Heading5"/>
        <w:rPr>
          <w:snapToGrid w:val="0"/>
        </w:rPr>
      </w:pPr>
      <w:bookmarkStart w:id="153" w:name="_Toc166675218"/>
      <w:r>
        <w:rPr>
          <w:rStyle w:val="CharSectno"/>
        </w:rPr>
        <w:t>105</w:t>
      </w:r>
      <w:r>
        <w:rPr>
          <w:snapToGrid w:val="0"/>
        </w:rPr>
        <w:t>.</w:t>
      </w:r>
      <w:r>
        <w:rPr>
          <w:snapToGrid w:val="0"/>
        </w:rPr>
        <w:tab/>
        <w:t>Request for further information</w:t>
      </w:r>
      <w:bookmarkEnd w:id="153"/>
      <w:r>
        <w:rPr>
          <w:snapToGrid w:val="0"/>
        </w:rPr>
        <w:t xml:space="preserve"> </w:t>
      </w:r>
    </w:p>
    <w:p>
      <w:pPr>
        <w:pStyle w:val="Subsection"/>
        <w:rPr>
          <w:snapToGrid w:val="0"/>
        </w:rPr>
      </w:pPr>
      <w:r>
        <w:rPr>
          <w:snapToGrid w:val="0"/>
        </w:rPr>
        <w:tab/>
        <w:t>(1)</w:t>
      </w:r>
      <w:r>
        <w:rPr>
          <w:snapToGrid w:val="0"/>
        </w:rPr>
        <w:tab/>
        <w:t>The Minister may ask the applicant to provide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54" w:name="_Toc166675219"/>
      <w:r>
        <w:rPr>
          <w:rStyle w:val="CharSectno"/>
        </w:rPr>
        <w:t>106</w:t>
      </w:r>
      <w:r>
        <w:rPr>
          <w:snapToGrid w:val="0"/>
        </w:rPr>
        <w:t>.</w:t>
      </w:r>
      <w:r>
        <w:rPr>
          <w:snapToGrid w:val="0"/>
        </w:rPr>
        <w:tab/>
        <w:t>Payment of fee</w:t>
      </w:r>
      <w:bookmarkEnd w:id="154"/>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55" w:name="_Toc166675220"/>
      <w:r>
        <w:rPr>
          <w:rStyle w:val="CharSectno"/>
        </w:rPr>
        <w:t>107</w:t>
      </w:r>
      <w:r>
        <w:rPr>
          <w:snapToGrid w:val="0"/>
        </w:rPr>
        <w:t>.</w:t>
      </w:r>
      <w:r>
        <w:rPr>
          <w:snapToGrid w:val="0"/>
        </w:rPr>
        <w:tab/>
        <w:t>Section number not used</w:t>
      </w:r>
      <w:bookmarkEnd w:id="155"/>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56" w:name="_Toc166675221"/>
      <w:r>
        <w:rPr>
          <w:rStyle w:val="CharSectno"/>
        </w:rPr>
        <w:t>108</w:t>
      </w:r>
      <w:r>
        <w:rPr>
          <w:snapToGrid w:val="0"/>
        </w:rPr>
        <w:t>.</w:t>
      </w:r>
      <w:r>
        <w:rPr>
          <w:snapToGrid w:val="0"/>
        </w:rPr>
        <w:tab/>
        <w:t>Provisional renewal of an exploration licence</w:t>
      </w:r>
      <w:bookmarkEnd w:id="156"/>
      <w:r>
        <w:rPr>
          <w:snapToGrid w:val="0"/>
        </w:rPr>
        <w:t xml:space="preserve"> </w:t>
      </w:r>
    </w:p>
    <w:p>
      <w:pPr>
        <w:pStyle w:val="Subsection"/>
        <w:rPr>
          <w:snapToGrid w:val="0"/>
        </w:rPr>
      </w:pPr>
      <w:r>
        <w:rPr>
          <w:snapToGrid w:val="0"/>
        </w:rPr>
        <w:tab/>
        <w:t>(1)</w:t>
      </w:r>
      <w:r>
        <w:rPr>
          <w:snapToGrid w:val="0"/>
        </w:rPr>
        <w:tab/>
        <w:t>The Minister must provisionally renew an exploration licence if the applicant — </w:t>
      </w:r>
    </w:p>
    <w:p>
      <w:pPr>
        <w:pStyle w:val="Indenta"/>
        <w:rPr>
          <w:snapToGrid w:val="0"/>
        </w:rPr>
      </w:pPr>
      <w:r>
        <w:rPr>
          <w:snapToGrid w:val="0"/>
        </w:rPr>
        <w:tab/>
        <w:t>(a)</w:t>
      </w:r>
      <w:r>
        <w:rPr>
          <w:snapToGrid w:val="0"/>
        </w:rPr>
        <w:tab/>
        <w:t>does what is required by sections 101 to 106; and</w:t>
      </w:r>
    </w:p>
    <w:p>
      <w:pPr>
        <w:pStyle w:val="Indenta"/>
        <w:keepNext/>
        <w:rPr>
          <w:snapToGrid w:val="0"/>
        </w:rPr>
      </w:pPr>
      <w:r>
        <w:rPr>
          <w:snapToGrid w:val="0"/>
        </w:rPr>
        <w:lastRenderedPageBreak/>
        <w:tab/>
        <w:t>(b)</w:t>
      </w:r>
      <w:r>
        <w:rPr>
          <w:snapToGrid w:val="0"/>
        </w:rPr>
        <w:tab/>
        <w:t>has complied with — </w:t>
      </w:r>
    </w:p>
    <w:p>
      <w:pPr>
        <w:pStyle w:val="Indenti"/>
        <w:keepNext/>
        <w:keepLines/>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the licence conditions.</w:t>
      </w:r>
    </w:p>
    <w:p>
      <w:pPr>
        <w:pStyle w:val="PermNoteHeading"/>
      </w:pPr>
      <w:r>
        <w:tab/>
        <w:t>Note:</w:t>
      </w:r>
    </w:p>
    <w:p>
      <w:pPr>
        <w:pStyle w:val="PermNoteText"/>
      </w:pPr>
      <w:r>
        <w:tab/>
        <w:t>1.</w:t>
      </w:r>
      <w:r>
        <w:tab/>
      </w:r>
      <w:r>
        <w:rPr>
          <w:snapToGrid w:val="0"/>
        </w:rPr>
        <w:t>Under section 89, the renewal of the licence cannot be effective before it is registered (see section 334 for registration). The renewal will not be registered until it has been properly accepted (see section 114 for “proper acceptance”).</w:t>
      </w:r>
    </w:p>
    <w:p>
      <w:pPr>
        <w:pStyle w:val="PermNoteText"/>
      </w:pPr>
      <w:r>
        <w:tab/>
        <w:t>2.</w:t>
      </w:r>
      <w:r>
        <w:tab/>
        <w:t>Under section 118, new conditions may be imposed on renewal.</w:t>
      </w:r>
    </w:p>
    <w:p>
      <w:pPr>
        <w:pStyle w:val="Subsection"/>
        <w:rPr>
          <w:snapToGrid w:val="0"/>
        </w:rPr>
      </w:pPr>
      <w:r>
        <w:rPr>
          <w:snapToGrid w:val="0"/>
        </w:rPr>
        <w:tab/>
        <w:t>(2)</w:t>
      </w:r>
      <w:r>
        <w:rPr>
          <w:snapToGrid w:val="0"/>
        </w:rPr>
        <w:tab/>
        <w:t>If subsection (1) does not require the Minister to provisionally renew the licence, 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Heading5"/>
        <w:rPr>
          <w:snapToGrid w:val="0"/>
        </w:rPr>
      </w:pPr>
      <w:bookmarkStart w:id="157" w:name="_Toc166675222"/>
      <w:r>
        <w:rPr>
          <w:rStyle w:val="CharSectno"/>
        </w:rPr>
        <w:t>109</w:t>
      </w:r>
      <w:r>
        <w:rPr>
          <w:snapToGrid w:val="0"/>
        </w:rPr>
        <w:t>.</w:t>
      </w:r>
      <w:r>
        <w:rPr>
          <w:snapToGrid w:val="0"/>
        </w:rPr>
        <w:tab/>
        <w:t>Section number not used</w:t>
      </w:r>
      <w:bookmarkEnd w:id="157"/>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58" w:name="_Toc166675223"/>
      <w:r>
        <w:rPr>
          <w:rStyle w:val="CharSectno"/>
        </w:rPr>
        <w:t>110</w:t>
      </w:r>
      <w:r>
        <w:rPr>
          <w:snapToGrid w:val="0"/>
        </w:rPr>
        <w:t>.</w:t>
      </w:r>
      <w:r>
        <w:rPr>
          <w:snapToGrid w:val="0"/>
        </w:rPr>
        <w:tab/>
        <w:t>Applicant must be notified</w:t>
      </w:r>
      <w:bookmarkEnd w:id="158"/>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108.</w:t>
      </w:r>
    </w:p>
    <w:p>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Indenta"/>
        <w:rPr>
          <w:snapToGrid w:val="0"/>
        </w:rPr>
      </w:pPr>
      <w:r>
        <w:rPr>
          <w:snapToGrid w:val="0"/>
        </w:rPr>
        <w:tab/>
        <w:t>(a)</w:t>
      </w:r>
      <w:r>
        <w:rPr>
          <w:snapToGrid w:val="0"/>
        </w:rPr>
        <w:tab/>
        <w:t>notification of the conditions of the renewed licence;</w:t>
      </w:r>
    </w:p>
    <w:p>
      <w:pPr>
        <w:pStyle w:val="Indenta"/>
        <w:rPr>
          <w:snapToGrid w:val="0"/>
        </w:rPr>
      </w:pPr>
      <w:r>
        <w:rPr>
          <w:snapToGrid w:val="0"/>
        </w:rPr>
        <w:tab/>
        <w:t>(b)</w:t>
      </w:r>
      <w:r>
        <w:rPr>
          <w:snapToGrid w:val="0"/>
        </w:rPr>
        <w:tab/>
        <w:t>notification of any determination under section 399 that the applicant must lodge a security or a further security;</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lastRenderedPageBreak/>
        <w:tab/>
        <w:t>(ii)</w:t>
      </w:r>
      <w:r>
        <w:rPr>
          <w:snapToGrid w:val="0"/>
        </w:rPr>
        <w:tab/>
        <w:t>lodges any security required by the Minister under section 399; and</w:t>
      </w:r>
    </w:p>
    <w:p>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pPr>
        <w:pStyle w:val="PermNoteHeading"/>
      </w:pPr>
      <w:r>
        <w:tab/>
        <w:t>Note:</w:t>
      </w:r>
    </w:p>
    <w:p>
      <w:pPr>
        <w:pStyle w:val="PermNoteText"/>
      </w:pPr>
      <w:r>
        <w:tab/>
      </w:r>
      <w:r>
        <w:tab/>
      </w:r>
      <w:r>
        <w:rPr>
          <w:snapToGrid w:val="0"/>
        </w:rPr>
        <w:t>Section 118 provides for renewals to be granted subject to conditions.</w:t>
      </w:r>
    </w:p>
    <w:p>
      <w:pPr>
        <w:pStyle w:val="Heading5"/>
        <w:rPr>
          <w:snapToGrid w:val="0"/>
        </w:rPr>
      </w:pPr>
      <w:bookmarkStart w:id="159" w:name="_Toc166675226"/>
      <w:r>
        <w:rPr>
          <w:rStyle w:val="CharSectno"/>
        </w:rPr>
        <w:t>111</w:t>
      </w:r>
      <w:r>
        <w:rPr>
          <w:snapToGrid w:val="0"/>
        </w:rPr>
        <w:t>.</w:t>
      </w:r>
      <w:r>
        <w:rPr>
          <w:snapToGrid w:val="0"/>
        </w:rPr>
        <w:tab/>
        <w:t>Amendment of conditions</w:t>
      </w:r>
      <w:bookmarkEnd w:id="159"/>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is notified of the licence conditions; and</w:t>
      </w:r>
    </w:p>
    <w:p>
      <w:pPr>
        <w:pStyle w:val="Indenta"/>
        <w:keepNext/>
        <w:rPr>
          <w:snapToGrid w:val="0"/>
        </w:rPr>
      </w:pPr>
      <w:r>
        <w:rPr>
          <w:snapToGrid w:val="0"/>
        </w:rPr>
        <w:tab/>
        <w:t>(c)</w:t>
      </w:r>
      <w:r>
        <w:rPr>
          <w:snapToGrid w:val="0"/>
        </w:rPr>
        <w:tab/>
        <w:t>is dissatisfied with a condition,</w:t>
      </w:r>
    </w:p>
    <w:p>
      <w:pPr>
        <w:pStyle w:val="Subsection"/>
        <w:keepNext/>
        <w:keepLines/>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160" w:name="_Toc166675227"/>
      <w:r>
        <w:rPr>
          <w:rStyle w:val="CharSectno"/>
        </w:rPr>
        <w:t>112</w:t>
      </w:r>
      <w:r>
        <w:rPr>
          <w:snapToGrid w:val="0"/>
        </w:rPr>
        <w:t>.</w:t>
      </w:r>
      <w:r>
        <w:rPr>
          <w:snapToGrid w:val="0"/>
        </w:rPr>
        <w:tab/>
        <w:t>Amendment of security requirements</w:t>
      </w:r>
      <w:bookmarkEnd w:id="160"/>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 xml:space="preserve">is notified of a security requirement; and </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lastRenderedPageBreak/>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161" w:name="_Toc166675229"/>
      <w:r>
        <w:rPr>
          <w:rStyle w:val="CharSectno"/>
        </w:rPr>
        <w:t>113</w:t>
      </w:r>
      <w:r>
        <w:rPr>
          <w:snapToGrid w:val="0"/>
        </w:rPr>
        <w:t>.</w:t>
      </w:r>
      <w:r>
        <w:rPr>
          <w:snapToGrid w:val="0"/>
        </w:rPr>
        <w:tab/>
        <w:t>Extension of primary payment period</w:t>
      </w:r>
      <w:bookmarkEnd w:id="161"/>
      <w:r>
        <w:rPr>
          <w:snapToGrid w:val="0"/>
        </w:rPr>
        <w:t xml:space="preserve"> </w:t>
      </w:r>
    </w:p>
    <w:p>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62" w:name="_Toc166675230"/>
      <w:r>
        <w:rPr>
          <w:rStyle w:val="CharSectno"/>
        </w:rPr>
        <w:t>114</w:t>
      </w:r>
      <w:r>
        <w:rPr>
          <w:snapToGrid w:val="0"/>
        </w:rPr>
        <w:t>.</w:t>
      </w:r>
      <w:r>
        <w:rPr>
          <w:snapToGrid w:val="0"/>
        </w:rPr>
        <w:tab/>
        <w:t>Acceptance of renewal of exploration licence</w:t>
      </w:r>
      <w:bookmarkEnd w:id="162"/>
      <w:r>
        <w:rPr>
          <w:snapToGrid w:val="0"/>
        </w:rPr>
        <w:t xml:space="preserve"> </w:t>
      </w:r>
    </w:p>
    <w:p>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pStyle w:val="PermNoteHeading"/>
      </w:pPr>
      <w:r>
        <w:lastRenderedPageBreak/>
        <w:tab/>
        <w:t>Note:</w:t>
      </w:r>
    </w:p>
    <w:p>
      <w:pPr>
        <w:pStyle w:val="PermNoteText"/>
      </w:pPr>
      <w:r>
        <w:tab/>
      </w:r>
      <w:r>
        <w:tab/>
        <w:t>Under section 89, the renewal of the licence cannot be effective before it is registered (see section 334 for registration).</w:t>
      </w:r>
    </w:p>
    <w:p>
      <w:pPr>
        <w:pStyle w:val="Heading5"/>
        <w:rPr>
          <w:snapToGrid w:val="0"/>
        </w:rPr>
      </w:pPr>
      <w:bookmarkStart w:id="163" w:name="_Toc166675231"/>
      <w:r>
        <w:rPr>
          <w:rStyle w:val="CharSectno"/>
        </w:rPr>
        <w:t>115</w:t>
      </w:r>
      <w:r>
        <w:rPr>
          <w:snapToGrid w:val="0"/>
        </w:rPr>
        <w:t>.</w:t>
      </w:r>
      <w:r>
        <w:rPr>
          <w:snapToGrid w:val="0"/>
        </w:rPr>
        <w:tab/>
        <w:t>Conditions applicable to licence on renewal</w:t>
      </w:r>
      <w:bookmarkEnd w:id="163"/>
      <w:r>
        <w:rPr>
          <w:snapToGrid w:val="0"/>
        </w:rPr>
        <w:t xml:space="preserve"> </w:t>
      </w:r>
    </w:p>
    <w:p>
      <w:pPr>
        <w:pStyle w:val="Subsection"/>
        <w:rPr>
          <w:snapToGrid w:val="0"/>
        </w:rPr>
      </w:pPr>
      <w:r>
        <w:rPr>
          <w:snapToGrid w:val="0"/>
        </w:rPr>
        <w:tab/>
      </w:r>
      <w:r>
        <w:rPr>
          <w:snapToGrid w:val="0"/>
        </w:rPr>
        <w:tab/>
        <w:t>If the provisional renewal is properly accepted under section 114, the renewed licence is subject to — </w:t>
      </w:r>
    </w:p>
    <w:p>
      <w:pPr>
        <w:pStyle w:val="Indenta"/>
        <w:rPr>
          <w:snapToGrid w:val="0"/>
        </w:rPr>
      </w:pPr>
      <w:r>
        <w:rPr>
          <w:snapToGrid w:val="0"/>
        </w:rPr>
        <w:tab/>
        <w:t>(a)</w:t>
      </w:r>
      <w:r>
        <w:rPr>
          <w:snapToGrid w:val="0"/>
        </w:rPr>
        <w:tab/>
        <w:t>the conditions specified in the notice given to the licence holder under section 110; or</w:t>
      </w:r>
    </w:p>
    <w:p>
      <w:pPr>
        <w:pStyle w:val="Indenta"/>
        <w:rPr>
          <w:snapToGrid w:val="0"/>
        </w:rPr>
      </w:pPr>
      <w:r>
        <w:rPr>
          <w:snapToGrid w:val="0"/>
        </w:rPr>
        <w:tab/>
        <w:t>(b)</w:t>
      </w:r>
      <w:r>
        <w:rPr>
          <w:snapToGrid w:val="0"/>
        </w:rPr>
        <w:tab/>
        <w:t>if the Minister amended those conditions under section 111, those conditions as amended.</w:t>
      </w:r>
    </w:p>
    <w:p>
      <w:pPr>
        <w:pStyle w:val="Heading5"/>
        <w:rPr>
          <w:snapToGrid w:val="0"/>
        </w:rPr>
      </w:pPr>
      <w:bookmarkStart w:id="164" w:name="_Toc166675232"/>
      <w:r>
        <w:rPr>
          <w:rStyle w:val="CharSectno"/>
        </w:rPr>
        <w:t>116</w:t>
      </w:r>
      <w:r>
        <w:rPr>
          <w:snapToGrid w:val="0"/>
        </w:rPr>
        <w:t>.</w:t>
      </w:r>
      <w:r>
        <w:rPr>
          <w:snapToGrid w:val="0"/>
        </w:rPr>
        <w:tab/>
        <w:t>Lapse of provisional renewal of exploration licence</w:t>
      </w:r>
      <w:bookmarkEnd w:id="164"/>
      <w:r>
        <w:rPr>
          <w:snapToGrid w:val="0"/>
        </w:rPr>
        <w:t xml:space="preserve"> </w:t>
      </w:r>
    </w:p>
    <w:p>
      <w:pPr>
        <w:pStyle w:val="Subsection"/>
        <w:rPr>
          <w:snapToGrid w:val="0"/>
        </w:rPr>
      </w:pPr>
      <w:r>
        <w:rPr>
          <w:snapToGrid w:val="0"/>
        </w:rPr>
        <w:tab/>
      </w:r>
      <w:r>
        <w:rPr>
          <w:snapToGrid w:val="0"/>
        </w:rPr>
        <w:tab/>
        <w:t>If the provisional renewal of an exploration licence is not properly accepted under section 114, the provisional renewal lapses.</w:t>
      </w:r>
    </w:p>
    <w:p>
      <w:pPr>
        <w:pStyle w:val="Heading4"/>
        <w:rPr>
          <w:b w:val="0"/>
        </w:rPr>
      </w:pPr>
      <w:bookmarkStart w:id="165" w:name="_Toc166674946"/>
      <w:bookmarkStart w:id="166" w:name="_Toc166675461"/>
      <w:bookmarkStart w:id="167" w:name="_Toc166675233"/>
      <w:r>
        <w:rPr>
          <w:b w:val="0"/>
          <w:snapToGrid w:val="0"/>
        </w:rPr>
        <w:t>Division 7 — Obligations associated with exploration licence</w:t>
      </w:r>
      <w:bookmarkEnd w:id="165"/>
      <w:bookmarkEnd w:id="166"/>
      <w:bookmarkEnd w:id="167"/>
    </w:p>
    <w:p>
      <w:pPr>
        <w:pStyle w:val="Heading5"/>
        <w:rPr>
          <w:snapToGrid w:val="0"/>
        </w:rPr>
      </w:pPr>
      <w:bookmarkStart w:id="168" w:name="_Toc166675236"/>
      <w:r>
        <w:rPr>
          <w:rStyle w:val="CharSectno"/>
        </w:rPr>
        <w:t>117</w:t>
      </w:r>
      <w:r>
        <w:rPr>
          <w:snapToGrid w:val="0"/>
        </w:rPr>
        <w:t>.</w:t>
      </w:r>
      <w:r>
        <w:rPr>
          <w:snapToGrid w:val="0"/>
        </w:rPr>
        <w:tab/>
        <w:t>General</w:t>
      </w:r>
      <w:bookmarkEnd w:id="168"/>
      <w:r>
        <w:rPr>
          <w:snapToGrid w:val="0"/>
        </w:rPr>
        <w:t xml:space="preserve"> </w:t>
      </w:r>
    </w:p>
    <w:p>
      <w:pPr>
        <w:pStyle w:val="Subsection"/>
        <w:rPr>
          <w:snapToGrid w:val="0"/>
        </w:rPr>
      </w:pPr>
      <w:r>
        <w:rPr>
          <w:snapToGrid w:val="0"/>
        </w:rPr>
        <w:tab/>
        <w:t>(1)</w:t>
      </w:r>
      <w:r>
        <w:rPr>
          <w:snapToGrid w:val="0"/>
        </w:rPr>
        <w:tab/>
        <w:t>The sources of obligations associated with an exploration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pPr>
      <w:r>
        <w:tab/>
      </w:r>
      <w:r>
        <w:tab/>
        <w:t>For paragraph (a) see sections 118 to 120.  For paragraph (c) see sections 44, 123 to 125, 372 and 391(1).</w:t>
      </w:r>
    </w:p>
    <w:p>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Heading5"/>
        <w:rPr>
          <w:snapToGrid w:val="0"/>
        </w:rPr>
      </w:pPr>
      <w:bookmarkStart w:id="169" w:name="_Toc166675237"/>
      <w:r>
        <w:rPr>
          <w:rStyle w:val="CharSectno"/>
        </w:rPr>
        <w:lastRenderedPageBreak/>
        <w:t>118</w:t>
      </w:r>
      <w:r>
        <w:rPr>
          <w:snapToGrid w:val="0"/>
        </w:rPr>
        <w:t>.</w:t>
      </w:r>
      <w:r>
        <w:rPr>
          <w:snapToGrid w:val="0"/>
        </w:rPr>
        <w:tab/>
        <w:t>Conditions of exploration licence</w:t>
      </w:r>
      <w:bookmarkEnd w:id="169"/>
      <w:r>
        <w:rPr>
          <w:snapToGrid w:val="0"/>
        </w:rPr>
        <w:t xml:space="preserve"> </w:t>
      </w:r>
    </w:p>
    <w:p>
      <w:pPr>
        <w:pStyle w:val="Subsection"/>
        <w:rPr>
          <w:snapToGrid w:val="0"/>
        </w:rPr>
      </w:pPr>
      <w:r>
        <w:rPr>
          <w:snapToGrid w:val="0"/>
        </w:rPr>
        <w:tab/>
        <w:t>(1)</w:t>
      </w:r>
      <w:r>
        <w:rPr>
          <w:snapToGrid w:val="0"/>
        </w:rPr>
        <w:tab/>
        <w:t>The Minister may grant or renew an exploration licence subject to whatever conditions the Minister thinks appropriate.</w:t>
      </w:r>
    </w:p>
    <w:p>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work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lastRenderedPageBreak/>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170" w:name="_Toc166675238"/>
      <w:r>
        <w:rPr>
          <w:rStyle w:val="CharSectno"/>
        </w:rPr>
        <w:t>119</w:t>
      </w:r>
      <w:r>
        <w:rPr>
          <w:snapToGrid w:val="0"/>
        </w:rPr>
        <w:t>.</w:t>
      </w:r>
      <w:r>
        <w:rPr>
          <w:snapToGrid w:val="0"/>
        </w:rPr>
        <w:tab/>
        <w:t>No conditions requiring payment of money</w:t>
      </w:r>
      <w:bookmarkEnd w:id="170"/>
      <w:r>
        <w:rPr>
          <w:snapToGrid w:val="0"/>
        </w:rPr>
        <w:t xml:space="preserve"> </w:t>
      </w:r>
    </w:p>
    <w:p>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Heading5"/>
        <w:rPr>
          <w:snapToGrid w:val="0"/>
        </w:rPr>
      </w:pPr>
      <w:bookmarkStart w:id="171" w:name="_Toc166675239"/>
      <w:r>
        <w:rPr>
          <w:rStyle w:val="CharSectno"/>
        </w:rPr>
        <w:t>120</w:t>
      </w:r>
      <w:r>
        <w:rPr>
          <w:snapToGrid w:val="0"/>
        </w:rPr>
        <w:t>.</w:t>
      </w:r>
      <w:r>
        <w:rPr>
          <w:snapToGrid w:val="0"/>
        </w:rPr>
        <w:tab/>
        <w:t>Variation of conditions</w:t>
      </w:r>
      <w:bookmarkEnd w:id="17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vary a licence condition; 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lastRenderedPageBreak/>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172" w:name="_Toc166675240"/>
      <w:r>
        <w:rPr>
          <w:rStyle w:val="CharSectno"/>
        </w:rPr>
        <w:t>121</w:t>
      </w:r>
      <w:r>
        <w:rPr>
          <w:snapToGrid w:val="0"/>
        </w:rPr>
        <w:t>.</w:t>
      </w:r>
      <w:r>
        <w:rPr>
          <w:snapToGrid w:val="0"/>
        </w:rPr>
        <w:tab/>
        <w:t>Exemption from or suspension of conditions</w:t>
      </w:r>
      <w:bookmarkEnd w:id="17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lastRenderedPageBreak/>
        <w:tab/>
      </w:r>
      <w:r>
        <w:rPr>
          <w:snapToGrid w:val="0"/>
        </w:rPr>
        <w:tab/>
        <w:t>the Minister may — </w:t>
      </w:r>
    </w:p>
    <w:p>
      <w:pPr>
        <w:pStyle w:val="Indenta"/>
        <w:rPr>
          <w:snapToGrid w:val="0"/>
        </w:rPr>
      </w:pPr>
      <w:r>
        <w:rPr>
          <w:snapToGrid w:val="0"/>
        </w:rPr>
        <w:tab/>
        <w:t>(e)</w:t>
      </w:r>
      <w:r>
        <w:rPr>
          <w:snapToGrid w:val="0"/>
        </w:rPr>
        <w:tab/>
        <w:t>suspend a licence condition; or</w:t>
      </w:r>
    </w:p>
    <w:p>
      <w:pPr>
        <w:pStyle w:val="Indenta"/>
        <w:rPr>
          <w:snapToGrid w:val="0"/>
        </w:rPr>
      </w:pPr>
      <w:r>
        <w:rPr>
          <w:snapToGrid w:val="0"/>
        </w:rPr>
        <w:tab/>
        <w:t>(f)</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 xml:space="preserve">informs the holder of the exemption or suspension; and </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tabs>
          <w:tab w:val="left" w:pos="851"/>
        </w:tabs>
        <w:spacing w:before="120"/>
        <w:ind w:left="851" w:hanging="851"/>
        <w:rPr>
          <w:snapToGrid w:val="0"/>
          <w:sz w:val="18"/>
        </w:rPr>
      </w:pPr>
      <w:r>
        <w:rPr>
          <w:snapToGrid w:val="0"/>
          <w:sz w:val="18"/>
        </w:rPr>
        <w:t xml:space="preserve">Note: </w:t>
      </w:r>
      <w:r>
        <w:rPr>
          <w:snapToGrid w:val="0"/>
          <w:sz w:val="18"/>
        </w:rPr>
        <w:tab/>
        <w:t>A suspension or exemption of a condition cannot be effective before it is registered (see section 337).</w:t>
      </w:r>
    </w:p>
    <w:p>
      <w:pPr>
        <w:pStyle w:val="Heading5"/>
        <w:rPr>
          <w:snapToGrid w:val="0"/>
        </w:rPr>
      </w:pPr>
      <w:bookmarkStart w:id="173" w:name="_Toc166675241"/>
      <w:r>
        <w:rPr>
          <w:rStyle w:val="CharSectno"/>
        </w:rPr>
        <w:lastRenderedPageBreak/>
        <w:t>122</w:t>
      </w:r>
      <w:r>
        <w:rPr>
          <w:snapToGrid w:val="0"/>
        </w:rPr>
        <w:t>.</w:t>
      </w:r>
      <w:r>
        <w:rPr>
          <w:snapToGrid w:val="0"/>
        </w:rPr>
        <w:tab/>
        <w:t>Automatic suspension of conditions if licence rights are suspended</w:t>
      </w:r>
      <w:bookmarkEnd w:id="17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an exploration licence under section 48;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174" w:name="_Toc166675242"/>
      <w:r>
        <w:rPr>
          <w:rStyle w:val="CharSectno"/>
        </w:rPr>
        <w:t>123</w:t>
      </w:r>
      <w:r>
        <w:rPr>
          <w:snapToGrid w:val="0"/>
        </w:rPr>
        <w:t>.</w:t>
      </w:r>
      <w:r>
        <w:rPr>
          <w:snapToGrid w:val="0"/>
        </w:rPr>
        <w:tab/>
        <w:t>Work practices</w:t>
      </w:r>
      <w:bookmarkEnd w:id="174"/>
      <w:r>
        <w:rPr>
          <w:snapToGrid w:val="0"/>
        </w:rPr>
        <w:t xml:space="preserve"> </w:t>
      </w:r>
    </w:p>
    <w:p>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keepNext/>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tabs>
          <w:tab w:val="left" w:pos="851"/>
        </w:tabs>
        <w:spacing w:before="120"/>
        <w:ind w:left="851" w:hanging="851"/>
        <w:rPr>
          <w:snapToGrid w:val="0"/>
          <w:sz w:val="18"/>
        </w:rPr>
      </w:pPr>
      <w:r>
        <w:rPr>
          <w:snapToGrid w:val="0"/>
          <w:sz w:val="18"/>
        </w:rPr>
        <w:t xml:space="preserve">Note: </w:t>
      </w:r>
      <w:r>
        <w:rPr>
          <w:snapToGrid w:val="0"/>
          <w:sz w:val="18"/>
        </w:rPr>
        <w:tab/>
        <w:t xml:space="preserve">The safety of offshore exploration activities is governed by the </w:t>
      </w:r>
      <w:r>
        <w:rPr>
          <w:i/>
          <w:snapToGrid w:val="0"/>
          <w:sz w:val="18"/>
        </w:rPr>
        <w:t>Mines Safety and Inspection Act 1994</w:t>
      </w:r>
      <w:r>
        <w:rPr>
          <w:snapToGrid w:val="0"/>
          <w:sz w:val="18"/>
        </w:rPr>
        <w:t xml:space="preserve"> — see the definition of “exploration operations” and paragraph (a) of the definition of “mining operations” in section 4(1) of that Act.</w:t>
      </w:r>
    </w:p>
    <w:p>
      <w:pPr>
        <w:pStyle w:val="Heading5"/>
        <w:spacing w:before="180"/>
        <w:rPr>
          <w:snapToGrid w:val="0"/>
        </w:rPr>
      </w:pPr>
      <w:bookmarkStart w:id="175" w:name="_Toc166675243"/>
      <w:r>
        <w:rPr>
          <w:rStyle w:val="CharSectno"/>
        </w:rPr>
        <w:t>124</w:t>
      </w:r>
      <w:r>
        <w:rPr>
          <w:snapToGrid w:val="0"/>
        </w:rPr>
        <w:t>.</w:t>
      </w:r>
      <w:r>
        <w:rPr>
          <w:snapToGrid w:val="0"/>
        </w:rPr>
        <w:tab/>
        <w:t>Licence holder must keep specified records etc.</w:t>
      </w:r>
      <w:bookmarkEnd w:id="175"/>
      <w:r>
        <w:rPr>
          <w:snapToGrid w:val="0"/>
        </w:rPr>
        <w:t xml:space="preserve"> </w:t>
      </w:r>
    </w:p>
    <w:p>
      <w:pPr>
        <w:pStyle w:val="Subsection"/>
        <w:spacing w:before="120"/>
        <w:rPr>
          <w:snapToGrid w:val="0"/>
        </w:rPr>
      </w:pPr>
      <w:r>
        <w:rPr>
          <w:snapToGrid w:val="0"/>
        </w:rPr>
        <w:tab/>
      </w:r>
      <w:r>
        <w:rPr>
          <w:snapToGrid w:val="0"/>
        </w:rPr>
        <w:tab/>
        <w:t>An exploration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lastRenderedPageBreak/>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spacing w:before="120"/>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tabs>
          <w:tab w:val="left" w:pos="851"/>
        </w:tabs>
        <w:spacing w:before="120"/>
        <w:ind w:left="851" w:hanging="851"/>
        <w:rPr>
          <w:snapToGrid w:val="0"/>
          <w:sz w:val="18"/>
        </w:rPr>
      </w:pPr>
      <w:r>
        <w:rPr>
          <w:snapToGrid w:val="0"/>
          <w:sz w:val="18"/>
        </w:rPr>
        <w:t xml:space="preserve">Note: </w:t>
      </w:r>
      <w:r>
        <w:rPr>
          <w:snapToGrid w:val="0"/>
          <w:sz w:val="18"/>
        </w:rPr>
        <w:tab/>
        <w:t>Under sections 386 and 387 the Minister may direct a person to keep records and samples, to give records and samples to the Minister, and to make returns.</w:t>
      </w:r>
    </w:p>
    <w:p>
      <w:pPr>
        <w:pStyle w:val="Penstart"/>
        <w:rPr>
          <w:snapToGrid w:val="0"/>
        </w:rPr>
      </w:pPr>
      <w:r>
        <w:rPr>
          <w:snapToGrid w:val="0"/>
        </w:rPr>
        <w:tab/>
        <w:t>Maximum penalty: $10 000.</w:t>
      </w:r>
    </w:p>
    <w:p>
      <w:pPr>
        <w:pStyle w:val="Heading5"/>
        <w:spacing w:before="180"/>
        <w:rPr>
          <w:snapToGrid w:val="0"/>
        </w:rPr>
      </w:pPr>
      <w:bookmarkStart w:id="176" w:name="_Toc166675244"/>
      <w:r>
        <w:rPr>
          <w:rStyle w:val="CharSectno"/>
        </w:rPr>
        <w:t>125</w:t>
      </w:r>
      <w:r>
        <w:rPr>
          <w:snapToGrid w:val="0"/>
        </w:rPr>
        <w:t>.</w:t>
      </w:r>
      <w:r>
        <w:rPr>
          <w:snapToGrid w:val="0"/>
        </w:rPr>
        <w:tab/>
        <w:t>Licence holder must assist inspectors</w:t>
      </w:r>
      <w:bookmarkEnd w:id="176"/>
      <w:r>
        <w:rPr>
          <w:snapToGrid w:val="0"/>
        </w:rPr>
        <w:t xml:space="preserve"> </w:t>
      </w:r>
    </w:p>
    <w:p>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tabs>
          <w:tab w:val="left" w:pos="851"/>
        </w:tabs>
        <w:spacing w:before="120"/>
        <w:ind w:left="851" w:hanging="851"/>
        <w:rPr>
          <w:snapToGrid w:val="0"/>
          <w:sz w:val="18"/>
        </w:rPr>
      </w:pPr>
      <w:r>
        <w:rPr>
          <w:snapToGrid w:val="0"/>
          <w:sz w:val="18"/>
        </w:rPr>
        <w:t xml:space="preserve">Note: </w:t>
      </w:r>
      <w:r>
        <w:rPr>
          <w:snapToGrid w:val="0"/>
          <w:sz w:val="18"/>
        </w:rPr>
        <w:tab/>
        <w:t>See sections 377 to 384 for compliance inspections.</w:t>
      </w:r>
    </w:p>
    <w:p>
      <w:pPr>
        <w:pStyle w:val="Penstart"/>
        <w:rPr>
          <w:snapToGrid w:val="0"/>
        </w:rPr>
      </w:pPr>
      <w:r>
        <w:rPr>
          <w:snapToGrid w:val="0"/>
        </w:rPr>
        <w:tab/>
        <w:t>Maximum penalty: $5 000.</w:t>
      </w:r>
    </w:p>
    <w:p>
      <w:pPr>
        <w:pStyle w:val="Heading4"/>
        <w:spacing w:before="180"/>
        <w:rPr>
          <w:b w:val="0"/>
        </w:rPr>
      </w:pPr>
      <w:bookmarkStart w:id="177" w:name="_Toc166674956"/>
      <w:bookmarkStart w:id="178" w:name="_Toc166675471"/>
      <w:bookmarkStart w:id="179" w:name="_Toc166675245"/>
      <w:r>
        <w:rPr>
          <w:b w:val="0"/>
          <w:snapToGrid w:val="0"/>
        </w:rPr>
        <w:t>Division 8 — Expiry of exploration licence</w:t>
      </w:r>
      <w:bookmarkEnd w:id="177"/>
      <w:bookmarkEnd w:id="178"/>
      <w:bookmarkEnd w:id="179"/>
    </w:p>
    <w:p>
      <w:pPr>
        <w:pStyle w:val="Heading5"/>
        <w:spacing w:before="180"/>
        <w:rPr>
          <w:snapToGrid w:val="0"/>
        </w:rPr>
      </w:pPr>
      <w:bookmarkStart w:id="180" w:name="_Toc166675248"/>
      <w:r>
        <w:rPr>
          <w:rStyle w:val="CharSectno"/>
        </w:rPr>
        <w:t>126</w:t>
      </w:r>
      <w:r>
        <w:rPr>
          <w:snapToGrid w:val="0"/>
        </w:rPr>
        <w:t>.</w:t>
      </w:r>
      <w:r>
        <w:rPr>
          <w:snapToGrid w:val="0"/>
        </w:rPr>
        <w:tab/>
        <w:t>General</w:t>
      </w:r>
      <w:bookmarkEnd w:id="180"/>
      <w:r>
        <w:rPr>
          <w:snapToGrid w:val="0"/>
        </w:rPr>
        <w:t xml:space="preserve"> </w:t>
      </w:r>
    </w:p>
    <w:p>
      <w:pPr>
        <w:pStyle w:val="Subsection"/>
        <w:spacing w:before="120"/>
        <w:rPr>
          <w:snapToGrid w:val="0"/>
        </w:rPr>
      </w:pPr>
      <w:r>
        <w:rPr>
          <w:snapToGrid w:val="0"/>
        </w:rPr>
        <w:tab/>
        <w:t>(1)</w:t>
      </w:r>
      <w:r>
        <w:rPr>
          <w:snapToGrid w:val="0"/>
        </w:rPr>
        <w:tab/>
        <w:t>An exploration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spacing w:before="60"/>
        <w:rPr>
          <w:snapToGrid w:val="0"/>
        </w:rPr>
      </w:pPr>
      <w:r>
        <w:rPr>
          <w:snapToGrid w:val="0"/>
        </w:rPr>
        <w:tab/>
        <w:t>(b)</w:t>
      </w:r>
      <w:r>
        <w:rPr>
          <w:snapToGrid w:val="0"/>
        </w:rPr>
        <w:tab/>
        <w:t>the licence holder surrenders the licence; or</w:t>
      </w:r>
    </w:p>
    <w:p>
      <w:pPr>
        <w:pStyle w:val="Indenta"/>
        <w:spacing w:before="60"/>
        <w:rPr>
          <w:snapToGrid w:val="0"/>
        </w:rPr>
      </w:pPr>
      <w:r>
        <w:rPr>
          <w:snapToGrid w:val="0"/>
        </w:rPr>
        <w:tab/>
        <w:t>(c)</w:t>
      </w:r>
      <w:r>
        <w:rPr>
          <w:snapToGrid w:val="0"/>
        </w:rPr>
        <w:tab/>
        <w:t>a retention licence is granted over the blocks in the licence area of the exploration licence; or</w:t>
      </w:r>
    </w:p>
    <w:p>
      <w:pPr>
        <w:pStyle w:val="Indenta"/>
        <w:spacing w:before="60"/>
        <w:rPr>
          <w:snapToGrid w:val="0"/>
        </w:rPr>
      </w:pPr>
      <w:r>
        <w:rPr>
          <w:snapToGrid w:val="0"/>
        </w:rPr>
        <w:tab/>
        <w:t>(d)</w:t>
      </w:r>
      <w:r>
        <w:rPr>
          <w:snapToGrid w:val="0"/>
        </w:rPr>
        <w:tab/>
        <w:t>a mining licence is granted over the blocks in the licence area of the exploration licence; or</w:t>
      </w:r>
    </w:p>
    <w:p>
      <w:pPr>
        <w:pStyle w:val="Indenta"/>
        <w:spacing w:before="60"/>
        <w:rPr>
          <w:snapToGrid w:val="0"/>
        </w:rPr>
      </w:pPr>
      <w:r>
        <w:rPr>
          <w:snapToGrid w:val="0"/>
        </w:rPr>
        <w:tab/>
        <w:t>(e)</w:t>
      </w:r>
      <w:r>
        <w:rPr>
          <w:snapToGrid w:val="0"/>
        </w:rPr>
        <w:tab/>
        <w:t>the licence is cancelled.</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Division 6. For paragraph (b) see section 127. For paragraph (c) see section 128. For paragraph (d) see section 129. For paragraph (e) see section 130.</w:t>
      </w:r>
    </w:p>
    <w:p>
      <w:pPr>
        <w:pStyle w:val="Subsection"/>
        <w:spacing w:before="120"/>
        <w:rPr>
          <w:snapToGrid w:val="0"/>
        </w:rPr>
      </w:pPr>
      <w:r>
        <w:rPr>
          <w:snapToGrid w:val="0"/>
        </w:rPr>
        <w:lastRenderedPageBreak/>
        <w:tab/>
        <w:t>(2)</w:t>
      </w:r>
      <w:r>
        <w:rPr>
          <w:snapToGrid w:val="0"/>
        </w:rPr>
        <w:tab/>
        <w:t>In subsection (1)(a) the reference to the term of the licence includes any period during which the licence is in force under section 90, 91, 92 or 93.</w:t>
      </w:r>
    </w:p>
    <w:p>
      <w:pPr>
        <w:pStyle w:val="Heading5"/>
        <w:spacing w:before="180"/>
        <w:rPr>
          <w:snapToGrid w:val="0"/>
        </w:rPr>
      </w:pPr>
      <w:bookmarkStart w:id="181" w:name="_Toc166675249"/>
      <w:r>
        <w:rPr>
          <w:rStyle w:val="CharSectno"/>
        </w:rPr>
        <w:t>127</w:t>
      </w:r>
      <w:r>
        <w:rPr>
          <w:snapToGrid w:val="0"/>
        </w:rPr>
        <w:t>.</w:t>
      </w:r>
      <w:r>
        <w:rPr>
          <w:snapToGrid w:val="0"/>
        </w:rPr>
        <w:tab/>
        <w:t>Voluntary surrender of exploration licence</w:t>
      </w:r>
      <w:bookmarkEnd w:id="181"/>
      <w:r>
        <w:rPr>
          <w:snapToGrid w:val="0"/>
        </w:rPr>
        <w:t xml:space="preserve"> </w:t>
      </w:r>
    </w:p>
    <w:p>
      <w:pPr>
        <w:pStyle w:val="Subsection"/>
        <w:spacing w:before="120"/>
        <w:rPr>
          <w:snapToGrid w:val="0"/>
        </w:rPr>
      </w:pPr>
      <w:r>
        <w:rPr>
          <w:snapToGrid w:val="0"/>
        </w:rPr>
        <w:tab/>
      </w:r>
      <w:r>
        <w:rPr>
          <w:snapToGrid w:val="0"/>
        </w:rPr>
        <w:tab/>
        <w:t>An exploration licence holder may surrender the licence.</w:t>
      </w:r>
    </w:p>
    <w:p>
      <w:pPr>
        <w:tabs>
          <w:tab w:val="left" w:pos="851"/>
        </w:tabs>
        <w:spacing w:before="120"/>
        <w:ind w:left="851" w:hanging="851"/>
        <w:rPr>
          <w:snapToGrid w:val="0"/>
          <w:sz w:val="18"/>
        </w:rPr>
      </w:pPr>
      <w:r>
        <w:rPr>
          <w:snapToGrid w:val="0"/>
          <w:sz w:val="18"/>
        </w:rPr>
        <w:t>Note 1:</w:t>
      </w:r>
      <w:r>
        <w:rPr>
          <w:snapToGrid w:val="0"/>
          <w:sz w:val="18"/>
        </w:rPr>
        <w:tab/>
        <w:t>See Division 5 for voluntary surrender of part of a licence area.</w:t>
      </w:r>
    </w:p>
    <w:p>
      <w:pPr>
        <w:tabs>
          <w:tab w:val="left" w:pos="851"/>
        </w:tabs>
        <w:spacing w:before="120"/>
        <w:ind w:left="851" w:hanging="851"/>
        <w:rPr>
          <w:snapToGrid w:val="0"/>
          <w:sz w:val="18"/>
        </w:rPr>
      </w:pPr>
      <w:r>
        <w:rPr>
          <w:snapToGrid w:val="0"/>
          <w:sz w:val="18"/>
        </w:rPr>
        <w:t xml:space="preserve">Note 2: </w:t>
      </w:r>
      <w:r>
        <w:rPr>
          <w:snapToGrid w:val="0"/>
          <w:sz w:val="18"/>
        </w:rPr>
        <w:tab/>
        <w:t>The surrender takes effect when it is registered under section 337 (see section 337(5)).</w:t>
      </w:r>
    </w:p>
    <w:p>
      <w:pPr>
        <w:pStyle w:val="Heading5"/>
        <w:spacing w:before="180"/>
        <w:rPr>
          <w:snapToGrid w:val="0"/>
        </w:rPr>
      </w:pPr>
      <w:bookmarkStart w:id="182" w:name="_Toc166675250"/>
      <w:r>
        <w:rPr>
          <w:rStyle w:val="CharSectno"/>
        </w:rPr>
        <w:t>128</w:t>
      </w:r>
      <w:r>
        <w:rPr>
          <w:snapToGrid w:val="0"/>
        </w:rPr>
        <w:t>.</w:t>
      </w:r>
      <w:r>
        <w:rPr>
          <w:snapToGrid w:val="0"/>
        </w:rPr>
        <w:tab/>
        <w:t>Automatic expiry of exploration licence when retention licence takes effect</w:t>
      </w:r>
      <w:bookmarkEnd w:id="182"/>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is in force; and</w:t>
      </w:r>
    </w:p>
    <w:p>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pPr>
        <w:pStyle w:val="Subsection"/>
        <w:spacing w:before="80"/>
        <w:rPr>
          <w:snapToGrid w:val="0"/>
        </w:rPr>
      </w:pPr>
      <w:r>
        <w:rPr>
          <w:snapToGrid w:val="0"/>
        </w:rPr>
        <w:tab/>
      </w:r>
      <w:r>
        <w:rPr>
          <w:snapToGrid w:val="0"/>
        </w:rPr>
        <w:tab/>
        <w:t>the exploration licence expires in relation to the blocks covered by the retention licence.</w:t>
      </w:r>
    </w:p>
    <w:p>
      <w:pPr>
        <w:pStyle w:val="Heading5"/>
        <w:rPr>
          <w:snapToGrid w:val="0"/>
        </w:rPr>
      </w:pPr>
      <w:bookmarkStart w:id="183" w:name="_Toc166675251"/>
      <w:r>
        <w:rPr>
          <w:rStyle w:val="CharSectno"/>
        </w:rPr>
        <w:t>129</w:t>
      </w:r>
      <w:r>
        <w:rPr>
          <w:snapToGrid w:val="0"/>
        </w:rPr>
        <w:t>.</w:t>
      </w:r>
      <w:r>
        <w:rPr>
          <w:snapToGrid w:val="0"/>
        </w:rPr>
        <w:tab/>
        <w:t>Automatic expiry of exploration licence when mining licence takes effect</w:t>
      </w:r>
      <w:bookmarkEnd w:id="18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is in force; and</w:t>
      </w:r>
    </w:p>
    <w:p>
      <w:pPr>
        <w:pStyle w:val="Indenta"/>
        <w:keepNext/>
        <w:rPr>
          <w:snapToGrid w:val="0"/>
        </w:rPr>
      </w:pPr>
      <w:r>
        <w:rPr>
          <w:snapToGrid w:val="0"/>
        </w:rPr>
        <w:tab/>
        <w:t>(b)</w:t>
      </w:r>
      <w:r>
        <w:rPr>
          <w:snapToGrid w:val="0"/>
        </w:rPr>
        <w:tab/>
        <w:t>a mining licence over all or some of the blocks in the exploration licence area comes into force under section 232,</w:t>
      </w:r>
    </w:p>
    <w:p>
      <w:pPr>
        <w:pStyle w:val="Subsection"/>
        <w:keepNext/>
        <w:keepLines/>
        <w:rPr>
          <w:snapToGrid w:val="0"/>
        </w:rPr>
      </w:pPr>
      <w:r>
        <w:rPr>
          <w:snapToGrid w:val="0"/>
        </w:rPr>
        <w:tab/>
      </w:r>
      <w:r>
        <w:rPr>
          <w:snapToGrid w:val="0"/>
        </w:rPr>
        <w:tab/>
        <w:t>the exploration licence expires in relation to the blocks covered by the mining licence.</w:t>
      </w:r>
    </w:p>
    <w:p>
      <w:pPr>
        <w:pStyle w:val="Heading5"/>
        <w:rPr>
          <w:snapToGrid w:val="0"/>
        </w:rPr>
      </w:pPr>
      <w:bookmarkStart w:id="184" w:name="_Toc166675252"/>
      <w:r>
        <w:rPr>
          <w:rStyle w:val="CharSectno"/>
        </w:rPr>
        <w:t>130</w:t>
      </w:r>
      <w:r>
        <w:rPr>
          <w:snapToGrid w:val="0"/>
        </w:rPr>
        <w:t>.</w:t>
      </w:r>
      <w:r>
        <w:rPr>
          <w:snapToGrid w:val="0"/>
        </w:rPr>
        <w:tab/>
        <w:t>Cancellation of exploration licence</w:t>
      </w:r>
      <w:bookmarkEnd w:id="184"/>
      <w:r>
        <w:rPr>
          <w:snapToGrid w:val="0"/>
        </w:rPr>
        <w:t xml:space="preserve"> </w:t>
      </w:r>
    </w:p>
    <w:p>
      <w:pPr>
        <w:pStyle w:val="Subsection"/>
        <w:rPr>
          <w:snapToGrid w:val="0"/>
        </w:rPr>
      </w:pPr>
      <w:r>
        <w:rPr>
          <w:snapToGrid w:val="0"/>
        </w:rPr>
        <w:tab/>
        <w:t>(1)</w:t>
      </w:r>
      <w:r>
        <w:rPr>
          <w:snapToGrid w:val="0"/>
        </w:rPr>
        <w:tab/>
        <w:t>Subject to subsection (5), the Minister may cancel an exploration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lastRenderedPageBreak/>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given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85" w:name="_Toc166675253"/>
      <w:r>
        <w:rPr>
          <w:rStyle w:val="CharSectno"/>
        </w:rPr>
        <w:lastRenderedPageBreak/>
        <w:t>131</w:t>
      </w:r>
      <w:r>
        <w:rPr>
          <w:snapToGrid w:val="0"/>
        </w:rPr>
        <w:t>.</w:t>
      </w:r>
      <w:r>
        <w:rPr>
          <w:snapToGrid w:val="0"/>
        </w:rPr>
        <w:tab/>
        <w:t>Obligations of former exploration licence holders and former associates</w:t>
      </w:r>
      <w:bookmarkEnd w:id="185"/>
      <w:r>
        <w:rPr>
          <w:snapToGrid w:val="0"/>
        </w:rPr>
        <w:t xml:space="preserve"> </w:t>
      </w:r>
    </w:p>
    <w:p>
      <w:pPr>
        <w:pStyle w:val="Subsection"/>
        <w:keepNext/>
        <w:keepLines/>
        <w:rPr>
          <w:snapToGrid w:val="0"/>
        </w:rPr>
      </w:pPr>
      <w:r>
        <w:rPr>
          <w:snapToGrid w:val="0"/>
        </w:rPr>
        <w:tab/>
        <w:t>(1)</w:t>
      </w:r>
      <w:r>
        <w:rPr>
          <w:snapToGrid w:val="0"/>
        </w:rPr>
        <w:tab/>
        <w:t>Subject to subsection (4), if — </w:t>
      </w:r>
    </w:p>
    <w:p>
      <w:pPr>
        <w:pStyle w:val="Indenta"/>
        <w:keepNext/>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an exploration licence holder; or</w:t>
      </w:r>
    </w:p>
    <w:p>
      <w:pPr>
        <w:pStyle w:val="Indenti"/>
        <w:rPr>
          <w:snapToGrid w:val="0"/>
        </w:rPr>
      </w:pPr>
      <w:r>
        <w:rPr>
          <w:snapToGrid w:val="0"/>
        </w:rPr>
        <w:tab/>
        <w:t>(ii)</w:t>
      </w:r>
      <w:r>
        <w:rPr>
          <w:snapToGrid w:val="0"/>
        </w:rPr>
        <w:tab/>
        <w:t xml:space="preserve">an associate of an exploration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lastRenderedPageBreak/>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186" w:name="_Toc166674963"/>
      <w:bookmarkStart w:id="187" w:name="_Toc166675478"/>
      <w:bookmarkStart w:id="188" w:name="_Toc166675254"/>
      <w:r>
        <w:rPr>
          <w:rStyle w:val="CharDivNo"/>
        </w:rPr>
        <w:lastRenderedPageBreak/>
        <w:t>Part 2.3</w:t>
      </w:r>
      <w:r>
        <w:rPr>
          <w:snapToGrid w:val="0"/>
        </w:rPr>
        <w:t xml:space="preserve"> — </w:t>
      </w:r>
      <w:r>
        <w:rPr>
          <w:rStyle w:val="CharDivText"/>
        </w:rPr>
        <w:t>Retention licences</w:t>
      </w:r>
      <w:bookmarkEnd w:id="186"/>
      <w:bookmarkEnd w:id="187"/>
      <w:bookmarkEnd w:id="188"/>
    </w:p>
    <w:p>
      <w:pPr>
        <w:pStyle w:val="Heading4"/>
        <w:rPr>
          <w:b w:val="0"/>
        </w:rPr>
      </w:pPr>
      <w:bookmarkStart w:id="189" w:name="_Toc166674964"/>
      <w:bookmarkStart w:id="190" w:name="_Toc166675479"/>
      <w:bookmarkStart w:id="191" w:name="_Toc166675255"/>
      <w:r>
        <w:rPr>
          <w:b w:val="0"/>
        </w:rPr>
        <w:t>Division 1 — General</w:t>
      </w:r>
      <w:bookmarkEnd w:id="189"/>
      <w:bookmarkEnd w:id="190"/>
      <w:bookmarkEnd w:id="191"/>
    </w:p>
    <w:p>
      <w:pPr>
        <w:pStyle w:val="Heading5"/>
        <w:rPr>
          <w:snapToGrid w:val="0"/>
        </w:rPr>
      </w:pPr>
      <w:bookmarkStart w:id="192" w:name="_Toc166675257"/>
      <w:r>
        <w:rPr>
          <w:rStyle w:val="CharSectno"/>
        </w:rPr>
        <w:t>132</w:t>
      </w:r>
      <w:r>
        <w:rPr>
          <w:snapToGrid w:val="0"/>
        </w:rPr>
        <w:t>.</w:t>
      </w:r>
      <w:r>
        <w:rPr>
          <w:snapToGrid w:val="0"/>
        </w:rPr>
        <w:tab/>
        <w:t>Retention licences</w:t>
      </w:r>
      <w:bookmarkEnd w:id="192"/>
      <w:r>
        <w:rPr>
          <w:snapToGrid w:val="0"/>
        </w:rPr>
        <w:t xml:space="preserve"> </w:t>
      </w:r>
    </w:p>
    <w:p>
      <w:pPr>
        <w:pStyle w:val="Subsection"/>
        <w:rPr>
          <w:snapToGrid w:val="0"/>
        </w:rPr>
      </w:pPr>
      <w:r>
        <w:rPr>
          <w:snapToGrid w:val="0"/>
        </w:rPr>
        <w:tab/>
      </w:r>
      <w:r>
        <w:rPr>
          <w:snapToGrid w:val="0"/>
        </w:rPr>
        <w:tab/>
        <w:t>This Part provides for the grant of retention licences over blocks in coastal waters.</w:t>
      </w:r>
    </w:p>
    <w:p>
      <w:pPr>
        <w:pStyle w:val="PermNoteHeading"/>
      </w:pPr>
      <w:r>
        <w:tab/>
        <w:t>Note:</w:t>
      </w:r>
    </w:p>
    <w:p>
      <w:pPr>
        <w:pStyle w:val="PermNoteText"/>
      </w:pPr>
      <w:r>
        <w:tab/>
      </w:r>
      <w:r>
        <w:tab/>
        <w:t>A retention licence is designed to allow an exploration licence holder to retain rights over an area if — </w:t>
      </w:r>
    </w:p>
    <w:p>
      <w:pPr>
        <w:pStyle w:val="PermNotePara"/>
      </w:pPr>
      <w:r>
        <w:tab/>
        <w:t>1.</w:t>
      </w:r>
      <w:r>
        <w:tab/>
      </w:r>
      <w:r>
        <w:rPr>
          <w:snapToGrid w:val="0"/>
        </w:rPr>
        <w:t>the holder has identified and evaluated a significant mineral deposit in the exploration licence area; and</w:t>
      </w:r>
    </w:p>
    <w:p>
      <w:pPr>
        <w:pStyle w:val="PermNotePara"/>
      </w:pPr>
      <w:r>
        <w:tab/>
        <w:t>2.</w:t>
      </w:r>
      <w:r>
        <w:tab/>
        <w:t>mining the deposit is not commercially viable in the short term; and</w:t>
      </w:r>
    </w:p>
    <w:p>
      <w:pPr>
        <w:pStyle w:val="PermNotePara"/>
      </w:pPr>
      <w:r>
        <w:tab/>
        <w:t>3.</w:t>
      </w:r>
      <w:r>
        <w:tab/>
        <w:t>there is a reasonable prospect of development of the deposit in the longer term.</w:t>
      </w:r>
    </w:p>
    <w:p>
      <w:pPr>
        <w:pStyle w:val="PermNoteText"/>
      </w:pPr>
      <w:r>
        <w:tab/>
      </w:r>
      <w:r>
        <w:tab/>
        <w:t>See section 145 for the grounds on which a retention licence may be granted.</w:t>
      </w:r>
    </w:p>
    <w:p>
      <w:pPr>
        <w:pStyle w:val="Heading5"/>
        <w:rPr>
          <w:snapToGrid w:val="0"/>
        </w:rPr>
      </w:pPr>
      <w:bookmarkStart w:id="193" w:name="_Toc166675258"/>
      <w:r>
        <w:rPr>
          <w:rStyle w:val="CharSectno"/>
        </w:rPr>
        <w:t>133</w:t>
      </w:r>
      <w:r>
        <w:rPr>
          <w:snapToGrid w:val="0"/>
        </w:rPr>
        <w:t>.</w:t>
      </w:r>
      <w:r>
        <w:rPr>
          <w:snapToGrid w:val="0"/>
        </w:rPr>
        <w:tab/>
        <w:t>Activities authorised by a retention licence</w:t>
      </w:r>
      <w:bookmarkEnd w:id="193"/>
      <w:r>
        <w:rPr>
          <w:snapToGrid w:val="0"/>
        </w:rPr>
        <w:t xml:space="preserve"> </w:t>
      </w:r>
    </w:p>
    <w:p>
      <w:pPr>
        <w:pStyle w:val="Subsection"/>
        <w:rPr>
          <w:snapToGrid w:val="0"/>
        </w:rPr>
      </w:pPr>
      <w:r>
        <w:rPr>
          <w:snapToGrid w:val="0"/>
        </w:rPr>
        <w:tab/>
        <w:t>(1)</w:t>
      </w:r>
      <w:r>
        <w:rPr>
          <w:snapToGrid w:val="0"/>
        </w:rPr>
        <w:tab/>
        <w:t>Subject to subsections (2) and (3), a retention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recover minerals in the licence area.</w:t>
      </w:r>
    </w:p>
    <w:p>
      <w:pPr>
        <w:pStyle w:val="PermNoteHeading"/>
      </w:pPr>
      <w:r>
        <w:tab/>
        <w:t>Note:</w:t>
      </w:r>
    </w:p>
    <w:p>
      <w:pPr>
        <w:pStyle w:val="PermNoteText"/>
      </w:pPr>
      <w:r>
        <w:tab/>
        <w:t>1.</w:t>
      </w:r>
      <w:r>
        <w:tab/>
      </w:r>
      <w:r>
        <w:rPr>
          <w:snapToGrid w:val="0"/>
        </w:rPr>
        <w:t>The retention licence may specify a restricted range of activities that are the only ones authorised by the licence (see section 146(3)).</w:t>
      </w:r>
    </w:p>
    <w:p>
      <w:pPr>
        <w:pStyle w:val="PermNoteText"/>
      </w:pPr>
      <w:r>
        <w:tab/>
        <w:t>2.</w:t>
      </w:r>
      <w:r>
        <w:tab/>
        <w:t>Under section 23(1) the concept of “exploration” extends to activities that are directly related to exploration.</w:t>
      </w:r>
    </w:p>
    <w:p>
      <w:pPr>
        <w:pStyle w:val="PermNoteText"/>
      </w:pPr>
      <w:r>
        <w:tab/>
        <w:t>3.</w:t>
      </w:r>
      <w:r>
        <w:tab/>
        <w:t>Under section 24(1) the concept of “recovery” extends to activities that are directly related to the recovery of minerals.</w:t>
      </w:r>
    </w:p>
    <w:p>
      <w:pPr>
        <w:pStyle w:val="PermNoteText"/>
      </w:pPr>
      <w:r>
        <w:tab/>
        <w:t>4.</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lastRenderedPageBreak/>
        <w:tab/>
        <w:t>(2)</w:t>
      </w:r>
      <w:r>
        <w:rPr>
          <w:snapToGrid w:val="0"/>
        </w:rPr>
        <w:tab/>
        <w:t>A retention licence does not authorise the recovery of minerals as part of a commercial mining operation.</w:t>
      </w:r>
    </w:p>
    <w:p>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Heading5"/>
        <w:rPr>
          <w:snapToGrid w:val="0"/>
        </w:rPr>
      </w:pPr>
      <w:bookmarkStart w:id="194" w:name="_Toc166675259"/>
      <w:r>
        <w:rPr>
          <w:rStyle w:val="CharSectno"/>
        </w:rPr>
        <w:t>134</w:t>
      </w:r>
      <w:r>
        <w:rPr>
          <w:snapToGrid w:val="0"/>
        </w:rPr>
        <w:t>.</w:t>
      </w:r>
      <w:r>
        <w:rPr>
          <w:snapToGrid w:val="0"/>
        </w:rPr>
        <w:tab/>
        <w:t>Minister may cancel or not renew retention licence without compensation</w:t>
      </w:r>
      <w:bookmarkEnd w:id="194"/>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PermNoteHeading"/>
      </w:pPr>
      <w:r>
        <w:tab/>
        <w:t>Note:</w:t>
      </w:r>
    </w:p>
    <w:p>
      <w:pPr>
        <w:pStyle w:val="PermNoteText"/>
      </w:pPr>
      <w:r>
        <w:tab/>
        <w:t>1.</w:t>
      </w:r>
      <w:r>
        <w:tab/>
      </w:r>
      <w:r>
        <w:rPr>
          <w:snapToGrid w:val="0"/>
        </w:rPr>
        <w:t>The Minister may cancel the licence under section 189 or 190.</w:t>
      </w:r>
    </w:p>
    <w:p>
      <w:pPr>
        <w:pStyle w:val="PermNoteText"/>
      </w:pPr>
      <w:r>
        <w:tab/>
        <w:t>2.</w:t>
      </w:r>
      <w:r>
        <w:tab/>
        <w:t>The Minister may refuse under section 165 to renew the licence.</w:t>
      </w:r>
    </w:p>
    <w:p>
      <w:pPr>
        <w:pStyle w:val="Heading5"/>
        <w:rPr>
          <w:snapToGrid w:val="0"/>
        </w:rPr>
      </w:pPr>
      <w:bookmarkStart w:id="195" w:name="_Toc166675260"/>
      <w:r>
        <w:rPr>
          <w:rStyle w:val="CharSectno"/>
        </w:rPr>
        <w:t>135</w:t>
      </w:r>
      <w:r>
        <w:rPr>
          <w:snapToGrid w:val="0"/>
        </w:rPr>
        <w:t>.</w:t>
      </w:r>
      <w:r>
        <w:rPr>
          <w:snapToGrid w:val="0"/>
        </w:rPr>
        <w:tab/>
        <w:t>Licence rights may be suspended</w:t>
      </w:r>
      <w:bookmarkEnd w:id="195"/>
      <w:r>
        <w:rPr>
          <w:snapToGrid w:val="0"/>
        </w:rPr>
        <w:t xml:space="preserve"> </w:t>
      </w:r>
    </w:p>
    <w:p>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retention licence; or</w:t>
      </w:r>
    </w:p>
    <w:p>
      <w:pPr>
        <w:pStyle w:val="Indenta"/>
        <w:keepNext/>
        <w:rPr>
          <w:snapToGrid w:val="0"/>
        </w:rPr>
      </w:pPr>
      <w:r>
        <w:rPr>
          <w:snapToGrid w:val="0"/>
        </w:rPr>
        <w:lastRenderedPageBreak/>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PermNoteHeading"/>
      </w:pPr>
      <w:r>
        <w:tab/>
        <w:t>Note:</w:t>
      </w:r>
    </w:p>
    <w:p>
      <w:pPr>
        <w:pStyle w:val="PermNoteText"/>
      </w:pPr>
      <w:r>
        <w:tab/>
      </w:r>
      <w:r>
        <w:tab/>
      </w:r>
      <w:r>
        <w:rPr>
          <w:snapToGrid w:val="0"/>
        </w:rPr>
        <w:t>See section 181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96" w:name="_Toc166675261"/>
      <w:r>
        <w:rPr>
          <w:rStyle w:val="CharSectno"/>
        </w:rPr>
        <w:t>136</w:t>
      </w:r>
      <w:r>
        <w:rPr>
          <w:snapToGrid w:val="0"/>
        </w:rPr>
        <w:t>.</w:t>
      </w:r>
      <w:r>
        <w:rPr>
          <w:snapToGrid w:val="0"/>
        </w:rPr>
        <w:tab/>
        <w:t>Compensation for acquisition of property due to suspension of rights</w:t>
      </w:r>
      <w:bookmarkEnd w:id="19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lastRenderedPageBreak/>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197" w:name="_Toc166674970"/>
      <w:bookmarkStart w:id="198" w:name="_Toc166675485"/>
      <w:bookmarkStart w:id="199" w:name="_Toc166675262"/>
      <w:r>
        <w:rPr>
          <w:b w:val="0"/>
        </w:rPr>
        <w:t>Division 2 — Application for and grant of retention licence</w:t>
      </w:r>
      <w:bookmarkEnd w:id="197"/>
      <w:bookmarkEnd w:id="198"/>
      <w:bookmarkEnd w:id="199"/>
    </w:p>
    <w:p>
      <w:pPr>
        <w:pStyle w:val="Heading5"/>
        <w:rPr>
          <w:snapToGrid w:val="0"/>
        </w:rPr>
      </w:pPr>
      <w:bookmarkStart w:id="200" w:name="_Toc166675263"/>
      <w:r>
        <w:rPr>
          <w:rStyle w:val="CharSectno"/>
        </w:rPr>
        <w:t>137</w:t>
      </w:r>
      <w:r>
        <w:rPr>
          <w:snapToGrid w:val="0"/>
        </w:rPr>
        <w:t>.</w:t>
      </w:r>
      <w:r>
        <w:rPr>
          <w:snapToGrid w:val="0"/>
        </w:rPr>
        <w:tab/>
        <w:t>Application for retention licence</w:t>
      </w:r>
      <w:bookmarkEnd w:id="200"/>
      <w:r>
        <w:rPr>
          <w:snapToGrid w:val="0"/>
        </w:rPr>
        <w:t xml:space="preserve"> </w:t>
      </w:r>
    </w:p>
    <w:p>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Subsection"/>
        <w:rPr>
          <w:snapToGrid w:val="0"/>
        </w:rPr>
      </w:pPr>
      <w:r>
        <w:rPr>
          <w:snapToGrid w:val="0"/>
        </w:rPr>
        <w:tab/>
        <w:t>(2)</w:t>
      </w:r>
      <w:r>
        <w:rPr>
          <w:snapToGrid w:val="0"/>
        </w:rPr>
        <w:tab/>
        <w:t>A person may apply for a retention licence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Heading5"/>
        <w:rPr>
          <w:snapToGrid w:val="0"/>
        </w:rPr>
      </w:pPr>
      <w:bookmarkStart w:id="201" w:name="_Toc166675264"/>
      <w:r>
        <w:rPr>
          <w:rStyle w:val="CharSectno"/>
        </w:rPr>
        <w:t>138</w:t>
      </w:r>
      <w:r>
        <w:rPr>
          <w:snapToGrid w:val="0"/>
        </w:rPr>
        <w:t>.</w:t>
      </w:r>
      <w:r>
        <w:rPr>
          <w:snapToGrid w:val="0"/>
        </w:rPr>
        <w:tab/>
        <w:t>How to apply</w:t>
      </w:r>
      <w:bookmarkEnd w:id="201"/>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lastRenderedPageBreak/>
        <w:tab/>
        <w:t>(d)</w:t>
      </w:r>
      <w:r>
        <w:rPr>
          <w:snapToGrid w:val="0"/>
        </w:rPr>
        <w:tab/>
        <w:t>include details of — </w:t>
      </w:r>
    </w:p>
    <w:p>
      <w:pPr>
        <w:pStyle w:val="Indenti"/>
        <w:keepNext/>
        <w:keepLines/>
        <w:rPr>
          <w:snapToGrid w:val="0"/>
        </w:rPr>
      </w:pPr>
      <w:r>
        <w:rPr>
          <w:snapToGrid w:val="0"/>
        </w:rPr>
        <w:tab/>
        <w:t>(i)</w:t>
      </w:r>
      <w:r>
        <w:rPr>
          <w:snapToGrid w:val="0"/>
        </w:rPr>
        <w:tab/>
        <w:t>the reasons why the applicant is applying for a retention licence rather than a mining licence; and</w:t>
      </w:r>
    </w:p>
    <w:p>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Indenti"/>
        <w:rPr>
          <w:snapToGrid w:val="0"/>
        </w:rPr>
      </w:pPr>
      <w:r>
        <w:rPr>
          <w:snapToGrid w:val="0"/>
        </w:rPr>
        <w:tab/>
        <w:t>(iii)</w:t>
      </w:r>
      <w:r>
        <w:rPr>
          <w:snapToGrid w:val="0"/>
        </w:rPr>
        <w:tab/>
        <w:t>the applicant’s assessment of the present and potential commercial viability of the mineral deposit; and</w:t>
      </w:r>
    </w:p>
    <w:p>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Indenti"/>
        <w:rPr>
          <w:snapToGrid w:val="0"/>
        </w:rPr>
      </w:pPr>
      <w:r>
        <w:rPr>
          <w:snapToGrid w:val="0"/>
        </w:rPr>
        <w:tab/>
        <w:t>(vi)</w:t>
      </w:r>
      <w:r>
        <w:rPr>
          <w:snapToGrid w:val="0"/>
        </w:rPr>
        <w:tab/>
        <w:t>the activities that the applicant intends to carry out on the blocks covered by the application; and</w:t>
      </w:r>
    </w:p>
    <w:p>
      <w:pPr>
        <w:pStyle w:val="Indenti"/>
        <w:rPr>
          <w:snapToGrid w:val="0"/>
        </w:rPr>
      </w:pPr>
      <w:r>
        <w:rPr>
          <w:snapToGrid w:val="0"/>
        </w:rPr>
        <w:tab/>
        <w:t>(vii)</w:t>
      </w:r>
      <w:r>
        <w:rPr>
          <w:snapToGrid w:val="0"/>
        </w:rPr>
        <w:tab/>
        <w:t>the amount of money that the applicant intends to spend on and in connection with those activities; and</w:t>
      </w:r>
    </w:p>
    <w:p>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(ix)</w:t>
      </w:r>
      <w:r>
        <w:rPr>
          <w:snapToGrid w:val="0"/>
        </w:rPr>
        <w:tab/>
        <w:t>the technical advice available to the applicant; and</w:t>
      </w:r>
    </w:p>
    <w:p>
      <w:pPr>
        <w:pStyle w:val="Indenti"/>
        <w:rPr>
          <w:snapToGrid w:val="0"/>
        </w:rPr>
      </w:pPr>
      <w:r>
        <w:rPr>
          <w:snapToGrid w:val="0"/>
        </w:rPr>
        <w:tab/>
        <w:t>(x)</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lastRenderedPageBreak/>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pPr>
      <w:r>
        <w:tab/>
      </w:r>
      <w:r>
        <w:tab/>
      </w:r>
      <w:r>
        <w:rPr>
          <w:snapToGrid w:val="0"/>
        </w:rPr>
        <w:t>For paragraphs (a) and (b) see section 41.</w:t>
      </w:r>
    </w:p>
    <w:p>
      <w:pPr>
        <w:pStyle w:val="Subsection"/>
        <w:rPr>
          <w:snapToGrid w:val="0"/>
        </w:rPr>
      </w:pPr>
      <w:r>
        <w:rPr>
          <w:snapToGrid w:val="0"/>
        </w:rPr>
        <w:tab/>
        <w:t>(2)</w:t>
      </w:r>
      <w:r>
        <w:rPr>
          <w:snapToGrid w:val="0"/>
        </w:rPr>
        <w:tab/>
        <w:t>The mineral deposit details given under subsection (1)(d)(ii) must include — </w:t>
      </w:r>
    </w:p>
    <w:p>
      <w:pPr>
        <w:pStyle w:val="Indenta"/>
        <w:rPr>
          <w:snapToGrid w:val="0"/>
        </w:rPr>
      </w:pPr>
      <w:r>
        <w:rPr>
          <w:snapToGrid w:val="0"/>
        </w:rPr>
        <w:tab/>
        <w:t>(a)</w:t>
      </w:r>
      <w:r>
        <w:rPr>
          <w:snapToGrid w:val="0"/>
        </w:rPr>
        <w:tab/>
        <w:t>a full description of the mineral deposit; and</w:t>
      </w:r>
    </w:p>
    <w:p>
      <w:pPr>
        <w:pStyle w:val="Indenta"/>
        <w:rPr>
          <w:snapToGrid w:val="0"/>
        </w:rPr>
      </w:pPr>
      <w:r>
        <w:rPr>
          <w:snapToGrid w:val="0"/>
        </w:rPr>
        <w:tab/>
        <w:t>(b)</w:t>
      </w:r>
      <w:r>
        <w:rPr>
          <w:snapToGrid w:val="0"/>
        </w:rPr>
        <w:tab/>
        <w:t>both factual information about the deposit and the applicant’s interpretation of the factual information.</w:t>
      </w:r>
    </w:p>
    <w:p>
      <w:pPr>
        <w:pStyle w:val="Subsection"/>
        <w:rPr>
          <w:snapToGrid w:val="0"/>
        </w:rPr>
      </w:pPr>
      <w:r>
        <w:rPr>
          <w:snapToGrid w:val="0"/>
        </w:rPr>
        <w:tab/>
        <w:t>(3)</w:t>
      </w:r>
      <w:r>
        <w:rPr>
          <w:snapToGrid w:val="0"/>
        </w:rPr>
        <w:tab/>
        <w:t>The applicant may include in the application any other information that the applicant thinks is relevant.</w:t>
      </w:r>
    </w:p>
    <w:p>
      <w:pPr>
        <w:pStyle w:val="Heading5"/>
        <w:rPr>
          <w:snapToGrid w:val="0"/>
        </w:rPr>
      </w:pPr>
      <w:bookmarkStart w:id="202" w:name="_Toc166675265"/>
      <w:r>
        <w:rPr>
          <w:rStyle w:val="CharSectno"/>
        </w:rPr>
        <w:t>139</w:t>
      </w:r>
      <w:r>
        <w:rPr>
          <w:snapToGrid w:val="0"/>
        </w:rPr>
        <w:t>.</w:t>
      </w:r>
      <w:r>
        <w:rPr>
          <w:snapToGrid w:val="0"/>
        </w:rPr>
        <w:tab/>
        <w:t>Payment of fee</w:t>
      </w:r>
      <w:bookmarkEnd w:id="20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03" w:name="_Toc166675266"/>
      <w:r>
        <w:rPr>
          <w:rStyle w:val="CharSectno"/>
        </w:rPr>
        <w:t>140</w:t>
      </w:r>
      <w:r>
        <w:rPr>
          <w:snapToGrid w:val="0"/>
        </w:rPr>
        <w:t>.</w:t>
      </w:r>
      <w:r>
        <w:rPr>
          <w:snapToGrid w:val="0"/>
        </w:rPr>
        <w:tab/>
        <w:t>Application must be advertised</w:t>
      </w:r>
      <w:bookmarkEnd w:id="203"/>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lastRenderedPageBreak/>
        <w:tab/>
        <w:t>(d)</w:t>
      </w:r>
      <w:r>
        <w:rPr>
          <w:snapToGrid w:val="0"/>
        </w:rPr>
        <w:tab/>
        <w:t>a statement that  — </w:t>
      </w:r>
    </w:p>
    <w:p>
      <w:pPr>
        <w:pStyle w:val="Indenti"/>
        <w:rPr>
          <w:snapToGrid w:val="0"/>
        </w:rPr>
      </w:pPr>
      <w:r>
        <w:rPr>
          <w:snapToGrid w:val="0"/>
        </w:rPr>
        <w:tab/>
        <w:t>(i)</w:t>
      </w:r>
      <w:r>
        <w:rPr>
          <w:snapToGrid w:val="0"/>
        </w:rPr>
        <w:tab/>
        <w:t>advises that the applicant has applied for a retention licence for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keepNext/>
        <w:keepLines/>
        <w:rPr>
          <w:snapToGrid w:val="0"/>
        </w:rPr>
      </w:pPr>
      <w:r>
        <w:rPr>
          <w:snapToGrid w:val="0"/>
        </w:rPr>
        <w:tab/>
        <w:t>(4)</w:t>
      </w:r>
      <w:r>
        <w:rPr>
          <w:snapToGrid w:val="0"/>
        </w:rPr>
        <w:tab/>
        <w:t>If — </w:t>
      </w:r>
    </w:p>
    <w:p>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204" w:name="_Toc166675267"/>
      <w:r>
        <w:rPr>
          <w:rStyle w:val="CharSectno"/>
        </w:rPr>
        <w:t>141</w:t>
      </w:r>
      <w:r>
        <w:rPr>
          <w:snapToGrid w:val="0"/>
        </w:rPr>
        <w:t>.</w:t>
      </w:r>
      <w:r>
        <w:rPr>
          <w:snapToGrid w:val="0"/>
        </w:rPr>
        <w:tab/>
        <w:t>Request for further information</w:t>
      </w:r>
      <w:bookmarkEnd w:id="204"/>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lastRenderedPageBreak/>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05" w:name="_Toc166675268"/>
      <w:r>
        <w:rPr>
          <w:rStyle w:val="CharSectno"/>
        </w:rPr>
        <w:t>142</w:t>
      </w:r>
      <w:r>
        <w:rPr>
          <w:snapToGrid w:val="0"/>
        </w:rPr>
        <w:t>.</w:t>
      </w:r>
      <w:r>
        <w:rPr>
          <w:snapToGrid w:val="0"/>
        </w:rPr>
        <w:tab/>
        <w:t>Section number not used</w:t>
      </w:r>
      <w:bookmarkEnd w:id="20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06" w:name="_Toc166675269"/>
      <w:r>
        <w:rPr>
          <w:rStyle w:val="CharSectno"/>
        </w:rPr>
        <w:t>143</w:t>
      </w:r>
      <w:r>
        <w:rPr>
          <w:snapToGrid w:val="0"/>
        </w:rPr>
        <w:t>.</w:t>
      </w:r>
      <w:r>
        <w:rPr>
          <w:snapToGrid w:val="0"/>
        </w:rPr>
        <w:tab/>
        <w:t>Minister may provisionally grant licence</w:t>
      </w:r>
      <w:bookmarkEnd w:id="206"/>
      <w:r>
        <w:rPr>
          <w:snapToGrid w:val="0"/>
        </w:rPr>
        <w:t xml:space="preserve"> </w:t>
      </w:r>
    </w:p>
    <w:p>
      <w:pPr>
        <w:pStyle w:val="Subsection"/>
        <w:rPr>
          <w:snapToGrid w:val="0"/>
        </w:rPr>
      </w:pPr>
      <w:r>
        <w:rPr>
          <w:snapToGrid w:val="0"/>
        </w:rPr>
        <w:tab/>
      </w:r>
      <w:r>
        <w:rPr>
          <w:snapToGrid w:val="0"/>
        </w:rPr>
        <w:tab/>
        <w:t>If the applicant does what is required by sections 138 to 141, the Minister may — </w:t>
      </w:r>
    </w:p>
    <w:p>
      <w:pPr>
        <w:pStyle w:val="Indenta"/>
        <w:rPr>
          <w:snapToGrid w:val="0"/>
        </w:rPr>
      </w:pPr>
      <w:r>
        <w:rPr>
          <w:snapToGrid w:val="0"/>
        </w:rPr>
        <w:tab/>
        <w:t>(a)</w:t>
      </w:r>
      <w:r>
        <w:rPr>
          <w:snapToGrid w:val="0"/>
        </w:rPr>
        <w:tab/>
        <w:t>subject to section 145, provisionally grant a retention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pPr>
      <w:r>
        <w:tab/>
      </w:r>
      <w:r>
        <w:tab/>
      </w:r>
      <w:r>
        <w:rPr>
          <w:snapToGrid w:val="0"/>
        </w:rPr>
        <w:t>Under section 154, the grant of the licence cannot be effective before it is registered (see section 333 for registration). The grant will not be registered until it has been properly accepted (see section 151 for “proper acceptance”).</w:t>
      </w:r>
    </w:p>
    <w:p>
      <w:pPr>
        <w:pStyle w:val="Heading5"/>
        <w:rPr>
          <w:snapToGrid w:val="0"/>
        </w:rPr>
      </w:pPr>
      <w:bookmarkStart w:id="207" w:name="_Toc166675271"/>
      <w:r>
        <w:rPr>
          <w:rStyle w:val="CharSectno"/>
        </w:rPr>
        <w:t>144</w:t>
      </w:r>
      <w:r>
        <w:rPr>
          <w:snapToGrid w:val="0"/>
        </w:rPr>
        <w:t>.</w:t>
      </w:r>
      <w:r>
        <w:rPr>
          <w:snapToGrid w:val="0"/>
        </w:rPr>
        <w:tab/>
        <w:t>Section number not used</w:t>
      </w:r>
      <w:bookmarkEnd w:id="207"/>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keepNext w:val="0"/>
        <w:keepLines w:val="0"/>
        <w:rPr>
          <w:snapToGrid w:val="0"/>
        </w:rPr>
      </w:pPr>
      <w:bookmarkStart w:id="208" w:name="_Toc166675272"/>
      <w:r>
        <w:rPr>
          <w:rStyle w:val="CharSectno"/>
        </w:rPr>
        <w:t>145</w:t>
      </w:r>
      <w:r>
        <w:rPr>
          <w:snapToGrid w:val="0"/>
        </w:rPr>
        <w:t>.</w:t>
      </w:r>
      <w:r>
        <w:rPr>
          <w:snapToGrid w:val="0"/>
        </w:rPr>
        <w:tab/>
        <w:t>Grounds for granting retention licence</w:t>
      </w:r>
      <w:bookmarkEnd w:id="208"/>
      <w:r>
        <w:rPr>
          <w:snapToGrid w:val="0"/>
        </w:rPr>
        <w:t xml:space="preserve"> </w:t>
      </w:r>
    </w:p>
    <w:p>
      <w:pPr>
        <w:pStyle w:val="Subsection"/>
        <w:spacing w:before="120"/>
        <w:rPr>
          <w:snapToGrid w:val="0"/>
        </w:rPr>
      </w:pPr>
      <w:r>
        <w:rPr>
          <w:snapToGrid w:val="0"/>
        </w:rPr>
        <w:tab/>
        <w:t>(1)</w:t>
      </w:r>
      <w:r>
        <w:rPr>
          <w:snapToGrid w:val="0"/>
        </w:rPr>
        <w:tab/>
        <w:t>The Minister may provisionally grant the retention licence only if the Minister is satisfied that — </w:t>
      </w:r>
    </w:p>
    <w:p>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pPr>
        <w:pStyle w:val="Indenta"/>
        <w:rPr>
          <w:snapToGrid w:val="0"/>
        </w:rPr>
      </w:pPr>
      <w:r>
        <w:rPr>
          <w:snapToGrid w:val="0"/>
        </w:rPr>
        <w:tab/>
        <w:t>(b)</w:t>
      </w:r>
      <w:r>
        <w:rPr>
          <w:snapToGrid w:val="0"/>
        </w:rPr>
        <w:tab/>
        <w:t>there are reasonable grounds for the holder not applying immediately for a mining licence.</w:t>
      </w:r>
    </w:p>
    <w:p>
      <w:pPr>
        <w:pStyle w:val="Subsection"/>
        <w:rPr>
          <w:snapToGrid w:val="0"/>
        </w:rPr>
      </w:pPr>
      <w:r>
        <w:rPr>
          <w:snapToGrid w:val="0"/>
        </w:rPr>
        <w:tab/>
        <w:t>(2)</w:t>
      </w:r>
      <w:r>
        <w:rPr>
          <w:snapToGrid w:val="0"/>
        </w:rPr>
        <w:tab/>
        <w:t>Without limiting subsection (1), reasonable grounds for not applying immediately for a mining licence include the following — </w:t>
      </w:r>
    </w:p>
    <w:p>
      <w:pPr>
        <w:pStyle w:val="Indenta"/>
        <w:rPr>
          <w:snapToGrid w:val="0"/>
        </w:rPr>
      </w:pPr>
      <w:r>
        <w:rPr>
          <w:snapToGrid w:val="0"/>
        </w:rPr>
        <w:lastRenderedPageBreak/>
        <w:tab/>
        <w:t>(a)</w:t>
      </w:r>
      <w:r>
        <w:rPr>
          <w:snapToGrid w:val="0"/>
        </w:rPr>
        <w:tab/>
        <w:t>the need to obtain government approvals (for example, relating to environmental protection) before mining activities can commence;</w:t>
      </w:r>
    </w:p>
    <w:p>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Indenta"/>
        <w:rPr>
          <w:snapToGrid w:val="0"/>
        </w:rPr>
      </w:pPr>
      <w:r>
        <w:rPr>
          <w:snapToGrid w:val="0"/>
        </w:rPr>
        <w:tab/>
        <w:t>(c)</w:t>
      </w:r>
      <w:r>
        <w:rPr>
          <w:snapToGrid w:val="0"/>
        </w:rPr>
        <w:tab/>
        <w:t>the need to develop technologies before mining activities can commence;</w:t>
      </w:r>
    </w:p>
    <w:p>
      <w:pPr>
        <w:pStyle w:val="Indenta"/>
        <w:rPr>
          <w:snapToGrid w:val="0"/>
        </w:rPr>
      </w:pPr>
      <w:r>
        <w:rPr>
          <w:snapToGrid w:val="0"/>
        </w:rPr>
        <w:tab/>
        <w:t>(d)</w:t>
      </w:r>
      <w:r>
        <w:rPr>
          <w:snapToGrid w:val="0"/>
        </w:rPr>
        <w:tab/>
        <w:t>the need to arrange finance, or to secure additional capital reserves, before mining activities can commence;</w:t>
      </w:r>
    </w:p>
    <w:p>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Indenta"/>
        <w:rPr>
          <w:snapToGrid w:val="0"/>
        </w:rPr>
      </w:pPr>
      <w:r>
        <w:rPr>
          <w:snapToGrid w:val="0"/>
        </w:rPr>
        <w:tab/>
        <w:t>(f)</w:t>
      </w:r>
      <w:r>
        <w:rPr>
          <w:snapToGrid w:val="0"/>
        </w:rPr>
        <w:tab/>
        <w:t>the existence of political considerations that effectively preclude mining activities in the immediate future.</w:t>
      </w:r>
    </w:p>
    <w:p>
      <w:pPr>
        <w:pStyle w:val="Heading5"/>
        <w:rPr>
          <w:snapToGrid w:val="0"/>
        </w:rPr>
      </w:pPr>
      <w:bookmarkStart w:id="209" w:name="_Toc166675273"/>
      <w:r>
        <w:rPr>
          <w:rStyle w:val="CharSectno"/>
        </w:rPr>
        <w:t>146</w:t>
      </w:r>
      <w:r>
        <w:rPr>
          <w:snapToGrid w:val="0"/>
        </w:rPr>
        <w:t>.</w:t>
      </w:r>
      <w:r>
        <w:rPr>
          <w:snapToGrid w:val="0"/>
        </w:rPr>
        <w:tab/>
        <w:t>Matters to be specified in the licence</w:t>
      </w:r>
      <w:bookmarkEnd w:id="209"/>
      <w:r>
        <w:rPr>
          <w:snapToGrid w:val="0"/>
        </w:rPr>
        <w:t xml:space="preserve"> </w:t>
      </w:r>
    </w:p>
    <w:p>
      <w:pPr>
        <w:pStyle w:val="Subsection"/>
        <w:keepNext/>
        <w:keepLines/>
        <w:rPr>
          <w:snapToGrid w:val="0"/>
        </w:rPr>
      </w:pPr>
      <w:r>
        <w:rPr>
          <w:snapToGrid w:val="0"/>
        </w:rPr>
        <w:tab/>
        <w:t>(1)</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5 years.</w:t>
      </w:r>
    </w:p>
    <w:p>
      <w:pPr>
        <w:pStyle w:val="Subsection"/>
        <w:rPr>
          <w:snapToGrid w:val="0"/>
        </w:rPr>
      </w:pPr>
      <w:r>
        <w:rPr>
          <w:snapToGrid w:val="0"/>
        </w:rPr>
        <w:tab/>
        <w:t>(3)</w:t>
      </w:r>
      <w:r>
        <w:rPr>
          <w:snapToGrid w:val="0"/>
        </w:rPr>
        <w:tab/>
        <w:t>The licence may specify the activities that may be carried out under the licence.</w:t>
      </w:r>
    </w:p>
    <w:p>
      <w:pPr>
        <w:pStyle w:val="Subsection"/>
        <w:rPr>
          <w:snapToGrid w:val="0"/>
        </w:rPr>
      </w:pPr>
      <w:r>
        <w:rPr>
          <w:snapToGrid w:val="0"/>
        </w:rPr>
        <w:tab/>
        <w:t>(4)</w:t>
      </w:r>
      <w:r>
        <w:rPr>
          <w:snapToGrid w:val="0"/>
        </w:rPr>
        <w:tab/>
        <w:t>If the licence includes a specification under subsection (3), the licence authorises only the specified activities.</w:t>
      </w:r>
    </w:p>
    <w:p>
      <w:pPr>
        <w:pStyle w:val="Heading5"/>
        <w:rPr>
          <w:snapToGrid w:val="0"/>
        </w:rPr>
      </w:pPr>
      <w:bookmarkStart w:id="210" w:name="_Toc166675275"/>
      <w:r>
        <w:rPr>
          <w:rStyle w:val="CharSectno"/>
        </w:rPr>
        <w:t>147</w:t>
      </w:r>
      <w:r>
        <w:rPr>
          <w:snapToGrid w:val="0"/>
        </w:rPr>
        <w:t>.</w:t>
      </w:r>
      <w:r>
        <w:rPr>
          <w:snapToGrid w:val="0"/>
        </w:rPr>
        <w:tab/>
        <w:t>Applicant must be notified</w:t>
      </w:r>
      <w:bookmarkEnd w:id="210"/>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143.</w:t>
      </w:r>
    </w:p>
    <w:p>
      <w:pPr>
        <w:pStyle w:val="Subsection"/>
        <w:rPr>
          <w:snapToGrid w:val="0"/>
        </w:rPr>
      </w:pPr>
      <w:r>
        <w:rPr>
          <w:snapToGrid w:val="0"/>
        </w:rPr>
        <w:lastRenderedPageBreak/>
        <w:tab/>
        <w:t>(2)</w:t>
      </w:r>
      <w:r>
        <w:rPr>
          <w:snapToGrid w:val="0"/>
        </w:rPr>
        <w:tab/>
        <w:t>If the Minister provisionally grants a retention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211" w:name="_Toc166675276"/>
      <w:r>
        <w:rPr>
          <w:rStyle w:val="CharSectno"/>
        </w:rPr>
        <w:t>148</w:t>
      </w:r>
      <w:r>
        <w:rPr>
          <w:snapToGrid w:val="0"/>
        </w:rPr>
        <w:t>.</w:t>
      </w:r>
      <w:r>
        <w:rPr>
          <w:snapToGrid w:val="0"/>
        </w:rPr>
        <w:tab/>
        <w:t>Amendment of conditions</w:t>
      </w:r>
      <w:bookmarkEnd w:id="211"/>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212" w:name="_Toc166675278"/>
      <w:r>
        <w:rPr>
          <w:rStyle w:val="CharSectno"/>
        </w:rPr>
        <w:t>149</w:t>
      </w:r>
      <w:r>
        <w:rPr>
          <w:snapToGrid w:val="0"/>
        </w:rPr>
        <w:t>.</w:t>
      </w:r>
      <w:r>
        <w:rPr>
          <w:snapToGrid w:val="0"/>
        </w:rPr>
        <w:tab/>
        <w:t>Amendment of security requirements</w:t>
      </w:r>
      <w:bookmarkEnd w:id="212"/>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lastRenderedPageBreak/>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213" w:name="_Toc166675279"/>
      <w:r>
        <w:rPr>
          <w:rStyle w:val="CharSectno"/>
        </w:rPr>
        <w:t>150</w:t>
      </w:r>
      <w:r>
        <w:rPr>
          <w:snapToGrid w:val="0"/>
        </w:rPr>
        <w:t>.</w:t>
      </w:r>
      <w:r>
        <w:rPr>
          <w:snapToGrid w:val="0"/>
        </w:rPr>
        <w:tab/>
        <w:t>Extension of primary payment period</w:t>
      </w:r>
      <w:bookmarkEnd w:id="213"/>
      <w:r>
        <w:rPr>
          <w:snapToGrid w:val="0"/>
        </w:rPr>
        <w:t xml:space="preserve"> </w:t>
      </w:r>
    </w:p>
    <w:p>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keepNext/>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214" w:name="_Toc166675280"/>
      <w:r>
        <w:rPr>
          <w:rStyle w:val="CharSectno"/>
        </w:rPr>
        <w:t>151</w:t>
      </w:r>
      <w:r>
        <w:rPr>
          <w:snapToGrid w:val="0"/>
        </w:rPr>
        <w:t>.</w:t>
      </w:r>
      <w:r>
        <w:rPr>
          <w:snapToGrid w:val="0"/>
        </w:rPr>
        <w:tab/>
        <w:t>Acceptance of grant of retention licence</w:t>
      </w:r>
      <w:bookmarkEnd w:id="214"/>
      <w:r>
        <w:rPr>
          <w:snapToGrid w:val="0"/>
        </w:rPr>
        <w:t xml:space="preserve"> </w:t>
      </w:r>
    </w:p>
    <w:p>
      <w:pPr>
        <w:pStyle w:val="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lastRenderedPageBreak/>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PermNoteHeading"/>
      </w:pPr>
      <w:r>
        <w:tab/>
        <w:t>Note:</w:t>
      </w:r>
    </w:p>
    <w:p>
      <w:pPr>
        <w:pStyle w:val="PermNoteText"/>
      </w:pPr>
      <w:r>
        <w:tab/>
      </w:r>
      <w:r>
        <w:tab/>
      </w:r>
      <w:r>
        <w:rPr>
          <w:snapToGrid w:val="0"/>
        </w:rPr>
        <w:t>Under section 154, the grant of the licence cannot be effective before the grant is registered (see section 333 for registration).</w:t>
      </w:r>
    </w:p>
    <w:p>
      <w:pPr>
        <w:pStyle w:val="Heading5"/>
        <w:rPr>
          <w:snapToGrid w:val="0"/>
        </w:rPr>
      </w:pPr>
      <w:bookmarkStart w:id="215" w:name="_Toc166675282"/>
      <w:r>
        <w:rPr>
          <w:rStyle w:val="CharSectno"/>
        </w:rPr>
        <w:t>152</w:t>
      </w:r>
      <w:r>
        <w:rPr>
          <w:snapToGrid w:val="0"/>
        </w:rPr>
        <w:t>.</w:t>
      </w:r>
      <w:r>
        <w:rPr>
          <w:snapToGrid w:val="0"/>
        </w:rPr>
        <w:tab/>
        <w:t>Conditions applicable to licence on grant</w:t>
      </w:r>
      <w:bookmarkEnd w:id="215"/>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151, it is subject to — </w:t>
      </w:r>
    </w:p>
    <w:p>
      <w:pPr>
        <w:pStyle w:val="Indenta"/>
        <w:keepNext/>
        <w:rPr>
          <w:snapToGrid w:val="0"/>
        </w:rPr>
      </w:pPr>
      <w:r>
        <w:rPr>
          <w:snapToGrid w:val="0"/>
        </w:rPr>
        <w:tab/>
        <w:t>(a)</w:t>
      </w:r>
      <w:r>
        <w:rPr>
          <w:snapToGrid w:val="0"/>
        </w:rPr>
        <w:tab/>
        <w:t>the conditions specified in the licence given to the applicant under section 147; or</w:t>
      </w:r>
    </w:p>
    <w:p>
      <w:pPr>
        <w:pStyle w:val="Indenta"/>
        <w:rPr>
          <w:snapToGrid w:val="0"/>
        </w:rPr>
      </w:pPr>
      <w:r>
        <w:rPr>
          <w:snapToGrid w:val="0"/>
        </w:rPr>
        <w:tab/>
        <w:t>(b)</w:t>
      </w:r>
      <w:r>
        <w:rPr>
          <w:snapToGrid w:val="0"/>
        </w:rPr>
        <w:tab/>
        <w:t>if the Minister amended those conditions under section 148, those conditions as amended.</w:t>
      </w:r>
    </w:p>
    <w:p>
      <w:pPr>
        <w:pStyle w:val="Heading5"/>
        <w:rPr>
          <w:snapToGrid w:val="0"/>
        </w:rPr>
      </w:pPr>
      <w:bookmarkStart w:id="216" w:name="_Toc166675283"/>
      <w:r>
        <w:rPr>
          <w:rStyle w:val="CharSectno"/>
        </w:rPr>
        <w:t>153</w:t>
      </w:r>
      <w:r>
        <w:rPr>
          <w:snapToGrid w:val="0"/>
        </w:rPr>
        <w:t>.</w:t>
      </w:r>
      <w:r>
        <w:rPr>
          <w:snapToGrid w:val="0"/>
        </w:rPr>
        <w:tab/>
        <w:t>Lapse of provisional grant of retention licence</w:t>
      </w:r>
      <w:bookmarkEnd w:id="216"/>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151, the provisional grant lapses.</w:t>
      </w:r>
    </w:p>
    <w:p>
      <w:pPr>
        <w:pStyle w:val="Heading4"/>
        <w:rPr>
          <w:b w:val="0"/>
        </w:rPr>
      </w:pPr>
      <w:bookmarkStart w:id="217" w:name="_Toc166674988"/>
      <w:bookmarkStart w:id="218" w:name="_Toc166675503"/>
      <w:bookmarkStart w:id="219" w:name="_Toc166675284"/>
      <w:r>
        <w:rPr>
          <w:b w:val="0"/>
          <w:snapToGrid w:val="0"/>
        </w:rPr>
        <w:t xml:space="preserve">Division 3 — </w:t>
      </w:r>
      <w:r>
        <w:rPr>
          <w:b w:val="0"/>
        </w:rPr>
        <w:t>Duration of retention licence</w:t>
      </w:r>
      <w:bookmarkEnd w:id="217"/>
      <w:bookmarkEnd w:id="218"/>
      <w:bookmarkEnd w:id="219"/>
    </w:p>
    <w:p>
      <w:pPr>
        <w:pStyle w:val="Heading5"/>
        <w:rPr>
          <w:snapToGrid w:val="0"/>
        </w:rPr>
      </w:pPr>
      <w:bookmarkStart w:id="220" w:name="_Toc166675287"/>
      <w:r>
        <w:rPr>
          <w:rStyle w:val="CharSectno"/>
        </w:rPr>
        <w:t>154</w:t>
      </w:r>
      <w:r>
        <w:rPr>
          <w:snapToGrid w:val="0"/>
        </w:rPr>
        <w:t>.</w:t>
      </w:r>
      <w:r>
        <w:rPr>
          <w:snapToGrid w:val="0"/>
        </w:rPr>
        <w:tab/>
        <w:t>Initial term of retention licence</w:t>
      </w:r>
      <w:bookmarkEnd w:id="220"/>
      <w:r>
        <w:rPr>
          <w:snapToGrid w:val="0"/>
        </w:rPr>
        <w:t xml:space="preserve"> </w:t>
      </w:r>
    </w:p>
    <w:p>
      <w:pPr>
        <w:pStyle w:val="Subsection"/>
        <w:rPr>
          <w:snapToGrid w:val="0"/>
        </w:rPr>
      </w:pPr>
      <w:r>
        <w:rPr>
          <w:snapToGrid w:val="0"/>
        </w:rPr>
        <w:tab/>
        <w:t>(1)</w:t>
      </w:r>
      <w:r>
        <w:rPr>
          <w:snapToGrid w:val="0"/>
        </w:rPr>
        <w:tab/>
        <w:t>A retention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retention licence expires at the end of the period specified in the licence under section 146(1).</w:t>
      </w:r>
    </w:p>
    <w:p>
      <w:pPr>
        <w:pStyle w:val="PermNoteHeading"/>
      </w:pPr>
      <w:r>
        <w:tab/>
        <w:t>Note:</w:t>
      </w:r>
    </w:p>
    <w:p>
      <w:pPr>
        <w:pStyle w:val="PermNoteText"/>
      </w:pPr>
      <w:r>
        <w:tab/>
        <w:t>1.</w:t>
      </w:r>
      <w:r>
        <w:tab/>
      </w:r>
      <w:r>
        <w:rPr>
          <w:snapToGrid w:val="0"/>
        </w:rPr>
        <w:t>For the maximum initial term see section 146(2).</w:t>
      </w:r>
    </w:p>
    <w:p>
      <w:pPr>
        <w:pStyle w:val="PermNoteText"/>
      </w:pPr>
      <w:r>
        <w:tab/>
        <w:t>2.</w:t>
      </w:r>
      <w:r>
        <w:tab/>
        <w:t>The licence may be surrendered at any time (see section 187).</w:t>
      </w:r>
    </w:p>
    <w:p>
      <w:pPr>
        <w:pStyle w:val="Subsection"/>
        <w:rPr>
          <w:snapToGrid w:val="0"/>
        </w:rPr>
      </w:pPr>
      <w:r>
        <w:rPr>
          <w:snapToGrid w:val="0"/>
        </w:rPr>
        <w:lastRenderedPageBreak/>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221" w:name="_Toc166675288"/>
      <w:r>
        <w:rPr>
          <w:rStyle w:val="CharSectno"/>
        </w:rPr>
        <w:t>155</w:t>
      </w:r>
      <w:r>
        <w:rPr>
          <w:snapToGrid w:val="0"/>
        </w:rPr>
        <w:t>.</w:t>
      </w:r>
      <w:r>
        <w:rPr>
          <w:snapToGrid w:val="0"/>
        </w:rPr>
        <w:tab/>
        <w:t>Term of renewal of licence</w:t>
      </w:r>
      <w:bookmarkEnd w:id="221"/>
      <w:r>
        <w:rPr>
          <w:snapToGrid w:val="0"/>
        </w:rPr>
        <w:t xml:space="preserve"> </w:t>
      </w:r>
    </w:p>
    <w:p>
      <w:pPr>
        <w:pStyle w:val="Subsection"/>
        <w:rPr>
          <w:snapToGrid w:val="0"/>
        </w:rPr>
      </w:pPr>
      <w:r>
        <w:rPr>
          <w:snapToGrid w:val="0"/>
        </w:rPr>
        <w:tab/>
        <w:t>(1)</w:t>
      </w:r>
      <w:r>
        <w:rPr>
          <w:snapToGrid w:val="0"/>
        </w:rPr>
        <w:tab/>
        <w:t>A renewal of a retention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pPr>
      <w:r>
        <w:tab/>
      </w:r>
      <w:r>
        <w:tab/>
      </w:r>
      <w:r>
        <w:rPr>
          <w:snapToGrid w:val="0"/>
        </w:rPr>
        <w:t>See Division 5 for renewal.</w:t>
      </w:r>
    </w:p>
    <w:p>
      <w:pPr>
        <w:pStyle w:val="Subsection"/>
        <w:rPr>
          <w:snapToGrid w:val="0"/>
        </w:rPr>
      </w:pPr>
      <w:r>
        <w:rPr>
          <w:snapToGrid w:val="0"/>
        </w:rPr>
        <w:tab/>
        <w:t>(2)</w:t>
      </w:r>
      <w:r>
        <w:rPr>
          <w:snapToGrid w:val="0"/>
        </w:rPr>
        <w:tab/>
        <w:t>The term of a renewal of a licence expires at the end of the period specified in the notice under section 169.</w:t>
      </w:r>
    </w:p>
    <w:p>
      <w:pPr>
        <w:pStyle w:val="PermNoteHeading"/>
      </w:pPr>
      <w:r>
        <w:tab/>
        <w:t>Note:</w:t>
      </w:r>
    </w:p>
    <w:p>
      <w:pPr>
        <w:pStyle w:val="PermNoteText"/>
      </w:pPr>
      <w:r>
        <w:tab/>
        <w:t>1.</w:t>
      </w:r>
      <w:r>
        <w:tab/>
        <w:t>For the maximum term of renewal see section 169(3).</w:t>
      </w:r>
    </w:p>
    <w:p>
      <w:pPr>
        <w:pStyle w:val="PermNoteText"/>
      </w:pPr>
      <w:r>
        <w:tab/>
        <w:t>2.</w:t>
      </w:r>
      <w:r>
        <w:tab/>
        <w:t>The licence may be surrendered at any time (see section 187).</w:t>
      </w:r>
    </w:p>
    <w:p>
      <w:pPr>
        <w:pStyle w:val="Subsection"/>
        <w:rPr>
          <w:snapToGrid w:val="0"/>
        </w:rPr>
      </w:pPr>
      <w:r>
        <w:rPr>
          <w:snapToGrid w:val="0"/>
        </w:rPr>
        <w:tab/>
        <w:t>(3)</w:t>
      </w:r>
      <w:r>
        <w:rPr>
          <w:snapToGrid w:val="0"/>
        </w:rPr>
        <w:tab/>
        <w:t>The period runs from the expiry of the previous term of the licence.</w:t>
      </w:r>
    </w:p>
    <w:p>
      <w:pPr>
        <w:pStyle w:val="Subsection"/>
        <w:rPr>
          <w:snapToGrid w:val="0"/>
        </w:rPr>
      </w:pPr>
      <w:r>
        <w:rPr>
          <w:snapToGrid w:val="0"/>
        </w:rPr>
        <w:tab/>
        <w:t>(4)</w:t>
      </w:r>
      <w:r>
        <w:rPr>
          <w:snapToGrid w:val="0"/>
        </w:rPr>
        <w:tab/>
        <w:t>In working out the period referred to in subsection (3) section 156 is to be disregarded.</w:t>
      </w:r>
    </w:p>
    <w:p>
      <w:pPr>
        <w:pStyle w:val="Heading5"/>
        <w:rPr>
          <w:snapToGrid w:val="0"/>
        </w:rPr>
      </w:pPr>
      <w:bookmarkStart w:id="222" w:name="_Toc166675289"/>
      <w:r>
        <w:rPr>
          <w:rStyle w:val="CharSectno"/>
        </w:rPr>
        <w:t>156</w:t>
      </w:r>
      <w:r>
        <w:rPr>
          <w:snapToGrid w:val="0"/>
        </w:rPr>
        <w:t>.</w:t>
      </w:r>
      <w:r>
        <w:rPr>
          <w:snapToGrid w:val="0"/>
        </w:rPr>
        <w:tab/>
        <w:t>Effect of application for renewal on term of retention licence</w:t>
      </w:r>
      <w:bookmarkEnd w:id="22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to renew the licence under section 159;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lastRenderedPageBreak/>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 xml:space="preserve">a provisional renewal of the licence lapses; or </w:t>
      </w:r>
    </w:p>
    <w:p>
      <w:pPr>
        <w:pStyle w:val="Indenta"/>
        <w:rPr>
          <w:snapToGrid w:val="0"/>
        </w:rPr>
      </w:pPr>
      <w:r>
        <w:rPr>
          <w:snapToGrid w:val="0"/>
        </w:rPr>
        <w:tab/>
        <w:t>(f)</w:t>
      </w:r>
      <w:r>
        <w:rPr>
          <w:snapToGrid w:val="0"/>
        </w:rPr>
        <w:tab/>
        <w:t>the application for renewal is withdrawn or refused.</w:t>
      </w:r>
    </w:p>
    <w:p>
      <w:pPr>
        <w:pStyle w:val="Heading5"/>
        <w:rPr>
          <w:snapToGrid w:val="0"/>
        </w:rPr>
      </w:pPr>
      <w:bookmarkStart w:id="223" w:name="_Toc166675290"/>
      <w:r>
        <w:rPr>
          <w:rStyle w:val="CharSectno"/>
        </w:rPr>
        <w:t>157</w:t>
      </w:r>
      <w:r>
        <w:rPr>
          <w:snapToGrid w:val="0"/>
        </w:rPr>
        <w:t>.</w:t>
      </w:r>
      <w:r>
        <w:rPr>
          <w:snapToGrid w:val="0"/>
        </w:rPr>
        <w:tab/>
        <w:t>Effect of application for mining licence on term of retention licence</w:t>
      </w:r>
      <w:bookmarkEnd w:id="22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Indenta"/>
        <w:rPr>
          <w:snapToGrid w:val="0"/>
        </w:rPr>
      </w:pPr>
      <w:r>
        <w:rPr>
          <w:snapToGrid w:val="0"/>
        </w:rPr>
        <w:tab/>
        <w:t>(b)</w:t>
      </w:r>
      <w:r>
        <w:rPr>
          <w:snapToGrid w:val="0"/>
        </w:rPr>
        <w:tab/>
        <w:t>the current term of the retention licence expires; and</w:t>
      </w:r>
    </w:p>
    <w:p>
      <w:pPr>
        <w:pStyle w:val="Indenta"/>
        <w:rPr>
          <w:snapToGrid w:val="0"/>
        </w:rPr>
      </w:pPr>
      <w:r>
        <w:rPr>
          <w:snapToGrid w:val="0"/>
        </w:rPr>
        <w:tab/>
        <w:t>(c)</w:t>
      </w:r>
      <w:r>
        <w:rPr>
          <w:snapToGrid w:val="0"/>
        </w:rPr>
        <w:tab/>
        <w:t>a grant of the mining licence does not take effect before the current term of the retention licence expires,</w:t>
      </w:r>
    </w:p>
    <w:p>
      <w:pPr>
        <w:pStyle w:val="Subsection"/>
        <w:rPr>
          <w:snapToGrid w:val="0"/>
        </w:rPr>
      </w:pPr>
      <w:r>
        <w:rPr>
          <w:snapToGrid w:val="0"/>
        </w:rPr>
        <w:tab/>
      </w:r>
      <w:r>
        <w:rPr>
          <w:snapToGrid w:val="0"/>
        </w:rPr>
        <w:tab/>
        <w:t>the retention licence remains in force until — </w:t>
      </w:r>
    </w:p>
    <w:p>
      <w:pPr>
        <w:pStyle w:val="Indenta"/>
        <w:rPr>
          <w:snapToGrid w:val="0"/>
        </w:rPr>
      </w:pPr>
      <w:r>
        <w:rPr>
          <w:snapToGrid w:val="0"/>
        </w:rPr>
        <w:tab/>
        <w:t>(d)</w:t>
      </w:r>
      <w:r>
        <w:rPr>
          <w:snapToGrid w:val="0"/>
        </w:rPr>
        <w:tab/>
        <w:t>the grant of the mining licence takes effect; or</w:t>
      </w:r>
    </w:p>
    <w:p>
      <w:pPr>
        <w:pStyle w:val="Indenta"/>
        <w:rPr>
          <w:snapToGrid w:val="0"/>
        </w:rPr>
      </w:pPr>
      <w:r>
        <w:rPr>
          <w:snapToGrid w:val="0"/>
        </w:rPr>
        <w:tab/>
        <w:t>(e)</w:t>
      </w:r>
      <w:r>
        <w:rPr>
          <w:snapToGrid w:val="0"/>
        </w:rPr>
        <w:tab/>
        <w:t>a provisional grant of the mining licence lapses; or</w:t>
      </w:r>
    </w:p>
    <w:p>
      <w:pPr>
        <w:pStyle w:val="Indenta"/>
        <w:rPr>
          <w:snapToGrid w:val="0"/>
        </w:rPr>
      </w:pPr>
      <w:r>
        <w:rPr>
          <w:snapToGrid w:val="0"/>
        </w:rPr>
        <w:tab/>
        <w:t>(f)</w:t>
      </w:r>
      <w:r>
        <w:rPr>
          <w:snapToGrid w:val="0"/>
        </w:rPr>
        <w:tab/>
        <w:t>the application for the mining licence is withdrawn or refused.</w:t>
      </w:r>
    </w:p>
    <w:p>
      <w:pPr>
        <w:pStyle w:val="Heading4"/>
        <w:rPr>
          <w:b w:val="0"/>
        </w:rPr>
      </w:pPr>
      <w:bookmarkStart w:id="224" w:name="_Toc166674993"/>
      <w:bookmarkStart w:id="225" w:name="_Toc166675508"/>
      <w:bookmarkStart w:id="226" w:name="_Toc166675292"/>
      <w:r>
        <w:rPr>
          <w:b w:val="0"/>
        </w:rPr>
        <w:t>Division 4 — Voluntary surrender of part of retention licence area</w:t>
      </w:r>
      <w:bookmarkEnd w:id="224"/>
      <w:bookmarkEnd w:id="225"/>
      <w:bookmarkEnd w:id="226"/>
    </w:p>
    <w:p>
      <w:pPr>
        <w:pStyle w:val="Heading5"/>
        <w:spacing w:before="180"/>
        <w:rPr>
          <w:snapToGrid w:val="0"/>
        </w:rPr>
      </w:pPr>
      <w:bookmarkStart w:id="227" w:name="_Toc166675293"/>
      <w:r>
        <w:rPr>
          <w:rStyle w:val="CharSectno"/>
        </w:rPr>
        <w:t>158</w:t>
      </w:r>
      <w:r>
        <w:rPr>
          <w:snapToGrid w:val="0"/>
        </w:rPr>
        <w:t>.</w:t>
      </w:r>
      <w:r>
        <w:rPr>
          <w:snapToGrid w:val="0"/>
        </w:rPr>
        <w:tab/>
        <w:t>Voluntary surrender of blocks if discrete area remains</w:t>
      </w:r>
      <w:bookmarkEnd w:id="227"/>
      <w:r>
        <w:rPr>
          <w:snapToGrid w:val="0"/>
        </w:rPr>
        <w:t xml:space="preserve"> </w:t>
      </w:r>
    </w:p>
    <w:p>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PermNoteHeading"/>
      </w:pPr>
      <w:r>
        <w:tab/>
        <w:t>Note:</w:t>
      </w:r>
    </w:p>
    <w:p>
      <w:pPr>
        <w:pStyle w:val="PermNoteText"/>
      </w:pPr>
      <w:r>
        <w:tab/>
      </w:r>
      <w:r>
        <w:tab/>
        <w:t>See section 187 for the surrender of the whole licence.</w:t>
      </w:r>
    </w:p>
    <w:p>
      <w:pPr>
        <w:pStyle w:val="Subsection"/>
        <w:spacing w:before="120"/>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lastRenderedPageBreak/>
        <w:tab/>
        <w:t>(c)</w:t>
      </w:r>
      <w:r>
        <w:rPr>
          <w:snapToGrid w:val="0"/>
        </w:rPr>
        <w:tab/>
        <w:t>be given to the Minister.</w:t>
      </w:r>
    </w:p>
    <w:p>
      <w:pPr>
        <w:pStyle w:val="PermNoteHeading"/>
      </w:pPr>
      <w:r>
        <w:tab/>
        <w:t>Note:</w:t>
      </w:r>
    </w:p>
    <w:p>
      <w:pPr>
        <w:pStyle w:val="PermNoteText"/>
      </w:pPr>
      <w:r>
        <w:tab/>
      </w:r>
      <w:r>
        <w:tab/>
        <w:t>The surrender takes effect when it is registered under section 337 (see section 337(5)).</w:t>
      </w:r>
    </w:p>
    <w:p>
      <w:pPr>
        <w:pStyle w:val="Heading4"/>
        <w:rPr>
          <w:b w:val="0"/>
        </w:rPr>
      </w:pPr>
      <w:bookmarkStart w:id="228" w:name="_Toc166674995"/>
      <w:bookmarkStart w:id="229" w:name="_Toc166675510"/>
      <w:bookmarkStart w:id="230" w:name="_Toc166675294"/>
      <w:r>
        <w:rPr>
          <w:b w:val="0"/>
          <w:snapToGrid w:val="0"/>
        </w:rPr>
        <w:t>Division 5 — Application for and grant of renewal of retention licence</w:t>
      </w:r>
      <w:bookmarkEnd w:id="228"/>
      <w:bookmarkEnd w:id="229"/>
      <w:bookmarkEnd w:id="230"/>
    </w:p>
    <w:p>
      <w:pPr>
        <w:pStyle w:val="Heading5"/>
        <w:spacing w:before="180"/>
        <w:rPr>
          <w:snapToGrid w:val="0"/>
        </w:rPr>
      </w:pPr>
      <w:bookmarkStart w:id="231" w:name="_Toc166675295"/>
      <w:r>
        <w:rPr>
          <w:rStyle w:val="CharSectno"/>
        </w:rPr>
        <w:t>159</w:t>
      </w:r>
      <w:r>
        <w:rPr>
          <w:snapToGrid w:val="0"/>
        </w:rPr>
        <w:t>.</w:t>
      </w:r>
      <w:r>
        <w:rPr>
          <w:snapToGrid w:val="0"/>
        </w:rPr>
        <w:tab/>
        <w:t>Application for renewal of retention licence</w:t>
      </w:r>
      <w:bookmarkEnd w:id="231"/>
      <w:r>
        <w:rPr>
          <w:snapToGrid w:val="0"/>
        </w:rPr>
        <w:t xml:space="preserve"> </w:t>
      </w:r>
    </w:p>
    <w:p>
      <w:pPr>
        <w:pStyle w:val="Subsection"/>
        <w:spacing w:before="120"/>
        <w:rPr>
          <w:snapToGrid w:val="0"/>
        </w:rPr>
      </w:pPr>
      <w:r>
        <w:rPr>
          <w:snapToGrid w:val="0"/>
        </w:rPr>
        <w:tab/>
      </w:r>
      <w:r>
        <w:rPr>
          <w:snapToGrid w:val="0"/>
        </w:rPr>
        <w:tab/>
        <w:t>A retention licence holder may apply to the Minister to renew the licence.</w:t>
      </w:r>
    </w:p>
    <w:p>
      <w:pPr>
        <w:pStyle w:val="PermNoteHeading"/>
      </w:pPr>
      <w:r>
        <w:tab/>
        <w:t>Note:</w:t>
      </w:r>
    </w:p>
    <w:p>
      <w:pPr>
        <w:pStyle w:val="PermNoteText"/>
      </w:pPr>
      <w:r>
        <w:tab/>
      </w:r>
      <w:r>
        <w:tab/>
        <w:t>At each renewal, the licence conditions are reviewed (see section 177).</w:t>
      </w:r>
    </w:p>
    <w:p>
      <w:pPr>
        <w:pStyle w:val="Heading5"/>
        <w:spacing w:before="180"/>
        <w:rPr>
          <w:snapToGrid w:val="0"/>
        </w:rPr>
      </w:pPr>
      <w:bookmarkStart w:id="232" w:name="_Toc166675296"/>
      <w:r>
        <w:rPr>
          <w:rStyle w:val="CharSectno"/>
        </w:rPr>
        <w:t>160</w:t>
      </w:r>
      <w:r>
        <w:rPr>
          <w:snapToGrid w:val="0"/>
        </w:rPr>
        <w:t>.</w:t>
      </w:r>
      <w:r>
        <w:rPr>
          <w:snapToGrid w:val="0"/>
        </w:rPr>
        <w:tab/>
        <w:t>When application to be made</w:t>
      </w:r>
      <w:bookmarkEnd w:id="232"/>
      <w:r>
        <w:rPr>
          <w:snapToGrid w:val="0"/>
        </w:rPr>
        <w:t xml:space="preserve"> </w:t>
      </w:r>
    </w:p>
    <w:p>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spacing w:before="180"/>
        <w:rPr>
          <w:snapToGrid w:val="0"/>
        </w:rPr>
      </w:pPr>
      <w:bookmarkStart w:id="233" w:name="_Toc166675297"/>
      <w:r>
        <w:rPr>
          <w:rStyle w:val="CharSectno"/>
        </w:rPr>
        <w:t>161</w:t>
      </w:r>
      <w:r>
        <w:rPr>
          <w:snapToGrid w:val="0"/>
        </w:rPr>
        <w:t>.</w:t>
      </w:r>
      <w:r>
        <w:rPr>
          <w:snapToGrid w:val="0"/>
        </w:rPr>
        <w:tab/>
        <w:t>How to apply for renewal</w:t>
      </w:r>
      <w:bookmarkEnd w:id="233"/>
      <w:r>
        <w:rPr>
          <w:snapToGrid w:val="0"/>
        </w:rPr>
        <w:t xml:space="preserve"> </w:t>
      </w:r>
    </w:p>
    <w:p>
      <w:pPr>
        <w:pStyle w:val="Subsection"/>
        <w:spacing w:before="12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pPr>
        <w:pStyle w:val="Indenti"/>
        <w:spacing w:before="60"/>
        <w:rPr>
          <w:snapToGrid w:val="0"/>
        </w:rPr>
      </w:pPr>
      <w:r>
        <w:rPr>
          <w:snapToGrid w:val="0"/>
        </w:rPr>
        <w:lastRenderedPageBreak/>
        <w:tab/>
        <w:t>(iii)</w:t>
      </w:r>
      <w:r>
        <w:rPr>
          <w:snapToGrid w:val="0"/>
        </w:rPr>
        <w:tab/>
        <w:t>the amount of money spent by the applicant in relation to the blocks covered by the licence during its current term; and</w:t>
      </w:r>
    </w:p>
    <w:p>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PermNoteHeading"/>
      </w:pPr>
      <w:r>
        <w:tab/>
        <w:t>Note:</w:t>
      </w:r>
    </w:p>
    <w:p>
      <w:pPr>
        <w:pStyle w:val="PermNoteText"/>
      </w:pPr>
      <w:r>
        <w:tab/>
      </w:r>
      <w: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keepNext w:val="0"/>
        <w:keepLines w:val="0"/>
        <w:spacing w:before="180"/>
        <w:rPr>
          <w:snapToGrid w:val="0"/>
        </w:rPr>
      </w:pPr>
      <w:bookmarkStart w:id="234" w:name="_Toc166675298"/>
      <w:r>
        <w:rPr>
          <w:rStyle w:val="CharSectno"/>
        </w:rPr>
        <w:t>162</w:t>
      </w:r>
      <w:r>
        <w:rPr>
          <w:snapToGrid w:val="0"/>
        </w:rPr>
        <w:t>.</w:t>
      </w:r>
      <w:r>
        <w:rPr>
          <w:snapToGrid w:val="0"/>
        </w:rPr>
        <w:tab/>
        <w:t>Request for further information</w:t>
      </w:r>
      <w:bookmarkEnd w:id="234"/>
      <w:r>
        <w:rPr>
          <w:snapToGrid w:val="0"/>
        </w:rPr>
        <w:t xml:space="preserve"> </w:t>
      </w:r>
    </w:p>
    <w:p>
      <w:pPr>
        <w:pStyle w:val="Subsection"/>
        <w:spacing w:before="120"/>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35" w:name="_Toc166675299"/>
      <w:r>
        <w:rPr>
          <w:rStyle w:val="CharSectno"/>
        </w:rPr>
        <w:t>163</w:t>
      </w:r>
      <w:r>
        <w:rPr>
          <w:snapToGrid w:val="0"/>
        </w:rPr>
        <w:t>.</w:t>
      </w:r>
      <w:r>
        <w:rPr>
          <w:snapToGrid w:val="0"/>
        </w:rPr>
        <w:tab/>
        <w:t>Payment of fee</w:t>
      </w:r>
      <w:bookmarkEnd w:id="23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lastRenderedPageBreak/>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36" w:name="_Toc166675301"/>
      <w:r>
        <w:rPr>
          <w:rStyle w:val="CharSectno"/>
        </w:rPr>
        <w:t>164</w:t>
      </w:r>
      <w:r>
        <w:rPr>
          <w:snapToGrid w:val="0"/>
        </w:rPr>
        <w:t>.</w:t>
      </w:r>
      <w:r>
        <w:rPr>
          <w:snapToGrid w:val="0"/>
        </w:rPr>
        <w:tab/>
        <w:t>Section number not used</w:t>
      </w:r>
      <w:bookmarkEnd w:id="236"/>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37" w:name="_Toc166675302"/>
      <w:r>
        <w:rPr>
          <w:rStyle w:val="CharSectno"/>
        </w:rPr>
        <w:t>165</w:t>
      </w:r>
      <w:r>
        <w:rPr>
          <w:snapToGrid w:val="0"/>
        </w:rPr>
        <w:t>.</w:t>
      </w:r>
      <w:r>
        <w:rPr>
          <w:snapToGrid w:val="0"/>
        </w:rPr>
        <w:tab/>
        <w:t>Provisional renewal of retention licence</w:t>
      </w:r>
      <w:bookmarkEnd w:id="237"/>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168, refuse to renew the licence.</w:t>
      </w:r>
    </w:p>
    <w:p>
      <w:pPr>
        <w:pStyle w:val="PermNoteHeading"/>
      </w:pPr>
      <w:r>
        <w:tab/>
        <w:t>Note:</w:t>
      </w:r>
    </w:p>
    <w:p>
      <w:pPr>
        <w:pStyle w:val="PermNoteText"/>
      </w:pPr>
      <w:r>
        <w:tab/>
        <w:t>1.</w:t>
      </w:r>
      <w:r>
        <w:tab/>
      </w:r>
      <w:r>
        <w:rPr>
          <w:snapToGrid w:val="0"/>
        </w:rPr>
        <w:t>Under section 155, the renewal of the licence cannot be effective before it is registered (see section 334 for registration). The renewal will not be registered until it has been properly accepted (see section 173 for “proper acceptance”).</w:t>
      </w:r>
    </w:p>
    <w:p>
      <w:pPr>
        <w:pStyle w:val="PermNoteText"/>
      </w:pPr>
      <w:r>
        <w:tab/>
        <w:t>2.</w:t>
      </w:r>
      <w:r>
        <w:tab/>
        <w:t>Under section 177, new conditions may be imposed on renewal.</w:t>
      </w:r>
    </w:p>
    <w:p>
      <w:pPr>
        <w:pStyle w:val="Heading5"/>
        <w:rPr>
          <w:snapToGrid w:val="0"/>
        </w:rPr>
      </w:pPr>
      <w:bookmarkStart w:id="238" w:name="_Toc166675304"/>
      <w:r>
        <w:rPr>
          <w:rStyle w:val="CharSectno"/>
        </w:rPr>
        <w:t>166</w:t>
      </w:r>
      <w:r>
        <w:rPr>
          <w:snapToGrid w:val="0"/>
        </w:rPr>
        <w:t>.</w:t>
      </w:r>
      <w:r>
        <w:rPr>
          <w:snapToGrid w:val="0"/>
        </w:rPr>
        <w:tab/>
        <w:t>Section number not used</w:t>
      </w:r>
      <w:bookmarkEnd w:id="238"/>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39" w:name="_Toc166675305"/>
      <w:r>
        <w:rPr>
          <w:rStyle w:val="CharSectno"/>
        </w:rPr>
        <w:t>167</w:t>
      </w:r>
      <w:r>
        <w:rPr>
          <w:snapToGrid w:val="0"/>
        </w:rPr>
        <w:t>.</w:t>
      </w:r>
      <w:r>
        <w:rPr>
          <w:snapToGrid w:val="0"/>
        </w:rPr>
        <w:tab/>
        <w:t>Matters that may be taken into account</w:t>
      </w:r>
      <w:bookmarkEnd w:id="239"/>
      <w:r>
        <w:rPr>
          <w:snapToGrid w:val="0"/>
        </w:rPr>
        <w:t xml:space="preserve"> </w:t>
      </w:r>
    </w:p>
    <w:p>
      <w:pPr>
        <w:pStyle w:val="Subsection"/>
        <w:rPr>
          <w:snapToGrid w:val="0"/>
        </w:rPr>
      </w:pPr>
      <w:r>
        <w:rPr>
          <w:snapToGrid w:val="0"/>
        </w:rPr>
        <w:tab/>
      </w:r>
      <w:r>
        <w:rPr>
          <w:snapToGrid w:val="0"/>
        </w:rPr>
        <w:tab/>
        <w:t>In determining whether to renew the licence, the Minister may have regard to — </w:t>
      </w:r>
    </w:p>
    <w:p>
      <w:pPr>
        <w:pStyle w:val="Indenta"/>
        <w:rPr>
          <w:snapToGrid w:val="0"/>
        </w:rPr>
      </w:pPr>
      <w:r>
        <w:rPr>
          <w:snapToGrid w:val="0"/>
        </w:rPr>
        <w:tab/>
        <w:t>(a)</w:t>
      </w:r>
      <w:r>
        <w:rPr>
          <w:snapToGrid w:val="0"/>
        </w:rPr>
        <w:tab/>
        <w:t>whether mining activities are commercially viable in the retention licence area; and</w:t>
      </w:r>
    </w:p>
    <w:p>
      <w:pPr>
        <w:pStyle w:val="Indenta"/>
        <w:rPr>
          <w:snapToGrid w:val="0"/>
        </w:rPr>
      </w:pPr>
      <w:r>
        <w:rPr>
          <w:snapToGrid w:val="0"/>
        </w:rPr>
        <w:tab/>
        <w:t>(b)</w:t>
      </w:r>
      <w:r>
        <w:rPr>
          <w:snapToGrid w:val="0"/>
        </w:rPr>
        <w:tab/>
        <w:t>whether the applicant has complied with —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any licence conditions.</w:t>
      </w:r>
    </w:p>
    <w:p>
      <w:pPr>
        <w:pStyle w:val="Heading5"/>
        <w:rPr>
          <w:snapToGrid w:val="0"/>
        </w:rPr>
      </w:pPr>
      <w:bookmarkStart w:id="240" w:name="_Toc166675306"/>
      <w:r>
        <w:rPr>
          <w:rStyle w:val="CharSectno"/>
        </w:rPr>
        <w:lastRenderedPageBreak/>
        <w:t>168</w:t>
      </w:r>
      <w:r>
        <w:rPr>
          <w:snapToGrid w:val="0"/>
        </w:rPr>
        <w:t>.</w:t>
      </w:r>
      <w:r>
        <w:rPr>
          <w:snapToGrid w:val="0"/>
        </w:rPr>
        <w:tab/>
        <w:t>Refusal of application for renewal</w:t>
      </w:r>
      <w:bookmarkEnd w:id="240"/>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PermNoteHeading"/>
      </w:pPr>
      <w:r>
        <w:tab/>
        <w:t>Note:</w:t>
      </w:r>
    </w:p>
    <w:p>
      <w:pPr>
        <w:pStyle w:val="PermNoteText"/>
      </w:pPr>
      <w:r>
        <w:tab/>
      </w:r>
      <w:r>
        <w:tab/>
      </w:r>
      <w:r>
        <w:rPr>
          <w:snapToGrid w:val="0"/>
        </w:rPr>
        <w:t>The retention licence remains in force until the application for renewal has been finally determined (i.e. until the Minister decides whether or not to renew the licence) (see section 156).</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details of the Minister’s reasons for the proposal not to renew the licence; and</w:t>
      </w:r>
    </w:p>
    <w:p>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Indenta"/>
        <w:rPr>
          <w:snapToGrid w:val="0"/>
        </w:rPr>
      </w:pPr>
      <w:r>
        <w:rPr>
          <w:snapToGrid w:val="0"/>
        </w:rPr>
        <w:tab/>
        <w:t>(d)</w:t>
      </w:r>
      <w:r>
        <w:rPr>
          <w:snapToGrid w:val="0"/>
        </w:rPr>
        <w:tab/>
        <w:t>specify the day by which submissions may be made to the Minister.</w:t>
      </w:r>
    </w:p>
    <w:p>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Heading5"/>
        <w:rPr>
          <w:snapToGrid w:val="0"/>
        </w:rPr>
      </w:pPr>
      <w:bookmarkStart w:id="241" w:name="_Toc166675307"/>
      <w:r>
        <w:rPr>
          <w:rStyle w:val="CharSectno"/>
        </w:rPr>
        <w:t>169</w:t>
      </w:r>
      <w:r>
        <w:rPr>
          <w:snapToGrid w:val="0"/>
        </w:rPr>
        <w:t>.</w:t>
      </w:r>
      <w:r>
        <w:rPr>
          <w:snapToGrid w:val="0"/>
        </w:rPr>
        <w:tab/>
        <w:t>Applicant must be notified</w:t>
      </w:r>
      <w:bookmarkEnd w:id="241"/>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165.</w:t>
      </w:r>
    </w:p>
    <w:p>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pPr>
        <w:pStyle w:val="Indenta"/>
        <w:keepNext/>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lastRenderedPageBreak/>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under section 425.</w:t>
      </w:r>
    </w:p>
    <w:p>
      <w:pPr>
        <w:pStyle w:val="PermNoteHeading"/>
      </w:pPr>
      <w:r>
        <w:tab/>
        <w:t>Note:</w:t>
      </w:r>
    </w:p>
    <w:p>
      <w:pPr>
        <w:pStyle w:val="PermNoteText"/>
      </w:pPr>
      <w:r>
        <w:tab/>
      </w:r>
      <w:r>
        <w:tab/>
        <w:t>Paragraph (b): section 177 provides for renewals to be granted subject to conditions.</w:t>
      </w:r>
    </w:p>
    <w:p>
      <w:pPr>
        <w:pStyle w:val="Subsection"/>
        <w:rPr>
          <w:snapToGrid w:val="0"/>
        </w:rPr>
      </w:pPr>
      <w:r>
        <w:rPr>
          <w:snapToGrid w:val="0"/>
        </w:rPr>
        <w:tab/>
        <w:t>(3)</w:t>
      </w:r>
      <w:r>
        <w:rPr>
          <w:snapToGrid w:val="0"/>
        </w:rPr>
        <w:tab/>
        <w:t>The term specified under subsection (2)(a) is not to exceed 5 years.</w:t>
      </w:r>
    </w:p>
    <w:p>
      <w:pPr>
        <w:pStyle w:val="Heading5"/>
        <w:rPr>
          <w:snapToGrid w:val="0"/>
        </w:rPr>
      </w:pPr>
      <w:bookmarkStart w:id="242" w:name="_Toc166675308"/>
      <w:r>
        <w:rPr>
          <w:rStyle w:val="CharSectno"/>
        </w:rPr>
        <w:t>170</w:t>
      </w:r>
      <w:r>
        <w:rPr>
          <w:snapToGrid w:val="0"/>
        </w:rPr>
        <w:t>.</w:t>
      </w:r>
      <w:r>
        <w:rPr>
          <w:snapToGrid w:val="0"/>
        </w:rPr>
        <w:tab/>
        <w:t>Amendment of conditions</w:t>
      </w:r>
      <w:bookmarkEnd w:id="242"/>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spacing w:before="120"/>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applicant is given notice under section 169.</w:t>
      </w:r>
    </w:p>
    <w:p>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spacing w:before="180"/>
        <w:rPr>
          <w:snapToGrid w:val="0"/>
        </w:rPr>
      </w:pPr>
      <w:bookmarkStart w:id="243" w:name="_Toc166675309"/>
      <w:r>
        <w:rPr>
          <w:rStyle w:val="CharSectno"/>
        </w:rPr>
        <w:lastRenderedPageBreak/>
        <w:t>171</w:t>
      </w:r>
      <w:r>
        <w:rPr>
          <w:snapToGrid w:val="0"/>
        </w:rPr>
        <w:t>.</w:t>
      </w:r>
      <w:r>
        <w:rPr>
          <w:snapToGrid w:val="0"/>
        </w:rPr>
        <w:tab/>
        <w:t>Amendment of security requirements</w:t>
      </w:r>
      <w:bookmarkEnd w:id="243"/>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the security required,</w:t>
      </w:r>
    </w:p>
    <w:p>
      <w:pPr>
        <w:pStyle w:val="Subsection"/>
        <w:spacing w:before="120"/>
        <w:rPr>
          <w:snapToGrid w:val="0"/>
        </w:rPr>
      </w:pPr>
      <w:r>
        <w:rPr>
          <w:snapToGrid w:val="0"/>
        </w:rPr>
        <w:tab/>
      </w:r>
      <w:r>
        <w:rPr>
          <w:snapToGrid w:val="0"/>
        </w:rPr>
        <w:tab/>
        <w:t>the holder may ask the Minister to make a new determination under section 399.</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pPr>
        <w:pStyle w:val="Subsection"/>
        <w:spacing w:before="120"/>
        <w:rPr>
          <w:snapToGrid w:val="0"/>
        </w:rPr>
      </w:pPr>
      <w:r>
        <w:rPr>
          <w:snapToGrid w:val="0"/>
        </w:rPr>
        <w:tab/>
        <w:t>(3)</w:t>
      </w:r>
      <w:r>
        <w:rPr>
          <w:snapToGrid w:val="0"/>
        </w:rPr>
        <w:tab/>
        <w:t>If a request is made under subsection (1), the Minister may make a new determination under section 399.</w:t>
      </w:r>
    </w:p>
    <w:p>
      <w:pPr>
        <w:pStyle w:val="Subsection"/>
        <w:spacing w:before="120"/>
        <w:rPr>
          <w:snapToGrid w:val="0"/>
        </w:rPr>
      </w:pPr>
      <w:r>
        <w:rPr>
          <w:snapToGrid w:val="0"/>
        </w:rPr>
        <w:tab/>
        <w:t>(4)</w:t>
      </w:r>
      <w:r>
        <w:rPr>
          <w:snapToGrid w:val="0"/>
        </w:rPr>
        <w:tab/>
        <w:t>The Minister must give the holder written notice of the new determination.</w:t>
      </w:r>
    </w:p>
    <w:p>
      <w:pPr>
        <w:pStyle w:val="Heading5"/>
        <w:keepNext w:val="0"/>
        <w:keepLines w:val="0"/>
        <w:spacing w:before="180"/>
        <w:rPr>
          <w:snapToGrid w:val="0"/>
        </w:rPr>
      </w:pPr>
      <w:bookmarkStart w:id="244" w:name="_Toc166675310"/>
      <w:r>
        <w:rPr>
          <w:rStyle w:val="CharSectno"/>
        </w:rPr>
        <w:t>172</w:t>
      </w:r>
      <w:r>
        <w:rPr>
          <w:snapToGrid w:val="0"/>
        </w:rPr>
        <w:t>.</w:t>
      </w:r>
      <w:r>
        <w:rPr>
          <w:snapToGrid w:val="0"/>
        </w:rPr>
        <w:tab/>
        <w:t>Extension of primary payment period</w:t>
      </w:r>
      <w:bookmarkEnd w:id="244"/>
      <w:r>
        <w:rPr>
          <w:snapToGrid w:val="0"/>
        </w:rPr>
        <w:t xml:space="preserve"> </w:t>
      </w:r>
    </w:p>
    <w:p>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169.</w:t>
      </w:r>
    </w:p>
    <w:p>
      <w:pPr>
        <w:pStyle w:val="Subsection"/>
        <w:keepNext/>
        <w:keepLines/>
        <w:rPr>
          <w:snapToGrid w:val="0"/>
        </w:rPr>
      </w:pPr>
      <w:r>
        <w:rPr>
          <w:snapToGrid w:val="0"/>
        </w:rPr>
        <w:tab/>
        <w:t>(3)</w:t>
      </w:r>
      <w:r>
        <w:rPr>
          <w:snapToGrid w:val="0"/>
        </w:rPr>
        <w:tab/>
        <w:t>If the Minister agrees to the request to extend the primary payment period,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245" w:name="_Toc166675311"/>
      <w:r>
        <w:rPr>
          <w:rStyle w:val="CharSectno"/>
        </w:rPr>
        <w:t>173</w:t>
      </w:r>
      <w:r>
        <w:rPr>
          <w:snapToGrid w:val="0"/>
        </w:rPr>
        <w:t>.</w:t>
      </w:r>
      <w:r>
        <w:rPr>
          <w:snapToGrid w:val="0"/>
        </w:rPr>
        <w:tab/>
        <w:t>Acceptance of renewal of retention licence</w:t>
      </w:r>
      <w:bookmarkEnd w:id="245"/>
      <w:r>
        <w:rPr>
          <w:snapToGrid w:val="0"/>
        </w:rPr>
        <w:t xml:space="preserve"> </w:t>
      </w:r>
    </w:p>
    <w:p>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Indenta"/>
        <w:rPr>
          <w:snapToGrid w:val="0"/>
        </w:rPr>
      </w:pPr>
      <w:r>
        <w:rPr>
          <w:snapToGrid w:val="0"/>
        </w:rPr>
        <w:lastRenderedPageBreak/>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PermNoteHeading"/>
      </w:pPr>
      <w:r>
        <w:tab/>
        <w:t>Note:</w:t>
      </w:r>
    </w:p>
    <w:p>
      <w:pPr>
        <w:pStyle w:val="PermNoteText"/>
      </w:pPr>
      <w:r>
        <w:tab/>
      </w:r>
      <w:r>
        <w:tab/>
        <w:t>Under section 155, the renewal of the licence cannot be effective before it is registered (see section 334 for registration).</w:t>
      </w:r>
    </w:p>
    <w:p>
      <w:pPr>
        <w:pStyle w:val="Heading5"/>
        <w:rPr>
          <w:snapToGrid w:val="0"/>
        </w:rPr>
      </w:pPr>
      <w:bookmarkStart w:id="246" w:name="_Toc166675314"/>
      <w:r>
        <w:rPr>
          <w:rStyle w:val="CharSectno"/>
        </w:rPr>
        <w:t>174</w:t>
      </w:r>
      <w:r>
        <w:rPr>
          <w:snapToGrid w:val="0"/>
        </w:rPr>
        <w:t>.</w:t>
      </w:r>
      <w:r>
        <w:rPr>
          <w:snapToGrid w:val="0"/>
        </w:rPr>
        <w:tab/>
        <w:t>Conditions applicable to licence on renewal</w:t>
      </w:r>
      <w:bookmarkEnd w:id="246"/>
      <w:r>
        <w:rPr>
          <w:snapToGrid w:val="0"/>
        </w:rPr>
        <w:t xml:space="preserve"> </w:t>
      </w:r>
    </w:p>
    <w:p>
      <w:pPr>
        <w:pStyle w:val="Subsection"/>
        <w:rPr>
          <w:snapToGrid w:val="0"/>
        </w:rPr>
      </w:pPr>
      <w:r>
        <w:rPr>
          <w:snapToGrid w:val="0"/>
        </w:rPr>
        <w:tab/>
      </w:r>
      <w:r>
        <w:rPr>
          <w:snapToGrid w:val="0"/>
        </w:rPr>
        <w:tab/>
        <w:t>If the provisional renewal is properly accepted under section 173, the renewed licence is subject to — </w:t>
      </w:r>
    </w:p>
    <w:p>
      <w:pPr>
        <w:pStyle w:val="Indenta"/>
        <w:rPr>
          <w:snapToGrid w:val="0"/>
        </w:rPr>
      </w:pPr>
      <w:r>
        <w:rPr>
          <w:snapToGrid w:val="0"/>
        </w:rPr>
        <w:tab/>
        <w:t>(a)</w:t>
      </w:r>
      <w:r>
        <w:rPr>
          <w:snapToGrid w:val="0"/>
        </w:rPr>
        <w:tab/>
        <w:t>the conditions specified in the notice given to the licence holder under section 169; or</w:t>
      </w:r>
    </w:p>
    <w:p>
      <w:pPr>
        <w:pStyle w:val="Indenta"/>
        <w:rPr>
          <w:snapToGrid w:val="0"/>
        </w:rPr>
      </w:pPr>
      <w:r>
        <w:rPr>
          <w:snapToGrid w:val="0"/>
        </w:rPr>
        <w:tab/>
        <w:t>(b)</w:t>
      </w:r>
      <w:r>
        <w:rPr>
          <w:snapToGrid w:val="0"/>
        </w:rPr>
        <w:tab/>
        <w:t>if the Minister amended those conditions under section 170, those conditions as amended.</w:t>
      </w:r>
    </w:p>
    <w:p>
      <w:pPr>
        <w:pStyle w:val="Heading5"/>
        <w:rPr>
          <w:snapToGrid w:val="0"/>
        </w:rPr>
      </w:pPr>
      <w:bookmarkStart w:id="247" w:name="_Toc166675315"/>
      <w:r>
        <w:rPr>
          <w:rStyle w:val="CharSectno"/>
        </w:rPr>
        <w:t>175</w:t>
      </w:r>
      <w:r>
        <w:rPr>
          <w:snapToGrid w:val="0"/>
        </w:rPr>
        <w:t>.</w:t>
      </w:r>
      <w:r>
        <w:rPr>
          <w:snapToGrid w:val="0"/>
        </w:rPr>
        <w:tab/>
        <w:t>Lapse of provisional renewal of retention licence</w:t>
      </w:r>
      <w:bookmarkEnd w:id="247"/>
      <w:r>
        <w:rPr>
          <w:snapToGrid w:val="0"/>
        </w:rPr>
        <w:t xml:space="preserve"> </w:t>
      </w:r>
    </w:p>
    <w:p>
      <w:pPr>
        <w:pStyle w:val="Subsection"/>
        <w:rPr>
          <w:snapToGrid w:val="0"/>
        </w:rPr>
      </w:pPr>
      <w:r>
        <w:rPr>
          <w:snapToGrid w:val="0"/>
        </w:rPr>
        <w:tab/>
      </w:r>
      <w:r>
        <w:rPr>
          <w:snapToGrid w:val="0"/>
        </w:rPr>
        <w:tab/>
        <w:t>If the provisional renewal of a retention licence is not properly accepted under section 173, the provisional renewal lapses.</w:t>
      </w:r>
    </w:p>
    <w:p>
      <w:pPr>
        <w:pStyle w:val="Heading4"/>
        <w:rPr>
          <w:b w:val="0"/>
        </w:rPr>
      </w:pPr>
      <w:bookmarkStart w:id="248" w:name="_Toc166675013"/>
      <w:bookmarkStart w:id="249" w:name="_Toc166675528"/>
      <w:bookmarkStart w:id="250" w:name="_Toc166675316"/>
      <w:r>
        <w:rPr>
          <w:b w:val="0"/>
          <w:snapToGrid w:val="0"/>
        </w:rPr>
        <w:t>Division 6 — Obligations associated with retention licence</w:t>
      </w:r>
      <w:bookmarkEnd w:id="248"/>
      <w:bookmarkEnd w:id="249"/>
      <w:bookmarkEnd w:id="250"/>
    </w:p>
    <w:p>
      <w:pPr>
        <w:pStyle w:val="Heading5"/>
        <w:rPr>
          <w:snapToGrid w:val="0"/>
        </w:rPr>
      </w:pPr>
      <w:bookmarkStart w:id="251" w:name="_Toc166675317"/>
      <w:r>
        <w:rPr>
          <w:rStyle w:val="CharSectno"/>
        </w:rPr>
        <w:t>176</w:t>
      </w:r>
      <w:r>
        <w:rPr>
          <w:snapToGrid w:val="0"/>
        </w:rPr>
        <w:t>.</w:t>
      </w:r>
      <w:r>
        <w:rPr>
          <w:snapToGrid w:val="0"/>
        </w:rPr>
        <w:tab/>
        <w:t>General</w:t>
      </w:r>
      <w:bookmarkEnd w:id="251"/>
      <w:r>
        <w:rPr>
          <w:snapToGrid w:val="0"/>
        </w:rPr>
        <w:t xml:space="preserve"> </w:t>
      </w:r>
    </w:p>
    <w:p>
      <w:pPr>
        <w:pStyle w:val="Subsection"/>
        <w:rPr>
          <w:snapToGrid w:val="0"/>
        </w:rPr>
      </w:pPr>
      <w:r>
        <w:rPr>
          <w:snapToGrid w:val="0"/>
        </w:rPr>
        <w:tab/>
        <w:t>(1)</w:t>
      </w:r>
      <w:r>
        <w:rPr>
          <w:snapToGrid w:val="0"/>
        </w:rPr>
        <w:tab/>
        <w:t>The sources of obligations associated with a retention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lastRenderedPageBreak/>
        <w:tab/>
        <w:t>Note:</w:t>
      </w:r>
    </w:p>
    <w:p>
      <w:pPr>
        <w:pStyle w:val="PermNoteText"/>
      </w:pPr>
      <w:r>
        <w:tab/>
      </w:r>
      <w:r>
        <w:tab/>
        <w:t>For paragraph (a) see section 177. For paragraph (c) see sections 44, 177 to 185, 372 and 391(1).</w:t>
      </w:r>
    </w:p>
    <w:p>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Heading5"/>
        <w:rPr>
          <w:snapToGrid w:val="0"/>
        </w:rPr>
      </w:pPr>
      <w:bookmarkStart w:id="252" w:name="_Toc166675318"/>
      <w:r>
        <w:rPr>
          <w:rStyle w:val="CharSectno"/>
        </w:rPr>
        <w:t>177</w:t>
      </w:r>
      <w:r>
        <w:rPr>
          <w:snapToGrid w:val="0"/>
        </w:rPr>
        <w:t>.</w:t>
      </w:r>
      <w:r>
        <w:rPr>
          <w:snapToGrid w:val="0"/>
        </w:rPr>
        <w:tab/>
        <w:t>Conditions of retention licence</w:t>
      </w:r>
      <w:bookmarkEnd w:id="252"/>
      <w:r>
        <w:rPr>
          <w:snapToGrid w:val="0"/>
        </w:rPr>
        <w:t xml:space="preserve"> </w:t>
      </w:r>
    </w:p>
    <w:p>
      <w:pPr>
        <w:pStyle w:val="Subsection"/>
        <w:rPr>
          <w:snapToGrid w:val="0"/>
        </w:rPr>
      </w:pPr>
      <w:r>
        <w:rPr>
          <w:snapToGrid w:val="0"/>
        </w:rPr>
        <w:tab/>
        <w:t>(1)</w:t>
      </w:r>
      <w:r>
        <w:rPr>
          <w:snapToGrid w:val="0"/>
        </w:rPr>
        <w:tab/>
        <w:t>The Minister may grant or renew a retention licence subject to whatever conditions the Minister thinks appropriate.</w:t>
      </w:r>
    </w:p>
    <w:p>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lastRenderedPageBreak/>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253" w:name="_Toc166675319"/>
      <w:r>
        <w:rPr>
          <w:rStyle w:val="CharSectno"/>
        </w:rPr>
        <w:t>178</w:t>
      </w:r>
      <w:r>
        <w:rPr>
          <w:snapToGrid w:val="0"/>
        </w:rPr>
        <w:t>.</w:t>
      </w:r>
      <w:r>
        <w:rPr>
          <w:snapToGrid w:val="0"/>
        </w:rPr>
        <w:tab/>
        <w:t>No conditions requiring payment of money</w:t>
      </w:r>
      <w:bookmarkEnd w:id="253"/>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254" w:name="_Toc166675320"/>
      <w:r>
        <w:rPr>
          <w:rStyle w:val="CharSectno"/>
        </w:rPr>
        <w:t>179</w:t>
      </w:r>
      <w:r>
        <w:rPr>
          <w:snapToGrid w:val="0"/>
        </w:rPr>
        <w:t>.</w:t>
      </w:r>
      <w:r>
        <w:rPr>
          <w:snapToGrid w:val="0"/>
        </w:rPr>
        <w:tab/>
        <w:t>Variation of conditions</w:t>
      </w:r>
      <w:bookmarkEnd w:id="25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vary a licence condition; 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lastRenderedPageBreak/>
        <w:tab/>
        <w:t>(2)</w:t>
      </w:r>
      <w:r>
        <w:rPr>
          <w:snapToGrid w:val="0"/>
        </w:rPr>
        <w:tab/>
        <w:t>If a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255" w:name="_Toc166675321"/>
      <w:r>
        <w:rPr>
          <w:rStyle w:val="CharSectno"/>
        </w:rPr>
        <w:t>180</w:t>
      </w:r>
      <w:r>
        <w:rPr>
          <w:snapToGrid w:val="0"/>
        </w:rPr>
        <w:t>.</w:t>
      </w:r>
      <w:r>
        <w:rPr>
          <w:snapToGrid w:val="0"/>
        </w:rPr>
        <w:tab/>
        <w:t>Exemption from or suspension of conditions</w:t>
      </w:r>
      <w:bookmarkEnd w:id="25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exempt the holder from complying with a licence condition;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lastRenderedPageBreak/>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compliance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PermNoteHeading"/>
      </w:pPr>
      <w:r>
        <w:tab/>
        <w:t>Note:</w:t>
      </w:r>
    </w:p>
    <w:p>
      <w:pPr>
        <w:pStyle w:val="PermNoteText"/>
      </w:pPr>
      <w:r>
        <w:tab/>
      </w:r>
      <w:r>
        <w:tab/>
        <w:t>A suspension or exemption of a condition does not take effect until registered (see section 337).</w:t>
      </w:r>
    </w:p>
    <w:p>
      <w:pPr>
        <w:pStyle w:val="Heading5"/>
        <w:rPr>
          <w:snapToGrid w:val="0"/>
        </w:rPr>
      </w:pPr>
      <w:bookmarkStart w:id="256" w:name="_Toc166675322"/>
      <w:r>
        <w:rPr>
          <w:rStyle w:val="CharSectno"/>
        </w:rPr>
        <w:t>181</w:t>
      </w:r>
      <w:r>
        <w:rPr>
          <w:snapToGrid w:val="0"/>
        </w:rPr>
        <w:t>.</w:t>
      </w:r>
      <w:r>
        <w:rPr>
          <w:snapToGrid w:val="0"/>
        </w:rPr>
        <w:tab/>
        <w:t>Automatic suspension of conditions if licence rights are suspended</w:t>
      </w:r>
      <w:bookmarkEnd w:id="25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lastRenderedPageBreak/>
        <w:tab/>
        <w:t>(a)</w:t>
      </w:r>
      <w:r>
        <w:rPr>
          <w:snapToGrid w:val="0"/>
        </w:rPr>
        <w:tab/>
        <w:t>the Minister suspends particular rights conferred by a retention licence under section 135;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257" w:name="_Toc166675323"/>
      <w:r>
        <w:rPr>
          <w:rStyle w:val="CharSectno"/>
        </w:rPr>
        <w:t>182</w:t>
      </w:r>
      <w:r>
        <w:rPr>
          <w:snapToGrid w:val="0"/>
        </w:rPr>
        <w:t>.</w:t>
      </w:r>
      <w:r>
        <w:rPr>
          <w:snapToGrid w:val="0"/>
        </w:rPr>
        <w:tab/>
        <w:t>Significant changes in circumstances to be reported to Minister</w:t>
      </w:r>
      <w:bookmarkEnd w:id="257"/>
      <w:r>
        <w:rPr>
          <w:snapToGrid w:val="0"/>
        </w:rPr>
        <w:t xml:space="preserve"> </w:t>
      </w:r>
    </w:p>
    <w:p>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PermNoteHeading"/>
      </w:pPr>
      <w:r>
        <w:tab/>
        <w:t>Note:</w:t>
      </w:r>
    </w:p>
    <w:p>
      <w:pPr>
        <w:pStyle w:val="PermNoteText"/>
      </w:pPr>
      <w:r>
        <w:tab/>
      </w:r>
      <w:r>
        <w:tab/>
        <w:t>The Minister may cancel the retention licence if the Minister believes that circumstances have changed so that mining activities can now commence (see section 190).</w:t>
      </w:r>
    </w:p>
    <w:p>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Heading5"/>
        <w:rPr>
          <w:snapToGrid w:val="0"/>
        </w:rPr>
      </w:pPr>
      <w:bookmarkStart w:id="258" w:name="_Toc166675324"/>
      <w:r>
        <w:rPr>
          <w:rStyle w:val="CharSectno"/>
        </w:rPr>
        <w:t>183</w:t>
      </w:r>
      <w:r>
        <w:rPr>
          <w:snapToGrid w:val="0"/>
        </w:rPr>
        <w:t>.</w:t>
      </w:r>
      <w:r>
        <w:rPr>
          <w:snapToGrid w:val="0"/>
        </w:rPr>
        <w:tab/>
        <w:t>Work practices</w:t>
      </w:r>
      <w:bookmarkEnd w:id="258"/>
      <w:r>
        <w:rPr>
          <w:snapToGrid w:val="0"/>
        </w:rPr>
        <w:t xml:space="preserve"> </w:t>
      </w:r>
    </w:p>
    <w:p>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lastRenderedPageBreak/>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pPr>
      <w:r>
        <w:tab/>
        <w:t>1.</w:t>
      </w:r>
      <w:r>
        <w:tab/>
        <w:t>The safety of offshore exploration and mining activities is governed by the Mines Safety and Inspection Act 1994 — see the definition of “exploration operations” and paragraphs (a) and (j) of the definition of “mining operations” in section 4(1) of that Act.</w:t>
      </w:r>
    </w:p>
    <w:p>
      <w:pPr>
        <w:pStyle w:val="PermNoteText"/>
      </w:pPr>
      <w:r>
        <w:tab/>
        <w:t>2.</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259" w:name="_Toc166675325"/>
      <w:r>
        <w:rPr>
          <w:rStyle w:val="CharSectno"/>
        </w:rPr>
        <w:t>184</w:t>
      </w:r>
      <w:r>
        <w:rPr>
          <w:snapToGrid w:val="0"/>
        </w:rPr>
        <w:t>.</w:t>
      </w:r>
      <w:r>
        <w:rPr>
          <w:snapToGrid w:val="0"/>
        </w:rPr>
        <w:tab/>
        <w:t>Licence holder must keep specified records etc.</w:t>
      </w:r>
      <w:bookmarkEnd w:id="259"/>
      <w:r>
        <w:rPr>
          <w:snapToGrid w:val="0"/>
        </w:rPr>
        <w:t xml:space="preserve"> </w:t>
      </w:r>
    </w:p>
    <w:p>
      <w:pPr>
        <w:pStyle w:val="Subsection"/>
        <w:rPr>
          <w:snapToGrid w:val="0"/>
        </w:rPr>
      </w:pPr>
      <w:r>
        <w:rPr>
          <w:snapToGrid w:val="0"/>
        </w:rPr>
        <w:tab/>
      </w:r>
      <w:r>
        <w:rPr>
          <w:snapToGrid w:val="0"/>
        </w:rPr>
        <w:tab/>
        <w:t>A retention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pPr>
      <w:r>
        <w:tab/>
      </w:r>
      <w:r>
        <w:tab/>
        <w:t>Under sections 386 and 387 the Minister may direct a person to keep records and samples and to give records and samples to the Minister, and to make returns.</w:t>
      </w:r>
    </w:p>
    <w:p>
      <w:pPr>
        <w:pStyle w:val="Penstart"/>
        <w:rPr>
          <w:snapToGrid w:val="0"/>
        </w:rPr>
      </w:pPr>
      <w:r>
        <w:rPr>
          <w:snapToGrid w:val="0"/>
        </w:rPr>
        <w:tab/>
        <w:t>Maximum penalty: $10 000.</w:t>
      </w:r>
    </w:p>
    <w:p>
      <w:pPr>
        <w:pStyle w:val="Heading5"/>
        <w:rPr>
          <w:snapToGrid w:val="0"/>
        </w:rPr>
      </w:pPr>
      <w:bookmarkStart w:id="260" w:name="_Toc166675327"/>
      <w:r>
        <w:rPr>
          <w:rStyle w:val="CharSectno"/>
        </w:rPr>
        <w:t>185</w:t>
      </w:r>
      <w:r>
        <w:rPr>
          <w:snapToGrid w:val="0"/>
        </w:rPr>
        <w:t>.</w:t>
      </w:r>
      <w:r>
        <w:rPr>
          <w:snapToGrid w:val="0"/>
        </w:rPr>
        <w:tab/>
        <w:t>Licence holder must assist inspectors</w:t>
      </w:r>
      <w:bookmarkEnd w:id="260"/>
      <w:r>
        <w:rPr>
          <w:snapToGrid w:val="0"/>
        </w:rPr>
        <w:t xml:space="preserve"> </w:t>
      </w:r>
    </w:p>
    <w:p>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PermNoteHeading"/>
      </w:pPr>
      <w:r>
        <w:lastRenderedPageBreak/>
        <w:tab/>
        <w:t>Note:</w:t>
      </w:r>
    </w:p>
    <w:p>
      <w:pPr>
        <w:pStyle w:val="PermNoteText"/>
      </w:pPr>
      <w:r>
        <w:tab/>
      </w:r>
      <w:r>
        <w:tab/>
        <w:t>See sections 377 to 384 for compliance inspections.</w:t>
      </w:r>
    </w:p>
    <w:p>
      <w:pPr>
        <w:pStyle w:val="Penstart"/>
        <w:rPr>
          <w:snapToGrid w:val="0"/>
        </w:rPr>
      </w:pPr>
      <w:r>
        <w:rPr>
          <w:snapToGrid w:val="0"/>
        </w:rPr>
        <w:tab/>
        <w:t>Maximum penalty: $5 000.</w:t>
      </w:r>
    </w:p>
    <w:p>
      <w:pPr>
        <w:pStyle w:val="Heading4"/>
        <w:rPr>
          <w:b w:val="0"/>
        </w:rPr>
      </w:pPr>
      <w:bookmarkStart w:id="261" w:name="_Toc166675024"/>
      <w:bookmarkStart w:id="262" w:name="_Toc166675539"/>
      <w:bookmarkStart w:id="263" w:name="_Toc166675328"/>
      <w:r>
        <w:rPr>
          <w:b w:val="0"/>
          <w:snapToGrid w:val="0"/>
        </w:rPr>
        <w:t xml:space="preserve">Division 7 — </w:t>
      </w:r>
      <w:r>
        <w:rPr>
          <w:b w:val="0"/>
        </w:rPr>
        <w:t>Expiry of retention licence</w:t>
      </w:r>
      <w:bookmarkEnd w:id="261"/>
      <w:bookmarkEnd w:id="262"/>
      <w:bookmarkEnd w:id="263"/>
    </w:p>
    <w:p>
      <w:pPr>
        <w:pStyle w:val="Heading5"/>
        <w:rPr>
          <w:snapToGrid w:val="0"/>
        </w:rPr>
      </w:pPr>
      <w:bookmarkStart w:id="264" w:name="_Toc166675845"/>
      <w:r>
        <w:rPr>
          <w:rStyle w:val="CharSectno"/>
        </w:rPr>
        <w:t>186</w:t>
      </w:r>
      <w:r>
        <w:rPr>
          <w:snapToGrid w:val="0"/>
        </w:rPr>
        <w:t>.</w:t>
      </w:r>
      <w:r>
        <w:rPr>
          <w:snapToGrid w:val="0"/>
        </w:rPr>
        <w:tab/>
        <w:t>General</w:t>
      </w:r>
      <w:bookmarkEnd w:id="264"/>
      <w:r>
        <w:rPr>
          <w:snapToGrid w:val="0"/>
        </w:rPr>
        <w:t xml:space="preserve"> </w:t>
      </w:r>
    </w:p>
    <w:p>
      <w:pPr>
        <w:pStyle w:val="Subsection"/>
        <w:rPr>
          <w:snapToGrid w:val="0"/>
        </w:rPr>
      </w:pPr>
      <w:r>
        <w:rPr>
          <w:snapToGrid w:val="0"/>
        </w:rPr>
        <w:tab/>
      </w:r>
      <w:r>
        <w:rPr>
          <w:snapToGrid w:val="0"/>
        </w:rPr>
        <w:tab/>
        <w:t>A retention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a mining licence is granted over the blocks in the licence area of the retention licence; or</w:t>
      </w:r>
    </w:p>
    <w:p>
      <w:pPr>
        <w:pStyle w:val="Indenta"/>
        <w:rPr>
          <w:snapToGrid w:val="0"/>
        </w:rPr>
      </w:pPr>
      <w:r>
        <w:rPr>
          <w:snapToGrid w:val="0"/>
        </w:rPr>
        <w:tab/>
        <w:t>(d)</w:t>
      </w:r>
      <w:r>
        <w:rPr>
          <w:snapToGrid w:val="0"/>
        </w:rPr>
        <w:tab/>
        <w:t>the licence is cancelled.</w:t>
      </w:r>
    </w:p>
    <w:p>
      <w:pPr>
        <w:pStyle w:val="PermNoteHeading"/>
      </w:pPr>
      <w:r>
        <w:tab/>
        <w:t>Note:</w:t>
      </w:r>
    </w:p>
    <w:p>
      <w:pPr>
        <w:pStyle w:val="PermNoteText"/>
      </w:pPr>
      <w:r>
        <w:tab/>
      </w:r>
      <w:r>
        <w:tab/>
      </w:r>
      <w:r>
        <w:rPr>
          <w:snapToGrid w:val="0"/>
        </w:rPr>
        <w:t>For paragraph (a) see Division 5. For paragraph (b) see section 187. For paragraph (c) see section 188. For paragraph (d) see sections 189 and 190.</w:t>
      </w:r>
    </w:p>
    <w:p>
      <w:pPr>
        <w:pStyle w:val="Heading5"/>
        <w:rPr>
          <w:snapToGrid w:val="0"/>
        </w:rPr>
      </w:pPr>
      <w:bookmarkStart w:id="265" w:name="_Toc166675846"/>
      <w:r>
        <w:rPr>
          <w:rStyle w:val="CharSectno"/>
        </w:rPr>
        <w:t>187</w:t>
      </w:r>
      <w:r>
        <w:rPr>
          <w:snapToGrid w:val="0"/>
        </w:rPr>
        <w:t>.</w:t>
      </w:r>
      <w:r>
        <w:rPr>
          <w:snapToGrid w:val="0"/>
        </w:rPr>
        <w:tab/>
        <w:t>Voluntary surrender of retention licence</w:t>
      </w:r>
      <w:bookmarkEnd w:id="265"/>
      <w:r>
        <w:rPr>
          <w:snapToGrid w:val="0"/>
        </w:rPr>
        <w:t xml:space="preserve"> </w:t>
      </w:r>
    </w:p>
    <w:p>
      <w:pPr>
        <w:pStyle w:val="Subsection"/>
        <w:rPr>
          <w:snapToGrid w:val="0"/>
        </w:rPr>
      </w:pPr>
      <w:r>
        <w:rPr>
          <w:snapToGrid w:val="0"/>
        </w:rPr>
        <w:tab/>
      </w:r>
      <w:r>
        <w:rPr>
          <w:snapToGrid w:val="0"/>
        </w:rPr>
        <w:tab/>
        <w:t>A retention licence holder may surrender the licence.</w:t>
      </w:r>
    </w:p>
    <w:p>
      <w:pPr>
        <w:pStyle w:val="PermNoteHeading"/>
      </w:pPr>
      <w:r>
        <w:tab/>
        <w:t>Note:</w:t>
      </w:r>
    </w:p>
    <w:p>
      <w:pPr>
        <w:pStyle w:val="PermNoteText"/>
      </w:pPr>
      <w:r>
        <w:tab/>
        <w:t>1.</w:t>
      </w:r>
      <w:r>
        <w:tab/>
        <w:t>See Division 4 for voluntary surrender of part of a licence area.</w:t>
      </w:r>
    </w:p>
    <w:p>
      <w:pPr>
        <w:pStyle w:val="PermNoteText"/>
      </w:pPr>
      <w:r>
        <w:tab/>
        <w:t>2.</w:t>
      </w:r>
      <w:r>
        <w:tab/>
        <w:t>The surrender takes effect when it is registered under section 337 (see section 337(5)).</w:t>
      </w:r>
    </w:p>
    <w:p>
      <w:pPr>
        <w:pStyle w:val="Heading5"/>
        <w:rPr>
          <w:snapToGrid w:val="0"/>
        </w:rPr>
      </w:pPr>
      <w:bookmarkStart w:id="266" w:name="_Toc166675847"/>
      <w:r>
        <w:rPr>
          <w:rStyle w:val="CharSectno"/>
        </w:rPr>
        <w:t>188</w:t>
      </w:r>
      <w:r>
        <w:rPr>
          <w:snapToGrid w:val="0"/>
        </w:rPr>
        <w:t>.</w:t>
      </w:r>
      <w:r>
        <w:rPr>
          <w:snapToGrid w:val="0"/>
        </w:rPr>
        <w:tab/>
        <w:t>Automatic expiry of retention licence when mining licence takes effect</w:t>
      </w:r>
      <w:bookmarkEnd w:id="26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is in force; and</w:t>
      </w:r>
    </w:p>
    <w:p>
      <w:pPr>
        <w:pStyle w:val="Indenta"/>
        <w:rPr>
          <w:snapToGrid w:val="0"/>
        </w:rPr>
      </w:pPr>
      <w:r>
        <w:rPr>
          <w:snapToGrid w:val="0"/>
        </w:rPr>
        <w:tab/>
        <w:t>(b)</w:t>
      </w:r>
      <w:r>
        <w:rPr>
          <w:snapToGrid w:val="0"/>
        </w:rPr>
        <w:tab/>
        <w:t>a mining licence over all or some of the blocks in the retention licence area comes into force under section 232,</w:t>
      </w:r>
    </w:p>
    <w:p>
      <w:pPr>
        <w:pStyle w:val="Subsection"/>
        <w:rPr>
          <w:snapToGrid w:val="0"/>
        </w:rPr>
      </w:pPr>
      <w:r>
        <w:rPr>
          <w:snapToGrid w:val="0"/>
        </w:rPr>
        <w:lastRenderedPageBreak/>
        <w:tab/>
      </w:r>
      <w:r>
        <w:rPr>
          <w:snapToGrid w:val="0"/>
        </w:rPr>
        <w:tab/>
        <w:t>the retention licence expires in relation to the blocks covered by the mining licence.</w:t>
      </w:r>
    </w:p>
    <w:p>
      <w:pPr>
        <w:pStyle w:val="Heading5"/>
        <w:rPr>
          <w:snapToGrid w:val="0"/>
        </w:rPr>
      </w:pPr>
      <w:bookmarkStart w:id="267" w:name="_Toc166675848"/>
      <w:r>
        <w:rPr>
          <w:rStyle w:val="CharSectno"/>
        </w:rPr>
        <w:t>189</w:t>
      </w:r>
      <w:r>
        <w:rPr>
          <w:snapToGrid w:val="0"/>
        </w:rPr>
        <w:t>.</w:t>
      </w:r>
      <w:r>
        <w:rPr>
          <w:snapToGrid w:val="0"/>
        </w:rPr>
        <w:tab/>
        <w:t>Cancellation of retention licence, breach of condition etc.</w:t>
      </w:r>
      <w:bookmarkEnd w:id="267"/>
      <w:r>
        <w:rPr>
          <w:snapToGrid w:val="0"/>
        </w:rPr>
        <w:t xml:space="preserve"> </w:t>
      </w:r>
    </w:p>
    <w:p>
      <w:pPr>
        <w:pStyle w:val="Subsection"/>
        <w:rPr>
          <w:snapToGrid w:val="0"/>
        </w:rPr>
      </w:pPr>
      <w:r>
        <w:rPr>
          <w:snapToGrid w:val="0"/>
        </w:rPr>
        <w:tab/>
        <w:t>(1)</w:t>
      </w:r>
      <w:r>
        <w:rPr>
          <w:snapToGrid w:val="0"/>
        </w:rPr>
        <w:tab/>
        <w:t>Subject to subsection (5), the Minister may cancel a retention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 xml:space="preserve">any steps taken by the holder to remedy the breach or contravention that led to the proposal </w:t>
      </w:r>
      <w:r>
        <w:rPr>
          <w:snapToGrid w:val="0"/>
        </w:rPr>
        <w:lastRenderedPageBreak/>
        <w:t>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268" w:name="_Toc166675849"/>
      <w:r>
        <w:rPr>
          <w:rStyle w:val="CharSectno"/>
        </w:rPr>
        <w:t>190</w:t>
      </w:r>
      <w:r>
        <w:rPr>
          <w:snapToGrid w:val="0"/>
        </w:rPr>
        <w:t>.</w:t>
      </w:r>
      <w:r>
        <w:rPr>
          <w:snapToGrid w:val="0"/>
        </w:rPr>
        <w:tab/>
        <w:t>Cancellation of retention licence, mining activities viable</w:t>
      </w:r>
      <w:bookmarkEnd w:id="268"/>
      <w:r>
        <w:rPr>
          <w:snapToGrid w:val="0"/>
        </w:rPr>
        <w:t xml:space="preserve"> </w:t>
      </w:r>
    </w:p>
    <w:p>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Subsection"/>
        <w:rPr>
          <w:snapToGrid w:val="0"/>
        </w:rPr>
      </w:pPr>
      <w:r>
        <w:rPr>
          <w:snapToGrid w:val="0"/>
        </w:rPr>
        <w:tab/>
        <w:t>(2)</w:t>
      </w:r>
      <w:r>
        <w:rPr>
          <w:snapToGrid w:val="0"/>
        </w:rPr>
        <w:tab/>
        <w:t>A request under subsection (1)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day by which the holder is to give the explanation to the Minister.</w:t>
      </w:r>
    </w:p>
    <w:p>
      <w:pPr>
        <w:pStyle w:val="Subsection"/>
        <w:rPr>
          <w:snapToGrid w:val="0"/>
        </w:rPr>
      </w:pPr>
      <w:r>
        <w:rPr>
          <w:snapToGrid w:val="0"/>
        </w:rPr>
        <w:tab/>
        <w:t>(3)</w:t>
      </w:r>
      <w:r>
        <w:rPr>
          <w:snapToGrid w:val="0"/>
        </w:rPr>
        <w:tab/>
        <w:t>The day specified under subsection (2)(b) is to be at least 30 days after the day on which the request is given to the holder.</w:t>
      </w:r>
    </w:p>
    <w:p>
      <w:pPr>
        <w:pStyle w:val="Subsection"/>
        <w:rPr>
          <w:snapToGrid w:val="0"/>
        </w:rPr>
      </w:pPr>
      <w:r>
        <w:rPr>
          <w:snapToGrid w:val="0"/>
        </w:rPr>
        <w:tab/>
        <w:t>(4)</w:t>
      </w:r>
      <w:r>
        <w:rPr>
          <w:snapToGrid w:val="0"/>
        </w:rPr>
        <w:tab/>
        <w:t>An explanation provided in response to a request under subsection (1) must be in writing.</w:t>
      </w:r>
    </w:p>
    <w:p>
      <w:pPr>
        <w:pStyle w:val="Subsection"/>
        <w:rPr>
          <w:snapToGrid w:val="0"/>
        </w:rPr>
      </w:pPr>
      <w:r>
        <w:rPr>
          <w:snapToGrid w:val="0"/>
        </w:rPr>
        <w:tab/>
        <w:t>(5)</w:t>
      </w:r>
      <w:r>
        <w:rPr>
          <w:snapToGrid w:val="0"/>
        </w:rPr>
        <w:tab/>
        <w:t>The Minister may cancel the retention licence if — </w:t>
      </w:r>
    </w:p>
    <w:p>
      <w:pPr>
        <w:pStyle w:val="Indenta"/>
        <w:rPr>
          <w:snapToGrid w:val="0"/>
        </w:rPr>
      </w:pPr>
      <w:r>
        <w:rPr>
          <w:snapToGrid w:val="0"/>
        </w:rPr>
        <w:tab/>
        <w:t>(a)</w:t>
      </w:r>
      <w:r>
        <w:rPr>
          <w:snapToGrid w:val="0"/>
        </w:rPr>
        <w:tab/>
        <w:t>a request is made under subsection (1);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holder does not give the Minister an explanation in response to the request by the day specified in the request; or</w:t>
      </w:r>
    </w:p>
    <w:p>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Subsection"/>
        <w:rPr>
          <w:snapToGrid w:val="0"/>
        </w:rPr>
      </w:pPr>
      <w:r>
        <w:rPr>
          <w:snapToGrid w:val="0"/>
        </w:rPr>
        <w:lastRenderedPageBreak/>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Heading5"/>
        <w:rPr>
          <w:snapToGrid w:val="0"/>
        </w:rPr>
      </w:pPr>
      <w:bookmarkStart w:id="269" w:name="_Toc166675850"/>
      <w:r>
        <w:rPr>
          <w:rStyle w:val="CharSectno"/>
        </w:rPr>
        <w:t>191</w:t>
      </w:r>
      <w:r>
        <w:rPr>
          <w:snapToGrid w:val="0"/>
        </w:rPr>
        <w:t>.</w:t>
      </w:r>
      <w:r>
        <w:rPr>
          <w:snapToGrid w:val="0"/>
        </w:rPr>
        <w:tab/>
        <w:t>Obligations of former retention licence holders and former associates</w:t>
      </w:r>
      <w:bookmarkEnd w:id="269"/>
      <w:r>
        <w:rPr>
          <w:snapToGrid w:val="0"/>
        </w:rPr>
        <w:t xml:space="preserve"> </w:t>
      </w:r>
    </w:p>
    <w:p>
      <w:pPr>
        <w:pStyle w:val="Subsection"/>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retention licence holder; or</w:t>
      </w:r>
    </w:p>
    <w:p>
      <w:pPr>
        <w:pStyle w:val="Indenti"/>
        <w:rPr>
          <w:snapToGrid w:val="0"/>
        </w:rPr>
      </w:pPr>
      <w:r>
        <w:rPr>
          <w:snapToGrid w:val="0"/>
        </w:rPr>
        <w:tab/>
        <w:t>(ii)</w:t>
      </w:r>
      <w:r>
        <w:rPr>
          <w:snapToGrid w:val="0"/>
        </w:rPr>
        <w:tab/>
        <w:t xml:space="preserve">an associate of a retention licence holder;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licence — </w:t>
      </w:r>
    </w:p>
    <w:p>
      <w:pPr>
        <w:pStyle w:val="Indenti"/>
        <w:keepNext/>
        <w:keepLines/>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keepNext/>
        <w:rPr>
          <w:snapToGrid w:val="0"/>
        </w:rPr>
      </w:pPr>
      <w:r>
        <w:rPr>
          <w:snapToGrid w:val="0"/>
        </w:rPr>
        <w:tab/>
        <w:t>(d)</w:t>
      </w:r>
      <w:r>
        <w:rPr>
          <w:snapToGrid w:val="0"/>
        </w:rPr>
        <w:tab/>
        <w:t>the person was bound by that obligation when the person was the licence holder or an associate,</w:t>
      </w:r>
    </w:p>
    <w:p>
      <w:pPr>
        <w:pStyle w:val="Subsection"/>
        <w:keepNext/>
        <w:keepLines/>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lastRenderedPageBreak/>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270" w:name="_Toc166675031"/>
      <w:bookmarkStart w:id="271" w:name="_Toc166675546"/>
      <w:bookmarkStart w:id="272" w:name="_Toc166675851"/>
      <w:r>
        <w:rPr>
          <w:rStyle w:val="CharDivNo"/>
        </w:rPr>
        <w:lastRenderedPageBreak/>
        <w:t>Part 2.4</w:t>
      </w:r>
      <w:r>
        <w:rPr>
          <w:snapToGrid w:val="0"/>
        </w:rPr>
        <w:t xml:space="preserve"> — </w:t>
      </w:r>
      <w:r>
        <w:rPr>
          <w:rStyle w:val="CharDivText"/>
        </w:rPr>
        <w:t>Mining licences</w:t>
      </w:r>
      <w:bookmarkEnd w:id="270"/>
      <w:bookmarkEnd w:id="271"/>
      <w:bookmarkEnd w:id="272"/>
    </w:p>
    <w:p>
      <w:pPr>
        <w:pStyle w:val="Heading4"/>
        <w:rPr>
          <w:b w:val="0"/>
        </w:rPr>
      </w:pPr>
      <w:bookmarkStart w:id="273" w:name="_Toc166675032"/>
      <w:bookmarkStart w:id="274" w:name="_Toc166675547"/>
      <w:bookmarkStart w:id="275" w:name="_Toc166675852"/>
      <w:r>
        <w:rPr>
          <w:b w:val="0"/>
          <w:snapToGrid w:val="0"/>
        </w:rPr>
        <w:t xml:space="preserve">Division 1 — </w:t>
      </w:r>
      <w:r>
        <w:rPr>
          <w:b w:val="0"/>
        </w:rPr>
        <w:t>General</w:t>
      </w:r>
      <w:bookmarkEnd w:id="273"/>
      <w:bookmarkEnd w:id="274"/>
      <w:bookmarkEnd w:id="275"/>
    </w:p>
    <w:p>
      <w:pPr>
        <w:pStyle w:val="Heading5"/>
        <w:rPr>
          <w:snapToGrid w:val="0"/>
        </w:rPr>
      </w:pPr>
      <w:bookmarkStart w:id="276" w:name="_Toc166675853"/>
      <w:r>
        <w:rPr>
          <w:rStyle w:val="CharSectno"/>
        </w:rPr>
        <w:t>192</w:t>
      </w:r>
      <w:r>
        <w:rPr>
          <w:snapToGrid w:val="0"/>
        </w:rPr>
        <w:t>.</w:t>
      </w:r>
      <w:r>
        <w:rPr>
          <w:snapToGrid w:val="0"/>
        </w:rPr>
        <w:tab/>
        <w:t>Mining licences</w:t>
      </w:r>
      <w:bookmarkEnd w:id="276"/>
      <w:r>
        <w:rPr>
          <w:snapToGrid w:val="0"/>
        </w:rPr>
        <w:t xml:space="preserve"> </w:t>
      </w:r>
    </w:p>
    <w:p>
      <w:pPr>
        <w:pStyle w:val="Subsection"/>
        <w:rPr>
          <w:snapToGrid w:val="0"/>
        </w:rPr>
      </w:pPr>
      <w:r>
        <w:rPr>
          <w:snapToGrid w:val="0"/>
        </w:rPr>
        <w:tab/>
        <w:t>(1)</w:t>
      </w:r>
      <w:r>
        <w:rPr>
          <w:snapToGrid w:val="0"/>
        </w:rPr>
        <w:tab/>
        <w:t>This Part provides for the grant of mining licences over blocks in coastal waters.</w:t>
      </w:r>
    </w:p>
    <w:p>
      <w:pPr>
        <w:pStyle w:val="Subsection"/>
        <w:rPr>
          <w:snapToGrid w:val="0"/>
        </w:rPr>
      </w:pPr>
      <w:r>
        <w:rPr>
          <w:snapToGrid w:val="0"/>
        </w:rPr>
        <w:tab/>
        <w:t>(2)</w:t>
      </w:r>
      <w:r>
        <w:rPr>
          <w:snapToGrid w:val="0"/>
        </w:rPr>
        <w:tab/>
        <w:t>A mining licence may be granted over — </w:t>
      </w:r>
    </w:p>
    <w:p>
      <w:pPr>
        <w:pStyle w:val="Indenta"/>
        <w:rPr>
          <w:snapToGrid w:val="0"/>
        </w:rPr>
      </w:pPr>
      <w:r>
        <w:rPr>
          <w:snapToGrid w:val="0"/>
        </w:rPr>
        <w:tab/>
        <w:t>(a)</w:t>
      </w:r>
      <w:r>
        <w:rPr>
          <w:snapToGrid w:val="0"/>
        </w:rPr>
        <w:tab/>
        <w:t>a vacant standard block (see Division 2); or</w:t>
      </w:r>
    </w:p>
    <w:p>
      <w:pPr>
        <w:pStyle w:val="Indenta"/>
        <w:rPr>
          <w:snapToGrid w:val="0"/>
        </w:rPr>
      </w:pPr>
      <w:r>
        <w:rPr>
          <w:snapToGrid w:val="0"/>
        </w:rPr>
        <w:tab/>
        <w:t>(b)</w:t>
      </w:r>
      <w:r>
        <w:rPr>
          <w:snapToGrid w:val="0"/>
        </w:rPr>
        <w:tab/>
        <w:t>certain blocks that are not vacant (see Division 2); or</w:t>
      </w:r>
    </w:p>
    <w:p>
      <w:pPr>
        <w:pStyle w:val="Indenta"/>
        <w:rPr>
          <w:snapToGrid w:val="0"/>
        </w:rPr>
      </w:pPr>
      <w:r>
        <w:rPr>
          <w:snapToGrid w:val="0"/>
        </w:rPr>
        <w:tab/>
        <w:t>(c)</w:t>
      </w:r>
      <w:r>
        <w:rPr>
          <w:snapToGrid w:val="0"/>
        </w:rPr>
        <w:tab/>
        <w:t>a tender block (see Division 3).</w:t>
      </w:r>
    </w:p>
    <w:p>
      <w:pPr>
        <w:pStyle w:val="PermNoteHeading"/>
      </w:pPr>
      <w:r>
        <w:tab/>
        <w:t>Note:</w:t>
      </w:r>
    </w:p>
    <w:p>
      <w:pPr>
        <w:pStyle w:val="PermNoteText"/>
      </w:pPr>
      <w:r>
        <w:tab/>
        <w:t>1,</w:t>
      </w:r>
      <w:r>
        <w:tab/>
        <w:t>A tender block is a block that has been declared available for tender. A standard block is any other block (see sections 19 and 20).</w:t>
      </w:r>
    </w:p>
    <w:p>
      <w:pPr>
        <w:pStyle w:val="PermNoteText"/>
      </w:pPr>
      <w:r>
        <w:tab/>
        <w:t>2.</w:t>
      </w:r>
      <w:r>
        <w:tab/>
        <w:t>A retention or exploration licence holder may apply for a mining licence over the same area or part of the same area.</w:t>
      </w:r>
    </w:p>
    <w:p>
      <w:pPr>
        <w:pStyle w:val="PermNoteText"/>
      </w:pPr>
      <w:r>
        <w:tab/>
        <w:t>3.</w:t>
      </w:r>
      <w: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277" w:name="_Toc166675854"/>
      <w:r>
        <w:rPr>
          <w:rStyle w:val="CharSectno"/>
        </w:rPr>
        <w:t>193</w:t>
      </w:r>
      <w:r>
        <w:rPr>
          <w:snapToGrid w:val="0"/>
        </w:rPr>
        <w:t>.</w:t>
      </w:r>
      <w:r>
        <w:rPr>
          <w:snapToGrid w:val="0"/>
        </w:rPr>
        <w:tab/>
        <w:t>Activities authorised by a mining licence</w:t>
      </w:r>
      <w:bookmarkEnd w:id="277"/>
      <w:r>
        <w:rPr>
          <w:snapToGrid w:val="0"/>
        </w:rPr>
        <w:t xml:space="preserve"> </w:t>
      </w:r>
    </w:p>
    <w:p>
      <w:pPr>
        <w:pStyle w:val="Subsection"/>
        <w:rPr>
          <w:snapToGrid w:val="0"/>
        </w:rPr>
      </w:pPr>
      <w:r>
        <w:rPr>
          <w:snapToGrid w:val="0"/>
        </w:rPr>
        <w:tab/>
        <w:t>(1)</w:t>
      </w:r>
      <w:r>
        <w:rPr>
          <w:snapToGrid w:val="0"/>
        </w:rPr>
        <w:tab/>
        <w:t>Subject to subsection (2), a mining licence holder may — </w:t>
      </w:r>
    </w:p>
    <w:p>
      <w:pPr>
        <w:pStyle w:val="Indenta"/>
        <w:rPr>
          <w:snapToGrid w:val="0"/>
        </w:rPr>
      </w:pPr>
      <w:r>
        <w:rPr>
          <w:snapToGrid w:val="0"/>
        </w:rPr>
        <w:tab/>
        <w:t>(a)</w:t>
      </w:r>
      <w:r>
        <w:rPr>
          <w:snapToGrid w:val="0"/>
        </w:rPr>
        <w:tab/>
        <w:t>recover minerals in the licence area; and</w:t>
      </w:r>
    </w:p>
    <w:p>
      <w:pPr>
        <w:pStyle w:val="Indenta"/>
        <w:rPr>
          <w:snapToGrid w:val="0"/>
        </w:rPr>
      </w:pPr>
      <w:r>
        <w:rPr>
          <w:snapToGrid w:val="0"/>
        </w:rPr>
        <w:tab/>
        <w:t>(b)</w:t>
      </w:r>
      <w:r>
        <w:rPr>
          <w:snapToGrid w:val="0"/>
        </w:rPr>
        <w:tab/>
        <w:t>explore for minerals in the licence area.</w:t>
      </w:r>
    </w:p>
    <w:p>
      <w:pPr>
        <w:pStyle w:val="PermNoteHeading"/>
      </w:pPr>
      <w:r>
        <w:tab/>
        <w:t>Note:</w:t>
      </w:r>
    </w:p>
    <w:p>
      <w:pPr>
        <w:pStyle w:val="PermNoteText"/>
      </w:pPr>
      <w:r>
        <w:tab/>
        <w:t>1.</w:t>
      </w:r>
      <w:r>
        <w:tab/>
        <w:t>Under section 23(1) the concept of “exploration” extends to activities that are directly related to exploration.</w:t>
      </w:r>
    </w:p>
    <w:p>
      <w:pPr>
        <w:pStyle w:val="PermNoteText"/>
      </w:pPr>
      <w:r>
        <w:tab/>
        <w:t>2,</w:t>
      </w:r>
      <w:r>
        <w:tab/>
        <w:t>Under section 24(1) the concept of “recovery” extends to activities that are directly related to the recovery of minerals.</w:t>
      </w:r>
    </w:p>
    <w:p>
      <w:pPr>
        <w:pStyle w:val="PermNoteText"/>
      </w:pPr>
      <w:r>
        <w:tab/>
        <w:t>3.</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lastRenderedPageBreak/>
        <w:tab/>
        <w:t>(2)</w:t>
      </w:r>
      <w:r>
        <w:rPr>
          <w:snapToGrid w:val="0"/>
        </w:rPr>
        <w:tab/>
        <w:t>If the licence is expressed to restrict the kind of minerals covered by the licence, the holder is not permitted to recover, or to explore for,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Heading5"/>
        <w:rPr>
          <w:snapToGrid w:val="0"/>
        </w:rPr>
      </w:pPr>
      <w:bookmarkStart w:id="278" w:name="_Toc166675855"/>
      <w:r>
        <w:rPr>
          <w:rStyle w:val="CharSectno"/>
        </w:rPr>
        <w:t>194</w:t>
      </w:r>
      <w:r>
        <w:rPr>
          <w:snapToGrid w:val="0"/>
        </w:rPr>
        <w:t>.</w:t>
      </w:r>
      <w:r>
        <w:rPr>
          <w:snapToGrid w:val="0"/>
        </w:rPr>
        <w:tab/>
        <w:t>Minister may cancel or not renew mining licence without compensation</w:t>
      </w:r>
      <w:bookmarkEnd w:id="278"/>
    </w:p>
    <w:p>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PermNoteHeading"/>
      </w:pPr>
      <w:r>
        <w:tab/>
        <w:t>Note:</w:t>
      </w:r>
    </w:p>
    <w:p>
      <w:pPr>
        <w:pStyle w:val="PermNoteText"/>
      </w:pPr>
      <w:r>
        <w:tab/>
        <w:t>1.</w:t>
      </w:r>
      <w:r>
        <w:tab/>
        <w:t>The Minister may cancel the licence under section 265.</w:t>
      </w:r>
    </w:p>
    <w:p>
      <w:pPr>
        <w:pStyle w:val="PermNoteText"/>
      </w:pPr>
      <w:r>
        <w:tab/>
        <w:t>2.</w:t>
      </w:r>
      <w:r>
        <w:tab/>
        <w:t>The Minister may refuse under section 242 to renew the licence.</w:t>
      </w:r>
    </w:p>
    <w:p>
      <w:pPr>
        <w:pStyle w:val="Heading5"/>
        <w:rPr>
          <w:snapToGrid w:val="0"/>
        </w:rPr>
      </w:pPr>
      <w:bookmarkStart w:id="279" w:name="_Toc166675856"/>
      <w:r>
        <w:rPr>
          <w:rStyle w:val="CharSectno"/>
        </w:rPr>
        <w:t>195</w:t>
      </w:r>
      <w:r>
        <w:rPr>
          <w:snapToGrid w:val="0"/>
        </w:rPr>
        <w:t>.</w:t>
      </w:r>
      <w:r>
        <w:rPr>
          <w:snapToGrid w:val="0"/>
        </w:rPr>
        <w:tab/>
        <w:t>Licence rights may be suspended</w:t>
      </w:r>
      <w:bookmarkEnd w:id="279"/>
      <w:r>
        <w:rPr>
          <w:snapToGrid w:val="0"/>
        </w:rPr>
        <w:t xml:space="preserve"> </w:t>
      </w:r>
    </w:p>
    <w:p>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mining licence; or</w:t>
      </w:r>
    </w:p>
    <w:p>
      <w:pPr>
        <w:pStyle w:val="Indenta"/>
        <w:keepNext/>
        <w:rPr>
          <w:snapToGrid w:val="0"/>
        </w:rPr>
      </w:pPr>
      <w:r>
        <w:rPr>
          <w:snapToGrid w:val="0"/>
        </w:rPr>
        <w:lastRenderedPageBreak/>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PermNoteHeading"/>
      </w:pPr>
      <w:r>
        <w:tab/>
        <w:t>Note:</w:t>
      </w:r>
    </w:p>
    <w:p>
      <w:pPr>
        <w:pStyle w:val="PermNoteText"/>
      </w:pPr>
      <w:r>
        <w:tab/>
      </w:r>
      <w:r>
        <w:tab/>
        <w:t>See section 258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280" w:name="_Toc166675857"/>
      <w:r>
        <w:rPr>
          <w:rStyle w:val="CharSectno"/>
        </w:rPr>
        <w:t>196</w:t>
      </w:r>
      <w:r>
        <w:rPr>
          <w:snapToGrid w:val="0"/>
        </w:rPr>
        <w:t>.</w:t>
      </w:r>
      <w:r>
        <w:rPr>
          <w:snapToGrid w:val="0"/>
        </w:rPr>
        <w:tab/>
        <w:t>Compensation for acquisition of property due to suspension of rights</w:t>
      </w:r>
      <w:bookmarkEnd w:id="28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lastRenderedPageBreak/>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281" w:name="_Toc166675038"/>
      <w:bookmarkStart w:id="282" w:name="_Toc166675553"/>
      <w:bookmarkStart w:id="283" w:name="_Toc166675858"/>
      <w:r>
        <w:rPr>
          <w:b w:val="0"/>
        </w:rPr>
        <w:t>Division 2 — Application for and grant of mining licence over standard blocks</w:t>
      </w:r>
      <w:bookmarkEnd w:id="281"/>
      <w:bookmarkEnd w:id="282"/>
      <w:bookmarkEnd w:id="283"/>
    </w:p>
    <w:p>
      <w:pPr>
        <w:pStyle w:val="Heading5"/>
        <w:rPr>
          <w:snapToGrid w:val="0"/>
        </w:rPr>
      </w:pPr>
      <w:bookmarkStart w:id="284" w:name="_Toc166675859"/>
      <w:r>
        <w:rPr>
          <w:rStyle w:val="CharSectno"/>
        </w:rPr>
        <w:t>197</w:t>
      </w:r>
      <w:r>
        <w:rPr>
          <w:snapToGrid w:val="0"/>
        </w:rPr>
        <w:t>.</w:t>
      </w:r>
      <w:r>
        <w:rPr>
          <w:snapToGrid w:val="0"/>
        </w:rPr>
        <w:tab/>
        <w:t>Application for mining licence over vacant standard block</w:t>
      </w:r>
      <w:bookmarkEnd w:id="284"/>
      <w:r>
        <w:rPr>
          <w:snapToGrid w:val="0"/>
        </w:rPr>
        <w:t xml:space="preserve"> </w:t>
      </w:r>
    </w:p>
    <w:p>
      <w:pPr>
        <w:pStyle w:val="Subsection"/>
        <w:rPr>
          <w:snapToGrid w:val="0"/>
        </w:rPr>
      </w:pPr>
      <w:r>
        <w:rPr>
          <w:snapToGrid w:val="0"/>
        </w:rPr>
        <w:tab/>
        <w:t>(1)</w:t>
      </w:r>
      <w:r>
        <w:rPr>
          <w:snapToGrid w:val="0"/>
        </w:rPr>
        <w:tab/>
        <w:t>A person may apply to the Minister for a mining licence over a standard block that is vacant.</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The application must not cover more than 20 blocks.</w:t>
      </w:r>
    </w:p>
    <w:p>
      <w:pPr>
        <w:pStyle w:val="Subsection"/>
        <w:rPr>
          <w:snapToGrid w:val="0"/>
        </w:rPr>
      </w:pPr>
      <w:r>
        <w:rPr>
          <w:snapToGrid w:val="0"/>
        </w:rPr>
        <w:tab/>
        <w:t>(4)</w:t>
      </w:r>
      <w:r>
        <w:rPr>
          <w:snapToGrid w:val="0"/>
        </w:rPr>
        <w:tab/>
        <w:t>If the application is for a licence over a group of blocks, the blocks must form a discrete area.</w:t>
      </w:r>
    </w:p>
    <w:p>
      <w:pPr>
        <w:pStyle w:val="Heading5"/>
        <w:rPr>
          <w:snapToGrid w:val="0"/>
        </w:rPr>
      </w:pPr>
      <w:bookmarkStart w:id="285" w:name="_Toc166675860"/>
      <w:r>
        <w:rPr>
          <w:rStyle w:val="CharSectno"/>
        </w:rPr>
        <w:t>198</w:t>
      </w:r>
      <w:r>
        <w:rPr>
          <w:snapToGrid w:val="0"/>
        </w:rPr>
        <w:t>.</w:t>
      </w:r>
      <w:r>
        <w:rPr>
          <w:snapToGrid w:val="0"/>
        </w:rPr>
        <w:tab/>
        <w:t>Holder of exploration licence or retention licence may apply for mining licence</w:t>
      </w:r>
      <w:bookmarkEnd w:id="285"/>
      <w:r>
        <w:rPr>
          <w:snapToGrid w:val="0"/>
        </w:rPr>
        <w:t xml:space="preserve"> </w:t>
      </w:r>
    </w:p>
    <w:p>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Subsection"/>
        <w:rPr>
          <w:snapToGrid w:val="0"/>
        </w:rPr>
      </w:pPr>
      <w:r>
        <w:rPr>
          <w:snapToGrid w:val="0"/>
        </w:rPr>
        <w:tab/>
        <w:t>(2)</w:t>
      </w:r>
      <w:r>
        <w:rPr>
          <w:snapToGrid w:val="0"/>
        </w:rPr>
        <w:tab/>
        <w:t>A person may apply for a mining licence under subsection (1)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lastRenderedPageBreak/>
        <w:tab/>
        <w:t>(3)</w:t>
      </w:r>
      <w:r>
        <w:rPr>
          <w:snapToGrid w:val="0"/>
        </w:rPr>
        <w:tab/>
        <w:t>The holder may apply for 2 or more mining licences over different parts of the licence area of the exploration or retention licence.</w:t>
      </w:r>
    </w:p>
    <w:p>
      <w:pPr>
        <w:pStyle w:val="Heading5"/>
        <w:rPr>
          <w:snapToGrid w:val="0"/>
        </w:rPr>
      </w:pPr>
      <w:bookmarkStart w:id="286" w:name="_Toc166675861"/>
      <w:r>
        <w:rPr>
          <w:rStyle w:val="CharSectno"/>
        </w:rPr>
        <w:t>199</w:t>
      </w:r>
      <w:r>
        <w:rPr>
          <w:snapToGrid w:val="0"/>
        </w:rPr>
        <w:t>.</w:t>
      </w:r>
      <w:r>
        <w:rPr>
          <w:snapToGrid w:val="0"/>
        </w:rPr>
        <w:tab/>
        <w:t>How to apply</w:t>
      </w:r>
      <w:bookmarkEnd w:id="286"/>
      <w:r>
        <w:rPr>
          <w:snapToGrid w:val="0"/>
        </w:rPr>
        <w:t xml:space="preserve"> </w:t>
      </w:r>
    </w:p>
    <w:p>
      <w:pPr>
        <w:pStyle w:val="Subsection"/>
        <w:rPr>
          <w:snapToGrid w:val="0"/>
        </w:rPr>
      </w:pPr>
      <w:r>
        <w:rPr>
          <w:snapToGrid w:val="0"/>
        </w:rPr>
        <w:tab/>
        <w:t>(1)</w:t>
      </w:r>
      <w:r>
        <w:rPr>
          <w:snapToGrid w:val="0"/>
        </w:rPr>
        <w:tab/>
        <w:t>An application under section 197 or 198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(f)</w:t>
      </w:r>
      <w:r>
        <w:rPr>
          <w:snapToGrid w:val="0"/>
        </w:rPr>
        <w:tab/>
        <w:t>specify an address for service of notices under this Act and the regulations.</w:t>
      </w:r>
    </w:p>
    <w:p>
      <w:pPr>
        <w:pStyle w:val="PermNoteHeading"/>
      </w:pPr>
      <w:r>
        <w:tab/>
        <w:t>Note:</w:t>
      </w:r>
    </w:p>
    <w:p>
      <w:pPr>
        <w:pStyle w:val="PermNoteText"/>
      </w:pPr>
      <w:r>
        <w:tab/>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87" w:name="_Toc166675862"/>
      <w:r>
        <w:rPr>
          <w:rStyle w:val="CharSectno"/>
        </w:rPr>
        <w:t>200</w:t>
      </w:r>
      <w:r>
        <w:rPr>
          <w:snapToGrid w:val="0"/>
        </w:rPr>
        <w:t>.</w:t>
      </w:r>
      <w:r>
        <w:rPr>
          <w:snapToGrid w:val="0"/>
        </w:rPr>
        <w:tab/>
        <w:t>Effect of inclusion of unavailable block in application</w:t>
      </w:r>
      <w:bookmarkEnd w:id="28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under section 197 or 198 for a licence over a group of blocks; and</w:t>
      </w:r>
    </w:p>
    <w:p>
      <w:pPr>
        <w:pStyle w:val="Indenta"/>
        <w:rPr>
          <w:snapToGrid w:val="0"/>
        </w:rPr>
      </w:pPr>
      <w:r>
        <w:rPr>
          <w:snapToGrid w:val="0"/>
        </w:rPr>
        <w:tab/>
        <w:t>(b)</w:t>
      </w:r>
      <w:r>
        <w:rPr>
          <w:snapToGrid w:val="0"/>
        </w:rPr>
        <w:tab/>
        <w:t>because of section 18, 197 or 198 a mining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PermNoteHeading"/>
      </w:pPr>
      <w:r>
        <w:tab/>
        <w:t>Note:</w:t>
      </w:r>
    </w:p>
    <w:p>
      <w:pPr>
        <w:pStyle w:val="PermNoteText"/>
        <w:rPr>
          <w:snapToGrid w:val="0"/>
        </w:rPr>
      </w:pPr>
      <w:r>
        <w:rPr>
          <w:snapToGrid w:val="0"/>
        </w:rPr>
        <w:tab/>
      </w:r>
      <w:r>
        <w:rPr>
          <w:snapToGrid w:val="0"/>
        </w:rPr>
        <w:tab/>
        <w:t>A mining licence cannot be granted over a block that is not vacant or over a reserved block (see section 18).</w:t>
      </w:r>
    </w:p>
    <w:p>
      <w:pPr>
        <w:pStyle w:val="Heading5"/>
        <w:rPr>
          <w:snapToGrid w:val="0"/>
        </w:rPr>
      </w:pPr>
      <w:bookmarkStart w:id="288" w:name="_Toc166675863"/>
      <w:r>
        <w:rPr>
          <w:rStyle w:val="CharSectno"/>
        </w:rPr>
        <w:t>201</w:t>
      </w:r>
      <w:r>
        <w:rPr>
          <w:snapToGrid w:val="0"/>
        </w:rPr>
        <w:t>.</w:t>
      </w:r>
      <w:r>
        <w:rPr>
          <w:snapToGrid w:val="0"/>
        </w:rPr>
        <w:tab/>
        <w:t>Payment of fee</w:t>
      </w:r>
      <w:bookmarkEnd w:id="288"/>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89" w:name="_Toc166675864"/>
      <w:r>
        <w:rPr>
          <w:rStyle w:val="CharSectno"/>
        </w:rPr>
        <w:t>202</w:t>
      </w:r>
      <w:r>
        <w:rPr>
          <w:snapToGrid w:val="0"/>
        </w:rPr>
        <w:t>.</w:t>
      </w:r>
      <w:r>
        <w:rPr>
          <w:snapToGrid w:val="0"/>
        </w:rPr>
        <w:tab/>
        <w:t>Application must be advertised</w:t>
      </w:r>
      <w:bookmarkEnd w:id="289"/>
      <w:r>
        <w:rPr>
          <w:snapToGrid w:val="0"/>
        </w:rPr>
        <w:t xml:space="preserve"> </w:t>
      </w:r>
    </w:p>
    <w:p>
      <w:pPr>
        <w:pStyle w:val="Subsection"/>
        <w:rPr>
          <w:snapToGrid w:val="0"/>
        </w:rPr>
      </w:pPr>
      <w:r>
        <w:rPr>
          <w:snapToGrid w:val="0"/>
        </w:rPr>
        <w:tab/>
        <w:t>(1)</w:t>
      </w:r>
      <w:r>
        <w:rPr>
          <w:snapToGrid w:val="0"/>
        </w:rPr>
        <w:tab/>
        <w:t>The applicant must advertise the application in a newspaper that circulates throughout the State.</w:t>
      </w:r>
    </w:p>
    <w:p>
      <w:pPr>
        <w:pStyle w:val="Subsection"/>
        <w:rPr>
          <w:snapToGrid w:val="0"/>
        </w:rPr>
      </w:pPr>
      <w:r>
        <w:rPr>
          <w:snapToGrid w:val="0"/>
        </w:rPr>
        <w:lastRenderedPageBreak/>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mining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lodges the application; and</w:t>
      </w:r>
    </w:p>
    <w:p>
      <w:pPr>
        <w:pStyle w:val="Indenta"/>
        <w:rPr>
          <w:snapToGrid w:val="0"/>
        </w:rPr>
      </w:pPr>
      <w:r>
        <w:rPr>
          <w:snapToGrid w:val="0"/>
        </w:rPr>
        <w:tab/>
        <w:t>(b)</w:t>
      </w:r>
      <w:r>
        <w:rPr>
          <w:snapToGrid w:val="0"/>
        </w:rPr>
        <w:tab/>
        <w:t>in any case, subject to subsection (4), within 14 days after the day on which the applicant lodges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290" w:name="_Toc166675865"/>
      <w:r>
        <w:rPr>
          <w:rStyle w:val="CharSectno"/>
        </w:rPr>
        <w:t>203</w:t>
      </w:r>
      <w:r>
        <w:rPr>
          <w:snapToGrid w:val="0"/>
        </w:rPr>
        <w:t>.</w:t>
      </w:r>
      <w:r>
        <w:rPr>
          <w:snapToGrid w:val="0"/>
        </w:rPr>
        <w:tab/>
        <w:t>How multiple applications are dealt with</w:t>
      </w:r>
      <w:bookmarkEnd w:id="290"/>
      <w:r>
        <w:rPr>
          <w:snapToGrid w:val="0"/>
        </w:rPr>
        <w:t xml:space="preserve"> </w:t>
      </w:r>
    </w:p>
    <w:p>
      <w:pPr>
        <w:pStyle w:val="Subsection"/>
        <w:rPr>
          <w:snapToGrid w:val="0"/>
        </w:rPr>
      </w:pPr>
      <w:r>
        <w:rPr>
          <w:snapToGrid w:val="0"/>
        </w:rPr>
        <w:tab/>
        <w:t>(1)</w:t>
      </w:r>
      <w:r>
        <w:rPr>
          <w:snapToGrid w:val="0"/>
        </w:rPr>
        <w:tab/>
        <w:t xml:space="preserve">Subject to subsection (2), if a block is covered by 2 or more applications for a mining or exploration licence, the Minister </w:t>
      </w:r>
      <w:r>
        <w:rPr>
          <w:snapToGrid w:val="0"/>
        </w:rPr>
        <w:lastRenderedPageBreak/>
        <w:t>must deal with the applications in the order in which they are made.</w:t>
      </w:r>
    </w:p>
    <w:p>
      <w:pPr>
        <w:pStyle w:val="PermNoteHeading"/>
      </w:pPr>
      <w:r>
        <w:tab/>
        <w:t>Note:</w:t>
      </w:r>
    </w:p>
    <w:p>
      <w:pPr>
        <w:pStyle w:val="PermNoteText"/>
        <w:rPr>
          <w:snapToGrid w:val="0"/>
        </w:rPr>
      </w:pPr>
      <w:r>
        <w:rPr>
          <w:snapToGrid w:val="0"/>
        </w:rPr>
        <w:tab/>
      </w:r>
      <w:r>
        <w:rPr>
          <w:snapToGrid w:val="0"/>
        </w:rPr>
        <w:tab/>
        <w:t>See also section 58.</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291" w:name="_Toc166675866"/>
      <w:r>
        <w:rPr>
          <w:rStyle w:val="CharSectno"/>
        </w:rPr>
        <w:t>204</w:t>
      </w:r>
      <w:r>
        <w:rPr>
          <w:snapToGrid w:val="0"/>
        </w:rPr>
        <w:t>.</w:t>
      </w:r>
      <w:r>
        <w:rPr>
          <w:snapToGrid w:val="0"/>
        </w:rPr>
        <w:tab/>
        <w:t>Request for further information</w:t>
      </w:r>
      <w:bookmarkEnd w:id="291"/>
      <w:r>
        <w:rPr>
          <w:snapToGrid w:val="0"/>
        </w:rPr>
        <w:t xml:space="preserve"> </w:t>
      </w:r>
    </w:p>
    <w:p>
      <w:pPr>
        <w:pStyle w:val="Subsection"/>
        <w:rPr>
          <w:snapToGrid w:val="0"/>
        </w:rPr>
      </w:pPr>
      <w:r>
        <w:rPr>
          <w:snapToGrid w:val="0"/>
        </w:rPr>
        <w:tab/>
        <w:t>(1)</w:t>
      </w:r>
      <w:r>
        <w:rPr>
          <w:snapToGrid w:val="0"/>
        </w:rPr>
        <w:tab/>
        <w:t>The Minister may ask the applicant for further information relating to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92" w:name="_Toc166675867"/>
      <w:r>
        <w:rPr>
          <w:rStyle w:val="CharSectno"/>
        </w:rPr>
        <w:t>205</w:t>
      </w:r>
      <w:r>
        <w:rPr>
          <w:snapToGrid w:val="0"/>
        </w:rPr>
        <w:t>.</w:t>
      </w:r>
      <w:r>
        <w:rPr>
          <w:snapToGrid w:val="0"/>
        </w:rPr>
        <w:tab/>
        <w:t>Section number not used</w:t>
      </w:r>
      <w:bookmarkEnd w:id="292"/>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93" w:name="_Toc166675868"/>
      <w:r>
        <w:rPr>
          <w:rStyle w:val="CharSectno"/>
        </w:rPr>
        <w:t>206</w:t>
      </w:r>
      <w:r>
        <w:rPr>
          <w:snapToGrid w:val="0"/>
        </w:rPr>
        <w:t>.</w:t>
      </w:r>
      <w:r>
        <w:rPr>
          <w:snapToGrid w:val="0"/>
        </w:rPr>
        <w:tab/>
        <w:t>Minister may provisionally grant licence</w:t>
      </w:r>
      <w:bookmarkEnd w:id="293"/>
      <w:r>
        <w:rPr>
          <w:snapToGrid w:val="0"/>
        </w:rPr>
        <w:t xml:space="preserve"> </w:t>
      </w:r>
    </w:p>
    <w:p>
      <w:pPr>
        <w:pStyle w:val="Subsection"/>
        <w:rPr>
          <w:snapToGrid w:val="0"/>
        </w:rPr>
      </w:pPr>
      <w:r>
        <w:rPr>
          <w:snapToGrid w:val="0"/>
        </w:rPr>
        <w:tab/>
      </w:r>
      <w:r>
        <w:rPr>
          <w:snapToGrid w:val="0"/>
        </w:rPr>
        <w:tab/>
        <w:t>If the applicant does what is required by sections 199 to 204, the Minister may — </w:t>
      </w:r>
    </w:p>
    <w:p>
      <w:pPr>
        <w:pStyle w:val="Indenta"/>
        <w:rPr>
          <w:snapToGrid w:val="0"/>
        </w:rPr>
      </w:pPr>
      <w:r>
        <w:rPr>
          <w:snapToGrid w:val="0"/>
        </w:rPr>
        <w:lastRenderedPageBreak/>
        <w:tab/>
        <w:t>(a)</w:t>
      </w:r>
      <w:r>
        <w:rPr>
          <w:snapToGrid w:val="0"/>
        </w:rPr>
        <w:tab/>
        <w:t>provisionally grant a mining licence to the applicant; or</w:t>
      </w:r>
    </w:p>
    <w:p>
      <w:pPr>
        <w:pStyle w:val="Indenta"/>
        <w:rPr>
          <w:snapToGrid w:val="0"/>
        </w:rPr>
      </w:pPr>
      <w:r>
        <w:rPr>
          <w:snapToGrid w:val="0"/>
        </w:rPr>
        <w:tab/>
        <w:t>(b)</w:t>
      </w:r>
      <w:r>
        <w:rPr>
          <w:snapToGrid w:val="0"/>
        </w:rPr>
        <w:tab/>
        <w:t>subject to section 208, refuse the application.</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Heading5"/>
        <w:rPr>
          <w:snapToGrid w:val="0"/>
        </w:rPr>
      </w:pPr>
      <w:bookmarkStart w:id="294" w:name="_Toc166675869"/>
      <w:r>
        <w:rPr>
          <w:rStyle w:val="CharSectno"/>
        </w:rPr>
        <w:t>207</w:t>
      </w:r>
      <w:r>
        <w:rPr>
          <w:snapToGrid w:val="0"/>
        </w:rPr>
        <w:t>.</w:t>
      </w:r>
      <w:r>
        <w:rPr>
          <w:snapToGrid w:val="0"/>
        </w:rPr>
        <w:tab/>
        <w:t>Restriction in case of marine nature reserve or marine park</w:t>
      </w:r>
      <w:bookmarkEnd w:id="294"/>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295" w:name="_Toc166675870"/>
      <w:r>
        <w:rPr>
          <w:rStyle w:val="CharSectno"/>
        </w:rPr>
        <w:t>208</w:t>
      </w:r>
      <w:r>
        <w:rPr>
          <w:snapToGrid w:val="0"/>
        </w:rPr>
        <w:t>.</w:t>
      </w:r>
      <w:r>
        <w:rPr>
          <w:snapToGrid w:val="0"/>
        </w:rPr>
        <w:tab/>
        <w:t>Refusal of application for mining licence made under section 198</w:t>
      </w:r>
      <w:bookmarkEnd w:id="295"/>
      <w:r>
        <w:rPr>
          <w:snapToGrid w:val="0"/>
        </w:rPr>
        <w:t xml:space="preserve"> </w:t>
      </w:r>
    </w:p>
    <w:p>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Subsection"/>
        <w:keepNext/>
        <w:keepLines/>
        <w:rPr>
          <w:snapToGrid w:val="0"/>
        </w:rPr>
      </w:pPr>
      <w:r>
        <w:rPr>
          <w:snapToGrid w:val="0"/>
        </w:rPr>
        <w:tab/>
        <w:t>(2)</w:t>
      </w:r>
      <w:r>
        <w:rPr>
          <w:snapToGrid w:val="0"/>
        </w:rPr>
        <w:tab/>
        <w:t>The notice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applicant to make written submissions in relation to the proposed refusal; and</w:t>
      </w:r>
    </w:p>
    <w:p>
      <w:pPr>
        <w:pStyle w:val="Indenta"/>
        <w:rPr>
          <w:snapToGrid w:val="0"/>
        </w:rPr>
      </w:pPr>
      <w:r>
        <w:rPr>
          <w:snapToGrid w:val="0"/>
        </w:rPr>
        <w:tab/>
        <w:t>(d)</w:t>
      </w:r>
      <w:r>
        <w:rPr>
          <w:snapToGrid w:val="0"/>
        </w:rPr>
        <w:tab/>
        <w:t>specify the day by which submissions may be made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lastRenderedPageBreak/>
        <w:tab/>
        <w:t>(4)</w:t>
      </w:r>
      <w:r>
        <w:rPr>
          <w:snapToGrid w:val="0"/>
        </w:rPr>
        <w:tab/>
        <w:t>The Minister may refuse to grant an application for a mining licence made under section 198 only if — </w:t>
      </w:r>
    </w:p>
    <w:p>
      <w:pPr>
        <w:pStyle w:val="Indenta"/>
        <w:rPr>
          <w:snapToGrid w:val="0"/>
        </w:rPr>
      </w:pPr>
      <w:r>
        <w:rPr>
          <w:snapToGrid w:val="0"/>
        </w:rPr>
        <w:tab/>
        <w:t>(a)</w:t>
      </w:r>
      <w:r>
        <w:rPr>
          <w:snapToGrid w:val="0"/>
        </w:rPr>
        <w:tab/>
        <w:t>the applicant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licence being granted.</w:t>
      </w:r>
    </w:p>
    <w:p>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296" w:name="_Toc166675871"/>
      <w:r>
        <w:rPr>
          <w:rStyle w:val="CharSectno"/>
        </w:rPr>
        <w:t>209</w:t>
      </w:r>
      <w:r>
        <w:rPr>
          <w:snapToGrid w:val="0"/>
        </w:rPr>
        <w:t>.</w:t>
      </w:r>
      <w:r>
        <w:rPr>
          <w:snapToGrid w:val="0"/>
        </w:rPr>
        <w:tab/>
        <w:t>Matters to be specified in the licence</w:t>
      </w:r>
      <w:bookmarkEnd w:id="296"/>
      <w:r>
        <w:rPr>
          <w:snapToGrid w:val="0"/>
        </w:rPr>
        <w:t xml:space="preserve"> </w:t>
      </w:r>
    </w:p>
    <w:p>
      <w:pPr>
        <w:pStyle w:val="Subsection"/>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21 years.</w:t>
      </w:r>
    </w:p>
    <w:p>
      <w:pPr>
        <w:pStyle w:val="Heading5"/>
        <w:rPr>
          <w:snapToGrid w:val="0"/>
        </w:rPr>
      </w:pPr>
      <w:bookmarkStart w:id="297" w:name="_Toc166675872"/>
      <w:r>
        <w:rPr>
          <w:rStyle w:val="CharSectno"/>
        </w:rPr>
        <w:t>210</w:t>
      </w:r>
      <w:r>
        <w:rPr>
          <w:snapToGrid w:val="0"/>
        </w:rPr>
        <w:t>.</w:t>
      </w:r>
      <w:r>
        <w:rPr>
          <w:snapToGrid w:val="0"/>
        </w:rPr>
        <w:tab/>
        <w:t>Applicant must be notified</w:t>
      </w:r>
      <w:bookmarkEnd w:id="297"/>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206.</w:t>
      </w:r>
    </w:p>
    <w:p>
      <w:pPr>
        <w:pStyle w:val="Subsection"/>
        <w:rPr>
          <w:snapToGrid w:val="0"/>
        </w:rPr>
      </w:pPr>
      <w:r>
        <w:rPr>
          <w:snapToGrid w:val="0"/>
        </w:rPr>
        <w:tab/>
        <w:t>(2)</w:t>
      </w:r>
      <w:r>
        <w:rPr>
          <w:snapToGrid w:val="0"/>
        </w:rPr>
        <w:tab/>
        <w:t>If the Minister provisionally grants a mining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lastRenderedPageBreak/>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by the Minister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298" w:name="_Toc166675873"/>
      <w:r>
        <w:rPr>
          <w:rStyle w:val="CharSectno"/>
        </w:rPr>
        <w:t>211</w:t>
      </w:r>
      <w:r>
        <w:rPr>
          <w:snapToGrid w:val="0"/>
        </w:rPr>
        <w:t>.</w:t>
      </w:r>
      <w:r>
        <w:rPr>
          <w:snapToGrid w:val="0"/>
        </w:rPr>
        <w:tab/>
        <w:t>Amendment of conditions</w:t>
      </w:r>
      <w:bookmarkEnd w:id="298"/>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299" w:name="_Toc166675874"/>
      <w:r>
        <w:rPr>
          <w:rStyle w:val="CharSectno"/>
        </w:rPr>
        <w:t>212</w:t>
      </w:r>
      <w:r>
        <w:rPr>
          <w:snapToGrid w:val="0"/>
        </w:rPr>
        <w:t>.</w:t>
      </w:r>
      <w:r>
        <w:rPr>
          <w:snapToGrid w:val="0"/>
        </w:rPr>
        <w:tab/>
        <w:t>Amendment of security requirements</w:t>
      </w:r>
      <w:bookmarkEnd w:id="299"/>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lastRenderedPageBreak/>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Subsection"/>
        <w:rPr>
          <w:snapToGrid w:val="0"/>
        </w:rPr>
      </w:pPr>
      <w:r>
        <w:rPr>
          <w:snapToGrid w:val="0"/>
        </w:rPr>
        <w:tab/>
        <w:t>(5)</w:t>
      </w:r>
      <w:r>
        <w:rPr>
          <w:snapToGrid w:val="0"/>
        </w:rPr>
        <w:tab/>
        <w:t>This section does not apply to a security requirement that is specified in a resolution referred to in section 38A(2).</w:t>
      </w:r>
    </w:p>
    <w:p>
      <w:pPr>
        <w:pStyle w:val="Heading5"/>
        <w:rPr>
          <w:snapToGrid w:val="0"/>
        </w:rPr>
      </w:pPr>
      <w:bookmarkStart w:id="300" w:name="_Toc166675875"/>
      <w:r>
        <w:rPr>
          <w:rStyle w:val="CharSectno"/>
        </w:rPr>
        <w:t>213</w:t>
      </w:r>
      <w:r>
        <w:rPr>
          <w:snapToGrid w:val="0"/>
        </w:rPr>
        <w:t>.</w:t>
      </w:r>
      <w:r>
        <w:rPr>
          <w:snapToGrid w:val="0"/>
        </w:rPr>
        <w:tab/>
        <w:t>Extension of primary payment period</w:t>
      </w:r>
      <w:bookmarkEnd w:id="300"/>
      <w:r>
        <w:rPr>
          <w:snapToGrid w:val="0"/>
        </w:rPr>
        <w:t xml:space="preserve"> </w:t>
      </w:r>
    </w:p>
    <w:p>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210.</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301" w:name="_Toc166675876"/>
      <w:r>
        <w:rPr>
          <w:rStyle w:val="CharSectno"/>
        </w:rPr>
        <w:t>214</w:t>
      </w:r>
      <w:r>
        <w:rPr>
          <w:snapToGrid w:val="0"/>
        </w:rPr>
        <w:t>.</w:t>
      </w:r>
      <w:r>
        <w:rPr>
          <w:snapToGrid w:val="0"/>
        </w:rPr>
        <w:tab/>
        <w:t>Acceptance of grant of mining licence for standard block</w:t>
      </w:r>
      <w:bookmarkEnd w:id="301"/>
      <w:r>
        <w:rPr>
          <w:snapToGrid w:val="0"/>
        </w:rPr>
        <w:t xml:space="preserve"> </w:t>
      </w:r>
    </w:p>
    <w:p>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lastRenderedPageBreak/>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w:t>
      </w:r>
    </w:p>
    <w:p>
      <w:pPr>
        <w:pStyle w:val="Heading5"/>
        <w:rPr>
          <w:snapToGrid w:val="0"/>
        </w:rPr>
      </w:pPr>
      <w:bookmarkStart w:id="302" w:name="_Toc166675877"/>
      <w:r>
        <w:rPr>
          <w:rStyle w:val="CharSectno"/>
        </w:rPr>
        <w:t>215</w:t>
      </w:r>
      <w:r>
        <w:rPr>
          <w:snapToGrid w:val="0"/>
        </w:rPr>
        <w:t>.</w:t>
      </w:r>
      <w:r>
        <w:rPr>
          <w:snapToGrid w:val="0"/>
        </w:rPr>
        <w:tab/>
        <w:t>Conditions applicable to licence on grant</w:t>
      </w:r>
      <w:bookmarkEnd w:id="302"/>
      <w:r>
        <w:rPr>
          <w:snapToGrid w:val="0"/>
        </w:rPr>
        <w:t xml:space="preserve"> </w:t>
      </w:r>
    </w:p>
    <w:p>
      <w:pPr>
        <w:pStyle w:val="Subsection"/>
        <w:rPr>
          <w:snapToGrid w:val="0"/>
        </w:rPr>
      </w:pPr>
      <w:r>
        <w:rPr>
          <w:snapToGrid w:val="0"/>
        </w:rPr>
        <w:tab/>
      </w:r>
      <w:r>
        <w:rPr>
          <w:snapToGrid w:val="0"/>
        </w:rPr>
        <w:tab/>
        <w:t>If the provisional grant of the licence is properly accepted under section 214, it is subject to — </w:t>
      </w:r>
    </w:p>
    <w:p>
      <w:pPr>
        <w:pStyle w:val="Indenta"/>
        <w:rPr>
          <w:snapToGrid w:val="0"/>
        </w:rPr>
      </w:pPr>
      <w:r>
        <w:rPr>
          <w:snapToGrid w:val="0"/>
        </w:rPr>
        <w:tab/>
        <w:t>(a)</w:t>
      </w:r>
      <w:r>
        <w:rPr>
          <w:snapToGrid w:val="0"/>
        </w:rPr>
        <w:tab/>
        <w:t>the conditions specified in the licence given to the applicant under section 210; or</w:t>
      </w:r>
    </w:p>
    <w:p>
      <w:pPr>
        <w:pStyle w:val="Indenta"/>
        <w:rPr>
          <w:snapToGrid w:val="0"/>
        </w:rPr>
      </w:pPr>
      <w:r>
        <w:rPr>
          <w:snapToGrid w:val="0"/>
        </w:rPr>
        <w:tab/>
        <w:t>(b)</w:t>
      </w:r>
      <w:r>
        <w:rPr>
          <w:snapToGrid w:val="0"/>
        </w:rPr>
        <w:tab/>
        <w:t>if the Minister amended those conditions under section 211, those conditions as amended.</w:t>
      </w:r>
    </w:p>
    <w:p>
      <w:pPr>
        <w:pStyle w:val="Heading5"/>
        <w:rPr>
          <w:snapToGrid w:val="0"/>
        </w:rPr>
      </w:pPr>
      <w:bookmarkStart w:id="303" w:name="_Toc166675878"/>
      <w:r>
        <w:rPr>
          <w:rStyle w:val="CharSectno"/>
        </w:rPr>
        <w:t>216</w:t>
      </w:r>
      <w:r>
        <w:rPr>
          <w:snapToGrid w:val="0"/>
        </w:rPr>
        <w:t>.</w:t>
      </w:r>
      <w:r>
        <w:rPr>
          <w:snapToGrid w:val="0"/>
        </w:rPr>
        <w:tab/>
        <w:t>Lapse of provisional grant of mining licence</w:t>
      </w:r>
      <w:bookmarkEnd w:id="303"/>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214, the provisional grant lapses.</w:t>
      </w:r>
    </w:p>
    <w:p>
      <w:pPr>
        <w:pStyle w:val="Heading4"/>
        <w:rPr>
          <w:b w:val="0"/>
        </w:rPr>
      </w:pPr>
      <w:bookmarkStart w:id="304" w:name="_Toc166675059"/>
      <w:bookmarkStart w:id="305" w:name="_Toc166675574"/>
      <w:bookmarkStart w:id="306" w:name="_Toc166675879"/>
      <w:r>
        <w:rPr>
          <w:b w:val="0"/>
          <w:snapToGrid w:val="0"/>
        </w:rPr>
        <w:t>Division 3 — Application for and grant of mining licence over tender block</w:t>
      </w:r>
      <w:bookmarkEnd w:id="304"/>
      <w:bookmarkEnd w:id="305"/>
      <w:bookmarkEnd w:id="306"/>
    </w:p>
    <w:p>
      <w:pPr>
        <w:pStyle w:val="Heading5"/>
        <w:rPr>
          <w:snapToGrid w:val="0"/>
        </w:rPr>
      </w:pPr>
      <w:bookmarkStart w:id="307" w:name="_Toc166675880"/>
      <w:r>
        <w:rPr>
          <w:rStyle w:val="CharSectno"/>
        </w:rPr>
        <w:t>217</w:t>
      </w:r>
      <w:r>
        <w:rPr>
          <w:snapToGrid w:val="0"/>
        </w:rPr>
        <w:t>.</w:t>
      </w:r>
      <w:r>
        <w:rPr>
          <w:snapToGrid w:val="0"/>
        </w:rPr>
        <w:tab/>
        <w:t>Matters to be determined before applications for mining licence over tender blocks invited</w:t>
      </w:r>
      <w:bookmarkEnd w:id="307"/>
      <w:r>
        <w:rPr>
          <w:snapToGrid w:val="0"/>
        </w:rPr>
        <w:t xml:space="preserve"> </w:t>
      </w:r>
    </w:p>
    <w:p>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initial term of the licence; and</w:t>
      </w:r>
    </w:p>
    <w:p>
      <w:pPr>
        <w:pStyle w:val="Indenta"/>
        <w:rPr>
          <w:snapToGrid w:val="0"/>
        </w:rPr>
      </w:pPr>
      <w:r>
        <w:rPr>
          <w:snapToGrid w:val="0"/>
        </w:rPr>
        <w:tab/>
        <w:t>(d)</w:t>
      </w:r>
      <w:r>
        <w:rPr>
          <w:snapToGrid w:val="0"/>
        </w:rPr>
        <w:tab/>
        <w:t>the licence conditions.</w:t>
      </w:r>
    </w:p>
    <w:p>
      <w:pPr>
        <w:pStyle w:val="Subsection"/>
        <w:rPr>
          <w:snapToGrid w:val="0"/>
        </w:rPr>
      </w:pPr>
      <w:r>
        <w:rPr>
          <w:snapToGrid w:val="0"/>
        </w:rPr>
        <w:lastRenderedPageBreak/>
        <w:tab/>
        <w:t>(2)</w:t>
      </w:r>
      <w:r>
        <w:rPr>
          <w:snapToGrid w:val="0"/>
        </w:rPr>
        <w:tab/>
        <w:t>The term determined under subsection (1)(c) is not to exceed 21 years.</w:t>
      </w:r>
    </w:p>
    <w:p>
      <w:pPr>
        <w:pStyle w:val="Heading5"/>
        <w:rPr>
          <w:snapToGrid w:val="0"/>
        </w:rPr>
      </w:pPr>
      <w:bookmarkStart w:id="308" w:name="_Toc166675881"/>
      <w:r>
        <w:rPr>
          <w:rStyle w:val="CharSectno"/>
        </w:rPr>
        <w:t>218</w:t>
      </w:r>
      <w:r>
        <w:rPr>
          <w:snapToGrid w:val="0"/>
        </w:rPr>
        <w:t>.</w:t>
      </w:r>
      <w:r>
        <w:rPr>
          <w:snapToGrid w:val="0"/>
        </w:rPr>
        <w:tab/>
        <w:t>Minister may invite applications for mining licence over tender blocks</w:t>
      </w:r>
      <w:bookmarkEnd w:id="308"/>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 mining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PermNoteHeading"/>
      </w:pPr>
      <w:r>
        <w:tab/>
        <w:t>Note:</w:t>
      </w:r>
    </w:p>
    <w:p>
      <w:pPr>
        <w:pStyle w:val="PermNoteText"/>
        <w:rPr>
          <w:snapToGrid w:val="0"/>
        </w:rPr>
      </w:pPr>
      <w:r>
        <w:rPr>
          <w:snapToGrid w:val="0"/>
        </w:rPr>
        <w:tab/>
        <w:t>1.</w:t>
      </w:r>
      <w:r>
        <w:rPr>
          <w:snapToGrid w:val="0"/>
        </w:rPr>
        <w:tab/>
        <w:t>A mining licence may cover not more than 20 tender blocks (see section 219).</w:t>
      </w:r>
    </w:p>
    <w:p>
      <w:pPr>
        <w:pStyle w:val="PermNoteText"/>
        <w:rPr>
          <w:snapToGrid w:val="0"/>
        </w:rPr>
      </w:pPr>
      <w:r>
        <w:rPr>
          <w:snapToGrid w:val="0"/>
        </w:rPr>
        <w:tab/>
        <w:t>2.</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Heading5"/>
        <w:rPr>
          <w:snapToGrid w:val="0"/>
        </w:rPr>
      </w:pPr>
      <w:bookmarkStart w:id="309" w:name="_Toc166675882"/>
      <w:r>
        <w:rPr>
          <w:rStyle w:val="CharSectno"/>
        </w:rPr>
        <w:t>219</w:t>
      </w:r>
      <w:r>
        <w:rPr>
          <w:snapToGrid w:val="0"/>
        </w:rPr>
        <w:t>.</w:t>
      </w:r>
      <w:r>
        <w:rPr>
          <w:snapToGrid w:val="0"/>
        </w:rPr>
        <w:tab/>
        <w:t>Tender block licence notice — mining licence</w:t>
      </w:r>
      <w:bookmarkEnd w:id="309"/>
      <w:r>
        <w:rPr>
          <w:snapToGrid w:val="0"/>
        </w:rPr>
        <w:t xml:space="preserve"> </w:t>
      </w:r>
    </w:p>
    <w:p>
      <w:pPr>
        <w:pStyle w:val="Subsection"/>
        <w:rPr>
          <w:snapToGrid w:val="0"/>
        </w:rPr>
      </w:pPr>
      <w:r>
        <w:rPr>
          <w:snapToGrid w:val="0"/>
        </w:rPr>
        <w:tab/>
        <w:t>(1)</w:t>
      </w:r>
      <w:r>
        <w:rPr>
          <w:snapToGrid w:val="0"/>
        </w:rPr>
        <w:tab/>
        <w:t>A tender block licence notice for a mining licence must —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specify the initial term of the licence; and</w:t>
      </w:r>
    </w:p>
    <w:p>
      <w:pPr>
        <w:pStyle w:val="Indenta"/>
        <w:rPr>
          <w:snapToGrid w:val="0"/>
        </w:rPr>
      </w:pPr>
      <w:r>
        <w:rPr>
          <w:snapToGrid w:val="0"/>
        </w:rPr>
        <w:tab/>
        <w:t>(f)</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lastRenderedPageBreak/>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mining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20 blocks for the mining licence.</w:t>
      </w:r>
    </w:p>
    <w:p>
      <w:pPr>
        <w:pStyle w:val="Subsection"/>
        <w:rPr>
          <w:snapToGrid w:val="0"/>
        </w:rPr>
      </w:pPr>
      <w:r>
        <w:rPr>
          <w:snapToGrid w:val="0"/>
        </w:rPr>
        <w:tab/>
        <w:t>(4)</w:t>
      </w:r>
      <w:r>
        <w:rPr>
          <w:snapToGrid w:val="0"/>
        </w:rPr>
        <w:tab/>
        <w:t>If section 38A will apply to the grant of a licence, the tender block licence notice must specify that fact.</w:t>
      </w:r>
    </w:p>
    <w:p>
      <w:pPr>
        <w:pStyle w:val="Heading5"/>
        <w:rPr>
          <w:snapToGrid w:val="0"/>
        </w:rPr>
      </w:pPr>
      <w:bookmarkStart w:id="310" w:name="_Toc166675883"/>
      <w:r>
        <w:rPr>
          <w:rStyle w:val="CharSectno"/>
        </w:rPr>
        <w:t>220</w:t>
      </w:r>
      <w:r>
        <w:rPr>
          <w:snapToGrid w:val="0"/>
        </w:rPr>
        <w:t>.</w:t>
      </w:r>
      <w:r>
        <w:rPr>
          <w:snapToGrid w:val="0"/>
        </w:rPr>
        <w:tab/>
        <w:t>Application for mining licence over tender blocks</w:t>
      </w:r>
      <w:bookmarkEnd w:id="310"/>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Heading5"/>
        <w:rPr>
          <w:snapToGrid w:val="0"/>
        </w:rPr>
      </w:pPr>
      <w:bookmarkStart w:id="311" w:name="_Toc166675884"/>
      <w:r>
        <w:rPr>
          <w:rStyle w:val="CharSectno"/>
        </w:rPr>
        <w:t>221</w:t>
      </w:r>
      <w:r>
        <w:rPr>
          <w:snapToGrid w:val="0"/>
        </w:rPr>
        <w:t>.</w:t>
      </w:r>
      <w:r>
        <w:rPr>
          <w:snapToGrid w:val="0"/>
        </w:rPr>
        <w:tab/>
        <w:t>How to apply</w:t>
      </w:r>
      <w:bookmarkEnd w:id="311"/>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219(1)(c);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lastRenderedPageBreak/>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if the licence is to be held by more than one person, the share in the licence that each prospective holder will hold;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12" w:name="_Toc166675885"/>
      <w:r>
        <w:rPr>
          <w:rStyle w:val="CharSectno"/>
        </w:rPr>
        <w:t>222</w:t>
      </w:r>
      <w:r>
        <w:rPr>
          <w:snapToGrid w:val="0"/>
        </w:rPr>
        <w:t>.</w:t>
      </w:r>
      <w:r>
        <w:rPr>
          <w:snapToGrid w:val="0"/>
        </w:rPr>
        <w:tab/>
        <w:t>Payment of fee</w:t>
      </w:r>
      <w:bookmarkEnd w:id="31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13" w:name="_Toc166675886"/>
      <w:r>
        <w:rPr>
          <w:rStyle w:val="CharSectno"/>
        </w:rPr>
        <w:t>223</w:t>
      </w:r>
      <w:r>
        <w:rPr>
          <w:snapToGrid w:val="0"/>
        </w:rPr>
        <w:t>.</w:t>
      </w:r>
      <w:r>
        <w:rPr>
          <w:snapToGrid w:val="0"/>
        </w:rPr>
        <w:tab/>
        <w:t>Request for further information</w:t>
      </w:r>
      <w:bookmarkEnd w:id="313"/>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lastRenderedPageBreak/>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14" w:name="_Toc166675887"/>
      <w:r>
        <w:rPr>
          <w:rStyle w:val="CharSectno"/>
        </w:rPr>
        <w:t>224</w:t>
      </w:r>
      <w:r>
        <w:rPr>
          <w:snapToGrid w:val="0"/>
        </w:rPr>
        <w:t>.</w:t>
      </w:r>
      <w:r>
        <w:rPr>
          <w:snapToGrid w:val="0"/>
        </w:rPr>
        <w:tab/>
        <w:t>Section number not used</w:t>
      </w:r>
      <w:bookmarkEnd w:id="31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15" w:name="_Toc166675888"/>
      <w:r>
        <w:rPr>
          <w:rStyle w:val="CharSectno"/>
        </w:rPr>
        <w:t>225</w:t>
      </w:r>
      <w:r>
        <w:rPr>
          <w:snapToGrid w:val="0"/>
        </w:rPr>
        <w:t>.</w:t>
      </w:r>
      <w:r>
        <w:rPr>
          <w:snapToGrid w:val="0"/>
        </w:rPr>
        <w:tab/>
        <w:t>Minister may provisionally grant licence</w:t>
      </w:r>
      <w:bookmarkEnd w:id="315"/>
      <w:r>
        <w:rPr>
          <w:snapToGrid w:val="0"/>
        </w:rPr>
        <w:t xml:space="preserve"> </w:t>
      </w:r>
    </w:p>
    <w:p>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If the Minister refuses to grant a licence under subsection (1) the Minister must give the applicant notice of the refusal.</w:t>
      </w:r>
    </w:p>
    <w:p>
      <w:pPr>
        <w:pStyle w:val="Heading5"/>
        <w:rPr>
          <w:snapToGrid w:val="0"/>
        </w:rPr>
      </w:pPr>
      <w:bookmarkStart w:id="316" w:name="_Toc166675889"/>
      <w:r>
        <w:rPr>
          <w:rStyle w:val="CharSectno"/>
        </w:rPr>
        <w:t>226</w:t>
      </w:r>
      <w:r>
        <w:rPr>
          <w:snapToGrid w:val="0"/>
        </w:rPr>
        <w:t>.</w:t>
      </w:r>
      <w:r>
        <w:rPr>
          <w:snapToGrid w:val="0"/>
        </w:rPr>
        <w:tab/>
        <w:t>Restriction in case of marine nature reserve or marine park</w:t>
      </w:r>
      <w:bookmarkEnd w:id="316"/>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225 of a mining licence over a marine nature reserve or a marine park. </w:t>
      </w:r>
    </w:p>
    <w:p>
      <w:pPr>
        <w:pStyle w:val="Heading5"/>
        <w:rPr>
          <w:snapToGrid w:val="0"/>
        </w:rPr>
      </w:pPr>
      <w:bookmarkStart w:id="317" w:name="_Toc166675890"/>
      <w:r>
        <w:rPr>
          <w:rStyle w:val="CharSectno"/>
        </w:rPr>
        <w:t>227</w:t>
      </w:r>
      <w:r>
        <w:rPr>
          <w:snapToGrid w:val="0"/>
        </w:rPr>
        <w:t>.</w:t>
      </w:r>
      <w:r>
        <w:rPr>
          <w:snapToGrid w:val="0"/>
        </w:rPr>
        <w:tab/>
        <w:t>Successful applicant must be notified</w:t>
      </w:r>
      <w:bookmarkEnd w:id="317"/>
      <w:r>
        <w:rPr>
          <w:snapToGrid w:val="0"/>
        </w:rPr>
        <w:t xml:space="preserve"> </w:t>
      </w:r>
    </w:p>
    <w:p>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lastRenderedPageBreak/>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Subsection"/>
        <w:rPr>
          <w:snapToGrid w:val="0"/>
        </w:rPr>
      </w:pPr>
      <w:r>
        <w:rPr>
          <w:snapToGrid w:val="0"/>
        </w:rPr>
        <w:tab/>
        <w:t>(2)</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tab/>
        <w:t>Note:</w:t>
      </w:r>
    </w:p>
    <w:p>
      <w:pPr>
        <w:pStyle w:val="PermNoteText"/>
        <w:rPr>
          <w:snapToGrid w:val="0"/>
        </w:rPr>
      </w:pPr>
      <w:r>
        <w:rPr>
          <w:snapToGrid w:val="0"/>
        </w:rPr>
        <w:tab/>
      </w:r>
      <w:r>
        <w:rPr>
          <w:snapToGrid w:val="0"/>
        </w:rPr>
        <w:tab/>
        <w:t>For the term of a licence see section 217(2).</w:t>
      </w:r>
    </w:p>
    <w:p>
      <w:pPr>
        <w:pStyle w:val="Heading5"/>
        <w:rPr>
          <w:snapToGrid w:val="0"/>
        </w:rPr>
      </w:pPr>
      <w:bookmarkStart w:id="318" w:name="_Toc166675891"/>
      <w:r>
        <w:rPr>
          <w:rStyle w:val="CharSectno"/>
        </w:rPr>
        <w:t>228</w:t>
      </w:r>
      <w:r>
        <w:rPr>
          <w:snapToGrid w:val="0"/>
        </w:rPr>
        <w:t>.</w:t>
      </w:r>
      <w:r>
        <w:rPr>
          <w:snapToGrid w:val="0"/>
        </w:rPr>
        <w:tab/>
        <w:t>Acceptance of grant of mining licence over tender blocks</w:t>
      </w:r>
      <w:bookmarkEnd w:id="318"/>
      <w:r>
        <w:rPr>
          <w:snapToGrid w:val="0"/>
        </w:rPr>
        <w:t xml:space="preserve"> </w:t>
      </w:r>
    </w:p>
    <w:p>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 xml:space="preserve">if the tender is determined on the basis of the amounts of money offered for the licence, pays to the Minister the </w:t>
      </w:r>
      <w:r>
        <w:rPr>
          <w:snapToGrid w:val="0"/>
        </w:rPr>
        <w:lastRenderedPageBreak/>
        <w:t>amount that the provisional holder offered for the licence under section 221(1)(d).</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w:t>
      </w:r>
    </w:p>
    <w:p>
      <w:pPr>
        <w:pStyle w:val="Heading5"/>
        <w:rPr>
          <w:snapToGrid w:val="0"/>
        </w:rPr>
      </w:pPr>
      <w:bookmarkStart w:id="319" w:name="_Toc166675892"/>
      <w:r>
        <w:rPr>
          <w:rStyle w:val="CharSectno"/>
        </w:rPr>
        <w:t>229</w:t>
      </w:r>
      <w:r>
        <w:rPr>
          <w:snapToGrid w:val="0"/>
        </w:rPr>
        <w:t>.</w:t>
      </w:r>
      <w:r>
        <w:rPr>
          <w:snapToGrid w:val="0"/>
        </w:rPr>
        <w:tab/>
        <w:t>Conditions applicable to licence on grant</w:t>
      </w:r>
      <w:bookmarkEnd w:id="319"/>
      <w:r>
        <w:rPr>
          <w:snapToGrid w:val="0"/>
        </w:rPr>
        <w:t xml:space="preserve"> </w:t>
      </w:r>
    </w:p>
    <w:p>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Heading5"/>
        <w:rPr>
          <w:snapToGrid w:val="0"/>
        </w:rPr>
      </w:pPr>
      <w:bookmarkStart w:id="320" w:name="_Toc166675893"/>
      <w:r>
        <w:rPr>
          <w:rStyle w:val="CharSectno"/>
        </w:rPr>
        <w:t>230</w:t>
      </w:r>
      <w:r>
        <w:rPr>
          <w:snapToGrid w:val="0"/>
        </w:rPr>
        <w:t>.</w:t>
      </w:r>
      <w:r>
        <w:rPr>
          <w:snapToGrid w:val="0"/>
        </w:rPr>
        <w:tab/>
        <w:t>Lapse of provisional grant of mining licence</w:t>
      </w:r>
      <w:bookmarkEnd w:id="320"/>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228, the provisional grant lapses.</w:t>
      </w:r>
    </w:p>
    <w:p>
      <w:pPr>
        <w:pStyle w:val="Heading5"/>
        <w:rPr>
          <w:snapToGrid w:val="0"/>
        </w:rPr>
      </w:pPr>
      <w:bookmarkStart w:id="321" w:name="_Toc166675894"/>
      <w:r>
        <w:rPr>
          <w:rStyle w:val="CharSectno"/>
        </w:rPr>
        <w:t>231</w:t>
      </w:r>
      <w:r>
        <w:rPr>
          <w:snapToGrid w:val="0"/>
        </w:rPr>
        <w:t>.</w:t>
      </w:r>
      <w:r>
        <w:rPr>
          <w:snapToGrid w:val="0"/>
        </w:rPr>
        <w:tab/>
        <w:t>Provisional grant to next applicant if grant lapses</w:t>
      </w:r>
      <w:bookmarkEnd w:id="321"/>
      <w:r>
        <w:rPr>
          <w:snapToGrid w:val="0"/>
        </w:rPr>
        <w:t xml:space="preserve"> </w:t>
      </w:r>
    </w:p>
    <w:p>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231 of a mining licence over a marine nature reserve or a marine park. </w:t>
      </w:r>
    </w:p>
    <w:p>
      <w:pPr>
        <w:pStyle w:val="Heading4"/>
        <w:rPr>
          <w:b w:val="0"/>
        </w:rPr>
      </w:pPr>
      <w:bookmarkStart w:id="322" w:name="_Toc166675075"/>
      <w:bookmarkStart w:id="323" w:name="_Toc166675590"/>
      <w:bookmarkStart w:id="324" w:name="_Toc166675895"/>
      <w:r>
        <w:rPr>
          <w:b w:val="0"/>
          <w:snapToGrid w:val="0"/>
        </w:rPr>
        <w:lastRenderedPageBreak/>
        <w:t>Division 4 — Duration of mining licence</w:t>
      </w:r>
      <w:bookmarkEnd w:id="322"/>
      <w:bookmarkEnd w:id="323"/>
      <w:bookmarkEnd w:id="324"/>
    </w:p>
    <w:p>
      <w:pPr>
        <w:pStyle w:val="Heading5"/>
        <w:rPr>
          <w:snapToGrid w:val="0"/>
        </w:rPr>
      </w:pPr>
      <w:bookmarkStart w:id="325" w:name="_Toc166675896"/>
      <w:r>
        <w:rPr>
          <w:rStyle w:val="CharSectno"/>
        </w:rPr>
        <w:t>232</w:t>
      </w:r>
      <w:r>
        <w:rPr>
          <w:snapToGrid w:val="0"/>
        </w:rPr>
        <w:t>.</w:t>
      </w:r>
      <w:r>
        <w:rPr>
          <w:snapToGrid w:val="0"/>
        </w:rPr>
        <w:tab/>
        <w:t>Initial term of mining licence</w:t>
      </w:r>
      <w:bookmarkEnd w:id="325"/>
      <w:r>
        <w:rPr>
          <w:snapToGrid w:val="0"/>
        </w:rPr>
        <w:t xml:space="preserve"> </w:t>
      </w:r>
    </w:p>
    <w:p>
      <w:pPr>
        <w:pStyle w:val="Subsection"/>
        <w:rPr>
          <w:snapToGrid w:val="0"/>
        </w:rPr>
      </w:pPr>
      <w:r>
        <w:rPr>
          <w:snapToGrid w:val="0"/>
        </w:rPr>
        <w:tab/>
        <w:t>(1)</w:t>
      </w:r>
      <w:r>
        <w:rPr>
          <w:snapToGrid w:val="0"/>
        </w:rPr>
        <w:tab/>
        <w:t>A mining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mining licence ends — </w:t>
      </w:r>
    </w:p>
    <w:p>
      <w:pPr>
        <w:pStyle w:val="Indenta"/>
        <w:rPr>
          <w:snapToGrid w:val="0"/>
        </w:rPr>
      </w:pPr>
      <w:r>
        <w:rPr>
          <w:snapToGrid w:val="0"/>
        </w:rPr>
        <w:tab/>
        <w:t>(a)</w:t>
      </w:r>
      <w:r>
        <w:rPr>
          <w:snapToGrid w:val="0"/>
        </w:rPr>
        <w:tab/>
        <w:t>if the licence is granted under Division 2, at the end of the period specified in the licence under section 209(1); or</w:t>
      </w:r>
    </w:p>
    <w:p>
      <w:pPr>
        <w:pStyle w:val="Indenta"/>
        <w:rPr>
          <w:snapToGrid w:val="0"/>
        </w:rPr>
      </w:pPr>
      <w:r>
        <w:rPr>
          <w:snapToGrid w:val="0"/>
        </w:rPr>
        <w:tab/>
        <w:t>(b)</w:t>
      </w:r>
      <w:r>
        <w:rPr>
          <w:snapToGrid w:val="0"/>
        </w:rPr>
        <w:tab/>
        <w:t>if the licence is granted under Division 3, at the end of the period specified under section 227(2).</w:t>
      </w:r>
    </w:p>
    <w:p>
      <w:pPr>
        <w:pStyle w:val="PermNoteHeading"/>
      </w:pPr>
      <w:r>
        <w:tab/>
        <w:t>Note:</w:t>
      </w:r>
    </w:p>
    <w:p>
      <w:pPr>
        <w:pStyle w:val="PermNoteText"/>
        <w:rPr>
          <w:snapToGrid w:val="0"/>
        </w:rPr>
      </w:pPr>
      <w:r>
        <w:rPr>
          <w:snapToGrid w:val="0"/>
        </w:rPr>
        <w:tab/>
      </w:r>
      <w:r>
        <w:rPr>
          <w:snapToGrid w:val="0"/>
        </w:rPr>
        <w:tab/>
        <w:t>The licence may be surrendered at any time (see section 264).</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326" w:name="_Toc166675897"/>
      <w:r>
        <w:rPr>
          <w:rStyle w:val="CharSectno"/>
        </w:rPr>
        <w:t>233</w:t>
      </w:r>
      <w:r>
        <w:rPr>
          <w:snapToGrid w:val="0"/>
        </w:rPr>
        <w:t>.</w:t>
      </w:r>
      <w:r>
        <w:rPr>
          <w:snapToGrid w:val="0"/>
        </w:rPr>
        <w:tab/>
        <w:t>Term of renewal of licence</w:t>
      </w:r>
      <w:bookmarkEnd w:id="326"/>
      <w:r>
        <w:rPr>
          <w:snapToGrid w:val="0"/>
        </w:rPr>
        <w:t xml:space="preserve"> </w:t>
      </w:r>
    </w:p>
    <w:p>
      <w:pPr>
        <w:pStyle w:val="Subsection"/>
        <w:rPr>
          <w:snapToGrid w:val="0"/>
        </w:rPr>
      </w:pPr>
      <w:r>
        <w:rPr>
          <w:snapToGrid w:val="0"/>
        </w:rPr>
        <w:tab/>
        <w:t>(1)</w:t>
      </w:r>
      <w:r>
        <w:rPr>
          <w:snapToGrid w:val="0"/>
        </w:rPr>
        <w:tab/>
        <w:t>A renewal of a mining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rPr>
          <w:snapToGrid w:val="0"/>
        </w:rPr>
      </w:pPr>
      <w:r>
        <w:rPr>
          <w:snapToGrid w:val="0"/>
        </w:rPr>
        <w:tab/>
      </w:r>
      <w:r>
        <w:rPr>
          <w:snapToGrid w:val="0"/>
        </w:rPr>
        <w:tab/>
        <w:t>See Division 6 for renewal.</w:t>
      </w:r>
    </w:p>
    <w:p>
      <w:pPr>
        <w:pStyle w:val="Subsection"/>
        <w:rPr>
          <w:snapToGrid w:val="0"/>
        </w:rPr>
      </w:pPr>
      <w:r>
        <w:rPr>
          <w:snapToGrid w:val="0"/>
        </w:rPr>
        <w:lastRenderedPageBreak/>
        <w:tab/>
        <w:t>(2)</w:t>
      </w:r>
      <w:r>
        <w:rPr>
          <w:snapToGrid w:val="0"/>
        </w:rPr>
        <w:tab/>
        <w:t>The term of a renewal of a licence ends at the end of the period specified in the notice under section 246.</w:t>
      </w:r>
    </w:p>
    <w:p>
      <w:pPr>
        <w:pStyle w:val="PermNoteHeading"/>
      </w:pPr>
      <w:r>
        <w:tab/>
        <w:t>Note:</w:t>
      </w:r>
    </w:p>
    <w:p>
      <w:pPr>
        <w:pStyle w:val="PermNoteText"/>
        <w:rPr>
          <w:snapToGrid w:val="0"/>
        </w:rPr>
      </w:pPr>
      <w:r>
        <w:rPr>
          <w:snapToGrid w:val="0"/>
        </w:rPr>
        <w:tab/>
        <w:t>1.</w:t>
      </w:r>
      <w:r>
        <w:rPr>
          <w:snapToGrid w:val="0"/>
        </w:rPr>
        <w:tab/>
        <w:t>For the maximum term of renewal see section 246(3).</w:t>
      </w:r>
    </w:p>
    <w:p>
      <w:pPr>
        <w:pStyle w:val="PermNoteText"/>
        <w:rPr>
          <w:snapToGrid w:val="0"/>
        </w:rPr>
      </w:pPr>
      <w:r>
        <w:rPr>
          <w:snapToGrid w:val="0"/>
        </w:rPr>
        <w:tab/>
        <w:t>2.</w:t>
      </w:r>
      <w:r>
        <w:rPr>
          <w:snapToGrid w:val="0"/>
        </w:rPr>
        <w:tab/>
        <w:t>The licence may be surrendered at any time (see section 264).</w:t>
      </w:r>
    </w:p>
    <w:p>
      <w:pPr>
        <w:pStyle w:val="Subsection"/>
        <w:rPr>
          <w:snapToGrid w:val="0"/>
        </w:rPr>
      </w:pPr>
      <w:r>
        <w:rPr>
          <w:snapToGrid w:val="0"/>
        </w:rPr>
        <w:tab/>
        <w:t>(3)</w:t>
      </w:r>
      <w:r>
        <w:rPr>
          <w:snapToGrid w:val="0"/>
        </w:rPr>
        <w:tab/>
        <w:t>The period runs from the day on which the previous term of the licence expires.</w:t>
      </w:r>
    </w:p>
    <w:p>
      <w:pPr>
        <w:pStyle w:val="Subsection"/>
        <w:rPr>
          <w:snapToGrid w:val="0"/>
        </w:rPr>
      </w:pPr>
      <w:r>
        <w:rPr>
          <w:snapToGrid w:val="0"/>
        </w:rPr>
        <w:tab/>
        <w:t>(4)</w:t>
      </w:r>
      <w:r>
        <w:rPr>
          <w:snapToGrid w:val="0"/>
        </w:rPr>
        <w:tab/>
        <w:t>In working out the period referred to in subsection (3) section 234 is to be disregarded.</w:t>
      </w:r>
    </w:p>
    <w:p>
      <w:pPr>
        <w:pStyle w:val="Heading5"/>
        <w:rPr>
          <w:snapToGrid w:val="0"/>
        </w:rPr>
      </w:pPr>
      <w:bookmarkStart w:id="327" w:name="_Toc166675898"/>
      <w:r>
        <w:rPr>
          <w:rStyle w:val="CharSectno"/>
        </w:rPr>
        <w:t>234</w:t>
      </w:r>
      <w:r>
        <w:rPr>
          <w:snapToGrid w:val="0"/>
        </w:rPr>
        <w:t>.</w:t>
      </w:r>
      <w:r>
        <w:rPr>
          <w:snapToGrid w:val="0"/>
        </w:rPr>
        <w:tab/>
        <w:t>Effect of application for renewal on term of mining licence</w:t>
      </w:r>
      <w:bookmarkEnd w:id="32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mining licence holder applies to renew the licence under section 236;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4"/>
        <w:rPr>
          <w:b w:val="0"/>
        </w:rPr>
      </w:pPr>
      <w:bookmarkStart w:id="328" w:name="_Toc166675079"/>
      <w:bookmarkStart w:id="329" w:name="_Toc166675594"/>
      <w:bookmarkStart w:id="330" w:name="_Toc166675899"/>
      <w:r>
        <w:rPr>
          <w:b w:val="0"/>
          <w:snapToGrid w:val="0"/>
        </w:rPr>
        <w:t>Division 5 — Voluntary surrender of part of mining licence area</w:t>
      </w:r>
      <w:bookmarkEnd w:id="328"/>
      <w:bookmarkEnd w:id="329"/>
      <w:bookmarkEnd w:id="330"/>
    </w:p>
    <w:p>
      <w:pPr>
        <w:pStyle w:val="Heading5"/>
        <w:rPr>
          <w:snapToGrid w:val="0"/>
        </w:rPr>
      </w:pPr>
      <w:bookmarkStart w:id="331" w:name="_Toc166675900"/>
      <w:r>
        <w:rPr>
          <w:rStyle w:val="CharSectno"/>
        </w:rPr>
        <w:t>235</w:t>
      </w:r>
      <w:r>
        <w:rPr>
          <w:snapToGrid w:val="0"/>
        </w:rPr>
        <w:t>.</w:t>
      </w:r>
      <w:r>
        <w:rPr>
          <w:snapToGrid w:val="0"/>
        </w:rPr>
        <w:tab/>
        <w:t>Voluntary surrender of blocks if discrete area remains</w:t>
      </w:r>
      <w:bookmarkEnd w:id="331"/>
      <w:r>
        <w:rPr>
          <w:snapToGrid w:val="0"/>
        </w:rPr>
        <w:t xml:space="preserve"> </w:t>
      </w:r>
    </w:p>
    <w:p>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PermNoteHeading"/>
      </w:pPr>
      <w:r>
        <w:tab/>
        <w:t>Note:</w:t>
      </w:r>
    </w:p>
    <w:p>
      <w:pPr>
        <w:pStyle w:val="PermNoteText"/>
        <w:rPr>
          <w:snapToGrid w:val="0"/>
        </w:rPr>
      </w:pPr>
      <w:r>
        <w:rPr>
          <w:snapToGrid w:val="0"/>
        </w:rPr>
        <w:tab/>
      </w:r>
      <w:r>
        <w:rPr>
          <w:snapToGrid w:val="0"/>
        </w:rPr>
        <w:tab/>
        <w:t>See section 264 for the surrender of the whole licence.</w:t>
      </w:r>
    </w:p>
    <w:p>
      <w:pPr>
        <w:pStyle w:val="Subsection"/>
        <w:rPr>
          <w:snapToGrid w:val="0"/>
        </w:rPr>
      </w:pPr>
      <w:r>
        <w:rPr>
          <w:snapToGrid w:val="0"/>
        </w:rPr>
        <w:lastRenderedPageBreak/>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pPr>
      <w:r>
        <w:tab/>
        <w:t>Note:</w:t>
      </w:r>
    </w:p>
    <w:p>
      <w:pPr>
        <w:pStyle w:val="PermNoteText"/>
        <w:rPr>
          <w:snapToGrid w:val="0"/>
        </w:rPr>
      </w:pPr>
      <w:r>
        <w:rPr>
          <w:snapToGrid w:val="0"/>
        </w:rPr>
        <w:tab/>
      </w:r>
      <w:r>
        <w:rPr>
          <w:snapToGrid w:val="0"/>
        </w:rPr>
        <w:tab/>
        <w:t>The surrender takes effect when it is registered under section 337 (see section 337(5)).</w:t>
      </w:r>
    </w:p>
    <w:p>
      <w:pPr>
        <w:pStyle w:val="Heading4"/>
        <w:rPr>
          <w:b w:val="0"/>
        </w:rPr>
      </w:pPr>
      <w:bookmarkStart w:id="332" w:name="_Toc166675081"/>
      <w:bookmarkStart w:id="333" w:name="_Toc166675596"/>
      <w:bookmarkStart w:id="334" w:name="_Toc166675901"/>
      <w:r>
        <w:rPr>
          <w:b w:val="0"/>
          <w:snapToGrid w:val="0"/>
        </w:rPr>
        <w:t>Division 6 — Application for and grant of renewal of mining licence</w:t>
      </w:r>
      <w:bookmarkEnd w:id="332"/>
      <w:bookmarkEnd w:id="333"/>
      <w:bookmarkEnd w:id="334"/>
    </w:p>
    <w:p>
      <w:pPr>
        <w:pStyle w:val="Heading5"/>
        <w:rPr>
          <w:snapToGrid w:val="0"/>
        </w:rPr>
      </w:pPr>
      <w:bookmarkStart w:id="335" w:name="_Toc166675902"/>
      <w:r>
        <w:rPr>
          <w:rStyle w:val="CharSectno"/>
        </w:rPr>
        <w:t>236</w:t>
      </w:r>
      <w:r>
        <w:rPr>
          <w:snapToGrid w:val="0"/>
        </w:rPr>
        <w:t>.</w:t>
      </w:r>
      <w:r>
        <w:rPr>
          <w:snapToGrid w:val="0"/>
        </w:rPr>
        <w:tab/>
        <w:t>Application for renewal of mining licence</w:t>
      </w:r>
      <w:bookmarkEnd w:id="335"/>
      <w:r>
        <w:rPr>
          <w:snapToGrid w:val="0"/>
        </w:rPr>
        <w:t xml:space="preserve"> </w:t>
      </w:r>
    </w:p>
    <w:p>
      <w:pPr>
        <w:pStyle w:val="Subsection"/>
        <w:rPr>
          <w:snapToGrid w:val="0"/>
        </w:rPr>
      </w:pPr>
      <w:r>
        <w:rPr>
          <w:snapToGrid w:val="0"/>
        </w:rPr>
        <w:tab/>
      </w:r>
      <w:r>
        <w:rPr>
          <w:snapToGrid w:val="0"/>
        </w:rPr>
        <w:tab/>
        <w:t>A mining licence holder may apply to the Minister to renew the licence.</w:t>
      </w:r>
    </w:p>
    <w:p>
      <w:pPr>
        <w:pStyle w:val="PermNoteHeading"/>
      </w:pPr>
      <w:r>
        <w:tab/>
        <w:t>Note:</w:t>
      </w:r>
    </w:p>
    <w:p>
      <w:pPr>
        <w:pStyle w:val="PermNoteText"/>
        <w:rPr>
          <w:snapToGrid w:val="0"/>
        </w:rPr>
      </w:pPr>
      <w:r>
        <w:rPr>
          <w:snapToGrid w:val="0"/>
        </w:rPr>
        <w:tab/>
      </w:r>
      <w:r>
        <w:rPr>
          <w:snapToGrid w:val="0"/>
        </w:rPr>
        <w:tab/>
        <w:t>At each renewal, the licence conditions are reviewed (see section 254).</w:t>
      </w:r>
    </w:p>
    <w:p>
      <w:pPr>
        <w:pStyle w:val="Heading5"/>
        <w:rPr>
          <w:snapToGrid w:val="0"/>
        </w:rPr>
      </w:pPr>
      <w:bookmarkStart w:id="336" w:name="_Toc166675903"/>
      <w:r>
        <w:rPr>
          <w:rStyle w:val="CharSectno"/>
        </w:rPr>
        <w:t>237</w:t>
      </w:r>
      <w:r>
        <w:rPr>
          <w:snapToGrid w:val="0"/>
        </w:rPr>
        <w:t>.</w:t>
      </w:r>
      <w:r>
        <w:rPr>
          <w:snapToGrid w:val="0"/>
        </w:rPr>
        <w:tab/>
        <w:t>When application to be made</w:t>
      </w:r>
      <w:bookmarkEnd w:id="336"/>
      <w:r>
        <w:rPr>
          <w:snapToGrid w:val="0"/>
        </w:rPr>
        <w:t xml:space="preserve"> </w:t>
      </w:r>
    </w:p>
    <w:p>
      <w:pPr>
        <w:pStyle w:val="Subsection"/>
        <w:rPr>
          <w:snapToGrid w:val="0"/>
        </w:rPr>
      </w:pPr>
      <w:r>
        <w:rPr>
          <w:snapToGrid w:val="0"/>
        </w:rPr>
        <w:tab/>
        <w:t>(1)</w:t>
      </w:r>
      <w:r>
        <w:rPr>
          <w:snapToGrid w:val="0"/>
        </w:rPr>
        <w:tab/>
        <w:t>Subject to subsection (2), the application must be made at least 6 months before the day on which the licence is to expire.</w:t>
      </w:r>
    </w:p>
    <w:p>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337" w:name="_Toc166675904"/>
      <w:r>
        <w:rPr>
          <w:rStyle w:val="CharSectno"/>
        </w:rPr>
        <w:t>238</w:t>
      </w:r>
      <w:r>
        <w:rPr>
          <w:snapToGrid w:val="0"/>
        </w:rPr>
        <w:t>.</w:t>
      </w:r>
      <w:r>
        <w:rPr>
          <w:snapToGrid w:val="0"/>
        </w:rPr>
        <w:tab/>
        <w:t>How to apply for renewal</w:t>
      </w:r>
      <w:bookmarkEnd w:id="337"/>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lastRenderedPageBreak/>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38" w:name="_Toc166675905"/>
      <w:r>
        <w:rPr>
          <w:rStyle w:val="CharSectno"/>
        </w:rPr>
        <w:t>239</w:t>
      </w:r>
      <w:r>
        <w:rPr>
          <w:snapToGrid w:val="0"/>
        </w:rPr>
        <w:t>.</w:t>
      </w:r>
      <w:r>
        <w:rPr>
          <w:snapToGrid w:val="0"/>
        </w:rPr>
        <w:tab/>
        <w:t>Request for further information</w:t>
      </w:r>
      <w:bookmarkEnd w:id="338"/>
      <w:r>
        <w:rPr>
          <w:snapToGrid w:val="0"/>
        </w:rPr>
        <w:t xml:space="preserve"> </w:t>
      </w:r>
    </w:p>
    <w:p>
      <w:pPr>
        <w:pStyle w:val="Subsection"/>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39" w:name="_Toc166675906"/>
      <w:r>
        <w:rPr>
          <w:rStyle w:val="CharSectno"/>
        </w:rPr>
        <w:t>240</w:t>
      </w:r>
      <w:r>
        <w:rPr>
          <w:snapToGrid w:val="0"/>
        </w:rPr>
        <w:t>.</w:t>
      </w:r>
      <w:r>
        <w:rPr>
          <w:snapToGrid w:val="0"/>
        </w:rPr>
        <w:tab/>
        <w:t>Payment of fee</w:t>
      </w:r>
      <w:bookmarkEnd w:id="33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lastRenderedPageBreak/>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40" w:name="_Toc166675907"/>
      <w:r>
        <w:rPr>
          <w:rStyle w:val="CharSectno"/>
        </w:rPr>
        <w:t>241</w:t>
      </w:r>
      <w:r>
        <w:rPr>
          <w:snapToGrid w:val="0"/>
        </w:rPr>
        <w:t>.</w:t>
      </w:r>
      <w:r>
        <w:rPr>
          <w:snapToGrid w:val="0"/>
        </w:rPr>
        <w:tab/>
        <w:t>Section number not used</w:t>
      </w:r>
      <w:bookmarkEnd w:id="340"/>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341" w:name="_Toc166675908"/>
      <w:r>
        <w:rPr>
          <w:rStyle w:val="CharSectno"/>
        </w:rPr>
        <w:t>242</w:t>
      </w:r>
      <w:r>
        <w:rPr>
          <w:snapToGrid w:val="0"/>
        </w:rPr>
        <w:t>.</w:t>
      </w:r>
      <w:r>
        <w:rPr>
          <w:snapToGrid w:val="0"/>
        </w:rPr>
        <w:tab/>
        <w:t>Provisional renewal of mining licence</w:t>
      </w:r>
      <w:bookmarkEnd w:id="341"/>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245, refuse to renew the licence.</w:t>
      </w:r>
    </w:p>
    <w:p>
      <w:pPr>
        <w:pStyle w:val="PermNoteHeading"/>
      </w:pPr>
      <w:r>
        <w:tab/>
        <w:t>Note:</w:t>
      </w:r>
    </w:p>
    <w:p>
      <w:pPr>
        <w:pStyle w:val="PermNoteText"/>
        <w:rPr>
          <w:snapToGrid w:val="0"/>
        </w:rPr>
      </w:pPr>
      <w:r>
        <w:rPr>
          <w:snapToGrid w:val="0"/>
        </w:rPr>
        <w:tab/>
        <w:t>1.</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PermNoteText"/>
        <w:rPr>
          <w:snapToGrid w:val="0"/>
        </w:rPr>
      </w:pPr>
      <w:r>
        <w:rPr>
          <w:snapToGrid w:val="0"/>
        </w:rPr>
        <w:tab/>
        <w:t>2.</w:t>
      </w:r>
      <w:r>
        <w:rPr>
          <w:snapToGrid w:val="0"/>
        </w:rPr>
        <w:tab/>
        <w:t>Under section 254, new conditions may be imposed on renewal.</w:t>
      </w:r>
    </w:p>
    <w:p>
      <w:pPr>
        <w:pStyle w:val="Heading5"/>
        <w:rPr>
          <w:snapToGrid w:val="0"/>
        </w:rPr>
      </w:pPr>
      <w:bookmarkStart w:id="342" w:name="_Toc166675909"/>
      <w:r>
        <w:rPr>
          <w:rStyle w:val="CharSectno"/>
        </w:rPr>
        <w:t>243</w:t>
      </w:r>
      <w:r>
        <w:rPr>
          <w:snapToGrid w:val="0"/>
        </w:rPr>
        <w:t>.</w:t>
      </w:r>
      <w:r>
        <w:rPr>
          <w:snapToGrid w:val="0"/>
        </w:rPr>
        <w:tab/>
        <w:t>Section number not used</w:t>
      </w:r>
      <w:bookmarkEnd w:id="342"/>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343" w:name="_Toc166675910"/>
      <w:r>
        <w:rPr>
          <w:rStyle w:val="CharSectno"/>
        </w:rPr>
        <w:t>244</w:t>
      </w:r>
      <w:r>
        <w:rPr>
          <w:snapToGrid w:val="0"/>
        </w:rPr>
        <w:t>.</w:t>
      </w:r>
      <w:r>
        <w:rPr>
          <w:snapToGrid w:val="0"/>
        </w:rPr>
        <w:tab/>
        <w:t>Matters that may be taken into account</w:t>
      </w:r>
      <w:bookmarkEnd w:id="343"/>
      <w:r>
        <w:rPr>
          <w:snapToGrid w:val="0"/>
        </w:rPr>
        <w:t xml:space="preserve"> </w:t>
      </w:r>
    </w:p>
    <w:p>
      <w:pPr>
        <w:pStyle w:val="Subsection"/>
        <w:rPr>
          <w:snapToGrid w:val="0"/>
        </w:rPr>
      </w:pPr>
      <w:r>
        <w:rPr>
          <w:snapToGrid w:val="0"/>
        </w:rPr>
        <w:tab/>
      </w:r>
      <w:r>
        <w:rPr>
          <w:snapToGrid w:val="0"/>
        </w:rPr>
        <w:tab/>
        <w:t>In deciding whether to renew a mining licence, the Minister may have regard to whether the applicant has complied with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any licence conditions.</w:t>
      </w:r>
    </w:p>
    <w:p>
      <w:pPr>
        <w:pStyle w:val="Heading5"/>
        <w:rPr>
          <w:snapToGrid w:val="0"/>
        </w:rPr>
      </w:pPr>
      <w:bookmarkStart w:id="344" w:name="_Toc166675911"/>
      <w:r>
        <w:rPr>
          <w:rStyle w:val="CharSectno"/>
        </w:rPr>
        <w:t>245</w:t>
      </w:r>
      <w:r>
        <w:rPr>
          <w:snapToGrid w:val="0"/>
        </w:rPr>
        <w:t>.</w:t>
      </w:r>
      <w:r>
        <w:rPr>
          <w:snapToGrid w:val="0"/>
        </w:rPr>
        <w:tab/>
        <w:t>Refusal of application for renewal</w:t>
      </w:r>
      <w:bookmarkEnd w:id="344"/>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Subsection"/>
        <w:rPr>
          <w:snapToGrid w:val="0"/>
        </w:rPr>
      </w:pPr>
      <w:r>
        <w:rPr>
          <w:snapToGrid w:val="0"/>
        </w:rPr>
        <w:lastRenderedPageBreak/>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holder to make written submissions in relation to the proposed refusal; and</w:t>
      </w:r>
    </w:p>
    <w:p>
      <w:pPr>
        <w:pStyle w:val="Indenta"/>
        <w:rPr>
          <w:snapToGrid w:val="0"/>
        </w:rPr>
      </w:pPr>
      <w:r>
        <w:rPr>
          <w:snapToGrid w:val="0"/>
        </w:rPr>
        <w:tab/>
        <w:t>(d)</w:t>
      </w:r>
      <w:r>
        <w:rPr>
          <w:snapToGrid w:val="0"/>
        </w:rPr>
        <w:tab/>
        <w:t>specify the day by which submissions may be given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the application only if — </w:t>
      </w:r>
    </w:p>
    <w:p>
      <w:pPr>
        <w:pStyle w:val="Indenta"/>
        <w:rPr>
          <w:snapToGrid w:val="0"/>
        </w:rPr>
      </w:pPr>
      <w:r>
        <w:rPr>
          <w:snapToGrid w:val="0"/>
        </w:rPr>
        <w:tab/>
        <w:t>(a)</w:t>
      </w:r>
      <w:r>
        <w:rPr>
          <w:snapToGrid w:val="0"/>
        </w:rPr>
        <w:tab/>
        <w:t>the holder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renewal being granted.</w:t>
      </w:r>
    </w:p>
    <w:p>
      <w:pPr>
        <w:pStyle w:val="Heading5"/>
        <w:rPr>
          <w:snapToGrid w:val="0"/>
        </w:rPr>
      </w:pPr>
      <w:bookmarkStart w:id="345" w:name="_Toc166675912"/>
      <w:r>
        <w:rPr>
          <w:rStyle w:val="CharSectno"/>
        </w:rPr>
        <w:t>246</w:t>
      </w:r>
      <w:r>
        <w:rPr>
          <w:snapToGrid w:val="0"/>
        </w:rPr>
        <w:t>.</w:t>
      </w:r>
      <w:r>
        <w:rPr>
          <w:snapToGrid w:val="0"/>
        </w:rPr>
        <w:tab/>
        <w:t>Applicant must be notified</w:t>
      </w:r>
      <w:bookmarkEnd w:id="345"/>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242.</w:t>
      </w:r>
    </w:p>
    <w:p>
      <w:pPr>
        <w:pStyle w:val="Subsection"/>
        <w:rPr>
          <w:snapToGrid w:val="0"/>
        </w:rPr>
      </w:pPr>
      <w:r>
        <w:rPr>
          <w:snapToGrid w:val="0"/>
        </w:rPr>
        <w:tab/>
        <w:t>(2)</w:t>
      </w:r>
      <w:r>
        <w:rPr>
          <w:snapToGrid w:val="0"/>
        </w:rPr>
        <w:tab/>
        <w:t>If the Minister provisionally renews the licence under section 242,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lastRenderedPageBreak/>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renewal under section 425.</w:t>
      </w:r>
    </w:p>
    <w:p>
      <w:pPr>
        <w:pStyle w:val="PermNoteHeading"/>
      </w:pPr>
      <w:r>
        <w:tab/>
        <w:t>Note:</w:t>
      </w:r>
    </w:p>
    <w:p>
      <w:pPr>
        <w:pStyle w:val="PermNoteText"/>
        <w:rPr>
          <w:snapToGrid w:val="0"/>
        </w:rPr>
      </w:pPr>
      <w:r>
        <w:rPr>
          <w:snapToGrid w:val="0"/>
        </w:rPr>
        <w:tab/>
      </w:r>
      <w:r>
        <w:rPr>
          <w:snapToGrid w:val="0"/>
        </w:rPr>
        <w:tab/>
        <w:t>Section 254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be more than 21 years.</w:t>
      </w:r>
    </w:p>
    <w:p>
      <w:pPr>
        <w:pStyle w:val="Heading5"/>
        <w:rPr>
          <w:snapToGrid w:val="0"/>
        </w:rPr>
      </w:pPr>
      <w:bookmarkStart w:id="346" w:name="_Toc166675913"/>
      <w:r>
        <w:rPr>
          <w:rStyle w:val="CharSectno"/>
        </w:rPr>
        <w:t>247</w:t>
      </w:r>
      <w:r>
        <w:rPr>
          <w:snapToGrid w:val="0"/>
        </w:rPr>
        <w:t>.</w:t>
      </w:r>
      <w:r>
        <w:rPr>
          <w:snapToGrid w:val="0"/>
        </w:rPr>
        <w:tab/>
        <w:t>Amendment of conditions</w:t>
      </w:r>
      <w:bookmarkEnd w:id="346"/>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246.</w:t>
      </w:r>
    </w:p>
    <w:p>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347" w:name="_Toc166675914"/>
      <w:r>
        <w:rPr>
          <w:rStyle w:val="CharSectno"/>
        </w:rPr>
        <w:t>248</w:t>
      </w:r>
      <w:r>
        <w:rPr>
          <w:snapToGrid w:val="0"/>
        </w:rPr>
        <w:t>.</w:t>
      </w:r>
      <w:r>
        <w:rPr>
          <w:snapToGrid w:val="0"/>
        </w:rPr>
        <w:tab/>
        <w:t>Amendment of security requirements</w:t>
      </w:r>
      <w:bookmarkEnd w:id="347"/>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a security requirement for the licence; and</w:t>
      </w:r>
    </w:p>
    <w:p>
      <w:pPr>
        <w:pStyle w:val="Indenta"/>
        <w:rPr>
          <w:snapToGrid w:val="0"/>
        </w:rPr>
      </w:pPr>
      <w:r>
        <w:rPr>
          <w:snapToGrid w:val="0"/>
        </w:rPr>
        <w:lastRenderedPageBreak/>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348" w:name="_Toc166675915"/>
      <w:r>
        <w:rPr>
          <w:rStyle w:val="CharSectno"/>
        </w:rPr>
        <w:t>249</w:t>
      </w:r>
      <w:r>
        <w:rPr>
          <w:snapToGrid w:val="0"/>
        </w:rPr>
        <w:t>.</w:t>
      </w:r>
      <w:r>
        <w:rPr>
          <w:snapToGrid w:val="0"/>
        </w:rPr>
        <w:tab/>
        <w:t>Extension of primary payment period</w:t>
      </w:r>
      <w:bookmarkEnd w:id="348"/>
      <w:r>
        <w:rPr>
          <w:snapToGrid w:val="0"/>
        </w:rPr>
        <w:t xml:space="preserve"> </w:t>
      </w:r>
    </w:p>
    <w:p>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349" w:name="_Toc166675916"/>
      <w:r>
        <w:rPr>
          <w:rStyle w:val="CharSectno"/>
        </w:rPr>
        <w:t>250</w:t>
      </w:r>
      <w:r>
        <w:rPr>
          <w:snapToGrid w:val="0"/>
        </w:rPr>
        <w:t>.</w:t>
      </w:r>
      <w:r>
        <w:rPr>
          <w:snapToGrid w:val="0"/>
        </w:rPr>
        <w:tab/>
        <w:t>Acceptance of renewal of mining licence</w:t>
      </w:r>
      <w:bookmarkEnd w:id="349"/>
      <w:r>
        <w:rPr>
          <w:snapToGrid w:val="0"/>
        </w:rPr>
        <w:t xml:space="preserve"> </w:t>
      </w:r>
    </w:p>
    <w:p>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lastRenderedPageBreak/>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PermNoteHeading"/>
      </w:pPr>
      <w:r>
        <w:tab/>
        <w:t>Note:</w:t>
      </w:r>
    </w:p>
    <w:p>
      <w:pPr>
        <w:pStyle w:val="PermNoteText"/>
        <w:rPr>
          <w:snapToGrid w:val="0"/>
        </w:rPr>
      </w:pPr>
      <w:r>
        <w:rPr>
          <w:snapToGrid w:val="0"/>
        </w:rPr>
        <w:tab/>
      </w:r>
      <w:r>
        <w:rPr>
          <w:snapToGrid w:val="0"/>
        </w:rPr>
        <w:tab/>
        <w:t>Under section 233, the renewal of the licence cannot be effective before it is registered (see section 334 for registration).</w:t>
      </w:r>
    </w:p>
    <w:p>
      <w:pPr>
        <w:pStyle w:val="Heading5"/>
        <w:rPr>
          <w:snapToGrid w:val="0"/>
        </w:rPr>
      </w:pPr>
      <w:bookmarkStart w:id="350" w:name="_Toc166675917"/>
      <w:r>
        <w:rPr>
          <w:rStyle w:val="CharSectno"/>
        </w:rPr>
        <w:t>251</w:t>
      </w:r>
      <w:r>
        <w:rPr>
          <w:snapToGrid w:val="0"/>
        </w:rPr>
        <w:t>.</w:t>
      </w:r>
      <w:r>
        <w:rPr>
          <w:snapToGrid w:val="0"/>
        </w:rPr>
        <w:tab/>
        <w:t>Conditions applicable to licence on renewal</w:t>
      </w:r>
      <w:bookmarkEnd w:id="350"/>
      <w:r>
        <w:rPr>
          <w:snapToGrid w:val="0"/>
        </w:rPr>
        <w:t xml:space="preserve"> </w:t>
      </w:r>
    </w:p>
    <w:p>
      <w:pPr>
        <w:pStyle w:val="Subsection"/>
        <w:rPr>
          <w:snapToGrid w:val="0"/>
        </w:rPr>
      </w:pPr>
      <w:r>
        <w:rPr>
          <w:snapToGrid w:val="0"/>
        </w:rPr>
        <w:tab/>
      </w:r>
      <w:r>
        <w:rPr>
          <w:snapToGrid w:val="0"/>
        </w:rPr>
        <w:tab/>
        <w:t>If the provisional renewal is properly accepted under section 250, the renewed licence is subject to — </w:t>
      </w:r>
    </w:p>
    <w:p>
      <w:pPr>
        <w:pStyle w:val="Indenta"/>
        <w:rPr>
          <w:snapToGrid w:val="0"/>
        </w:rPr>
      </w:pPr>
      <w:r>
        <w:rPr>
          <w:snapToGrid w:val="0"/>
        </w:rPr>
        <w:tab/>
        <w:t>(a)</w:t>
      </w:r>
      <w:r>
        <w:rPr>
          <w:snapToGrid w:val="0"/>
        </w:rPr>
        <w:tab/>
        <w:t>the conditions specified in the notice given to the licence holder under section 246; or</w:t>
      </w:r>
    </w:p>
    <w:p>
      <w:pPr>
        <w:pStyle w:val="Indenta"/>
        <w:rPr>
          <w:snapToGrid w:val="0"/>
        </w:rPr>
      </w:pPr>
      <w:r>
        <w:rPr>
          <w:snapToGrid w:val="0"/>
        </w:rPr>
        <w:tab/>
        <w:t>(b)</w:t>
      </w:r>
      <w:r>
        <w:rPr>
          <w:snapToGrid w:val="0"/>
        </w:rPr>
        <w:tab/>
        <w:t>if the Minister amended those conditions under section 247, those conditions as amended.</w:t>
      </w:r>
    </w:p>
    <w:p>
      <w:pPr>
        <w:pStyle w:val="Heading5"/>
        <w:rPr>
          <w:snapToGrid w:val="0"/>
        </w:rPr>
      </w:pPr>
      <w:bookmarkStart w:id="351" w:name="_Toc166675918"/>
      <w:r>
        <w:rPr>
          <w:rStyle w:val="CharSectno"/>
        </w:rPr>
        <w:t>252</w:t>
      </w:r>
      <w:r>
        <w:rPr>
          <w:snapToGrid w:val="0"/>
        </w:rPr>
        <w:t>.</w:t>
      </w:r>
      <w:r>
        <w:rPr>
          <w:snapToGrid w:val="0"/>
        </w:rPr>
        <w:tab/>
        <w:t>Lapse of provisional renewal of mining licence</w:t>
      </w:r>
      <w:bookmarkEnd w:id="351"/>
      <w:r>
        <w:rPr>
          <w:snapToGrid w:val="0"/>
        </w:rPr>
        <w:t xml:space="preserve"> </w:t>
      </w:r>
    </w:p>
    <w:p>
      <w:pPr>
        <w:pStyle w:val="Subsection"/>
        <w:rPr>
          <w:snapToGrid w:val="0"/>
        </w:rPr>
      </w:pPr>
      <w:r>
        <w:rPr>
          <w:snapToGrid w:val="0"/>
        </w:rPr>
        <w:tab/>
      </w:r>
      <w:r>
        <w:rPr>
          <w:snapToGrid w:val="0"/>
        </w:rPr>
        <w:tab/>
        <w:t>If the provisional renewal of a mining licence is not properly accepted under section 250, the provisional renewal lapses.</w:t>
      </w:r>
    </w:p>
    <w:p>
      <w:pPr>
        <w:pStyle w:val="Heading4"/>
        <w:rPr>
          <w:b w:val="0"/>
        </w:rPr>
      </w:pPr>
      <w:bookmarkStart w:id="352" w:name="_Toc166675099"/>
      <w:bookmarkStart w:id="353" w:name="_Toc166675614"/>
      <w:bookmarkStart w:id="354" w:name="_Toc166675919"/>
      <w:r>
        <w:rPr>
          <w:b w:val="0"/>
          <w:snapToGrid w:val="0"/>
        </w:rPr>
        <w:t>Division 7 — Obligations associated with mining licence</w:t>
      </w:r>
      <w:bookmarkEnd w:id="352"/>
      <w:bookmarkEnd w:id="353"/>
      <w:bookmarkEnd w:id="354"/>
    </w:p>
    <w:p>
      <w:pPr>
        <w:pStyle w:val="Heading5"/>
        <w:rPr>
          <w:snapToGrid w:val="0"/>
        </w:rPr>
      </w:pPr>
      <w:bookmarkStart w:id="355" w:name="_Toc166675920"/>
      <w:r>
        <w:rPr>
          <w:rStyle w:val="CharSectno"/>
        </w:rPr>
        <w:t>253</w:t>
      </w:r>
      <w:r>
        <w:rPr>
          <w:snapToGrid w:val="0"/>
        </w:rPr>
        <w:t>.</w:t>
      </w:r>
      <w:r>
        <w:rPr>
          <w:snapToGrid w:val="0"/>
        </w:rPr>
        <w:tab/>
        <w:t>General</w:t>
      </w:r>
      <w:bookmarkEnd w:id="355"/>
      <w:r>
        <w:rPr>
          <w:snapToGrid w:val="0"/>
        </w:rPr>
        <w:t xml:space="preserve"> </w:t>
      </w:r>
    </w:p>
    <w:p>
      <w:pPr>
        <w:pStyle w:val="Subsection"/>
        <w:rPr>
          <w:snapToGrid w:val="0"/>
        </w:rPr>
      </w:pPr>
      <w:r>
        <w:rPr>
          <w:snapToGrid w:val="0"/>
        </w:rPr>
        <w:tab/>
        <w:t>(1)</w:t>
      </w:r>
      <w:r>
        <w:rPr>
          <w:snapToGrid w:val="0"/>
        </w:rPr>
        <w:tab/>
        <w:t>The sources of obligations associated with a mining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rPr>
          <w:snapToGrid w:val="0"/>
        </w:rPr>
      </w:pPr>
      <w:r>
        <w:rPr>
          <w:snapToGrid w:val="0"/>
        </w:rPr>
        <w:tab/>
      </w:r>
      <w:r>
        <w:rPr>
          <w:snapToGrid w:val="0"/>
        </w:rPr>
        <w:tab/>
        <w:t>For paragraph (a) see sections 254 to 256. For paragraph (c) see sections 44, 259 to 262, 372 and 391(1).</w:t>
      </w:r>
    </w:p>
    <w:p>
      <w:pPr>
        <w:pStyle w:val="Subsection"/>
        <w:rPr>
          <w:snapToGrid w:val="0"/>
        </w:rPr>
      </w:pPr>
      <w:r>
        <w:rPr>
          <w:snapToGrid w:val="0"/>
        </w:rPr>
        <w:lastRenderedPageBreak/>
        <w:tab/>
        <w:t>(2)</w:t>
      </w:r>
      <w:r>
        <w:rPr>
          <w:snapToGrid w:val="0"/>
        </w:rPr>
        <w:tab/>
        <w:t>If a mining licence has 2 or more holders, all the holders are jointly and severally bound by the obligations that attach to the licence.</w:t>
      </w:r>
    </w:p>
    <w:p>
      <w:pPr>
        <w:pStyle w:val="Heading5"/>
        <w:rPr>
          <w:snapToGrid w:val="0"/>
        </w:rPr>
      </w:pPr>
      <w:bookmarkStart w:id="356" w:name="_Toc166675921"/>
      <w:r>
        <w:rPr>
          <w:rStyle w:val="CharSectno"/>
        </w:rPr>
        <w:t>254</w:t>
      </w:r>
      <w:r>
        <w:rPr>
          <w:snapToGrid w:val="0"/>
        </w:rPr>
        <w:t>.</w:t>
      </w:r>
      <w:r>
        <w:rPr>
          <w:snapToGrid w:val="0"/>
        </w:rPr>
        <w:tab/>
        <w:t>Conditions of mining licence</w:t>
      </w:r>
      <w:bookmarkEnd w:id="356"/>
      <w:r>
        <w:rPr>
          <w:snapToGrid w:val="0"/>
        </w:rPr>
        <w:t xml:space="preserve"> </w:t>
      </w:r>
    </w:p>
    <w:p>
      <w:pPr>
        <w:pStyle w:val="Subsection"/>
        <w:rPr>
          <w:snapToGrid w:val="0"/>
        </w:rPr>
      </w:pPr>
      <w:r>
        <w:rPr>
          <w:snapToGrid w:val="0"/>
        </w:rPr>
        <w:tab/>
        <w:t>(1)</w:t>
      </w:r>
      <w:r>
        <w:rPr>
          <w:snapToGrid w:val="0"/>
        </w:rPr>
        <w:tab/>
        <w:t>The Minister may grant or renew a mining licence subject to whatever conditions the Minister thinks appropriate.</w:t>
      </w:r>
    </w:p>
    <w:p>
      <w:pPr>
        <w:pStyle w:val="Subsection"/>
        <w:rPr>
          <w:snapToGrid w:val="0"/>
        </w:rPr>
      </w:pPr>
      <w:r>
        <w:rPr>
          <w:snapToGrid w:val="0"/>
        </w:rPr>
        <w:tab/>
        <w:t>(2)</w:t>
      </w:r>
      <w:r>
        <w:rPr>
          <w:snapToGrid w:val="0"/>
        </w:rPr>
        <w:tab/>
        <w:t>If the Minister grants or renews a mining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to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lastRenderedPageBreak/>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Heading5"/>
        <w:rPr>
          <w:snapToGrid w:val="0"/>
        </w:rPr>
      </w:pPr>
      <w:bookmarkStart w:id="357" w:name="_Toc166675922"/>
      <w:r>
        <w:rPr>
          <w:rStyle w:val="CharSectno"/>
        </w:rPr>
        <w:t>255</w:t>
      </w:r>
      <w:r>
        <w:rPr>
          <w:snapToGrid w:val="0"/>
        </w:rPr>
        <w:t>.</w:t>
      </w:r>
      <w:r>
        <w:rPr>
          <w:snapToGrid w:val="0"/>
        </w:rPr>
        <w:tab/>
        <w:t>No conditions requiring payment of money</w:t>
      </w:r>
      <w:bookmarkEnd w:id="357"/>
      <w:r>
        <w:rPr>
          <w:snapToGrid w:val="0"/>
        </w:rPr>
        <w:t xml:space="preserve"> </w:t>
      </w:r>
    </w:p>
    <w:p>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Subsection"/>
        <w:rPr>
          <w:snapToGrid w:val="0"/>
        </w:rPr>
      </w:pPr>
      <w:r>
        <w:rPr>
          <w:snapToGrid w:val="0"/>
        </w:rPr>
        <w:tab/>
        <w:t>(2)</w:t>
      </w:r>
      <w:r>
        <w:rPr>
          <w:snapToGrid w:val="0"/>
        </w:rPr>
        <w:tab/>
        <w:t>Subsection (1) does not limit the conditions that may be included in a resolution referred to in section 38A(2).</w:t>
      </w:r>
    </w:p>
    <w:p>
      <w:pPr>
        <w:pStyle w:val="Heading5"/>
        <w:keepNext w:val="0"/>
        <w:keepLines w:val="0"/>
        <w:rPr>
          <w:snapToGrid w:val="0"/>
        </w:rPr>
      </w:pPr>
      <w:bookmarkStart w:id="358" w:name="_Toc166675923"/>
      <w:r>
        <w:rPr>
          <w:rStyle w:val="CharSectno"/>
        </w:rPr>
        <w:t>256</w:t>
      </w:r>
      <w:r>
        <w:rPr>
          <w:snapToGrid w:val="0"/>
        </w:rPr>
        <w:t>.</w:t>
      </w:r>
      <w:r>
        <w:rPr>
          <w:snapToGrid w:val="0"/>
        </w:rPr>
        <w:tab/>
        <w:t>Variation of conditions</w:t>
      </w:r>
      <w:bookmarkEnd w:id="35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mining licence holder requests the Minister in writing to vary a licence condition; 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lastRenderedPageBreak/>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spacing w:val="-4"/>
        </w:rPr>
      </w:pPr>
      <w:r>
        <w:rPr>
          <w:snapToGrid w:val="0"/>
          <w:spacing w:val="-4"/>
        </w:rPr>
        <w:tab/>
        <w:t>(c)</w:t>
      </w:r>
      <w:r>
        <w:rPr>
          <w:snapToGrid w:val="0"/>
          <w:spacing w:val="-4"/>
        </w:rPr>
        <w:tab/>
        <w:t>specifies any conditions to which the variation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359" w:name="_Toc166675924"/>
      <w:r>
        <w:rPr>
          <w:rStyle w:val="CharSectno"/>
        </w:rPr>
        <w:t>257</w:t>
      </w:r>
      <w:r>
        <w:rPr>
          <w:snapToGrid w:val="0"/>
        </w:rPr>
        <w:t>.</w:t>
      </w:r>
      <w:r>
        <w:rPr>
          <w:snapToGrid w:val="0"/>
        </w:rPr>
        <w:tab/>
        <w:t>Exemption from or suspension of conditions</w:t>
      </w:r>
      <w:bookmarkEnd w:id="359"/>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mining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lastRenderedPageBreak/>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PermNoteHeading"/>
      </w:pPr>
      <w:r>
        <w:tab/>
        <w:t>Note:</w:t>
      </w:r>
    </w:p>
    <w:p>
      <w:pPr>
        <w:pStyle w:val="PermNoteText"/>
        <w:rPr>
          <w:snapToGrid w:val="0"/>
        </w:rPr>
      </w:pPr>
      <w:r>
        <w:rPr>
          <w:snapToGrid w:val="0"/>
        </w:rPr>
        <w:tab/>
      </w:r>
      <w:r>
        <w:rPr>
          <w:snapToGrid w:val="0"/>
        </w:rPr>
        <w:tab/>
        <w:t>A suspension or exemption of a condition does not take effect until registered (see section 337).</w:t>
      </w:r>
    </w:p>
    <w:p>
      <w:pPr>
        <w:pStyle w:val="Heading5"/>
        <w:rPr>
          <w:snapToGrid w:val="0"/>
        </w:rPr>
      </w:pPr>
      <w:bookmarkStart w:id="360" w:name="_Toc166675925"/>
      <w:r>
        <w:rPr>
          <w:rStyle w:val="CharSectno"/>
        </w:rPr>
        <w:lastRenderedPageBreak/>
        <w:t>258</w:t>
      </w:r>
      <w:r>
        <w:rPr>
          <w:snapToGrid w:val="0"/>
        </w:rPr>
        <w:t>.</w:t>
      </w:r>
      <w:r>
        <w:rPr>
          <w:snapToGrid w:val="0"/>
        </w:rPr>
        <w:tab/>
        <w:t>Automatic suspension of conditions if licence rights are suspended</w:t>
      </w:r>
      <w:bookmarkEnd w:id="36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mining licence under section 195;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361" w:name="_Toc166675926"/>
      <w:r>
        <w:rPr>
          <w:rStyle w:val="CharSectno"/>
        </w:rPr>
        <w:t>259</w:t>
      </w:r>
      <w:r>
        <w:rPr>
          <w:snapToGrid w:val="0"/>
        </w:rPr>
        <w:t>.</w:t>
      </w:r>
      <w:r>
        <w:rPr>
          <w:snapToGrid w:val="0"/>
        </w:rPr>
        <w:tab/>
        <w:t>Work practices</w:t>
      </w:r>
      <w:bookmarkEnd w:id="361"/>
      <w:r>
        <w:rPr>
          <w:snapToGrid w:val="0"/>
        </w:rPr>
        <w:t xml:space="preserve"> </w:t>
      </w:r>
    </w:p>
    <w:p>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rPr>
          <w:snapToGrid w:val="0"/>
        </w:rPr>
      </w:pPr>
      <w:r>
        <w:rPr>
          <w:snapToGrid w:val="0"/>
        </w:rPr>
        <w:tab/>
        <w:t>1.</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PermNoteText"/>
        <w:rPr>
          <w:snapToGrid w:val="0"/>
        </w:rPr>
      </w:pPr>
      <w:r>
        <w:rPr>
          <w:snapToGrid w:val="0"/>
        </w:rPr>
        <w:tab/>
        <w:t>2.</w:t>
      </w:r>
      <w:r>
        <w:rPr>
          <w:snapToGrid w:val="0"/>
        </w:rPr>
        <w:tab/>
        <w:t xml:space="preserve">Under section 38A(3) and (5) the consent of the Minister is required to the carrying out of offshore exploration or mining activities in a marine nature reserve, marine park or marine management area. </w:t>
      </w:r>
      <w:r>
        <w:rPr>
          <w:snapToGrid w:val="0"/>
        </w:rPr>
        <w:lastRenderedPageBreak/>
        <w:t>Section 38A(7) and (8) also contain provisions about the disturbance of certain parts of marine nature reserves and restricted areas.</w:t>
      </w:r>
    </w:p>
    <w:p>
      <w:pPr>
        <w:pStyle w:val="Heading5"/>
        <w:rPr>
          <w:snapToGrid w:val="0"/>
        </w:rPr>
      </w:pPr>
      <w:bookmarkStart w:id="362" w:name="_Toc166675927"/>
      <w:r>
        <w:rPr>
          <w:rStyle w:val="CharSectno"/>
        </w:rPr>
        <w:t>260</w:t>
      </w:r>
      <w:r>
        <w:rPr>
          <w:snapToGrid w:val="0"/>
        </w:rPr>
        <w:t>.</w:t>
      </w:r>
      <w:r>
        <w:rPr>
          <w:snapToGrid w:val="0"/>
        </w:rPr>
        <w:tab/>
        <w:t>Licence holder must pay royalty</w:t>
      </w:r>
      <w:bookmarkEnd w:id="362"/>
      <w:r>
        <w:rPr>
          <w:snapToGrid w:val="0"/>
        </w:rPr>
        <w:t xml:space="preserve"> </w:t>
      </w:r>
    </w:p>
    <w:p>
      <w:pPr>
        <w:pStyle w:val="Subsection"/>
        <w:rPr>
          <w:snapToGrid w:val="0"/>
        </w:rPr>
      </w:pPr>
      <w:r>
        <w:rPr>
          <w:snapToGrid w:val="0"/>
        </w:rPr>
        <w:tab/>
      </w:r>
      <w:r>
        <w:rPr>
          <w:snapToGrid w:val="0"/>
        </w:rPr>
        <w:tab/>
        <w:t>A mining licence holder must comply with Division 2 of Part 4.4.</w:t>
      </w:r>
    </w:p>
    <w:p>
      <w:pPr>
        <w:pStyle w:val="Heading5"/>
        <w:rPr>
          <w:snapToGrid w:val="0"/>
        </w:rPr>
      </w:pPr>
      <w:bookmarkStart w:id="363" w:name="_Toc166675928"/>
      <w:r>
        <w:rPr>
          <w:rStyle w:val="CharSectno"/>
        </w:rPr>
        <w:t>261</w:t>
      </w:r>
      <w:r>
        <w:rPr>
          <w:snapToGrid w:val="0"/>
        </w:rPr>
        <w:t>.</w:t>
      </w:r>
      <w:r>
        <w:rPr>
          <w:snapToGrid w:val="0"/>
        </w:rPr>
        <w:tab/>
        <w:t>Licence holder must keep specified records</w:t>
      </w:r>
      <w:bookmarkEnd w:id="363"/>
      <w:r>
        <w:rPr>
          <w:snapToGrid w:val="0"/>
        </w:rPr>
        <w:t xml:space="preserve"> </w:t>
      </w:r>
    </w:p>
    <w:p>
      <w:pPr>
        <w:pStyle w:val="Subsection"/>
        <w:rPr>
          <w:snapToGrid w:val="0"/>
        </w:rPr>
      </w:pPr>
      <w:r>
        <w:rPr>
          <w:snapToGrid w:val="0"/>
        </w:rPr>
        <w:tab/>
      </w:r>
      <w:r>
        <w:rPr>
          <w:snapToGrid w:val="0"/>
        </w:rPr>
        <w:tab/>
        <w:t>A mining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keepNext/>
        <w:rPr>
          <w:snapToGrid w:val="0"/>
        </w:rPr>
      </w:pPr>
      <w:r>
        <w:rPr>
          <w:snapToGrid w:val="0"/>
        </w:rPr>
        <w:tab/>
        <w:t>(c)</w:t>
      </w:r>
      <w:r>
        <w:rPr>
          <w:snapToGrid w:val="0"/>
        </w:rPr>
        <w:tab/>
        <w:t>make whatever returns,</w:t>
      </w:r>
    </w:p>
    <w:p>
      <w:pPr>
        <w:pStyle w:val="Subsection"/>
        <w:keepNext/>
        <w:keepLines/>
        <w:rPr>
          <w:snapToGrid w:val="0"/>
        </w:rPr>
      </w:pPr>
      <w:r>
        <w:rPr>
          <w:snapToGrid w:val="0"/>
        </w:rPr>
        <w:tab/>
      </w:r>
      <w:r>
        <w:rPr>
          <w:snapToGrid w:val="0"/>
        </w:rPr>
        <w:tab/>
        <w:t>are necessary to comply with — </w:t>
      </w:r>
    </w:p>
    <w:p>
      <w:pPr>
        <w:pStyle w:val="Indenta"/>
        <w:keepNext/>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rPr>
          <w:snapToGrid w:val="0"/>
        </w:rPr>
      </w:pPr>
      <w:r>
        <w:rPr>
          <w:snapToGrid w:val="0"/>
        </w:rPr>
        <w:tab/>
      </w:r>
      <w:r>
        <w:rPr>
          <w:snapToGrid w:val="0"/>
        </w:rPr>
        <w:tab/>
        <w:t>Under section 386 and 387 the Minister may direct a person to keep records and cores, to collect and retain samples, and to make returns.</w:t>
      </w:r>
    </w:p>
    <w:p>
      <w:pPr>
        <w:pStyle w:val="Penstart"/>
        <w:rPr>
          <w:snapToGrid w:val="0"/>
        </w:rPr>
      </w:pPr>
      <w:r>
        <w:rPr>
          <w:snapToGrid w:val="0"/>
        </w:rPr>
        <w:tab/>
        <w:t>Maximum penalty: $10 000.</w:t>
      </w:r>
    </w:p>
    <w:p>
      <w:pPr>
        <w:pStyle w:val="Heading5"/>
        <w:rPr>
          <w:snapToGrid w:val="0"/>
        </w:rPr>
      </w:pPr>
      <w:bookmarkStart w:id="364" w:name="_Toc166675929"/>
      <w:r>
        <w:rPr>
          <w:rStyle w:val="CharSectno"/>
        </w:rPr>
        <w:t>262</w:t>
      </w:r>
      <w:r>
        <w:rPr>
          <w:snapToGrid w:val="0"/>
        </w:rPr>
        <w:t>.</w:t>
      </w:r>
      <w:r>
        <w:rPr>
          <w:snapToGrid w:val="0"/>
        </w:rPr>
        <w:tab/>
        <w:t>Licence holder must assist inspectors</w:t>
      </w:r>
      <w:bookmarkEnd w:id="364"/>
      <w:r>
        <w:rPr>
          <w:snapToGrid w:val="0"/>
        </w:rPr>
        <w:t xml:space="preserve"> </w:t>
      </w:r>
    </w:p>
    <w:p>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PermNoteHeading"/>
      </w:pPr>
      <w:r>
        <w:tab/>
        <w:t>Note:</w:t>
      </w:r>
    </w:p>
    <w:p>
      <w:pPr>
        <w:pStyle w:val="PermNoteText"/>
        <w:rPr>
          <w:snapToGrid w:val="0"/>
        </w:rPr>
      </w:pPr>
      <w:r>
        <w:rPr>
          <w:snapToGrid w:val="0"/>
        </w:rPr>
        <w:tab/>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365" w:name="_Toc166675110"/>
      <w:bookmarkStart w:id="366" w:name="_Toc166675625"/>
      <w:bookmarkStart w:id="367" w:name="_Toc166675930"/>
      <w:r>
        <w:rPr>
          <w:b w:val="0"/>
          <w:snapToGrid w:val="0"/>
        </w:rPr>
        <w:lastRenderedPageBreak/>
        <w:t>Division 8 — Expiry of mining licence</w:t>
      </w:r>
      <w:bookmarkEnd w:id="365"/>
      <w:bookmarkEnd w:id="366"/>
      <w:bookmarkEnd w:id="367"/>
    </w:p>
    <w:p>
      <w:pPr>
        <w:pStyle w:val="Heading5"/>
        <w:rPr>
          <w:snapToGrid w:val="0"/>
        </w:rPr>
      </w:pPr>
      <w:bookmarkStart w:id="368" w:name="_Toc166675931"/>
      <w:r>
        <w:rPr>
          <w:rStyle w:val="CharSectno"/>
        </w:rPr>
        <w:t>263</w:t>
      </w:r>
      <w:r>
        <w:rPr>
          <w:snapToGrid w:val="0"/>
        </w:rPr>
        <w:t>.</w:t>
      </w:r>
      <w:r>
        <w:rPr>
          <w:snapToGrid w:val="0"/>
        </w:rPr>
        <w:tab/>
        <w:t>General</w:t>
      </w:r>
      <w:bookmarkEnd w:id="368"/>
      <w:r>
        <w:rPr>
          <w:snapToGrid w:val="0"/>
        </w:rPr>
        <w:t xml:space="preserve"> </w:t>
      </w:r>
    </w:p>
    <w:p>
      <w:pPr>
        <w:pStyle w:val="Subsection"/>
        <w:rPr>
          <w:snapToGrid w:val="0"/>
        </w:rPr>
      </w:pPr>
      <w:r>
        <w:rPr>
          <w:snapToGrid w:val="0"/>
        </w:rPr>
        <w:tab/>
      </w:r>
      <w:r>
        <w:rPr>
          <w:snapToGrid w:val="0"/>
        </w:rPr>
        <w:tab/>
        <w:t>A mining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PermNoteHeading"/>
      </w:pPr>
      <w:r>
        <w:tab/>
        <w:t>Note:</w:t>
      </w:r>
    </w:p>
    <w:p>
      <w:pPr>
        <w:pStyle w:val="PermNoteText"/>
        <w:rPr>
          <w:snapToGrid w:val="0"/>
        </w:rPr>
      </w:pPr>
      <w:r>
        <w:rPr>
          <w:snapToGrid w:val="0"/>
        </w:rPr>
        <w:tab/>
      </w:r>
      <w:r>
        <w:rPr>
          <w:snapToGrid w:val="0"/>
        </w:rPr>
        <w:tab/>
        <w:t>For paragraph (a) see Division 6. For paragraph (b) see section 264. For paragraph (c) see section 265.</w:t>
      </w:r>
    </w:p>
    <w:p>
      <w:pPr>
        <w:pStyle w:val="Heading5"/>
        <w:rPr>
          <w:snapToGrid w:val="0"/>
        </w:rPr>
      </w:pPr>
      <w:bookmarkStart w:id="369" w:name="_Toc166675932"/>
      <w:r>
        <w:rPr>
          <w:rStyle w:val="CharSectno"/>
        </w:rPr>
        <w:t>264</w:t>
      </w:r>
      <w:r>
        <w:rPr>
          <w:snapToGrid w:val="0"/>
        </w:rPr>
        <w:t>.</w:t>
      </w:r>
      <w:r>
        <w:rPr>
          <w:snapToGrid w:val="0"/>
        </w:rPr>
        <w:tab/>
        <w:t>Voluntary surrender of mining licence</w:t>
      </w:r>
      <w:bookmarkEnd w:id="369"/>
      <w:r>
        <w:rPr>
          <w:snapToGrid w:val="0"/>
        </w:rPr>
        <w:t xml:space="preserve"> </w:t>
      </w:r>
    </w:p>
    <w:p>
      <w:pPr>
        <w:pStyle w:val="Subsection"/>
        <w:rPr>
          <w:snapToGrid w:val="0"/>
        </w:rPr>
      </w:pPr>
      <w:r>
        <w:rPr>
          <w:snapToGrid w:val="0"/>
        </w:rPr>
        <w:tab/>
      </w:r>
      <w:r>
        <w:rPr>
          <w:snapToGrid w:val="0"/>
        </w:rPr>
        <w:tab/>
        <w:t>A mining licence holder may surrender the licence.</w:t>
      </w:r>
    </w:p>
    <w:p>
      <w:pPr>
        <w:pStyle w:val="PermNoteHeading"/>
      </w:pPr>
      <w:r>
        <w:tab/>
        <w:t>Note:</w:t>
      </w:r>
    </w:p>
    <w:p>
      <w:pPr>
        <w:pStyle w:val="PermNoteText"/>
        <w:rPr>
          <w:snapToGrid w:val="0"/>
        </w:rPr>
      </w:pPr>
      <w:r>
        <w:rPr>
          <w:snapToGrid w:val="0"/>
        </w:rPr>
        <w:tab/>
        <w:t>1.</w:t>
      </w:r>
      <w:r>
        <w:rPr>
          <w:snapToGrid w:val="0"/>
        </w:rPr>
        <w:tab/>
        <w:t>See Division 5 for voluntary surrender of part of a licence area.</w:t>
      </w:r>
    </w:p>
    <w:p>
      <w:pPr>
        <w:pStyle w:val="PermNoteText"/>
        <w:rPr>
          <w:snapToGrid w:val="0"/>
        </w:rPr>
      </w:pPr>
      <w:r>
        <w:rPr>
          <w:snapToGrid w:val="0"/>
        </w:rPr>
        <w:tab/>
        <w:t>2.</w:t>
      </w:r>
      <w:r>
        <w:rPr>
          <w:snapToGrid w:val="0"/>
        </w:rPr>
        <w:tab/>
        <w:t>The surrender takes effect when it is registered under section 337 (see section 337(5)).</w:t>
      </w:r>
    </w:p>
    <w:p>
      <w:pPr>
        <w:pStyle w:val="Heading5"/>
        <w:rPr>
          <w:snapToGrid w:val="0"/>
        </w:rPr>
      </w:pPr>
      <w:bookmarkStart w:id="370" w:name="_Toc166675933"/>
      <w:r>
        <w:rPr>
          <w:rStyle w:val="CharSectno"/>
        </w:rPr>
        <w:t>265</w:t>
      </w:r>
      <w:r>
        <w:rPr>
          <w:snapToGrid w:val="0"/>
        </w:rPr>
        <w:t>.</w:t>
      </w:r>
      <w:r>
        <w:rPr>
          <w:snapToGrid w:val="0"/>
        </w:rPr>
        <w:tab/>
        <w:t>Cancellation of mining licence</w:t>
      </w:r>
      <w:bookmarkEnd w:id="370"/>
      <w:r>
        <w:rPr>
          <w:snapToGrid w:val="0"/>
        </w:rPr>
        <w:t xml:space="preserve"> </w:t>
      </w:r>
    </w:p>
    <w:p>
      <w:pPr>
        <w:pStyle w:val="Subsection"/>
        <w:rPr>
          <w:snapToGrid w:val="0"/>
        </w:rPr>
      </w:pPr>
      <w:r>
        <w:rPr>
          <w:snapToGrid w:val="0"/>
        </w:rPr>
        <w:tab/>
        <w:t>(1)</w:t>
      </w:r>
      <w:r>
        <w:rPr>
          <w:snapToGrid w:val="0"/>
        </w:rPr>
        <w:tab/>
        <w:t>Subject to subsection (5), the Minister may cancel a mining licence if the licence holder — </w:t>
      </w:r>
    </w:p>
    <w:p>
      <w:pPr>
        <w:pStyle w:val="Indenta"/>
        <w:rPr>
          <w:snapToGrid w:val="0"/>
        </w:rPr>
      </w:pPr>
      <w:r>
        <w:rPr>
          <w:snapToGrid w:val="0"/>
        </w:rPr>
        <w:tab/>
        <w:t>(a)</w:t>
      </w:r>
      <w:r>
        <w:rPr>
          <w:snapToGrid w:val="0"/>
        </w:rPr>
        <w:tab/>
        <w:t xml:space="preserve">breaches a licence condition; or </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keepNext/>
        <w:keepLines/>
        <w:spacing w:before="180"/>
        <w:rPr>
          <w:snapToGrid w:val="0"/>
        </w:rPr>
      </w:pPr>
      <w:r>
        <w:rPr>
          <w:snapToGrid w:val="0"/>
        </w:rPr>
        <w:lastRenderedPageBreak/>
        <w:tab/>
        <w:t>(3)</w:t>
      </w:r>
      <w:r>
        <w:rPr>
          <w:snapToGrid w:val="0"/>
        </w:rPr>
        <w:tab/>
        <w:t>The notice must — </w:t>
      </w:r>
    </w:p>
    <w:p>
      <w:pPr>
        <w:pStyle w:val="Indenta"/>
        <w:keepNext/>
        <w:spacing w:before="100"/>
        <w:rPr>
          <w:snapToGrid w:val="0"/>
        </w:rPr>
      </w:pPr>
      <w:r>
        <w:rPr>
          <w:snapToGrid w:val="0"/>
        </w:rPr>
        <w:tab/>
        <w:t>(a)</w:t>
      </w:r>
      <w:r>
        <w:rPr>
          <w:snapToGrid w:val="0"/>
        </w:rPr>
        <w:tab/>
        <w:t>specify the reason for the proposed cancellation; and</w:t>
      </w:r>
    </w:p>
    <w:p>
      <w:pPr>
        <w:pStyle w:val="Indenta"/>
        <w:spacing w:before="100"/>
        <w:rPr>
          <w:snapToGrid w:val="0"/>
        </w:rPr>
      </w:pPr>
      <w:r>
        <w:rPr>
          <w:snapToGrid w:val="0"/>
        </w:rPr>
        <w:tab/>
        <w:t>(b)</w:t>
      </w:r>
      <w:r>
        <w:rPr>
          <w:snapToGrid w:val="0"/>
        </w:rPr>
        <w:tab/>
        <w:t>invite the holder to make submissions in relation to the proposed cancellation; and</w:t>
      </w:r>
    </w:p>
    <w:p>
      <w:pPr>
        <w:pStyle w:val="Indenta"/>
        <w:spacing w:before="100"/>
        <w:rPr>
          <w:snapToGrid w:val="0"/>
        </w:rPr>
      </w:pPr>
      <w:r>
        <w:rPr>
          <w:snapToGrid w:val="0"/>
        </w:rPr>
        <w:tab/>
        <w:t>(c)</w:t>
      </w:r>
      <w:r>
        <w:rPr>
          <w:snapToGrid w:val="0"/>
        </w:rPr>
        <w:tab/>
        <w:t>specify the day by which submissions may be made to the Minister; and</w:t>
      </w:r>
    </w:p>
    <w:p>
      <w:pPr>
        <w:pStyle w:val="Indenta"/>
        <w:spacing w:before="100"/>
        <w:rPr>
          <w:snapToGrid w:val="0"/>
        </w:rPr>
      </w:pPr>
      <w:r>
        <w:rPr>
          <w:snapToGrid w:val="0"/>
        </w:rPr>
        <w:tab/>
        <w:t>(d)</w:t>
      </w:r>
      <w:r>
        <w:rPr>
          <w:snapToGrid w:val="0"/>
        </w:rPr>
        <w:tab/>
        <w:t>specify an address where submissions are to be lodged.</w:t>
      </w:r>
    </w:p>
    <w:p>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pPr>
        <w:pStyle w:val="Subsection"/>
        <w:spacing w:before="180"/>
        <w:rPr>
          <w:snapToGrid w:val="0"/>
        </w:rPr>
      </w:pPr>
      <w:r>
        <w:rPr>
          <w:snapToGrid w:val="0"/>
        </w:rPr>
        <w:tab/>
        <w:t>(5)</w:t>
      </w:r>
      <w:r>
        <w:rPr>
          <w:snapToGrid w:val="0"/>
        </w:rPr>
        <w:tab/>
        <w:t>The Minister may cancel the licence only if — </w:t>
      </w:r>
    </w:p>
    <w:p>
      <w:pPr>
        <w:pStyle w:val="Indenta"/>
        <w:spacing w:before="100"/>
        <w:rPr>
          <w:snapToGrid w:val="0"/>
        </w:rPr>
      </w:pPr>
      <w:r>
        <w:rPr>
          <w:snapToGrid w:val="0"/>
        </w:rPr>
        <w:tab/>
        <w:t>(a)</w:t>
      </w:r>
      <w:r>
        <w:rPr>
          <w:snapToGrid w:val="0"/>
        </w:rPr>
        <w:tab/>
        <w:t>the holder has been given a notice under subsection (2); and</w:t>
      </w:r>
    </w:p>
    <w:p>
      <w:pPr>
        <w:pStyle w:val="Indenta"/>
        <w:spacing w:before="100"/>
        <w:rPr>
          <w:snapToGrid w:val="0"/>
        </w:rPr>
      </w:pPr>
      <w:r>
        <w:rPr>
          <w:snapToGrid w:val="0"/>
        </w:rPr>
        <w:tab/>
        <w:t>(b)</w:t>
      </w:r>
      <w:r>
        <w:rPr>
          <w:snapToGrid w:val="0"/>
        </w:rPr>
        <w:tab/>
        <w:t>the Minister has considered — </w:t>
      </w:r>
    </w:p>
    <w:p>
      <w:pPr>
        <w:pStyle w:val="Indenti"/>
        <w:spacing w:before="100"/>
        <w:rPr>
          <w:snapToGrid w:val="0"/>
        </w:rPr>
      </w:pPr>
      <w:r>
        <w:rPr>
          <w:snapToGrid w:val="0"/>
        </w:rPr>
        <w:tab/>
        <w:t>(i)</w:t>
      </w:r>
      <w:r>
        <w:rPr>
          <w:snapToGrid w:val="0"/>
        </w:rPr>
        <w:tab/>
        <w:t>any submission made by the holder in accordance with subsection (3); and</w:t>
      </w:r>
    </w:p>
    <w:p>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371" w:name="_Toc166675934"/>
      <w:r>
        <w:rPr>
          <w:rStyle w:val="CharSectno"/>
        </w:rPr>
        <w:t>266</w:t>
      </w:r>
      <w:r>
        <w:rPr>
          <w:snapToGrid w:val="0"/>
        </w:rPr>
        <w:t>.</w:t>
      </w:r>
      <w:r>
        <w:rPr>
          <w:snapToGrid w:val="0"/>
        </w:rPr>
        <w:tab/>
        <w:t>Obligations of former mining licence holders and former associates</w:t>
      </w:r>
      <w:bookmarkEnd w:id="371"/>
      <w:r>
        <w:rPr>
          <w:snapToGrid w:val="0"/>
        </w:rPr>
        <w:t xml:space="preserve"> </w:t>
      </w:r>
    </w:p>
    <w:p>
      <w:pPr>
        <w:pStyle w:val="Subsection"/>
        <w:keepNext/>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mining licence holder; or</w:t>
      </w:r>
    </w:p>
    <w:p>
      <w:pPr>
        <w:pStyle w:val="Indenti"/>
        <w:rPr>
          <w:snapToGrid w:val="0"/>
        </w:rPr>
      </w:pPr>
      <w:r>
        <w:rPr>
          <w:snapToGrid w:val="0"/>
        </w:rPr>
        <w:tab/>
        <w:t>(ii)</w:t>
      </w:r>
      <w:r>
        <w:rPr>
          <w:snapToGrid w:val="0"/>
        </w:rPr>
        <w:tab/>
        <w:t xml:space="preserve">an associate of a mining licence holder;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372" w:name="_Toc166675115"/>
      <w:bookmarkStart w:id="373" w:name="_Toc166675630"/>
      <w:bookmarkStart w:id="374" w:name="_Toc166675935"/>
      <w:r>
        <w:rPr>
          <w:rStyle w:val="CharDivNo"/>
        </w:rPr>
        <w:lastRenderedPageBreak/>
        <w:t>Part 2.5</w:t>
      </w:r>
      <w:r>
        <w:rPr>
          <w:snapToGrid w:val="0"/>
        </w:rPr>
        <w:t xml:space="preserve"> — </w:t>
      </w:r>
      <w:r>
        <w:rPr>
          <w:rStyle w:val="CharDivText"/>
        </w:rPr>
        <w:t>Works licences</w:t>
      </w:r>
      <w:bookmarkEnd w:id="372"/>
      <w:bookmarkEnd w:id="373"/>
      <w:bookmarkEnd w:id="374"/>
    </w:p>
    <w:p>
      <w:pPr>
        <w:pStyle w:val="Heading4"/>
        <w:spacing w:before="180"/>
        <w:rPr>
          <w:b w:val="0"/>
        </w:rPr>
      </w:pPr>
      <w:bookmarkStart w:id="375" w:name="_Toc166675116"/>
      <w:bookmarkStart w:id="376" w:name="_Toc166675631"/>
      <w:bookmarkStart w:id="377" w:name="_Toc166675936"/>
      <w:r>
        <w:rPr>
          <w:b w:val="0"/>
        </w:rPr>
        <w:t>Division 1 — General</w:t>
      </w:r>
      <w:bookmarkEnd w:id="375"/>
      <w:bookmarkEnd w:id="376"/>
      <w:bookmarkEnd w:id="377"/>
    </w:p>
    <w:p>
      <w:pPr>
        <w:pStyle w:val="Heading5"/>
        <w:spacing w:before="180"/>
        <w:rPr>
          <w:snapToGrid w:val="0"/>
        </w:rPr>
      </w:pPr>
      <w:bookmarkStart w:id="378" w:name="_Toc166675937"/>
      <w:r>
        <w:rPr>
          <w:rStyle w:val="CharSectno"/>
        </w:rPr>
        <w:t>267</w:t>
      </w:r>
      <w:r>
        <w:rPr>
          <w:snapToGrid w:val="0"/>
        </w:rPr>
        <w:t>.</w:t>
      </w:r>
      <w:r>
        <w:rPr>
          <w:snapToGrid w:val="0"/>
        </w:rPr>
        <w:tab/>
        <w:t>Works licences</w:t>
      </w:r>
      <w:bookmarkEnd w:id="378"/>
      <w:r>
        <w:rPr>
          <w:snapToGrid w:val="0"/>
        </w:rPr>
        <w:t xml:space="preserve"> </w:t>
      </w:r>
    </w:p>
    <w:p>
      <w:pPr>
        <w:pStyle w:val="Subsection"/>
        <w:spacing w:before="120"/>
        <w:rPr>
          <w:snapToGrid w:val="0"/>
        </w:rPr>
      </w:pPr>
      <w:r>
        <w:rPr>
          <w:snapToGrid w:val="0"/>
        </w:rPr>
        <w:tab/>
        <w:t>(1)</w:t>
      </w:r>
      <w:r>
        <w:rPr>
          <w:snapToGrid w:val="0"/>
        </w:rPr>
        <w:tab/>
        <w:t>This Part provides for the grant of works licences over blocks in coastal waters.</w:t>
      </w:r>
    </w:p>
    <w:p>
      <w:pPr>
        <w:pStyle w:val="PermNoteHeading"/>
      </w:pPr>
      <w:r>
        <w:tab/>
        <w:t>Note:</w:t>
      </w:r>
    </w:p>
    <w:p>
      <w:pPr>
        <w:pStyle w:val="PermNoteText"/>
        <w:rPr>
          <w:snapToGrid w:val="0"/>
        </w:rPr>
      </w:pPr>
      <w:r>
        <w:rPr>
          <w:snapToGrid w:val="0"/>
        </w:rPr>
        <w:tab/>
      </w:r>
      <w:r>
        <w:rPr>
          <w:snapToGrid w:val="0"/>
        </w:rPr>
        <w:tab/>
        <w:t>A works licence allows licence</w:t>
      </w:r>
      <w:r>
        <w:rPr>
          <w:snapToGrid w:val="0"/>
        </w:rPr>
        <w:noBreakHyphen/>
        <w:t>related activities to be carried out on blocks that are outside the licence area of the exploration, retention or mining licence concerned.</w:t>
      </w:r>
    </w:p>
    <w:p>
      <w:pPr>
        <w:pStyle w:val="Subsection"/>
        <w:spacing w:before="120"/>
        <w:rPr>
          <w:snapToGrid w:val="0"/>
        </w:rPr>
      </w:pPr>
      <w:r>
        <w:rPr>
          <w:snapToGrid w:val="0"/>
        </w:rPr>
        <w:tab/>
        <w:t>(2)</w:t>
      </w:r>
      <w:r>
        <w:rPr>
          <w:snapToGrid w:val="0"/>
        </w:rPr>
        <w:tab/>
        <w:t>A works licence can only authorise activities that — </w:t>
      </w:r>
    </w:p>
    <w:p>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Indenta"/>
        <w:spacing w:before="60"/>
        <w:rPr>
          <w:snapToGrid w:val="0"/>
        </w:rPr>
      </w:pPr>
      <w:r>
        <w:rPr>
          <w:snapToGrid w:val="0"/>
        </w:rPr>
        <w:tab/>
        <w:t>(b)</w:t>
      </w:r>
      <w:r>
        <w:rPr>
          <w:snapToGrid w:val="0"/>
        </w:rPr>
        <w:tab/>
        <w:t>are necessary or desirable for the exploration, retention or mining licence holder to — </w:t>
      </w:r>
    </w:p>
    <w:p>
      <w:pPr>
        <w:pStyle w:val="Indenti"/>
        <w:rPr>
          <w:snapToGrid w:val="0"/>
        </w:rPr>
      </w:pPr>
      <w:r>
        <w:rPr>
          <w:snapToGrid w:val="0"/>
        </w:rPr>
        <w:tab/>
        <w:t>(i)</w:t>
      </w:r>
      <w:r>
        <w:rPr>
          <w:snapToGrid w:val="0"/>
        </w:rPr>
        <w:tab/>
        <w:t>effectively exercise the licence rights; or</w:t>
      </w:r>
    </w:p>
    <w:p>
      <w:pPr>
        <w:pStyle w:val="Indenti"/>
        <w:rPr>
          <w:snapToGrid w:val="0"/>
        </w:rPr>
      </w:pPr>
      <w:r>
        <w:rPr>
          <w:snapToGrid w:val="0"/>
        </w:rPr>
        <w:tab/>
        <w:t>(ii)</w:t>
      </w:r>
      <w:r>
        <w:rPr>
          <w:snapToGrid w:val="0"/>
        </w:rPr>
        <w:tab/>
        <w:t>effectively perform the licence obligations.</w:t>
      </w:r>
    </w:p>
    <w:p>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pPr>
        <w:pStyle w:val="Subsection"/>
        <w:spacing w:before="120"/>
        <w:rPr>
          <w:snapToGrid w:val="0"/>
        </w:rPr>
      </w:pPr>
      <w:r>
        <w:rPr>
          <w:snapToGrid w:val="0"/>
        </w:rPr>
        <w:tab/>
        <w:t>(4)</w:t>
      </w:r>
      <w:r>
        <w:rPr>
          <w:snapToGrid w:val="0"/>
        </w:rPr>
        <w:tab/>
        <w:t>More than one works licence can be granted over a particular block.</w:t>
      </w:r>
    </w:p>
    <w:p>
      <w:pPr>
        <w:pStyle w:val="Subsection"/>
        <w:spacing w:before="120"/>
        <w:rPr>
          <w:snapToGrid w:val="0"/>
        </w:rPr>
      </w:pPr>
      <w:r>
        <w:rPr>
          <w:snapToGrid w:val="0"/>
        </w:rPr>
        <w:tab/>
        <w:t>(5)</w:t>
      </w:r>
      <w:r>
        <w:rPr>
          <w:snapToGrid w:val="0"/>
        </w:rPr>
        <w:tab/>
        <w:t>A works licence may be granted so as to allow activities that are connected with 2 or more licences.</w:t>
      </w:r>
    </w:p>
    <w:p>
      <w:pPr>
        <w:pStyle w:val="Heading5"/>
        <w:spacing w:before="180"/>
        <w:rPr>
          <w:snapToGrid w:val="0"/>
        </w:rPr>
      </w:pPr>
      <w:bookmarkStart w:id="379" w:name="_Toc166675938"/>
      <w:r>
        <w:rPr>
          <w:rStyle w:val="CharSectno"/>
        </w:rPr>
        <w:t>268</w:t>
      </w:r>
      <w:r>
        <w:rPr>
          <w:snapToGrid w:val="0"/>
        </w:rPr>
        <w:t>.</w:t>
      </w:r>
      <w:r>
        <w:rPr>
          <w:snapToGrid w:val="0"/>
        </w:rPr>
        <w:tab/>
        <w:t>Activities authorised by a works licence</w:t>
      </w:r>
      <w:bookmarkEnd w:id="379"/>
      <w:r>
        <w:rPr>
          <w:snapToGrid w:val="0"/>
        </w:rPr>
        <w:t xml:space="preserve"> </w:t>
      </w:r>
    </w:p>
    <w:p>
      <w:pPr>
        <w:pStyle w:val="Subsection"/>
        <w:spacing w:before="120"/>
        <w:rPr>
          <w:snapToGrid w:val="0"/>
        </w:rPr>
      </w:pPr>
      <w:r>
        <w:rPr>
          <w:snapToGrid w:val="0"/>
        </w:rPr>
        <w:tab/>
      </w:r>
      <w:r>
        <w:rPr>
          <w:snapToGrid w:val="0"/>
        </w:rPr>
        <w:tab/>
        <w:t>A works licence holder may carry out in the licence area the activities that are specified in the licence.</w:t>
      </w:r>
    </w:p>
    <w:p>
      <w:pPr>
        <w:pStyle w:val="PermNoteHeading"/>
      </w:pPr>
      <w:r>
        <w:tab/>
        <w:t>Note:</w:t>
      </w:r>
    </w:p>
    <w:p>
      <w:pPr>
        <w:pStyle w:val="PermNoteText"/>
        <w:rPr>
          <w:snapToGrid w:val="0"/>
        </w:rPr>
      </w:pPr>
      <w:r>
        <w:rPr>
          <w:snapToGrid w:val="0"/>
        </w:rPr>
        <w:tab/>
      </w:r>
      <w:r>
        <w:rPr>
          <w:snapToGrid w:val="0"/>
        </w:rPr>
        <w:tab/>
        <w:t xml:space="preserve">Under section 38A(3) and (5) the consent of the Minister is required to the carrying out of offshore exploration or mining activities in a marine nature reserve, marine park or marine management area. </w:t>
      </w:r>
      <w:r>
        <w:rPr>
          <w:snapToGrid w:val="0"/>
        </w:rPr>
        <w:lastRenderedPageBreak/>
        <w:t>Section 38A(7) and (8) also contain provisions about the disturbance of certain parts of marine nature reserves and restricted areas.</w:t>
      </w:r>
    </w:p>
    <w:p>
      <w:pPr>
        <w:pStyle w:val="Heading5"/>
        <w:rPr>
          <w:snapToGrid w:val="0"/>
        </w:rPr>
      </w:pPr>
      <w:bookmarkStart w:id="380" w:name="_Toc166675939"/>
      <w:r>
        <w:rPr>
          <w:rStyle w:val="CharSectno"/>
        </w:rPr>
        <w:t>269</w:t>
      </w:r>
      <w:r>
        <w:rPr>
          <w:snapToGrid w:val="0"/>
        </w:rPr>
        <w:t>.</w:t>
      </w:r>
      <w:r>
        <w:rPr>
          <w:snapToGrid w:val="0"/>
        </w:rPr>
        <w:tab/>
        <w:t>Minister may cancel or not renew works licence without compensation</w:t>
      </w:r>
      <w:bookmarkEnd w:id="380"/>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PermNoteHeading"/>
      </w:pPr>
      <w:r>
        <w:tab/>
        <w:t>Note:</w:t>
      </w:r>
    </w:p>
    <w:p>
      <w:pPr>
        <w:pStyle w:val="PermNoteText"/>
        <w:rPr>
          <w:snapToGrid w:val="0"/>
        </w:rPr>
      </w:pPr>
      <w:r>
        <w:rPr>
          <w:snapToGrid w:val="0"/>
        </w:rPr>
        <w:tab/>
        <w:t>1.</w:t>
      </w:r>
      <w:r>
        <w:rPr>
          <w:snapToGrid w:val="0"/>
        </w:rPr>
        <w:tab/>
        <w:t>The Minister may cancel the licence under section 313.</w:t>
      </w:r>
    </w:p>
    <w:p>
      <w:pPr>
        <w:pStyle w:val="PermNoteText"/>
        <w:rPr>
          <w:snapToGrid w:val="0"/>
        </w:rPr>
      </w:pPr>
      <w:r>
        <w:rPr>
          <w:snapToGrid w:val="0"/>
        </w:rPr>
        <w:tab/>
        <w:t>2.</w:t>
      </w:r>
      <w:r>
        <w:rPr>
          <w:snapToGrid w:val="0"/>
        </w:rPr>
        <w:tab/>
        <w:t>The Minister may refuse under section 294 to renew the licence.</w:t>
      </w:r>
    </w:p>
    <w:p>
      <w:pPr>
        <w:pStyle w:val="Heading4"/>
        <w:rPr>
          <w:b w:val="0"/>
        </w:rPr>
      </w:pPr>
      <w:bookmarkStart w:id="381" w:name="_Toc166675120"/>
      <w:bookmarkStart w:id="382" w:name="_Toc166675635"/>
      <w:bookmarkStart w:id="383" w:name="_Toc166675940"/>
      <w:r>
        <w:rPr>
          <w:b w:val="0"/>
        </w:rPr>
        <w:t>Division 2 — Application for and grant of works licence</w:t>
      </w:r>
      <w:bookmarkEnd w:id="381"/>
      <w:bookmarkEnd w:id="382"/>
      <w:bookmarkEnd w:id="383"/>
    </w:p>
    <w:p>
      <w:pPr>
        <w:pStyle w:val="Heading5"/>
        <w:rPr>
          <w:snapToGrid w:val="0"/>
        </w:rPr>
      </w:pPr>
      <w:bookmarkStart w:id="384" w:name="_Toc166675941"/>
      <w:r>
        <w:rPr>
          <w:rStyle w:val="CharSectno"/>
        </w:rPr>
        <w:t>270</w:t>
      </w:r>
      <w:r>
        <w:rPr>
          <w:snapToGrid w:val="0"/>
        </w:rPr>
        <w:t>.</w:t>
      </w:r>
      <w:r>
        <w:rPr>
          <w:snapToGrid w:val="0"/>
        </w:rPr>
        <w:tab/>
        <w:t>Application for works licence</w:t>
      </w:r>
      <w:bookmarkEnd w:id="384"/>
      <w:r>
        <w:rPr>
          <w:snapToGrid w:val="0"/>
        </w:rPr>
        <w:t xml:space="preserve"> </w:t>
      </w:r>
    </w:p>
    <w:p>
      <w:pPr>
        <w:pStyle w:val="Subsection"/>
        <w:rPr>
          <w:snapToGrid w:val="0"/>
        </w:rPr>
      </w:pPr>
      <w:r>
        <w:rPr>
          <w:snapToGrid w:val="0"/>
        </w:rPr>
        <w:tab/>
      </w:r>
      <w:r>
        <w:rPr>
          <w:snapToGrid w:val="0"/>
        </w:rPr>
        <w:tab/>
        <w:t>A person may apply to the Minister for a works licence over a block.</w:t>
      </w:r>
    </w:p>
    <w:p>
      <w:pPr>
        <w:pStyle w:val="Heading5"/>
        <w:rPr>
          <w:snapToGrid w:val="0"/>
        </w:rPr>
      </w:pPr>
      <w:bookmarkStart w:id="385" w:name="_Toc166675942"/>
      <w:r>
        <w:rPr>
          <w:rStyle w:val="CharSectno"/>
        </w:rPr>
        <w:t>271</w:t>
      </w:r>
      <w:r>
        <w:rPr>
          <w:snapToGrid w:val="0"/>
        </w:rPr>
        <w:t>.</w:t>
      </w:r>
      <w:r>
        <w:rPr>
          <w:snapToGrid w:val="0"/>
        </w:rPr>
        <w:tab/>
        <w:t>How to apply</w:t>
      </w:r>
      <w:bookmarkEnd w:id="385"/>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the activities that the applicant proposes to carry out; and</w:t>
      </w:r>
    </w:p>
    <w:p>
      <w:pPr>
        <w:pStyle w:val="Indenta"/>
        <w:rPr>
          <w:snapToGrid w:val="0"/>
        </w:rPr>
      </w:pPr>
      <w:r>
        <w:rPr>
          <w:snapToGrid w:val="0"/>
        </w:rPr>
        <w:tab/>
        <w:t>(d)</w:t>
      </w:r>
      <w:r>
        <w:rPr>
          <w:snapToGrid w:val="0"/>
        </w:rPr>
        <w:tab/>
        <w:t>be accompanied by a map that shows the proposed location of the activities; and</w:t>
      </w:r>
    </w:p>
    <w:p>
      <w:pPr>
        <w:pStyle w:val="Indenta"/>
        <w:keepNext/>
        <w:rPr>
          <w:snapToGrid w:val="0"/>
        </w:rPr>
      </w:pPr>
      <w:r>
        <w:rPr>
          <w:snapToGrid w:val="0"/>
        </w:rPr>
        <w:tab/>
        <w:t>(e)</w:t>
      </w:r>
      <w:r>
        <w:rPr>
          <w:snapToGrid w:val="0"/>
        </w:rPr>
        <w:tab/>
        <w:t>specify an address for service of notices under this Act and the regulations.</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86" w:name="_Toc166675943"/>
      <w:r>
        <w:rPr>
          <w:rStyle w:val="CharSectno"/>
        </w:rPr>
        <w:lastRenderedPageBreak/>
        <w:t>272</w:t>
      </w:r>
      <w:r>
        <w:rPr>
          <w:snapToGrid w:val="0"/>
        </w:rPr>
        <w:t>.</w:t>
      </w:r>
      <w:r>
        <w:rPr>
          <w:snapToGrid w:val="0"/>
        </w:rPr>
        <w:tab/>
        <w:t>Payment of fee</w:t>
      </w:r>
      <w:bookmarkEnd w:id="386"/>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87" w:name="_Toc166675944"/>
      <w:r>
        <w:rPr>
          <w:rStyle w:val="CharSectno"/>
        </w:rPr>
        <w:t>273</w:t>
      </w:r>
      <w:r>
        <w:rPr>
          <w:snapToGrid w:val="0"/>
        </w:rPr>
        <w:t>.</w:t>
      </w:r>
      <w:r>
        <w:rPr>
          <w:snapToGrid w:val="0"/>
        </w:rPr>
        <w:tab/>
        <w:t>Applicant to notify licence holders affected by the application</w:t>
      </w:r>
      <w:bookmarkEnd w:id="387"/>
      <w:r>
        <w:rPr>
          <w:snapToGrid w:val="0"/>
        </w:rPr>
        <w:t xml:space="preserve"> </w:t>
      </w:r>
    </w:p>
    <w:p>
      <w:pPr>
        <w:pStyle w:val="Subsection"/>
        <w:rPr>
          <w:snapToGrid w:val="0"/>
        </w:rPr>
      </w:pPr>
      <w:r>
        <w:rPr>
          <w:snapToGrid w:val="0"/>
        </w:rPr>
        <w:tab/>
        <w:t>(1)</w:t>
      </w:r>
      <w:r>
        <w:rPr>
          <w:snapToGrid w:val="0"/>
        </w:rPr>
        <w:tab/>
        <w:t>The applicant must notify interested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licence holder in writing; and</w:t>
      </w:r>
    </w:p>
    <w:p>
      <w:pPr>
        <w:pStyle w:val="Indenta"/>
        <w:rPr>
          <w:snapToGrid w:val="0"/>
        </w:rPr>
      </w:pPr>
      <w:r>
        <w:rPr>
          <w:snapToGrid w:val="0"/>
        </w:rPr>
        <w:tab/>
        <w:t>(b)</w:t>
      </w:r>
      <w:r>
        <w:rPr>
          <w:snapToGrid w:val="0"/>
        </w:rPr>
        <w:tab/>
        <w:t>must give details of the works licence applied for; and</w:t>
      </w:r>
    </w:p>
    <w:p>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Subsection"/>
        <w:rPr>
          <w:snapToGrid w:val="0"/>
        </w:rPr>
      </w:pPr>
      <w:r>
        <w:rPr>
          <w:snapToGrid w:val="0"/>
        </w:rPr>
        <w:tab/>
        <w:t>(3)</w:t>
      </w:r>
      <w:r>
        <w:rPr>
          <w:snapToGrid w:val="0"/>
        </w:rPr>
        <w:tab/>
        <w:t>For the purposes of this section, a licence holder is interested if — </w:t>
      </w:r>
    </w:p>
    <w:p>
      <w:pPr>
        <w:pStyle w:val="Indenta"/>
        <w:rPr>
          <w:snapToGrid w:val="0"/>
        </w:rPr>
      </w:pPr>
      <w:r>
        <w:rPr>
          <w:snapToGrid w:val="0"/>
        </w:rPr>
        <w:tab/>
        <w:t>(a)</w:t>
      </w:r>
      <w:r>
        <w:rPr>
          <w:snapToGrid w:val="0"/>
        </w:rPr>
        <w:tab/>
        <w:t>a block covered by the application is inside the licence area; and</w:t>
      </w:r>
    </w:p>
    <w:p>
      <w:pPr>
        <w:pStyle w:val="Indenta"/>
        <w:rPr>
          <w:snapToGrid w:val="0"/>
        </w:rPr>
      </w:pPr>
      <w:r>
        <w:rPr>
          <w:snapToGrid w:val="0"/>
        </w:rPr>
        <w:tab/>
        <w:t>(b)</w:t>
      </w:r>
      <w:r>
        <w:rPr>
          <w:snapToGrid w:val="0"/>
        </w:rPr>
        <w:tab/>
        <w:t>the holder is not the applicant.</w:t>
      </w:r>
    </w:p>
    <w:p>
      <w:pPr>
        <w:pStyle w:val="Heading5"/>
        <w:rPr>
          <w:snapToGrid w:val="0"/>
        </w:rPr>
      </w:pPr>
      <w:bookmarkStart w:id="388" w:name="_Toc166675945"/>
      <w:r>
        <w:rPr>
          <w:rStyle w:val="CharSectno"/>
        </w:rPr>
        <w:t>274</w:t>
      </w:r>
      <w:r>
        <w:rPr>
          <w:snapToGrid w:val="0"/>
        </w:rPr>
        <w:t>.</w:t>
      </w:r>
      <w:r>
        <w:rPr>
          <w:snapToGrid w:val="0"/>
        </w:rPr>
        <w:tab/>
        <w:t>Application must be advertised</w:t>
      </w:r>
      <w:bookmarkEnd w:id="388"/>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lastRenderedPageBreak/>
        <w:tab/>
        <w:t>(b)</w:t>
      </w:r>
      <w:r>
        <w:rPr>
          <w:snapToGrid w:val="0"/>
        </w:rPr>
        <w:tab/>
        <w:t>a map and description of the blocks covered that are sufficient for the blocks to be identified; and</w:t>
      </w:r>
    </w:p>
    <w:p>
      <w:pPr>
        <w:pStyle w:val="Indenta"/>
        <w:rPr>
          <w:snapToGrid w:val="0"/>
        </w:rPr>
      </w:pPr>
      <w:r>
        <w:rPr>
          <w:snapToGrid w:val="0"/>
        </w:rPr>
        <w:tab/>
        <w:t>(c)</w:t>
      </w:r>
      <w:r>
        <w:rPr>
          <w:snapToGrid w:val="0"/>
        </w:rPr>
        <w:tab/>
        <w:t xml:space="preserve">details of the activities that the applicant proposes to carry out; and </w:t>
      </w:r>
    </w:p>
    <w:p>
      <w:pPr>
        <w:pStyle w:val="Indenta"/>
        <w:rPr>
          <w:snapToGrid w:val="0"/>
        </w:rPr>
      </w:pPr>
      <w:r>
        <w:rPr>
          <w:snapToGrid w:val="0"/>
        </w:rPr>
        <w:tab/>
        <w:t>(d)</w:t>
      </w:r>
      <w:r>
        <w:rPr>
          <w:snapToGrid w:val="0"/>
        </w:rPr>
        <w:tab/>
        <w:t>a map showing the proposed location of those activities; and</w:t>
      </w:r>
    </w:p>
    <w:p>
      <w:pPr>
        <w:pStyle w:val="Indenta"/>
        <w:rPr>
          <w:snapToGrid w:val="0"/>
        </w:rPr>
      </w:pPr>
      <w:r>
        <w:rPr>
          <w:snapToGrid w:val="0"/>
        </w:rPr>
        <w:tab/>
        <w:t>(e)</w:t>
      </w:r>
      <w:r>
        <w:rPr>
          <w:snapToGrid w:val="0"/>
        </w:rPr>
        <w:tab/>
        <w:t>the address of the Minister; and</w:t>
      </w:r>
    </w:p>
    <w:p>
      <w:pPr>
        <w:pStyle w:val="Indenta"/>
        <w:rPr>
          <w:snapToGrid w:val="0"/>
        </w:rPr>
      </w:pPr>
      <w:r>
        <w:rPr>
          <w:snapToGrid w:val="0"/>
        </w:rPr>
        <w:tab/>
        <w:t>(f)</w:t>
      </w:r>
      <w:r>
        <w:rPr>
          <w:snapToGrid w:val="0"/>
        </w:rPr>
        <w:tab/>
        <w:t>a statement that — </w:t>
      </w:r>
    </w:p>
    <w:p>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Subsection"/>
        <w:spacing w:before="120"/>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spacing w:before="120"/>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keepNext w:val="0"/>
        <w:keepLines w:val="0"/>
        <w:spacing w:before="180"/>
        <w:rPr>
          <w:snapToGrid w:val="0"/>
        </w:rPr>
      </w:pPr>
      <w:bookmarkStart w:id="389" w:name="_Toc166675946"/>
      <w:r>
        <w:rPr>
          <w:rStyle w:val="CharSectno"/>
        </w:rPr>
        <w:t>275</w:t>
      </w:r>
      <w:r>
        <w:rPr>
          <w:snapToGrid w:val="0"/>
        </w:rPr>
        <w:t>.</w:t>
      </w:r>
      <w:r>
        <w:rPr>
          <w:snapToGrid w:val="0"/>
        </w:rPr>
        <w:tab/>
        <w:t>Section number not used</w:t>
      </w:r>
      <w:bookmarkEnd w:id="38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90" w:name="_Toc166675947"/>
      <w:r>
        <w:rPr>
          <w:rStyle w:val="CharSectno"/>
        </w:rPr>
        <w:lastRenderedPageBreak/>
        <w:t>276</w:t>
      </w:r>
      <w:r>
        <w:rPr>
          <w:snapToGrid w:val="0"/>
        </w:rPr>
        <w:t>.</w:t>
      </w:r>
      <w:r>
        <w:rPr>
          <w:snapToGrid w:val="0"/>
        </w:rPr>
        <w:tab/>
        <w:t>Minister may provisionally grant licence</w:t>
      </w:r>
      <w:bookmarkEnd w:id="390"/>
      <w:r>
        <w:rPr>
          <w:snapToGrid w:val="0"/>
        </w:rPr>
        <w:t xml:space="preserve"> </w:t>
      </w:r>
    </w:p>
    <w:p>
      <w:pPr>
        <w:pStyle w:val="Subsection"/>
        <w:spacing w:before="120"/>
        <w:rPr>
          <w:snapToGrid w:val="0"/>
        </w:rPr>
      </w:pPr>
      <w:r>
        <w:rPr>
          <w:snapToGrid w:val="0"/>
        </w:rPr>
        <w:tab/>
      </w:r>
      <w:r>
        <w:rPr>
          <w:snapToGrid w:val="0"/>
        </w:rPr>
        <w:tab/>
        <w:t>If the applicant does what is required by sections 271 to 274, the Minister may — </w:t>
      </w:r>
    </w:p>
    <w:p>
      <w:pPr>
        <w:pStyle w:val="Indenta"/>
        <w:rPr>
          <w:snapToGrid w:val="0"/>
        </w:rPr>
      </w:pPr>
      <w:r>
        <w:rPr>
          <w:snapToGrid w:val="0"/>
        </w:rPr>
        <w:tab/>
        <w:t>(a)</w:t>
      </w:r>
      <w:r>
        <w:rPr>
          <w:snapToGrid w:val="0"/>
        </w:rPr>
        <w:tab/>
        <w:t>provisionally grant a works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rPr>
          <w:snapToGrid w:val="0"/>
        </w:rPr>
      </w:pPr>
      <w:r>
        <w:rPr>
          <w:snapToGrid w:val="0"/>
        </w:rPr>
        <w:tab/>
      </w:r>
      <w:r>
        <w:rPr>
          <w:snapToGrid w:val="0"/>
        </w:rPr>
        <w:tab/>
        <w:t>Under section 286, the grant of the licence cannot be effective before it is registered (see section 333 for registration). The grant will not be registered until it has been properly accepted (see section 283 for “proper acceptance”).</w:t>
      </w:r>
    </w:p>
    <w:p>
      <w:pPr>
        <w:pStyle w:val="Heading5"/>
        <w:rPr>
          <w:snapToGrid w:val="0"/>
        </w:rPr>
      </w:pPr>
      <w:bookmarkStart w:id="391" w:name="_Toc166675948"/>
      <w:r>
        <w:rPr>
          <w:rStyle w:val="CharSectno"/>
        </w:rPr>
        <w:t>277</w:t>
      </w:r>
      <w:r>
        <w:rPr>
          <w:snapToGrid w:val="0"/>
        </w:rPr>
        <w:t>.</w:t>
      </w:r>
      <w:r>
        <w:rPr>
          <w:snapToGrid w:val="0"/>
        </w:rPr>
        <w:tab/>
        <w:t>Section number not used</w:t>
      </w:r>
      <w:bookmarkEnd w:id="391"/>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rPr>
          <w:snapToGrid w:val="0"/>
        </w:rPr>
      </w:pPr>
      <w:bookmarkStart w:id="392" w:name="_Toc166675949"/>
      <w:r>
        <w:rPr>
          <w:rStyle w:val="CharSectno"/>
        </w:rPr>
        <w:t>278</w:t>
      </w:r>
      <w:r>
        <w:rPr>
          <w:snapToGrid w:val="0"/>
        </w:rPr>
        <w:t>.</w:t>
      </w:r>
      <w:r>
        <w:rPr>
          <w:snapToGrid w:val="0"/>
        </w:rPr>
        <w:tab/>
        <w:t>Matters to be specified in the licence</w:t>
      </w:r>
      <w:bookmarkEnd w:id="392"/>
      <w:r>
        <w:rPr>
          <w:snapToGrid w:val="0"/>
        </w:rPr>
        <w:t xml:space="preserve"> </w:t>
      </w:r>
    </w:p>
    <w:p>
      <w:pPr>
        <w:pStyle w:val="Subsection"/>
        <w:spacing w:before="120"/>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activities authorised by the licence; and</w:t>
      </w:r>
    </w:p>
    <w:p>
      <w:pPr>
        <w:pStyle w:val="Indenta"/>
        <w:rPr>
          <w:snapToGrid w:val="0"/>
        </w:rPr>
      </w:pPr>
      <w:r>
        <w:rPr>
          <w:snapToGrid w:val="0"/>
        </w:rPr>
        <w:tab/>
        <w:t>(c)</w:t>
      </w:r>
      <w:r>
        <w:rPr>
          <w:snapToGrid w:val="0"/>
        </w:rPr>
        <w:tab/>
        <w:t>the area in which the activities are to be carried out; and</w:t>
      </w:r>
    </w:p>
    <w:p>
      <w:pPr>
        <w:pStyle w:val="Indenta"/>
        <w:rPr>
          <w:snapToGrid w:val="0"/>
        </w:rPr>
      </w:pPr>
      <w:r>
        <w:rPr>
          <w:snapToGrid w:val="0"/>
        </w:rPr>
        <w:tab/>
        <w:t>(d)</w:t>
      </w:r>
      <w:r>
        <w:rPr>
          <w:snapToGrid w:val="0"/>
        </w:rPr>
        <w:tab/>
        <w:t>the term of the licence; and</w:t>
      </w:r>
    </w:p>
    <w:p>
      <w:pPr>
        <w:pStyle w:val="Indenta"/>
        <w:keepNext/>
        <w:rPr>
          <w:snapToGrid w:val="0"/>
        </w:rPr>
      </w:pPr>
      <w:r>
        <w:rPr>
          <w:snapToGrid w:val="0"/>
        </w:rPr>
        <w:tab/>
        <w:t>(e)</w:t>
      </w:r>
      <w:r>
        <w:rPr>
          <w:snapToGrid w:val="0"/>
        </w:rPr>
        <w:tab/>
        <w:t>the licence conditions.</w:t>
      </w:r>
    </w:p>
    <w:p>
      <w:pPr>
        <w:pStyle w:val="PermNoteHeading"/>
      </w:pPr>
      <w:r>
        <w:tab/>
        <w:t>Note:</w:t>
      </w:r>
    </w:p>
    <w:p>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spacing w:before="120"/>
        <w:rPr>
          <w:snapToGrid w:val="0"/>
          <w:spacing w:val="-4"/>
        </w:rPr>
      </w:pPr>
      <w:r>
        <w:rPr>
          <w:snapToGrid w:val="0"/>
          <w:spacing w:val="-4"/>
        </w:rPr>
        <w:tab/>
        <w:t>(2)</w:t>
      </w:r>
      <w:r>
        <w:rPr>
          <w:snapToGrid w:val="0"/>
          <w:spacing w:val="-4"/>
        </w:rPr>
        <w:tab/>
        <w:t>The term specified under subsection (1)(d) is not to exceed 5 years.</w:t>
      </w:r>
    </w:p>
    <w:p>
      <w:pPr>
        <w:pStyle w:val="Heading5"/>
        <w:rPr>
          <w:snapToGrid w:val="0"/>
        </w:rPr>
      </w:pPr>
      <w:bookmarkStart w:id="393" w:name="_Toc166675950"/>
      <w:r>
        <w:rPr>
          <w:rStyle w:val="CharSectno"/>
        </w:rPr>
        <w:t>279</w:t>
      </w:r>
      <w:r>
        <w:rPr>
          <w:snapToGrid w:val="0"/>
        </w:rPr>
        <w:t>.</w:t>
      </w:r>
      <w:r>
        <w:rPr>
          <w:snapToGrid w:val="0"/>
        </w:rPr>
        <w:tab/>
        <w:t>Applicant must be notified</w:t>
      </w:r>
      <w:bookmarkEnd w:id="393"/>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a decision under section 276.</w:t>
      </w:r>
    </w:p>
    <w:p>
      <w:pPr>
        <w:pStyle w:val="Subsection"/>
        <w:spacing w:before="120"/>
        <w:rPr>
          <w:snapToGrid w:val="0"/>
        </w:rPr>
      </w:pPr>
      <w:r>
        <w:rPr>
          <w:snapToGrid w:val="0"/>
        </w:rPr>
        <w:tab/>
        <w:t>(2)</w:t>
      </w:r>
      <w:r>
        <w:rPr>
          <w:snapToGrid w:val="0"/>
        </w:rPr>
        <w:tab/>
        <w:t>If the Minister provisionally grants a works licence — </w:t>
      </w:r>
    </w:p>
    <w:p>
      <w:pPr>
        <w:pStyle w:val="Indenta"/>
        <w:rPr>
          <w:snapToGrid w:val="0"/>
        </w:rPr>
      </w:pPr>
      <w:r>
        <w:rPr>
          <w:snapToGrid w:val="0"/>
        </w:rPr>
        <w:lastRenderedPageBreak/>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394" w:name="_Toc166675951"/>
      <w:r>
        <w:rPr>
          <w:rStyle w:val="CharSectno"/>
        </w:rPr>
        <w:t>280</w:t>
      </w:r>
      <w:r>
        <w:rPr>
          <w:snapToGrid w:val="0"/>
        </w:rPr>
        <w:t>.</w:t>
      </w:r>
      <w:r>
        <w:rPr>
          <w:snapToGrid w:val="0"/>
        </w:rPr>
        <w:tab/>
        <w:t>Amendment of conditions</w:t>
      </w:r>
      <w:bookmarkEnd w:id="394"/>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395" w:name="_Toc166675952"/>
      <w:r>
        <w:rPr>
          <w:rStyle w:val="CharSectno"/>
        </w:rPr>
        <w:t>281</w:t>
      </w:r>
      <w:r>
        <w:rPr>
          <w:snapToGrid w:val="0"/>
        </w:rPr>
        <w:t>.</w:t>
      </w:r>
      <w:r>
        <w:rPr>
          <w:snapToGrid w:val="0"/>
        </w:rPr>
        <w:tab/>
        <w:t>Amendment of security requirements</w:t>
      </w:r>
      <w:bookmarkEnd w:id="395"/>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lastRenderedPageBreak/>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279.</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396" w:name="_Toc166675953"/>
      <w:r>
        <w:rPr>
          <w:rStyle w:val="CharSectno"/>
        </w:rPr>
        <w:t>282</w:t>
      </w:r>
      <w:r>
        <w:rPr>
          <w:snapToGrid w:val="0"/>
        </w:rPr>
        <w:t>.</w:t>
      </w:r>
      <w:r>
        <w:rPr>
          <w:snapToGrid w:val="0"/>
        </w:rPr>
        <w:tab/>
        <w:t>Extension of primary payment period</w:t>
      </w:r>
      <w:bookmarkEnd w:id="396"/>
      <w:r>
        <w:rPr>
          <w:snapToGrid w:val="0"/>
        </w:rPr>
        <w:t xml:space="preserve"> </w:t>
      </w:r>
    </w:p>
    <w:p>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279.</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397" w:name="_Toc166675954"/>
      <w:r>
        <w:rPr>
          <w:rStyle w:val="CharSectno"/>
        </w:rPr>
        <w:t>283</w:t>
      </w:r>
      <w:r>
        <w:rPr>
          <w:snapToGrid w:val="0"/>
        </w:rPr>
        <w:t>.</w:t>
      </w:r>
      <w:r>
        <w:rPr>
          <w:snapToGrid w:val="0"/>
        </w:rPr>
        <w:tab/>
        <w:t>Acceptance of grant of works licence</w:t>
      </w:r>
      <w:bookmarkEnd w:id="397"/>
      <w:r>
        <w:rPr>
          <w:snapToGrid w:val="0"/>
        </w:rPr>
        <w:t xml:space="preserve"> </w:t>
      </w:r>
    </w:p>
    <w:p>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lastRenderedPageBreak/>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PermNoteHeading"/>
      </w:pPr>
      <w:r>
        <w:tab/>
        <w:t>Note:</w:t>
      </w:r>
    </w:p>
    <w:p>
      <w:pPr>
        <w:pStyle w:val="PermNoteText"/>
        <w:rPr>
          <w:snapToGrid w:val="0"/>
        </w:rPr>
      </w:pPr>
      <w:r>
        <w:rPr>
          <w:snapToGrid w:val="0"/>
        </w:rPr>
        <w:tab/>
      </w:r>
      <w:r>
        <w:rPr>
          <w:snapToGrid w:val="0"/>
        </w:rPr>
        <w:tab/>
        <w:t>Under section 286, the grant of the licence cannot be effective before it is registered (see section 333 for registration).</w:t>
      </w:r>
    </w:p>
    <w:p>
      <w:pPr>
        <w:pStyle w:val="Heading5"/>
        <w:rPr>
          <w:snapToGrid w:val="0"/>
        </w:rPr>
      </w:pPr>
      <w:bookmarkStart w:id="398" w:name="_Toc166675955"/>
      <w:r>
        <w:rPr>
          <w:rStyle w:val="CharSectno"/>
        </w:rPr>
        <w:t>284</w:t>
      </w:r>
      <w:r>
        <w:rPr>
          <w:snapToGrid w:val="0"/>
        </w:rPr>
        <w:t>.</w:t>
      </w:r>
      <w:r>
        <w:rPr>
          <w:snapToGrid w:val="0"/>
        </w:rPr>
        <w:tab/>
        <w:t>Conditions applicable to works licence on grant</w:t>
      </w:r>
      <w:bookmarkEnd w:id="398"/>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283, it is subject to — </w:t>
      </w:r>
    </w:p>
    <w:p>
      <w:pPr>
        <w:pStyle w:val="Indenta"/>
        <w:keepNext/>
        <w:rPr>
          <w:snapToGrid w:val="0"/>
        </w:rPr>
      </w:pPr>
      <w:r>
        <w:rPr>
          <w:snapToGrid w:val="0"/>
        </w:rPr>
        <w:tab/>
        <w:t>(a)</w:t>
      </w:r>
      <w:r>
        <w:rPr>
          <w:snapToGrid w:val="0"/>
        </w:rPr>
        <w:tab/>
        <w:t>the conditions specified in the licence given to the applicant under section 279; or</w:t>
      </w:r>
    </w:p>
    <w:p>
      <w:pPr>
        <w:pStyle w:val="Indenta"/>
        <w:rPr>
          <w:snapToGrid w:val="0"/>
        </w:rPr>
      </w:pPr>
      <w:r>
        <w:rPr>
          <w:snapToGrid w:val="0"/>
        </w:rPr>
        <w:tab/>
        <w:t>(b)</w:t>
      </w:r>
      <w:r>
        <w:rPr>
          <w:snapToGrid w:val="0"/>
        </w:rPr>
        <w:tab/>
        <w:t>if the Minister amended those conditions under section 280, those conditions as amended.</w:t>
      </w:r>
    </w:p>
    <w:p>
      <w:pPr>
        <w:pStyle w:val="Heading5"/>
        <w:rPr>
          <w:snapToGrid w:val="0"/>
        </w:rPr>
      </w:pPr>
      <w:bookmarkStart w:id="399" w:name="_Toc166675956"/>
      <w:r>
        <w:rPr>
          <w:rStyle w:val="CharSectno"/>
        </w:rPr>
        <w:t>285</w:t>
      </w:r>
      <w:r>
        <w:rPr>
          <w:snapToGrid w:val="0"/>
        </w:rPr>
        <w:t>.</w:t>
      </w:r>
      <w:r>
        <w:rPr>
          <w:snapToGrid w:val="0"/>
        </w:rPr>
        <w:tab/>
        <w:t>Lapse of provisional grant of works licence</w:t>
      </w:r>
      <w:bookmarkEnd w:id="399"/>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283, the provisional grant lapses.</w:t>
      </w:r>
    </w:p>
    <w:p>
      <w:pPr>
        <w:pStyle w:val="Heading4"/>
        <w:rPr>
          <w:b w:val="0"/>
        </w:rPr>
      </w:pPr>
      <w:bookmarkStart w:id="400" w:name="_Toc166675137"/>
      <w:bookmarkStart w:id="401" w:name="_Toc166675652"/>
      <w:bookmarkStart w:id="402" w:name="_Toc166675957"/>
      <w:r>
        <w:rPr>
          <w:b w:val="0"/>
          <w:snapToGrid w:val="0"/>
        </w:rPr>
        <w:t>Division 3 — Duration of works licence</w:t>
      </w:r>
      <w:bookmarkEnd w:id="400"/>
      <w:bookmarkEnd w:id="401"/>
      <w:bookmarkEnd w:id="402"/>
    </w:p>
    <w:p>
      <w:pPr>
        <w:pStyle w:val="Heading5"/>
        <w:rPr>
          <w:snapToGrid w:val="0"/>
        </w:rPr>
      </w:pPr>
      <w:bookmarkStart w:id="403" w:name="_Toc166675958"/>
      <w:r>
        <w:rPr>
          <w:rStyle w:val="CharSectno"/>
        </w:rPr>
        <w:t>286</w:t>
      </w:r>
      <w:r>
        <w:rPr>
          <w:snapToGrid w:val="0"/>
        </w:rPr>
        <w:t>.</w:t>
      </w:r>
      <w:r>
        <w:rPr>
          <w:snapToGrid w:val="0"/>
        </w:rPr>
        <w:tab/>
        <w:t>Initial term of works licence</w:t>
      </w:r>
      <w:bookmarkEnd w:id="403"/>
      <w:r>
        <w:rPr>
          <w:snapToGrid w:val="0"/>
        </w:rPr>
        <w:t xml:space="preserve"> </w:t>
      </w:r>
    </w:p>
    <w:p>
      <w:pPr>
        <w:pStyle w:val="Subsection"/>
        <w:rPr>
          <w:snapToGrid w:val="0"/>
        </w:rPr>
      </w:pPr>
      <w:r>
        <w:rPr>
          <w:snapToGrid w:val="0"/>
        </w:rPr>
        <w:tab/>
        <w:t>(1)</w:t>
      </w:r>
      <w:r>
        <w:rPr>
          <w:snapToGrid w:val="0"/>
        </w:rPr>
        <w:tab/>
        <w:t>A works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works licence expires at the end of the period specified in the licence under section 278(1).</w:t>
      </w:r>
    </w:p>
    <w:p>
      <w:pPr>
        <w:pStyle w:val="PermNoteHeading"/>
      </w:pPr>
      <w:r>
        <w:tab/>
        <w:t>Note:</w:t>
      </w:r>
    </w:p>
    <w:p>
      <w:pPr>
        <w:pStyle w:val="PermNoteText"/>
        <w:rPr>
          <w:snapToGrid w:val="0"/>
        </w:rPr>
      </w:pPr>
      <w:r>
        <w:rPr>
          <w:snapToGrid w:val="0"/>
        </w:rPr>
        <w:tab/>
        <w:t>1.</w:t>
      </w:r>
      <w:r>
        <w:rPr>
          <w:snapToGrid w:val="0"/>
        </w:rPr>
        <w:tab/>
        <w:t>For the maximum initial term see section 278(2).</w:t>
      </w:r>
    </w:p>
    <w:p>
      <w:pPr>
        <w:pStyle w:val="PermNoteText"/>
        <w:rPr>
          <w:snapToGrid w:val="0"/>
        </w:rPr>
      </w:pPr>
      <w:r>
        <w:rPr>
          <w:snapToGrid w:val="0"/>
        </w:rPr>
        <w:tab/>
        <w:t>2.</w:t>
      </w:r>
      <w:r>
        <w:rPr>
          <w:snapToGrid w:val="0"/>
        </w:rPr>
        <w:tab/>
        <w:t>The licence may be surrendered at any time (see section 312).</w:t>
      </w:r>
    </w:p>
    <w:p>
      <w:pPr>
        <w:pStyle w:val="Subsection"/>
        <w:spacing w:before="120"/>
        <w:rPr>
          <w:snapToGrid w:val="0"/>
        </w:rPr>
      </w:pPr>
      <w:r>
        <w:rPr>
          <w:snapToGrid w:val="0"/>
        </w:rPr>
        <w:lastRenderedPageBreak/>
        <w:tab/>
        <w:t>(3)</w:t>
      </w:r>
      <w:r>
        <w:rPr>
          <w:snapToGrid w:val="0"/>
        </w:rPr>
        <w:tab/>
        <w:t>The period is to run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Heading5"/>
        <w:rPr>
          <w:snapToGrid w:val="0"/>
        </w:rPr>
      </w:pPr>
      <w:bookmarkStart w:id="404" w:name="_Toc166675959"/>
      <w:r>
        <w:rPr>
          <w:rStyle w:val="CharSectno"/>
        </w:rPr>
        <w:t>287</w:t>
      </w:r>
      <w:r>
        <w:rPr>
          <w:snapToGrid w:val="0"/>
        </w:rPr>
        <w:t>.</w:t>
      </w:r>
      <w:r>
        <w:rPr>
          <w:snapToGrid w:val="0"/>
        </w:rPr>
        <w:tab/>
        <w:t>Term of renewal of works licence</w:t>
      </w:r>
      <w:bookmarkEnd w:id="404"/>
      <w:r>
        <w:rPr>
          <w:snapToGrid w:val="0"/>
        </w:rPr>
        <w:t xml:space="preserve"> </w:t>
      </w:r>
    </w:p>
    <w:p>
      <w:pPr>
        <w:pStyle w:val="Subsection"/>
        <w:spacing w:before="120"/>
        <w:rPr>
          <w:snapToGrid w:val="0"/>
        </w:rPr>
      </w:pPr>
      <w:r>
        <w:rPr>
          <w:snapToGrid w:val="0"/>
        </w:rPr>
        <w:tab/>
        <w:t>(1)</w:t>
      </w:r>
      <w:r>
        <w:rPr>
          <w:snapToGrid w:val="0"/>
        </w:rPr>
        <w:tab/>
        <w:t>A renewal of a works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rPr>
          <w:snapToGrid w:val="0"/>
        </w:rPr>
      </w:pPr>
      <w:r>
        <w:rPr>
          <w:snapToGrid w:val="0"/>
        </w:rPr>
        <w:tab/>
      </w:r>
      <w:r>
        <w:rPr>
          <w:snapToGrid w:val="0"/>
        </w:rPr>
        <w:tab/>
        <w:t>See Division 4 for renewal.</w:t>
      </w:r>
    </w:p>
    <w:p>
      <w:pPr>
        <w:pStyle w:val="Subsection"/>
        <w:spacing w:before="120"/>
        <w:rPr>
          <w:snapToGrid w:val="0"/>
        </w:rPr>
      </w:pPr>
      <w:r>
        <w:rPr>
          <w:snapToGrid w:val="0"/>
        </w:rPr>
        <w:tab/>
        <w:t>(2)</w:t>
      </w:r>
      <w:r>
        <w:rPr>
          <w:snapToGrid w:val="0"/>
        </w:rPr>
        <w:tab/>
        <w:t>The term of a renewal of a licence expires at the end of the period specified in the notice under section 296.</w:t>
      </w:r>
    </w:p>
    <w:p>
      <w:pPr>
        <w:pStyle w:val="PermNoteHeading"/>
      </w:pPr>
      <w:r>
        <w:tab/>
        <w:t>Note:</w:t>
      </w:r>
    </w:p>
    <w:p>
      <w:pPr>
        <w:pStyle w:val="PermNoteText"/>
        <w:rPr>
          <w:snapToGrid w:val="0"/>
        </w:rPr>
      </w:pPr>
      <w:r>
        <w:rPr>
          <w:snapToGrid w:val="0"/>
        </w:rPr>
        <w:tab/>
        <w:t>1.</w:t>
      </w:r>
      <w:r>
        <w:rPr>
          <w:snapToGrid w:val="0"/>
        </w:rPr>
        <w:tab/>
        <w:t>For the maximum term of renewal see section 296(3).</w:t>
      </w:r>
    </w:p>
    <w:p>
      <w:pPr>
        <w:pStyle w:val="PermNoteText"/>
        <w:rPr>
          <w:snapToGrid w:val="0"/>
        </w:rPr>
      </w:pPr>
      <w:r>
        <w:rPr>
          <w:snapToGrid w:val="0"/>
        </w:rPr>
        <w:t>2.</w:t>
      </w:r>
      <w:r>
        <w:rPr>
          <w:snapToGrid w:val="0"/>
        </w:rPr>
        <w:tab/>
        <w:t>The licence may be surrendered at any time (see section 312).</w:t>
      </w:r>
    </w:p>
    <w:p>
      <w:pPr>
        <w:pStyle w:val="Subsection"/>
        <w:spacing w:before="120"/>
        <w:rPr>
          <w:snapToGrid w:val="0"/>
        </w:rPr>
      </w:pPr>
      <w:r>
        <w:rPr>
          <w:snapToGrid w:val="0"/>
        </w:rPr>
        <w:tab/>
        <w:t>(3)</w:t>
      </w:r>
      <w:r>
        <w:rPr>
          <w:snapToGrid w:val="0"/>
        </w:rPr>
        <w:tab/>
        <w:t>The period runs from the day on which the previous term of the licence expires.</w:t>
      </w:r>
    </w:p>
    <w:p>
      <w:pPr>
        <w:pStyle w:val="Heading5"/>
        <w:rPr>
          <w:snapToGrid w:val="0"/>
        </w:rPr>
      </w:pPr>
      <w:bookmarkStart w:id="405" w:name="_Toc166675960"/>
      <w:r>
        <w:rPr>
          <w:rStyle w:val="CharSectno"/>
        </w:rPr>
        <w:t>288</w:t>
      </w:r>
      <w:r>
        <w:rPr>
          <w:snapToGrid w:val="0"/>
        </w:rPr>
        <w:t>.</w:t>
      </w:r>
      <w:r>
        <w:rPr>
          <w:snapToGrid w:val="0"/>
        </w:rPr>
        <w:tab/>
        <w:t>Effect of application for renewal on term of works licence</w:t>
      </w:r>
      <w:bookmarkEnd w:id="40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 works licence holder applies to renew the licence under section 289;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spacing w:before="120"/>
        <w:rPr>
          <w:snapToGrid w:val="0"/>
          <w:spacing w:val="-4"/>
        </w:rPr>
      </w:pPr>
      <w:r>
        <w:rPr>
          <w:snapToGrid w:val="0"/>
          <w:spacing w:val="-4"/>
        </w:rPr>
        <w:tab/>
      </w:r>
      <w:r>
        <w:rPr>
          <w:snapToGrid w:val="0"/>
          <w:spacing w:val="-4"/>
        </w:rPr>
        <w:tab/>
        <w:t>the licence remains in force after the current term expires until —</w:t>
      </w:r>
    </w:p>
    <w:p>
      <w:pPr>
        <w:pStyle w:val="Indenta"/>
        <w:spacing w:before="60"/>
        <w:rPr>
          <w:snapToGrid w:val="0"/>
        </w:rPr>
      </w:pPr>
      <w:r>
        <w:rPr>
          <w:snapToGrid w:val="0"/>
        </w:rPr>
        <w:tab/>
        <w:t>(d)</w:t>
      </w:r>
      <w:r>
        <w:rPr>
          <w:snapToGrid w:val="0"/>
        </w:rPr>
        <w:tab/>
        <w:t>a renewal of the licence takes effect; or</w:t>
      </w:r>
    </w:p>
    <w:p>
      <w:pPr>
        <w:pStyle w:val="Indenta"/>
        <w:rPr>
          <w:snapToGrid w:val="0"/>
        </w:rPr>
      </w:pPr>
      <w:r>
        <w:rPr>
          <w:snapToGrid w:val="0"/>
        </w:rPr>
        <w:lastRenderedPageBreak/>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Subsection"/>
        <w:rPr>
          <w:snapToGrid w:val="0"/>
        </w:rPr>
      </w:pPr>
      <w:r>
        <w:rPr>
          <w:snapToGrid w:val="0"/>
        </w:rPr>
        <w:tab/>
      </w:r>
      <w:r>
        <w:rPr>
          <w:snapToGrid w:val="0"/>
        </w:rPr>
        <w:tab/>
        <w:t>whichever happens first.</w:t>
      </w:r>
    </w:p>
    <w:p>
      <w:pPr>
        <w:pStyle w:val="Heading4"/>
        <w:rPr>
          <w:b w:val="0"/>
          <w:snapToGrid w:val="0"/>
        </w:rPr>
      </w:pPr>
      <w:bookmarkStart w:id="406" w:name="_Toc166675141"/>
      <w:bookmarkStart w:id="407" w:name="_Toc166675656"/>
      <w:bookmarkStart w:id="408" w:name="_Toc166675961"/>
      <w:r>
        <w:rPr>
          <w:b w:val="0"/>
          <w:snapToGrid w:val="0"/>
        </w:rPr>
        <w:t>Division 4 — Application for and grant of renewal of works licence</w:t>
      </w:r>
      <w:bookmarkEnd w:id="406"/>
      <w:bookmarkEnd w:id="407"/>
      <w:bookmarkEnd w:id="408"/>
    </w:p>
    <w:p>
      <w:pPr>
        <w:pStyle w:val="Heading5"/>
        <w:rPr>
          <w:snapToGrid w:val="0"/>
        </w:rPr>
      </w:pPr>
      <w:bookmarkStart w:id="409" w:name="_Toc166675962"/>
      <w:r>
        <w:rPr>
          <w:rStyle w:val="CharSectno"/>
        </w:rPr>
        <w:t>289</w:t>
      </w:r>
      <w:r>
        <w:rPr>
          <w:snapToGrid w:val="0"/>
        </w:rPr>
        <w:t>.</w:t>
      </w:r>
      <w:r>
        <w:rPr>
          <w:snapToGrid w:val="0"/>
        </w:rPr>
        <w:tab/>
        <w:t>Application for renewal of works licence</w:t>
      </w:r>
      <w:bookmarkEnd w:id="409"/>
      <w:r>
        <w:rPr>
          <w:snapToGrid w:val="0"/>
        </w:rPr>
        <w:t xml:space="preserve"> </w:t>
      </w:r>
    </w:p>
    <w:p>
      <w:pPr>
        <w:pStyle w:val="Subsection"/>
        <w:rPr>
          <w:snapToGrid w:val="0"/>
        </w:rPr>
      </w:pPr>
      <w:r>
        <w:rPr>
          <w:snapToGrid w:val="0"/>
        </w:rPr>
        <w:tab/>
      </w:r>
      <w:r>
        <w:rPr>
          <w:snapToGrid w:val="0"/>
        </w:rPr>
        <w:tab/>
        <w:t>A works licence holder may apply to the Minister to renew the licence.</w:t>
      </w:r>
    </w:p>
    <w:p>
      <w:pPr>
        <w:pStyle w:val="PermNoteHeading"/>
      </w:pPr>
      <w:r>
        <w:tab/>
        <w:t>Note:</w:t>
      </w:r>
    </w:p>
    <w:p>
      <w:pPr>
        <w:pStyle w:val="PermNoteText"/>
        <w:rPr>
          <w:snapToGrid w:val="0"/>
        </w:rPr>
      </w:pPr>
      <w:r>
        <w:rPr>
          <w:snapToGrid w:val="0"/>
        </w:rPr>
        <w:tab/>
      </w:r>
      <w:r>
        <w:rPr>
          <w:snapToGrid w:val="0"/>
        </w:rPr>
        <w:tab/>
        <w:t>At each renewal, the works licence conditions are reviewed (see section 304).</w:t>
      </w:r>
    </w:p>
    <w:p>
      <w:pPr>
        <w:pStyle w:val="Heading5"/>
        <w:rPr>
          <w:snapToGrid w:val="0"/>
        </w:rPr>
      </w:pPr>
      <w:bookmarkStart w:id="410" w:name="_Toc166675963"/>
      <w:r>
        <w:rPr>
          <w:rStyle w:val="CharSectno"/>
        </w:rPr>
        <w:t>290</w:t>
      </w:r>
      <w:r>
        <w:rPr>
          <w:snapToGrid w:val="0"/>
        </w:rPr>
        <w:t>.</w:t>
      </w:r>
      <w:r>
        <w:rPr>
          <w:snapToGrid w:val="0"/>
        </w:rPr>
        <w:tab/>
        <w:t>When application to be made</w:t>
      </w:r>
      <w:bookmarkEnd w:id="410"/>
      <w:r>
        <w:rPr>
          <w:snapToGrid w:val="0"/>
        </w:rPr>
        <w:t xml:space="preserve"> </w:t>
      </w:r>
    </w:p>
    <w:p>
      <w:pPr>
        <w:pStyle w:val="Subsection"/>
        <w:rPr>
          <w:snapToGrid w:val="0"/>
        </w:rPr>
      </w:pPr>
      <w:r>
        <w:rPr>
          <w:snapToGrid w:val="0"/>
        </w:rPr>
        <w:tab/>
        <w:t>(1)</w:t>
      </w:r>
      <w:r>
        <w:rPr>
          <w:snapToGrid w:val="0"/>
        </w:rPr>
        <w:tab/>
        <w:t>Subject to subsection (2), the application must be made at least 30 days before the day on which the licence is to expire.</w:t>
      </w:r>
    </w:p>
    <w:p>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411" w:name="_Toc166675964"/>
      <w:r>
        <w:rPr>
          <w:rStyle w:val="CharSectno"/>
        </w:rPr>
        <w:t>291</w:t>
      </w:r>
      <w:r>
        <w:rPr>
          <w:snapToGrid w:val="0"/>
        </w:rPr>
        <w:t>.</w:t>
      </w:r>
      <w:r>
        <w:rPr>
          <w:snapToGrid w:val="0"/>
        </w:rPr>
        <w:tab/>
        <w:t>How to apply for renewal</w:t>
      </w:r>
      <w:bookmarkEnd w:id="411"/>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lastRenderedPageBreak/>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spacing w:before="180"/>
        <w:rPr>
          <w:snapToGrid w:val="0"/>
        </w:rPr>
      </w:pPr>
      <w:bookmarkStart w:id="412" w:name="_Toc166675965"/>
      <w:r>
        <w:rPr>
          <w:rStyle w:val="CharSectno"/>
        </w:rPr>
        <w:t>292</w:t>
      </w:r>
      <w:r>
        <w:rPr>
          <w:snapToGrid w:val="0"/>
        </w:rPr>
        <w:t>.</w:t>
      </w:r>
      <w:r>
        <w:rPr>
          <w:snapToGrid w:val="0"/>
        </w:rPr>
        <w:tab/>
        <w:t>Payment of fee</w:t>
      </w:r>
      <w:bookmarkEnd w:id="412"/>
      <w:r>
        <w:rPr>
          <w:snapToGrid w:val="0"/>
        </w:rPr>
        <w:t xml:space="preserve"> </w:t>
      </w:r>
    </w:p>
    <w:p>
      <w:pPr>
        <w:pStyle w:val="Subsection"/>
        <w:spacing w:before="120"/>
        <w:rPr>
          <w:snapToGrid w:val="0"/>
        </w:rPr>
      </w:pPr>
      <w:r>
        <w:rPr>
          <w:snapToGrid w:val="0"/>
        </w:rPr>
        <w:tab/>
        <w:t>(1)</w:t>
      </w:r>
      <w:r>
        <w:rPr>
          <w:snapToGrid w:val="0"/>
        </w:rPr>
        <w:tab/>
        <w:t>The applicant must pay the application fee prescribed by the regulations.</w:t>
      </w:r>
    </w:p>
    <w:p>
      <w:pPr>
        <w:pStyle w:val="Subsection"/>
        <w:spacing w:before="120"/>
        <w:rPr>
          <w:snapToGrid w:val="0"/>
        </w:rPr>
      </w:pPr>
      <w:r>
        <w:rPr>
          <w:snapToGrid w:val="0"/>
        </w:rPr>
        <w:tab/>
        <w:t>(2)</w:t>
      </w:r>
      <w:r>
        <w:rPr>
          <w:snapToGrid w:val="0"/>
        </w:rPr>
        <w:tab/>
        <w:t>The fee must be paid when the application is made.</w:t>
      </w:r>
    </w:p>
    <w:p>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spacing w:before="180"/>
        <w:rPr>
          <w:snapToGrid w:val="0"/>
        </w:rPr>
      </w:pPr>
      <w:bookmarkStart w:id="413" w:name="_Toc166675966"/>
      <w:r>
        <w:rPr>
          <w:rStyle w:val="CharSectno"/>
        </w:rPr>
        <w:t>293</w:t>
      </w:r>
      <w:r>
        <w:rPr>
          <w:snapToGrid w:val="0"/>
        </w:rPr>
        <w:t>.</w:t>
      </w:r>
      <w:r>
        <w:rPr>
          <w:snapToGrid w:val="0"/>
        </w:rPr>
        <w:tab/>
        <w:t>Section number not used</w:t>
      </w:r>
      <w:bookmarkEnd w:id="41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414" w:name="_Toc166675967"/>
      <w:r>
        <w:rPr>
          <w:rStyle w:val="CharSectno"/>
        </w:rPr>
        <w:t>294</w:t>
      </w:r>
      <w:r>
        <w:rPr>
          <w:snapToGrid w:val="0"/>
        </w:rPr>
        <w:t>.</w:t>
      </w:r>
      <w:r>
        <w:rPr>
          <w:snapToGrid w:val="0"/>
        </w:rPr>
        <w:tab/>
        <w:t>Provisional renewal of works licence</w:t>
      </w:r>
      <w:bookmarkEnd w:id="414"/>
      <w:r>
        <w:rPr>
          <w:snapToGrid w:val="0"/>
        </w:rPr>
        <w:t xml:space="preserve"> </w:t>
      </w:r>
    </w:p>
    <w:p>
      <w:pPr>
        <w:pStyle w:val="Subsection"/>
        <w:spacing w:before="120"/>
        <w:rPr>
          <w:snapToGrid w:val="0"/>
        </w:rPr>
      </w:pPr>
      <w:r>
        <w:rPr>
          <w:snapToGrid w:val="0"/>
        </w:rPr>
        <w:tab/>
      </w:r>
      <w:r>
        <w:rPr>
          <w:snapToGrid w:val="0"/>
        </w:rPr>
        <w:tab/>
        <w:t>The Minister may — </w:t>
      </w:r>
    </w:p>
    <w:p>
      <w:pPr>
        <w:pStyle w:val="Indenta"/>
        <w:keepNext/>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PermNoteHeading"/>
      </w:pPr>
      <w:r>
        <w:tab/>
        <w:t>Note:</w:t>
      </w:r>
    </w:p>
    <w:p>
      <w:pPr>
        <w:pStyle w:val="PermNoteText"/>
        <w:rPr>
          <w:snapToGrid w:val="0"/>
        </w:rPr>
      </w:pPr>
      <w:r>
        <w:rPr>
          <w:snapToGrid w:val="0"/>
        </w:rPr>
        <w:tab/>
        <w:t>1.</w:t>
      </w:r>
      <w:r>
        <w:rPr>
          <w:snapToGrid w:val="0"/>
        </w:rPr>
        <w:tab/>
        <w:t>Under section 287, the renewal of the licence cannot be effective before it is registered (see section 334 for registration). The renewal will not be registered until it has been properly accepted (see section 300 for “proper acceptance”).</w:t>
      </w:r>
    </w:p>
    <w:p>
      <w:pPr>
        <w:pStyle w:val="PermNoteText"/>
        <w:rPr>
          <w:snapToGrid w:val="0"/>
        </w:rPr>
      </w:pPr>
      <w:r>
        <w:rPr>
          <w:snapToGrid w:val="0"/>
        </w:rPr>
        <w:lastRenderedPageBreak/>
        <w:tab/>
        <w:t>2.</w:t>
      </w:r>
      <w:r>
        <w:rPr>
          <w:snapToGrid w:val="0"/>
        </w:rPr>
        <w:tab/>
        <w:t>Under section 304, new conditions may be imposed on renewal.</w:t>
      </w:r>
    </w:p>
    <w:p>
      <w:pPr>
        <w:pStyle w:val="Heading5"/>
        <w:spacing w:before="180"/>
        <w:rPr>
          <w:snapToGrid w:val="0"/>
        </w:rPr>
      </w:pPr>
      <w:bookmarkStart w:id="415" w:name="_Toc166675968"/>
      <w:r>
        <w:rPr>
          <w:rStyle w:val="CharSectno"/>
        </w:rPr>
        <w:t>295</w:t>
      </w:r>
      <w:r>
        <w:rPr>
          <w:snapToGrid w:val="0"/>
        </w:rPr>
        <w:t>.</w:t>
      </w:r>
      <w:r>
        <w:rPr>
          <w:snapToGrid w:val="0"/>
        </w:rPr>
        <w:tab/>
        <w:t>Section number not used</w:t>
      </w:r>
      <w:bookmarkEnd w:id="415"/>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spacing w:before="180"/>
        <w:rPr>
          <w:snapToGrid w:val="0"/>
        </w:rPr>
      </w:pPr>
      <w:bookmarkStart w:id="416" w:name="_Toc166675969"/>
      <w:r>
        <w:rPr>
          <w:rStyle w:val="CharSectno"/>
        </w:rPr>
        <w:t>296</w:t>
      </w:r>
      <w:r>
        <w:rPr>
          <w:snapToGrid w:val="0"/>
        </w:rPr>
        <w:t>.</w:t>
      </w:r>
      <w:r>
        <w:rPr>
          <w:snapToGrid w:val="0"/>
        </w:rPr>
        <w:tab/>
        <w:t>Applicant must be notified</w:t>
      </w:r>
      <w:bookmarkEnd w:id="416"/>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the Minister’s decision under section 294.</w:t>
      </w:r>
    </w:p>
    <w:p>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rPr>
      </w:pPr>
      <w:r>
        <w:rPr>
          <w:snapToGrid w:val="0"/>
        </w:rPr>
        <w:tab/>
        <w:t>(iii)</w:t>
      </w:r>
      <w:r>
        <w:rPr>
          <w:snapToGrid w:val="0"/>
        </w:rPr>
        <w:tab/>
        <w:t>pays the fee that must be paid under section 425.</w:t>
      </w:r>
    </w:p>
    <w:p>
      <w:pPr>
        <w:pStyle w:val="PermNoteHeading"/>
      </w:pPr>
      <w:r>
        <w:tab/>
        <w:t>Note:</w:t>
      </w:r>
    </w:p>
    <w:p>
      <w:pPr>
        <w:pStyle w:val="PermNoteText"/>
        <w:rPr>
          <w:snapToGrid w:val="0"/>
        </w:rPr>
      </w:pPr>
      <w:r>
        <w:rPr>
          <w:snapToGrid w:val="0"/>
        </w:rPr>
        <w:tab/>
      </w:r>
      <w:r>
        <w:rPr>
          <w:snapToGrid w:val="0"/>
        </w:rPr>
        <w:tab/>
        <w:t>Paragraph (b): section 304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exceed 5 years.</w:t>
      </w:r>
    </w:p>
    <w:p>
      <w:pPr>
        <w:pStyle w:val="Heading5"/>
        <w:spacing w:before="180"/>
        <w:rPr>
          <w:snapToGrid w:val="0"/>
        </w:rPr>
      </w:pPr>
      <w:bookmarkStart w:id="417" w:name="_Toc166675970"/>
      <w:r>
        <w:rPr>
          <w:rStyle w:val="CharSectno"/>
        </w:rPr>
        <w:t>297</w:t>
      </w:r>
      <w:r>
        <w:rPr>
          <w:snapToGrid w:val="0"/>
        </w:rPr>
        <w:t>.</w:t>
      </w:r>
      <w:r>
        <w:rPr>
          <w:snapToGrid w:val="0"/>
        </w:rPr>
        <w:tab/>
        <w:t>Amendment of conditions</w:t>
      </w:r>
      <w:bookmarkEnd w:id="417"/>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keepNext/>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licence condition,</w:t>
      </w:r>
    </w:p>
    <w:p>
      <w:pPr>
        <w:pStyle w:val="Subsection"/>
        <w:rPr>
          <w:snapToGrid w:val="0"/>
        </w:rPr>
      </w:pPr>
      <w:r>
        <w:rPr>
          <w:snapToGrid w:val="0"/>
        </w:rPr>
        <w:lastRenderedPageBreak/>
        <w:tab/>
      </w:r>
      <w:r>
        <w:rPr>
          <w:snapToGrid w:val="0"/>
        </w:rPr>
        <w:tab/>
        <w:t>the holder may ask the Minister to amend the condition.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made within 30 days after the day on which the holder is given notice under section 296; and</w:t>
      </w:r>
    </w:p>
    <w:p>
      <w:pPr>
        <w:pStyle w:val="Indenta"/>
        <w:rPr>
          <w:snapToGrid w:val="0"/>
        </w:rPr>
      </w:pPr>
      <w:r>
        <w:rPr>
          <w:snapToGrid w:val="0"/>
        </w:rPr>
        <w:tab/>
        <w:t>(b)</w:t>
      </w:r>
      <w:r>
        <w:rPr>
          <w:snapToGrid w:val="0"/>
        </w:rPr>
        <w:tab/>
        <w:t>be lodged with the Minister.</w:t>
      </w:r>
    </w:p>
    <w:p>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418" w:name="_Toc166675971"/>
      <w:r>
        <w:rPr>
          <w:rStyle w:val="CharSectno"/>
        </w:rPr>
        <w:t>298</w:t>
      </w:r>
      <w:r>
        <w:rPr>
          <w:snapToGrid w:val="0"/>
        </w:rPr>
        <w:t>.</w:t>
      </w:r>
      <w:r>
        <w:rPr>
          <w:snapToGrid w:val="0"/>
        </w:rPr>
        <w:tab/>
        <w:t>Amendment of security requirements</w:t>
      </w:r>
      <w:bookmarkEnd w:id="418"/>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419" w:name="_Toc166675972"/>
      <w:r>
        <w:rPr>
          <w:rStyle w:val="CharSectno"/>
        </w:rPr>
        <w:t>299</w:t>
      </w:r>
      <w:r>
        <w:rPr>
          <w:snapToGrid w:val="0"/>
        </w:rPr>
        <w:t>.</w:t>
      </w:r>
      <w:r>
        <w:rPr>
          <w:snapToGrid w:val="0"/>
        </w:rPr>
        <w:tab/>
        <w:t>Extension of primary payment period</w:t>
      </w:r>
      <w:bookmarkEnd w:id="419"/>
      <w:r>
        <w:rPr>
          <w:snapToGrid w:val="0"/>
        </w:rPr>
        <w:t xml:space="preserve"> </w:t>
      </w:r>
    </w:p>
    <w:p>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Subsection"/>
        <w:rPr>
          <w:snapToGrid w:val="0"/>
        </w:rPr>
      </w:pPr>
      <w:r>
        <w:rPr>
          <w:snapToGrid w:val="0"/>
        </w:rPr>
        <w:lastRenderedPageBreak/>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written notice informing the holder of the period of the extension.</w:t>
      </w:r>
    </w:p>
    <w:p>
      <w:pPr>
        <w:pStyle w:val="Heading5"/>
        <w:rPr>
          <w:snapToGrid w:val="0"/>
        </w:rPr>
      </w:pPr>
      <w:bookmarkStart w:id="420" w:name="_Toc166675973"/>
      <w:r>
        <w:rPr>
          <w:rStyle w:val="CharSectno"/>
        </w:rPr>
        <w:t>300</w:t>
      </w:r>
      <w:r>
        <w:rPr>
          <w:snapToGrid w:val="0"/>
        </w:rPr>
        <w:t>.</w:t>
      </w:r>
      <w:r>
        <w:rPr>
          <w:snapToGrid w:val="0"/>
        </w:rPr>
        <w:tab/>
        <w:t>Acceptance of renewal of works licence</w:t>
      </w:r>
      <w:bookmarkEnd w:id="420"/>
      <w:r>
        <w:rPr>
          <w:snapToGrid w:val="0"/>
        </w:rPr>
        <w:t xml:space="preserve"> </w:t>
      </w:r>
    </w:p>
    <w:p>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PermNoteHeading"/>
      </w:pPr>
      <w:r>
        <w:tab/>
        <w:t>Note:</w:t>
      </w:r>
    </w:p>
    <w:p>
      <w:pPr>
        <w:pStyle w:val="PermNoteText"/>
        <w:rPr>
          <w:snapToGrid w:val="0"/>
        </w:rPr>
      </w:pPr>
      <w:r>
        <w:rPr>
          <w:snapToGrid w:val="0"/>
        </w:rPr>
        <w:tab/>
      </w:r>
      <w:r>
        <w:rPr>
          <w:snapToGrid w:val="0"/>
        </w:rPr>
        <w:tab/>
        <w:t>Under section 287, the renewal of the licence cannot be effective before it is registered (see section 334 for registration).</w:t>
      </w:r>
    </w:p>
    <w:p>
      <w:pPr>
        <w:pStyle w:val="Heading5"/>
        <w:rPr>
          <w:snapToGrid w:val="0"/>
        </w:rPr>
      </w:pPr>
      <w:bookmarkStart w:id="421" w:name="_Toc166675974"/>
      <w:r>
        <w:rPr>
          <w:rStyle w:val="CharSectno"/>
        </w:rPr>
        <w:t>301</w:t>
      </w:r>
      <w:r>
        <w:rPr>
          <w:snapToGrid w:val="0"/>
        </w:rPr>
        <w:t>.</w:t>
      </w:r>
      <w:r>
        <w:rPr>
          <w:snapToGrid w:val="0"/>
        </w:rPr>
        <w:tab/>
        <w:t>Conditions applicable to works licence on renewal</w:t>
      </w:r>
      <w:bookmarkEnd w:id="421"/>
      <w:r>
        <w:rPr>
          <w:snapToGrid w:val="0"/>
        </w:rPr>
        <w:t xml:space="preserve"> </w:t>
      </w:r>
    </w:p>
    <w:p>
      <w:pPr>
        <w:pStyle w:val="Subsection"/>
        <w:keepNext/>
        <w:keepLines/>
        <w:rPr>
          <w:snapToGrid w:val="0"/>
        </w:rPr>
      </w:pPr>
      <w:r>
        <w:rPr>
          <w:snapToGrid w:val="0"/>
        </w:rPr>
        <w:tab/>
      </w:r>
      <w:r>
        <w:rPr>
          <w:snapToGrid w:val="0"/>
        </w:rPr>
        <w:tab/>
        <w:t>If the provisional renewal is properly accepted under section 300, the renewed licence is subject to — </w:t>
      </w:r>
    </w:p>
    <w:p>
      <w:pPr>
        <w:pStyle w:val="Indenta"/>
        <w:keepNext/>
        <w:rPr>
          <w:snapToGrid w:val="0"/>
        </w:rPr>
      </w:pPr>
      <w:r>
        <w:rPr>
          <w:snapToGrid w:val="0"/>
        </w:rPr>
        <w:tab/>
        <w:t>(a)</w:t>
      </w:r>
      <w:r>
        <w:rPr>
          <w:snapToGrid w:val="0"/>
        </w:rPr>
        <w:tab/>
        <w:t>the conditions specified in the notice given to the licence holder under section 296; or</w:t>
      </w:r>
    </w:p>
    <w:p>
      <w:pPr>
        <w:pStyle w:val="Indenta"/>
        <w:rPr>
          <w:snapToGrid w:val="0"/>
        </w:rPr>
      </w:pPr>
      <w:r>
        <w:rPr>
          <w:snapToGrid w:val="0"/>
        </w:rPr>
        <w:tab/>
        <w:t>(b)</w:t>
      </w:r>
      <w:r>
        <w:rPr>
          <w:snapToGrid w:val="0"/>
        </w:rPr>
        <w:tab/>
        <w:t>if the Minister amended those conditions under section 297, those conditions as amended.</w:t>
      </w:r>
    </w:p>
    <w:p>
      <w:pPr>
        <w:pStyle w:val="Heading5"/>
        <w:rPr>
          <w:snapToGrid w:val="0"/>
        </w:rPr>
      </w:pPr>
      <w:bookmarkStart w:id="422" w:name="_Toc166675975"/>
      <w:r>
        <w:rPr>
          <w:rStyle w:val="CharSectno"/>
        </w:rPr>
        <w:lastRenderedPageBreak/>
        <w:t>302</w:t>
      </w:r>
      <w:r>
        <w:rPr>
          <w:snapToGrid w:val="0"/>
        </w:rPr>
        <w:t>.</w:t>
      </w:r>
      <w:r>
        <w:rPr>
          <w:snapToGrid w:val="0"/>
        </w:rPr>
        <w:tab/>
        <w:t>Lapse of provisional renewal of works licence</w:t>
      </w:r>
      <w:bookmarkEnd w:id="422"/>
      <w:r>
        <w:rPr>
          <w:snapToGrid w:val="0"/>
        </w:rPr>
        <w:t xml:space="preserve"> </w:t>
      </w:r>
    </w:p>
    <w:p>
      <w:pPr>
        <w:pStyle w:val="Subsection"/>
        <w:rPr>
          <w:snapToGrid w:val="0"/>
        </w:rPr>
      </w:pPr>
      <w:r>
        <w:rPr>
          <w:snapToGrid w:val="0"/>
        </w:rPr>
        <w:tab/>
      </w:r>
      <w:r>
        <w:rPr>
          <w:snapToGrid w:val="0"/>
        </w:rPr>
        <w:tab/>
        <w:t>If the provisional renewal of the licence is not properly accepted under section 300, the provisional renewal lapses.</w:t>
      </w:r>
    </w:p>
    <w:p>
      <w:pPr>
        <w:pStyle w:val="Heading4"/>
        <w:rPr>
          <w:b w:val="0"/>
        </w:rPr>
      </w:pPr>
      <w:bookmarkStart w:id="423" w:name="_Toc166675156"/>
      <w:bookmarkStart w:id="424" w:name="_Toc166675671"/>
      <w:bookmarkStart w:id="425" w:name="_Toc166675976"/>
      <w:r>
        <w:rPr>
          <w:b w:val="0"/>
          <w:snapToGrid w:val="0"/>
        </w:rPr>
        <w:t>Division 5 — Obligations associated with works licence</w:t>
      </w:r>
      <w:bookmarkEnd w:id="423"/>
      <w:bookmarkEnd w:id="424"/>
      <w:bookmarkEnd w:id="425"/>
    </w:p>
    <w:p>
      <w:pPr>
        <w:pStyle w:val="Heading5"/>
        <w:rPr>
          <w:snapToGrid w:val="0"/>
        </w:rPr>
      </w:pPr>
      <w:bookmarkStart w:id="426" w:name="_Toc166675977"/>
      <w:r>
        <w:rPr>
          <w:rStyle w:val="CharSectno"/>
        </w:rPr>
        <w:t>303</w:t>
      </w:r>
      <w:r>
        <w:rPr>
          <w:snapToGrid w:val="0"/>
        </w:rPr>
        <w:t>.</w:t>
      </w:r>
      <w:r>
        <w:rPr>
          <w:snapToGrid w:val="0"/>
        </w:rPr>
        <w:tab/>
        <w:t>General</w:t>
      </w:r>
      <w:bookmarkEnd w:id="426"/>
      <w:r>
        <w:rPr>
          <w:snapToGrid w:val="0"/>
        </w:rPr>
        <w:t xml:space="preserve"> </w:t>
      </w:r>
    </w:p>
    <w:p>
      <w:pPr>
        <w:pStyle w:val="Subsection"/>
        <w:rPr>
          <w:snapToGrid w:val="0"/>
          <w:spacing w:val="-4"/>
        </w:rPr>
      </w:pPr>
      <w:r>
        <w:rPr>
          <w:snapToGrid w:val="0"/>
          <w:spacing w:val="-4"/>
        </w:rPr>
        <w:tab/>
        <w:t>(1)</w:t>
      </w:r>
      <w:r>
        <w:rPr>
          <w:snapToGrid w:val="0"/>
          <w:spacing w:val="-4"/>
        </w:rPr>
        <w:tab/>
        <w:t>The sources of obligations associated with a works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rPr>
          <w:snapToGrid w:val="0"/>
        </w:rPr>
      </w:pPr>
      <w:r>
        <w:rPr>
          <w:snapToGrid w:val="0"/>
        </w:rPr>
        <w:tab/>
      </w:r>
      <w:r>
        <w:rPr>
          <w:snapToGrid w:val="0"/>
        </w:rPr>
        <w:tab/>
        <w:t>For paragraph (a) see sections 304 to 306. For paragraph (c) see sections 44, 308 to 310, 372 and 391(1).</w:t>
      </w:r>
    </w:p>
    <w:p>
      <w:pPr>
        <w:pStyle w:val="Subsection"/>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Heading5"/>
        <w:rPr>
          <w:snapToGrid w:val="0"/>
        </w:rPr>
      </w:pPr>
      <w:bookmarkStart w:id="427" w:name="_Toc166675978"/>
      <w:r>
        <w:rPr>
          <w:rStyle w:val="CharSectno"/>
        </w:rPr>
        <w:t>304</w:t>
      </w:r>
      <w:r>
        <w:rPr>
          <w:snapToGrid w:val="0"/>
        </w:rPr>
        <w:t>.</w:t>
      </w:r>
      <w:r>
        <w:rPr>
          <w:snapToGrid w:val="0"/>
        </w:rPr>
        <w:tab/>
        <w:t>Conditions of works licence</w:t>
      </w:r>
      <w:bookmarkEnd w:id="427"/>
      <w:r>
        <w:rPr>
          <w:snapToGrid w:val="0"/>
        </w:rPr>
        <w:t xml:space="preserve"> </w:t>
      </w:r>
    </w:p>
    <w:p>
      <w:pPr>
        <w:pStyle w:val="Subsection"/>
        <w:rPr>
          <w:snapToGrid w:val="0"/>
        </w:rPr>
      </w:pPr>
      <w:r>
        <w:rPr>
          <w:snapToGrid w:val="0"/>
        </w:rPr>
        <w:tab/>
        <w:t>(1)</w:t>
      </w:r>
      <w:r>
        <w:rPr>
          <w:snapToGrid w:val="0"/>
        </w:rPr>
        <w:tab/>
        <w:t>The Minister may grant or renew a works licence subject to whatever conditions the Minister thinks appropriate.</w:t>
      </w:r>
    </w:p>
    <w:p>
      <w:pPr>
        <w:pStyle w:val="Subsection"/>
        <w:rPr>
          <w:snapToGrid w:val="0"/>
        </w:rPr>
      </w:pPr>
      <w:r>
        <w:rPr>
          <w:snapToGrid w:val="0"/>
        </w:rPr>
        <w:tab/>
        <w:t>(2)</w:t>
      </w:r>
      <w:r>
        <w:rPr>
          <w:snapToGrid w:val="0"/>
        </w:rPr>
        <w:tab/>
        <w:t>If the Minister grants or renews a works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lastRenderedPageBreak/>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428" w:name="_Toc166675979"/>
      <w:r>
        <w:rPr>
          <w:rStyle w:val="CharSectno"/>
        </w:rPr>
        <w:lastRenderedPageBreak/>
        <w:t>305</w:t>
      </w:r>
      <w:r>
        <w:rPr>
          <w:snapToGrid w:val="0"/>
        </w:rPr>
        <w:t>.</w:t>
      </w:r>
      <w:r>
        <w:rPr>
          <w:snapToGrid w:val="0"/>
        </w:rPr>
        <w:tab/>
        <w:t>No conditions requiring payment of money</w:t>
      </w:r>
      <w:bookmarkEnd w:id="428"/>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429" w:name="_Toc166675980"/>
      <w:r>
        <w:rPr>
          <w:rStyle w:val="CharSectno"/>
        </w:rPr>
        <w:t>306</w:t>
      </w:r>
      <w:r>
        <w:rPr>
          <w:snapToGrid w:val="0"/>
        </w:rPr>
        <w:t>.</w:t>
      </w:r>
      <w:r>
        <w:rPr>
          <w:snapToGrid w:val="0"/>
        </w:rPr>
        <w:tab/>
        <w:t>Variation of conditions</w:t>
      </w:r>
      <w:bookmarkEnd w:id="429"/>
      <w:r>
        <w:rPr>
          <w:snapToGrid w:val="0"/>
        </w:rPr>
        <w:t xml:space="preserve"> </w:t>
      </w:r>
    </w:p>
    <w:p>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pPr>
        <w:pStyle w:val="Indenta"/>
        <w:keepNext/>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430" w:name="_Toc166675981"/>
      <w:r>
        <w:rPr>
          <w:rStyle w:val="CharSectno"/>
        </w:rPr>
        <w:t>307</w:t>
      </w:r>
      <w:r>
        <w:rPr>
          <w:snapToGrid w:val="0"/>
        </w:rPr>
        <w:t>.</w:t>
      </w:r>
      <w:r>
        <w:rPr>
          <w:snapToGrid w:val="0"/>
        </w:rPr>
        <w:tab/>
        <w:t>Exemption from or suspension of conditions</w:t>
      </w:r>
      <w:bookmarkEnd w:id="430"/>
      <w:r>
        <w:rPr>
          <w:snapToGrid w:val="0"/>
        </w:rPr>
        <w:t xml:space="preserve"> </w:t>
      </w:r>
    </w:p>
    <w:p>
      <w:pPr>
        <w:pStyle w:val="Subsection"/>
        <w:rPr>
          <w:snapToGrid w:val="0"/>
        </w:rPr>
      </w:pPr>
      <w:r>
        <w:rPr>
          <w:snapToGrid w:val="0"/>
        </w:rPr>
        <w:tab/>
        <w:t>(1)</w:t>
      </w:r>
      <w:r>
        <w:rPr>
          <w:snapToGrid w:val="0"/>
        </w:rPr>
        <w:tab/>
        <w:t>If a works licence holder requests the Minister in writing to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holder from complying with a licence condition,</w:t>
      </w:r>
    </w:p>
    <w:p>
      <w:pPr>
        <w:pStyle w:val="Subsection"/>
        <w:rPr>
          <w:snapToGrid w:val="0"/>
        </w:rPr>
      </w:pPr>
      <w:r>
        <w:rPr>
          <w:snapToGrid w:val="0"/>
        </w:rPr>
        <w:tab/>
      </w:r>
      <w:r>
        <w:rPr>
          <w:snapToGrid w:val="0"/>
        </w:rPr>
        <w:tab/>
        <w:t>the Minister may — </w:t>
      </w:r>
    </w:p>
    <w:p>
      <w:pPr>
        <w:pStyle w:val="Indenta"/>
        <w:rPr>
          <w:snapToGrid w:val="0"/>
        </w:rPr>
      </w:pPr>
      <w:r>
        <w:rPr>
          <w:snapToGrid w:val="0"/>
        </w:rPr>
        <w:lastRenderedPageBreak/>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spacing w:before="120"/>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keepNext/>
        <w:rPr>
          <w:snapToGrid w:val="0"/>
        </w:rPr>
      </w:pPr>
      <w:r>
        <w:rPr>
          <w:snapToGrid w:val="0"/>
        </w:rPr>
        <w:tab/>
        <w:t>(b)</w:t>
      </w:r>
      <w:r>
        <w:rPr>
          <w:snapToGrid w:val="0"/>
        </w:rPr>
        <w:tab/>
        <w:t>an approval, consent or exemption under the regulations,</w:t>
      </w:r>
    </w:p>
    <w:p>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spacing w:before="120"/>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keepNext/>
        <w:rPr>
          <w:snapToGrid w:val="0"/>
        </w:rPr>
      </w:pPr>
      <w:r>
        <w:rPr>
          <w:snapToGrid w:val="0"/>
        </w:rPr>
        <w:tab/>
        <w:t>(b)</w:t>
      </w:r>
      <w:r>
        <w:rPr>
          <w:snapToGrid w:val="0"/>
        </w:rPr>
        <w:tab/>
        <w:t>exempt the licence holder from complying with a licence condition,</w:t>
      </w:r>
    </w:p>
    <w:p>
      <w:pPr>
        <w:pStyle w:val="Subsection"/>
        <w:keepNext/>
        <w:keepLines/>
        <w:rPr>
          <w:snapToGrid w:val="0"/>
        </w:rPr>
      </w:pPr>
      <w:r>
        <w:rPr>
          <w:snapToGrid w:val="0"/>
        </w:rPr>
        <w:tab/>
      </w:r>
      <w:r>
        <w:rPr>
          <w:snapToGrid w:val="0"/>
        </w:rPr>
        <w:tab/>
        <w:t>subject to whatever conditions the Minister thinks appropriate.</w:t>
      </w:r>
    </w:p>
    <w:p>
      <w:pPr>
        <w:pStyle w:val="Subsection"/>
        <w:spacing w:before="120"/>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spacing w:before="120"/>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PermNoteHeading"/>
      </w:pPr>
      <w:r>
        <w:tab/>
        <w:t>Note:</w:t>
      </w:r>
    </w:p>
    <w:p>
      <w:pPr>
        <w:pStyle w:val="PermNoteText"/>
        <w:rPr>
          <w:snapToGrid w:val="0"/>
        </w:rPr>
      </w:pPr>
      <w:r>
        <w:rPr>
          <w:snapToGrid w:val="0"/>
        </w:rPr>
        <w:tab/>
      </w:r>
      <w:r>
        <w:rPr>
          <w:snapToGrid w:val="0"/>
        </w:rPr>
        <w:tab/>
        <w:t>A suspension or exemption of a condition does not take effect until registered (see section 337).</w:t>
      </w:r>
    </w:p>
    <w:p>
      <w:pPr>
        <w:pStyle w:val="Heading5"/>
        <w:rPr>
          <w:snapToGrid w:val="0"/>
        </w:rPr>
      </w:pPr>
      <w:bookmarkStart w:id="431" w:name="_Toc166675982"/>
      <w:r>
        <w:rPr>
          <w:rStyle w:val="CharSectno"/>
        </w:rPr>
        <w:lastRenderedPageBreak/>
        <w:t>308</w:t>
      </w:r>
      <w:r>
        <w:rPr>
          <w:snapToGrid w:val="0"/>
        </w:rPr>
        <w:t>.</w:t>
      </w:r>
      <w:r>
        <w:rPr>
          <w:snapToGrid w:val="0"/>
        </w:rPr>
        <w:tab/>
        <w:t>Work practices</w:t>
      </w:r>
      <w:bookmarkEnd w:id="431"/>
      <w:r>
        <w:rPr>
          <w:snapToGrid w:val="0"/>
        </w:rPr>
        <w:t xml:space="preserve"> </w:t>
      </w:r>
    </w:p>
    <w:p>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rPr>
          <w:snapToGrid w:val="0"/>
        </w:rPr>
      </w:pPr>
      <w:r>
        <w:rPr>
          <w:snapToGrid w:val="0"/>
        </w:rPr>
        <w:tab/>
        <w:t>1.</w:t>
      </w:r>
      <w:r>
        <w:rPr>
          <w:snapToGrid w:val="0"/>
        </w:rPr>
        <w:tab/>
        <w:t>The safety of offshore exploration and mining activities is governed by the Mines Safety and Inspection Act 1994 — see the definition of “exploration operations” and paragraphs (a) and (j) of the definition of “mining operations” in section 4(1) of that Act.</w:t>
      </w:r>
    </w:p>
    <w:p>
      <w:pPr>
        <w:pStyle w:val="PermNoteText"/>
        <w:rPr>
          <w:snapToGrid w:val="0"/>
        </w:rPr>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432" w:name="_Toc166675983"/>
      <w:r>
        <w:rPr>
          <w:rStyle w:val="CharSectno"/>
        </w:rPr>
        <w:t>309</w:t>
      </w:r>
      <w:r>
        <w:rPr>
          <w:snapToGrid w:val="0"/>
        </w:rPr>
        <w:t>.</w:t>
      </w:r>
      <w:r>
        <w:rPr>
          <w:snapToGrid w:val="0"/>
        </w:rPr>
        <w:tab/>
        <w:t>Licence holder must keep specified records etc.</w:t>
      </w:r>
      <w:bookmarkEnd w:id="432"/>
      <w:r>
        <w:rPr>
          <w:snapToGrid w:val="0"/>
        </w:rPr>
        <w:t xml:space="preserve"> </w:t>
      </w:r>
    </w:p>
    <w:p>
      <w:pPr>
        <w:pStyle w:val="Subsection"/>
        <w:rPr>
          <w:snapToGrid w:val="0"/>
        </w:rPr>
      </w:pPr>
      <w:r>
        <w:rPr>
          <w:snapToGrid w:val="0"/>
        </w:rPr>
        <w:tab/>
      </w:r>
      <w:r>
        <w:rPr>
          <w:snapToGrid w:val="0"/>
        </w:rPr>
        <w:tab/>
        <w:t>A works licence holder must — </w:t>
      </w:r>
    </w:p>
    <w:p>
      <w:pPr>
        <w:pStyle w:val="Indenta"/>
        <w:rPr>
          <w:snapToGrid w:val="0"/>
        </w:rPr>
      </w:pPr>
      <w:r>
        <w:rPr>
          <w:snapToGrid w:val="0"/>
        </w:rPr>
        <w:tab/>
        <w:t>(a)</w:t>
      </w:r>
      <w:r>
        <w:rPr>
          <w:snapToGrid w:val="0"/>
        </w:rPr>
        <w:tab/>
        <w:t>keep whatever records; and</w:t>
      </w:r>
    </w:p>
    <w:p>
      <w:pPr>
        <w:pStyle w:val="Indenta"/>
        <w:rPr>
          <w:snapToGrid w:val="0"/>
        </w:rPr>
      </w:pPr>
      <w:r>
        <w:rPr>
          <w:snapToGrid w:val="0"/>
        </w:rPr>
        <w:tab/>
        <w:t>(b)</w:t>
      </w:r>
      <w:r>
        <w:rPr>
          <w:snapToGrid w:val="0"/>
        </w:rPr>
        <w:tab/>
        <w:t>give whatever records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lastRenderedPageBreak/>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rPr>
          <w:snapToGrid w:val="0"/>
        </w:rPr>
      </w:pPr>
      <w:r>
        <w:rPr>
          <w:snapToGrid w:val="0"/>
        </w:rPr>
        <w:tab/>
      </w:r>
      <w:r>
        <w:rPr>
          <w:snapToGrid w:val="0"/>
        </w:rPr>
        <w:tab/>
        <w:t>Under sections 386 and 387 the Minister may direct a person to keep records and to make returns.</w:t>
      </w:r>
    </w:p>
    <w:p>
      <w:pPr>
        <w:pStyle w:val="Penstart"/>
        <w:rPr>
          <w:snapToGrid w:val="0"/>
        </w:rPr>
      </w:pPr>
      <w:r>
        <w:rPr>
          <w:snapToGrid w:val="0"/>
        </w:rPr>
        <w:tab/>
        <w:t>Maximum penalty: $10 000.</w:t>
      </w:r>
    </w:p>
    <w:p>
      <w:pPr>
        <w:pStyle w:val="Heading5"/>
        <w:rPr>
          <w:snapToGrid w:val="0"/>
        </w:rPr>
      </w:pPr>
      <w:bookmarkStart w:id="433" w:name="_Toc166675984"/>
      <w:r>
        <w:rPr>
          <w:rStyle w:val="CharSectno"/>
        </w:rPr>
        <w:t>310</w:t>
      </w:r>
      <w:r>
        <w:rPr>
          <w:snapToGrid w:val="0"/>
        </w:rPr>
        <w:t>.</w:t>
      </w:r>
      <w:r>
        <w:rPr>
          <w:snapToGrid w:val="0"/>
        </w:rPr>
        <w:tab/>
        <w:t>Licence holder must assist inspectors</w:t>
      </w:r>
      <w:bookmarkEnd w:id="433"/>
      <w:r>
        <w:rPr>
          <w:snapToGrid w:val="0"/>
        </w:rPr>
        <w:t xml:space="preserve"> </w:t>
      </w:r>
    </w:p>
    <w:p>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PermNoteHeading"/>
      </w:pPr>
      <w:r>
        <w:tab/>
        <w:t>Note:</w:t>
      </w:r>
    </w:p>
    <w:p>
      <w:pPr>
        <w:pStyle w:val="PermNoteText"/>
        <w:rPr>
          <w:snapToGrid w:val="0"/>
        </w:rPr>
      </w:pPr>
      <w:r>
        <w:rPr>
          <w:snapToGrid w:val="0"/>
        </w:rPr>
        <w:tab/>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434" w:name="_Toc166675165"/>
      <w:bookmarkStart w:id="435" w:name="_Toc166675680"/>
      <w:bookmarkStart w:id="436" w:name="_Toc166675985"/>
      <w:r>
        <w:rPr>
          <w:b w:val="0"/>
          <w:snapToGrid w:val="0"/>
        </w:rPr>
        <w:t>Division 6 — Expiry of works licence</w:t>
      </w:r>
      <w:bookmarkEnd w:id="434"/>
      <w:bookmarkEnd w:id="435"/>
      <w:bookmarkEnd w:id="436"/>
    </w:p>
    <w:p>
      <w:pPr>
        <w:pStyle w:val="Heading5"/>
        <w:rPr>
          <w:snapToGrid w:val="0"/>
        </w:rPr>
      </w:pPr>
      <w:bookmarkStart w:id="437" w:name="_Toc166675986"/>
      <w:r>
        <w:rPr>
          <w:rStyle w:val="CharSectno"/>
        </w:rPr>
        <w:t>311</w:t>
      </w:r>
      <w:r>
        <w:rPr>
          <w:snapToGrid w:val="0"/>
        </w:rPr>
        <w:t>.</w:t>
      </w:r>
      <w:r>
        <w:rPr>
          <w:snapToGrid w:val="0"/>
        </w:rPr>
        <w:tab/>
        <w:t>General</w:t>
      </w:r>
      <w:bookmarkEnd w:id="437"/>
      <w:r>
        <w:rPr>
          <w:snapToGrid w:val="0"/>
        </w:rPr>
        <w:t xml:space="preserve"> </w:t>
      </w:r>
    </w:p>
    <w:p>
      <w:pPr>
        <w:pStyle w:val="Subsection"/>
        <w:rPr>
          <w:snapToGrid w:val="0"/>
        </w:rPr>
      </w:pPr>
      <w:r>
        <w:rPr>
          <w:snapToGrid w:val="0"/>
        </w:rPr>
        <w:tab/>
      </w:r>
      <w:r>
        <w:rPr>
          <w:snapToGrid w:val="0"/>
        </w:rPr>
        <w:tab/>
        <w:t>A works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PermNoteHeading"/>
      </w:pPr>
      <w:r>
        <w:tab/>
        <w:t>Note:</w:t>
      </w:r>
    </w:p>
    <w:p>
      <w:pPr>
        <w:pStyle w:val="PermNoteText"/>
        <w:rPr>
          <w:snapToGrid w:val="0"/>
        </w:rPr>
      </w:pPr>
      <w:r>
        <w:rPr>
          <w:snapToGrid w:val="0"/>
        </w:rPr>
        <w:tab/>
      </w:r>
      <w:r>
        <w:rPr>
          <w:snapToGrid w:val="0"/>
        </w:rPr>
        <w:tab/>
        <w:t>For paragraph (a) see Division 4. For paragraph (b) see section 312. For paragraph (c) see section 313.</w:t>
      </w:r>
    </w:p>
    <w:p>
      <w:pPr>
        <w:pStyle w:val="Heading5"/>
        <w:rPr>
          <w:snapToGrid w:val="0"/>
        </w:rPr>
      </w:pPr>
      <w:bookmarkStart w:id="438" w:name="_Toc166675987"/>
      <w:r>
        <w:rPr>
          <w:rStyle w:val="CharSectno"/>
        </w:rPr>
        <w:t>312</w:t>
      </w:r>
      <w:r>
        <w:rPr>
          <w:snapToGrid w:val="0"/>
        </w:rPr>
        <w:t>.</w:t>
      </w:r>
      <w:r>
        <w:rPr>
          <w:snapToGrid w:val="0"/>
        </w:rPr>
        <w:tab/>
        <w:t>Voluntary surrender of works licence</w:t>
      </w:r>
      <w:bookmarkEnd w:id="438"/>
      <w:r>
        <w:rPr>
          <w:snapToGrid w:val="0"/>
        </w:rPr>
        <w:t xml:space="preserve"> </w:t>
      </w:r>
    </w:p>
    <w:p>
      <w:pPr>
        <w:pStyle w:val="Subsection"/>
        <w:rPr>
          <w:snapToGrid w:val="0"/>
        </w:rPr>
      </w:pPr>
      <w:r>
        <w:rPr>
          <w:snapToGrid w:val="0"/>
        </w:rPr>
        <w:tab/>
      </w:r>
      <w:r>
        <w:rPr>
          <w:snapToGrid w:val="0"/>
        </w:rPr>
        <w:tab/>
        <w:t>The holder of a works licence may surrender the licence.</w:t>
      </w:r>
    </w:p>
    <w:p>
      <w:pPr>
        <w:pStyle w:val="PermNoteHeading"/>
      </w:pPr>
      <w:r>
        <w:tab/>
        <w:t>Note:</w:t>
      </w:r>
    </w:p>
    <w:p>
      <w:pPr>
        <w:pStyle w:val="PermNoteText"/>
        <w:rPr>
          <w:snapToGrid w:val="0"/>
        </w:rPr>
      </w:pPr>
      <w:r>
        <w:rPr>
          <w:snapToGrid w:val="0"/>
        </w:rPr>
        <w:tab/>
      </w:r>
      <w:r>
        <w:rPr>
          <w:snapToGrid w:val="0"/>
        </w:rPr>
        <w:tab/>
        <w:t>The surrender takes effect when it is registered under section 337 (see section 337(5)).</w:t>
      </w:r>
    </w:p>
    <w:p>
      <w:pPr>
        <w:pStyle w:val="Heading5"/>
        <w:rPr>
          <w:snapToGrid w:val="0"/>
        </w:rPr>
      </w:pPr>
      <w:bookmarkStart w:id="439" w:name="_Toc166675988"/>
      <w:r>
        <w:rPr>
          <w:rStyle w:val="CharSectno"/>
        </w:rPr>
        <w:lastRenderedPageBreak/>
        <w:t>313</w:t>
      </w:r>
      <w:r>
        <w:rPr>
          <w:snapToGrid w:val="0"/>
        </w:rPr>
        <w:t>.</w:t>
      </w:r>
      <w:r>
        <w:rPr>
          <w:snapToGrid w:val="0"/>
        </w:rPr>
        <w:tab/>
        <w:t>Cancellation of works licence</w:t>
      </w:r>
      <w:bookmarkEnd w:id="439"/>
      <w:r>
        <w:rPr>
          <w:snapToGrid w:val="0"/>
        </w:rPr>
        <w:t xml:space="preserve"> </w:t>
      </w:r>
    </w:p>
    <w:p>
      <w:pPr>
        <w:pStyle w:val="Subsection"/>
        <w:rPr>
          <w:snapToGrid w:val="0"/>
        </w:rPr>
      </w:pPr>
      <w:r>
        <w:rPr>
          <w:snapToGrid w:val="0"/>
        </w:rPr>
        <w:tab/>
        <w:t>(1)</w:t>
      </w:r>
      <w:r>
        <w:rPr>
          <w:snapToGrid w:val="0"/>
        </w:rPr>
        <w:tab/>
        <w:t>Subject to subsection (5), the Minister may cancel a works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Subsection"/>
        <w:keepNext/>
        <w:keepLines/>
        <w:rPr>
          <w:snapToGrid w:val="0"/>
        </w:rPr>
      </w:pPr>
      <w:r>
        <w:rPr>
          <w:snapToGrid w:val="0"/>
        </w:rPr>
        <w:tab/>
        <w:t>(3)</w:t>
      </w:r>
      <w:r>
        <w:rPr>
          <w:snapToGrid w:val="0"/>
        </w:rPr>
        <w:tab/>
        <w:t>The notice must — </w:t>
      </w:r>
    </w:p>
    <w:p>
      <w:pPr>
        <w:pStyle w:val="Indenta"/>
        <w:keepNext/>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a works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440" w:name="_Toc166675989"/>
      <w:r>
        <w:rPr>
          <w:rStyle w:val="CharSectno"/>
        </w:rPr>
        <w:t>314</w:t>
      </w:r>
      <w:r>
        <w:rPr>
          <w:snapToGrid w:val="0"/>
        </w:rPr>
        <w:t>.</w:t>
      </w:r>
      <w:r>
        <w:rPr>
          <w:snapToGrid w:val="0"/>
        </w:rPr>
        <w:tab/>
        <w:t>Obligations of former works licence holders and former associates</w:t>
      </w:r>
      <w:bookmarkEnd w:id="440"/>
      <w:r>
        <w:rPr>
          <w:snapToGrid w:val="0"/>
        </w:rPr>
        <w:t xml:space="preserve"> </w:t>
      </w:r>
    </w:p>
    <w:p>
      <w:pPr>
        <w:pStyle w:val="Subsection"/>
        <w:rPr>
          <w:snapToGrid w:val="0"/>
        </w:rPr>
      </w:pPr>
      <w:r>
        <w:rPr>
          <w:snapToGrid w:val="0"/>
        </w:rPr>
        <w:tab/>
        <w:t>(1)</w:t>
      </w:r>
      <w:r>
        <w:rPr>
          <w:snapToGrid w:val="0"/>
        </w:rPr>
        <w:tab/>
        <w:t>Subject to subsection (2),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works licence holder; or</w:t>
      </w:r>
    </w:p>
    <w:p>
      <w:pPr>
        <w:pStyle w:val="Indenti"/>
        <w:rPr>
          <w:snapToGrid w:val="0"/>
        </w:rPr>
      </w:pPr>
      <w:r>
        <w:rPr>
          <w:snapToGrid w:val="0"/>
        </w:rPr>
        <w:tab/>
        <w:t>(ii)</w:t>
      </w:r>
      <w:r>
        <w:rPr>
          <w:snapToGrid w:val="0"/>
        </w:rPr>
        <w:tab/>
        <w:t xml:space="preserve">an associate of a works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works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lastRenderedPageBreak/>
        <w:tab/>
        <w:t>(3)</w:t>
      </w:r>
      <w:r>
        <w:rPr>
          <w:snapToGrid w:val="0"/>
        </w:rPr>
        <w:tab/>
        <w:t>A determination under subsection (2) is to be in writing.</w:t>
      </w:r>
    </w:p>
    <w:p>
      <w:pPr>
        <w:pStyle w:val="Heading3"/>
        <w:pageBreakBefore/>
      </w:pPr>
      <w:bookmarkStart w:id="441" w:name="_Toc166675170"/>
      <w:bookmarkStart w:id="442" w:name="_Toc166675685"/>
      <w:bookmarkStart w:id="443" w:name="_Toc166675990"/>
      <w:r>
        <w:rPr>
          <w:rStyle w:val="CharDivNo"/>
        </w:rPr>
        <w:lastRenderedPageBreak/>
        <w:t>Part 2.6</w:t>
      </w:r>
      <w:r>
        <w:rPr>
          <w:snapToGrid w:val="0"/>
        </w:rPr>
        <w:t xml:space="preserve"> — </w:t>
      </w:r>
      <w:r>
        <w:rPr>
          <w:rStyle w:val="CharDivText"/>
        </w:rPr>
        <w:t>Special purpose consents</w:t>
      </w:r>
      <w:bookmarkEnd w:id="441"/>
      <w:bookmarkEnd w:id="442"/>
      <w:bookmarkEnd w:id="443"/>
    </w:p>
    <w:p>
      <w:pPr>
        <w:pStyle w:val="Heading5"/>
        <w:rPr>
          <w:snapToGrid w:val="0"/>
        </w:rPr>
      </w:pPr>
      <w:bookmarkStart w:id="444" w:name="_Toc166675991"/>
      <w:r>
        <w:rPr>
          <w:rStyle w:val="CharSectno"/>
        </w:rPr>
        <w:t>315</w:t>
      </w:r>
      <w:r>
        <w:rPr>
          <w:snapToGrid w:val="0"/>
        </w:rPr>
        <w:t>.</w:t>
      </w:r>
      <w:r>
        <w:rPr>
          <w:snapToGrid w:val="0"/>
        </w:rPr>
        <w:tab/>
        <w:t>Special purpose consents</w:t>
      </w:r>
      <w:bookmarkEnd w:id="444"/>
      <w:r>
        <w:rPr>
          <w:snapToGrid w:val="0"/>
        </w:rPr>
        <w:t xml:space="preserve"> </w:t>
      </w:r>
    </w:p>
    <w:p>
      <w:pPr>
        <w:pStyle w:val="Subsection"/>
        <w:rPr>
          <w:snapToGrid w:val="0"/>
        </w:rPr>
      </w:pPr>
      <w:r>
        <w:rPr>
          <w:snapToGrid w:val="0"/>
        </w:rPr>
        <w:tab/>
        <w:t>(1)</w:t>
      </w:r>
      <w:r>
        <w:rPr>
          <w:snapToGrid w:val="0"/>
        </w:rPr>
        <w:tab/>
        <w:t>A special purpose consent may be granted over — </w:t>
      </w:r>
    </w:p>
    <w:p>
      <w:pPr>
        <w:pStyle w:val="Indenta"/>
        <w:rPr>
          <w:snapToGrid w:val="0"/>
        </w:rPr>
      </w:pPr>
      <w:r>
        <w:rPr>
          <w:snapToGrid w:val="0"/>
        </w:rPr>
        <w:tab/>
        <w:t>(a)</w:t>
      </w:r>
      <w:r>
        <w:rPr>
          <w:snapToGrid w:val="0"/>
        </w:rPr>
        <w:tab/>
        <w:t>a standard block; or</w:t>
      </w:r>
    </w:p>
    <w:p>
      <w:pPr>
        <w:pStyle w:val="Indenta"/>
        <w:rPr>
          <w:snapToGrid w:val="0"/>
        </w:rPr>
      </w:pPr>
      <w:r>
        <w:rPr>
          <w:snapToGrid w:val="0"/>
        </w:rPr>
        <w:tab/>
        <w:t>(b)</w:t>
      </w:r>
      <w:r>
        <w:rPr>
          <w:snapToGrid w:val="0"/>
        </w:rPr>
        <w:tab/>
        <w:t>a reserved block; or</w:t>
      </w:r>
    </w:p>
    <w:p>
      <w:pPr>
        <w:pStyle w:val="Indenta"/>
        <w:rPr>
          <w:snapToGrid w:val="0"/>
        </w:rPr>
      </w:pPr>
      <w:r>
        <w:rPr>
          <w:snapToGrid w:val="0"/>
        </w:rPr>
        <w:tab/>
        <w:t>(c)</w:t>
      </w:r>
      <w:r>
        <w:rPr>
          <w:snapToGrid w:val="0"/>
        </w:rPr>
        <w:tab/>
        <w:t>a tender block.</w:t>
      </w:r>
    </w:p>
    <w:p>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Subsection"/>
        <w:rPr>
          <w:snapToGrid w:val="0"/>
        </w:rPr>
      </w:pPr>
      <w:r>
        <w:rPr>
          <w:snapToGrid w:val="0"/>
        </w:rPr>
        <w:tab/>
        <w:t>(3)</w:t>
      </w:r>
      <w:r>
        <w:rPr>
          <w:snapToGrid w:val="0"/>
        </w:rPr>
        <w:tab/>
        <w:t>A special purpose consent can only be granted for — </w:t>
      </w:r>
    </w:p>
    <w:p>
      <w:pPr>
        <w:pStyle w:val="Indenta"/>
        <w:rPr>
          <w:snapToGrid w:val="0"/>
        </w:rPr>
      </w:pPr>
      <w:r>
        <w:rPr>
          <w:snapToGrid w:val="0"/>
        </w:rPr>
        <w:tab/>
        <w:t>(a)</w:t>
      </w:r>
      <w:r>
        <w:rPr>
          <w:snapToGrid w:val="0"/>
        </w:rPr>
        <w:tab/>
        <w:t>a scientific investigation; or</w:t>
      </w:r>
    </w:p>
    <w:p>
      <w:pPr>
        <w:pStyle w:val="Indenta"/>
        <w:rPr>
          <w:snapToGrid w:val="0"/>
        </w:rPr>
      </w:pPr>
      <w:r>
        <w:rPr>
          <w:snapToGrid w:val="0"/>
        </w:rPr>
        <w:tab/>
        <w:t>(b)</w:t>
      </w:r>
      <w:r>
        <w:rPr>
          <w:snapToGrid w:val="0"/>
        </w:rPr>
        <w:tab/>
        <w:t>a reconnaissance survey; or</w:t>
      </w:r>
    </w:p>
    <w:p>
      <w:pPr>
        <w:pStyle w:val="Indenta"/>
        <w:rPr>
          <w:snapToGrid w:val="0"/>
        </w:rPr>
      </w:pPr>
      <w:r>
        <w:rPr>
          <w:snapToGrid w:val="0"/>
        </w:rPr>
        <w:tab/>
        <w:t>(c)</w:t>
      </w:r>
      <w:r>
        <w:rPr>
          <w:snapToGrid w:val="0"/>
        </w:rPr>
        <w:tab/>
        <w:t>the collection of small amounts of minerals.</w:t>
      </w:r>
    </w:p>
    <w:p>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Heading5"/>
        <w:rPr>
          <w:snapToGrid w:val="0"/>
        </w:rPr>
      </w:pPr>
      <w:bookmarkStart w:id="445" w:name="_Toc166675992"/>
      <w:r>
        <w:rPr>
          <w:rStyle w:val="CharSectno"/>
        </w:rPr>
        <w:t>316</w:t>
      </w:r>
      <w:r>
        <w:rPr>
          <w:snapToGrid w:val="0"/>
        </w:rPr>
        <w:t>.</w:t>
      </w:r>
      <w:r>
        <w:rPr>
          <w:snapToGrid w:val="0"/>
        </w:rPr>
        <w:tab/>
        <w:t>Activities authorised by a special purpose consent</w:t>
      </w:r>
      <w:bookmarkEnd w:id="445"/>
      <w:r>
        <w:rPr>
          <w:snapToGrid w:val="0"/>
        </w:rPr>
        <w:t xml:space="preserve"> </w:t>
      </w:r>
    </w:p>
    <w:p>
      <w:pPr>
        <w:pStyle w:val="Subsection"/>
        <w:rPr>
          <w:snapToGrid w:val="0"/>
        </w:rPr>
      </w:pPr>
      <w:r>
        <w:rPr>
          <w:snapToGrid w:val="0"/>
        </w:rPr>
        <w:tab/>
        <w:t>(1)</w:t>
      </w:r>
      <w:r>
        <w:rPr>
          <w:snapToGrid w:val="0"/>
        </w:rPr>
        <w:tab/>
        <w:t>A special purpose consent holder may — </w:t>
      </w:r>
    </w:p>
    <w:p>
      <w:pPr>
        <w:pStyle w:val="Indenta"/>
        <w:rPr>
          <w:snapToGrid w:val="0"/>
        </w:rPr>
      </w:pPr>
      <w:r>
        <w:rPr>
          <w:snapToGrid w:val="0"/>
        </w:rPr>
        <w:tab/>
        <w:t>(a)</w:t>
      </w:r>
      <w:r>
        <w:rPr>
          <w:snapToGrid w:val="0"/>
        </w:rPr>
        <w:tab/>
        <w:t>explore for minerals; and</w:t>
      </w:r>
    </w:p>
    <w:p>
      <w:pPr>
        <w:pStyle w:val="Indenta"/>
        <w:rPr>
          <w:snapToGrid w:val="0"/>
        </w:rPr>
      </w:pPr>
      <w:r>
        <w:rPr>
          <w:snapToGrid w:val="0"/>
        </w:rPr>
        <w:tab/>
        <w:t>(b)</w:t>
      </w:r>
      <w:r>
        <w:rPr>
          <w:snapToGrid w:val="0"/>
        </w:rPr>
        <w:tab/>
        <w:t>take samples of or recover minerals,</w:t>
      </w:r>
    </w:p>
    <w:p>
      <w:pPr>
        <w:pStyle w:val="Subsection"/>
        <w:rPr>
          <w:snapToGrid w:val="0"/>
        </w:rPr>
      </w:pPr>
      <w:r>
        <w:rPr>
          <w:snapToGrid w:val="0"/>
        </w:rPr>
        <w:tab/>
      </w:r>
      <w:r>
        <w:rPr>
          <w:snapToGrid w:val="0"/>
        </w:rPr>
        <w:tab/>
        <w:t>in the consent area, in accordance with the consent.</w:t>
      </w:r>
    </w:p>
    <w:p>
      <w:pPr>
        <w:pStyle w:val="PermNoteHeading"/>
      </w:pPr>
      <w:r>
        <w:tab/>
        <w:t>Note:</w:t>
      </w:r>
    </w:p>
    <w:p>
      <w:pPr>
        <w:pStyle w:val="PermNoteText"/>
        <w:rPr>
          <w:snapToGrid w:val="0"/>
        </w:rPr>
      </w:pPr>
      <w:r>
        <w:rPr>
          <w:snapToGrid w:val="0"/>
        </w:rPr>
        <w:tab/>
        <w:t>1.</w:t>
      </w:r>
      <w:r>
        <w:rPr>
          <w:snapToGrid w:val="0"/>
        </w:rPr>
        <w:tab/>
        <w:t>Under section 23(1) the concept of “exploration” extends to activities that are directly related to exploration.</w:t>
      </w:r>
    </w:p>
    <w:p>
      <w:pPr>
        <w:pStyle w:val="PermNoteText"/>
        <w:rPr>
          <w:snapToGrid w:val="0"/>
        </w:rPr>
      </w:pPr>
      <w:r>
        <w:rPr>
          <w:snapToGrid w:val="0"/>
        </w:rPr>
        <w:tab/>
        <w:t>2.</w:t>
      </w:r>
      <w:r>
        <w:rPr>
          <w:snapToGrid w:val="0"/>
        </w:rPr>
        <w:tab/>
        <w:t>Under section 24(1) the concept of “recovery” extends to activities that are directly related to the recovery of minerals.</w:t>
      </w:r>
    </w:p>
    <w:p>
      <w:pPr>
        <w:pStyle w:val="Subsection"/>
        <w:keepNext/>
        <w:keepLines/>
        <w:rPr>
          <w:snapToGrid w:val="0"/>
        </w:rPr>
      </w:pPr>
      <w:r>
        <w:rPr>
          <w:snapToGrid w:val="0"/>
        </w:rPr>
        <w:lastRenderedPageBreak/>
        <w:tab/>
        <w:t>(2)</w:t>
      </w:r>
      <w:r>
        <w:rPr>
          <w:snapToGrid w:val="0"/>
        </w:rPr>
        <w:tab/>
        <w:t>The grant of a consent does not give the consent holder — </w:t>
      </w:r>
    </w:p>
    <w:p>
      <w:pPr>
        <w:pStyle w:val="Indenta"/>
        <w:keepNext/>
        <w:rPr>
          <w:snapToGrid w:val="0"/>
        </w:rPr>
      </w:pPr>
      <w:r>
        <w:rPr>
          <w:snapToGrid w:val="0"/>
        </w:rPr>
        <w:tab/>
        <w:t>(a)</w:t>
      </w:r>
      <w:r>
        <w:rPr>
          <w:snapToGrid w:val="0"/>
        </w:rPr>
        <w:tab/>
        <w:t>any exclusive or proprietary rights over the blocks covered by the consent; or</w:t>
      </w:r>
    </w:p>
    <w:p>
      <w:pPr>
        <w:pStyle w:val="Indenta"/>
        <w:rPr>
          <w:snapToGrid w:val="0"/>
        </w:rPr>
      </w:pPr>
      <w:r>
        <w:rPr>
          <w:snapToGrid w:val="0"/>
        </w:rPr>
        <w:tab/>
        <w:t>(b)</w:t>
      </w:r>
      <w:r>
        <w:rPr>
          <w:snapToGrid w:val="0"/>
        </w:rPr>
        <w:tab/>
        <w:t>any option or preference when it comes to the grant of a licence over blocks covered by the consent.</w:t>
      </w:r>
    </w:p>
    <w:p>
      <w:pPr>
        <w:pStyle w:val="Heading5"/>
        <w:rPr>
          <w:snapToGrid w:val="0"/>
        </w:rPr>
      </w:pPr>
      <w:bookmarkStart w:id="446" w:name="_Toc166675993"/>
      <w:r>
        <w:rPr>
          <w:rStyle w:val="CharSectno"/>
        </w:rPr>
        <w:t>317</w:t>
      </w:r>
      <w:r>
        <w:rPr>
          <w:snapToGrid w:val="0"/>
        </w:rPr>
        <w:t>.</w:t>
      </w:r>
      <w:r>
        <w:rPr>
          <w:snapToGrid w:val="0"/>
        </w:rPr>
        <w:tab/>
        <w:t>Application for a consent</w:t>
      </w:r>
      <w:bookmarkEnd w:id="446"/>
      <w:r>
        <w:rPr>
          <w:snapToGrid w:val="0"/>
        </w:rPr>
        <w:t xml:space="preserve"> </w:t>
      </w:r>
    </w:p>
    <w:p>
      <w:pPr>
        <w:pStyle w:val="Subsection"/>
        <w:rPr>
          <w:snapToGrid w:val="0"/>
        </w:rPr>
      </w:pPr>
      <w:r>
        <w:rPr>
          <w:snapToGrid w:val="0"/>
        </w:rPr>
        <w:tab/>
      </w:r>
      <w:r>
        <w:rPr>
          <w:snapToGrid w:val="0"/>
        </w:rPr>
        <w:tab/>
        <w:t>A person may apply to the Minister for a special purpose consent.</w:t>
      </w:r>
    </w:p>
    <w:p>
      <w:pPr>
        <w:pStyle w:val="Heading5"/>
        <w:rPr>
          <w:snapToGrid w:val="0"/>
        </w:rPr>
      </w:pPr>
      <w:bookmarkStart w:id="447" w:name="_Toc166675994"/>
      <w:r>
        <w:rPr>
          <w:rStyle w:val="CharSectno"/>
        </w:rPr>
        <w:t>318</w:t>
      </w:r>
      <w:r>
        <w:rPr>
          <w:snapToGrid w:val="0"/>
        </w:rPr>
        <w:t>.</w:t>
      </w:r>
      <w:r>
        <w:rPr>
          <w:snapToGrid w:val="0"/>
        </w:rPr>
        <w:tab/>
        <w:t>How to apply</w:t>
      </w:r>
      <w:bookmarkEnd w:id="447"/>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include details of the activities for which consent is being sought; and</w:t>
      </w:r>
    </w:p>
    <w:p>
      <w:pPr>
        <w:pStyle w:val="Indenta"/>
        <w:rPr>
          <w:snapToGrid w:val="0"/>
        </w:rPr>
      </w:pPr>
      <w:r>
        <w:rPr>
          <w:snapToGrid w:val="0"/>
        </w:rPr>
        <w:tab/>
        <w:t>(c)</w:t>
      </w:r>
      <w:r>
        <w:rPr>
          <w:snapToGrid w:val="0"/>
        </w:rPr>
        <w:tab/>
        <w:t>specify the blocks for which the consent is being sought.</w:t>
      </w:r>
    </w:p>
    <w:p>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Indenta"/>
        <w:rPr>
          <w:snapToGrid w:val="0"/>
        </w:rPr>
      </w:pPr>
      <w:r>
        <w:rPr>
          <w:snapToGrid w:val="0"/>
        </w:rPr>
        <w:tab/>
        <w:t>(a)</w:t>
      </w:r>
      <w:r>
        <w:rPr>
          <w:snapToGrid w:val="0"/>
        </w:rPr>
        <w:tab/>
        <w:t>any mineral to be recovered; and</w:t>
      </w:r>
    </w:p>
    <w:p>
      <w:pPr>
        <w:pStyle w:val="Indenta"/>
        <w:rPr>
          <w:snapToGrid w:val="0"/>
        </w:rPr>
      </w:pPr>
      <w:r>
        <w:rPr>
          <w:snapToGrid w:val="0"/>
        </w:rPr>
        <w:tab/>
        <w:t>(b)</w:t>
      </w:r>
      <w:r>
        <w:rPr>
          <w:snapToGrid w:val="0"/>
        </w:rPr>
        <w:tab/>
        <w:t>the proposed quantity of any mineral to be recovered.</w:t>
      </w:r>
    </w:p>
    <w:p>
      <w:pPr>
        <w:pStyle w:val="Heading5"/>
        <w:rPr>
          <w:snapToGrid w:val="0"/>
        </w:rPr>
      </w:pPr>
      <w:bookmarkStart w:id="448" w:name="_Toc166675995"/>
      <w:r>
        <w:rPr>
          <w:rStyle w:val="CharSectno"/>
        </w:rPr>
        <w:t>319</w:t>
      </w:r>
      <w:r>
        <w:rPr>
          <w:snapToGrid w:val="0"/>
        </w:rPr>
        <w:t>.</w:t>
      </w:r>
      <w:r>
        <w:rPr>
          <w:snapToGrid w:val="0"/>
        </w:rPr>
        <w:tab/>
        <w:t>Payment of fee</w:t>
      </w:r>
      <w:bookmarkEnd w:id="448"/>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449" w:name="_Toc166675996"/>
      <w:r>
        <w:rPr>
          <w:rStyle w:val="CharSectno"/>
        </w:rPr>
        <w:lastRenderedPageBreak/>
        <w:t>320</w:t>
      </w:r>
      <w:r>
        <w:rPr>
          <w:snapToGrid w:val="0"/>
        </w:rPr>
        <w:t>.</w:t>
      </w:r>
      <w:r>
        <w:rPr>
          <w:snapToGrid w:val="0"/>
        </w:rPr>
        <w:tab/>
        <w:t>Applicant must obtain agreement of exploration, retention and mining licence holders affected by the application</w:t>
      </w:r>
      <w:bookmarkEnd w:id="449"/>
      <w:r>
        <w:rPr>
          <w:snapToGrid w:val="0"/>
        </w:rPr>
        <w:t xml:space="preserve"> </w:t>
      </w:r>
    </w:p>
    <w:p>
      <w:pPr>
        <w:pStyle w:val="Subsection"/>
        <w:rPr>
          <w:snapToGrid w:val="0"/>
        </w:rPr>
      </w:pPr>
      <w:r>
        <w:rPr>
          <w:snapToGrid w:val="0"/>
        </w:rPr>
        <w:tab/>
        <w:t>(1)</w:t>
      </w:r>
      <w:r>
        <w:rPr>
          <w:snapToGrid w:val="0"/>
        </w:rPr>
        <w:tab/>
        <w:t>Subject to subsection (3), the applicant must obtain the agreement of interested licence holders to the application.</w:t>
      </w:r>
    </w:p>
    <w:p>
      <w:pPr>
        <w:pStyle w:val="Subsection"/>
        <w:rPr>
          <w:snapToGrid w:val="0"/>
        </w:rPr>
      </w:pPr>
      <w:r>
        <w:rPr>
          <w:snapToGrid w:val="0"/>
        </w:rPr>
        <w:tab/>
        <w:t>(2)</w:t>
      </w:r>
      <w:r>
        <w:rPr>
          <w:snapToGrid w:val="0"/>
        </w:rPr>
        <w:tab/>
        <w:t>The agreement must be in writing.</w:t>
      </w:r>
    </w:p>
    <w:p>
      <w:pPr>
        <w:pStyle w:val="Subsection"/>
        <w:rPr>
          <w:snapToGrid w:val="0"/>
        </w:rPr>
      </w:pPr>
      <w:r>
        <w:rPr>
          <w:snapToGrid w:val="0"/>
        </w:rPr>
        <w:tab/>
        <w:t>(3)</w:t>
      </w:r>
      <w:r>
        <w:rPr>
          <w:snapToGrid w:val="0"/>
        </w:rPr>
        <w:tab/>
        <w:t>The agreement of an interested licence holder is not necessary if — </w:t>
      </w:r>
    </w:p>
    <w:p>
      <w:pPr>
        <w:pStyle w:val="Indenta"/>
        <w:rPr>
          <w:snapToGrid w:val="0"/>
        </w:rPr>
      </w:pPr>
      <w:r>
        <w:rPr>
          <w:snapToGrid w:val="0"/>
        </w:rPr>
        <w:tab/>
        <w:t>(a)</w:t>
      </w:r>
      <w:r>
        <w:rPr>
          <w:snapToGrid w:val="0"/>
        </w:rPr>
        <w:tab/>
        <w:t>the application is for a scientific investigation; and</w:t>
      </w:r>
    </w:p>
    <w:p>
      <w:pPr>
        <w:pStyle w:val="Indenta"/>
        <w:rPr>
          <w:snapToGrid w:val="0"/>
        </w:rPr>
      </w:pPr>
      <w:r>
        <w:rPr>
          <w:snapToGrid w:val="0"/>
        </w:rPr>
        <w:tab/>
        <w:t>(b)</w:t>
      </w:r>
      <w:r>
        <w:rPr>
          <w:snapToGrid w:val="0"/>
        </w:rPr>
        <w:tab/>
        <w:t>Australia has obligations under international conventions to allow the investigation.</w:t>
      </w:r>
    </w:p>
    <w:p>
      <w:pPr>
        <w:pStyle w:val="Subsection"/>
        <w:rPr>
          <w:snapToGrid w:val="0"/>
        </w:rPr>
      </w:pPr>
      <w:r>
        <w:rPr>
          <w:snapToGrid w:val="0"/>
        </w:rPr>
        <w:tab/>
        <w:t>(4)</w:t>
      </w:r>
      <w:r>
        <w:rPr>
          <w:snapToGrid w:val="0"/>
        </w:rPr>
        <w:tab/>
        <w:t>For the purposes of this section, a licence holder is interested if — </w:t>
      </w:r>
    </w:p>
    <w:p>
      <w:pPr>
        <w:pStyle w:val="Indenta"/>
        <w:rPr>
          <w:snapToGrid w:val="0"/>
        </w:rPr>
      </w:pPr>
      <w:r>
        <w:rPr>
          <w:snapToGrid w:val="0"/>
        </w:rPr>
        <w:tab/>
        <w:t>(a)</w:t>
      </w:r>
      <w:r>
        <w:rPr>
          <w:snapToGrid w:val="0"/>
        </w:rPr>
        <w:tab/>
        <w:t>the holder holds an exploration, retention or mining licence; and</w:t>
      </w:r>
    </w:p>
    <w:p>
      <w:pPr>
        <w:pStyle w:val="Indenta"/>
        <w:rPr>
          <w:snapToGrid w:val="0"/>
        </w:rPr>
      </w:pPr>
      <w:r>
        <w:rPr>
          <w:snapToGrid w:val="0"/>
        </w:rPr>
        <w:tab/>
        <w:t>(b)</w:t>
      </w:r>
      <w:r>
        <w:rPr>
          <w:snapToGrid w:val="0"/>
        </w:rPr>
        <w:tab/>
        <w:t>the block concerned is inside the licence area.</w:t>
      </w:r>
    </w:p>
    <w:p>
      <w:pPr>
        <w:pStyle w:val="Heading5"/>
        <w:rPr>
          <w:snapToGrid w:val="0"/>
        </w:rPr>
      </w:pPr>
      <w:bookmarkStart w:id="450" w:name="_Toc166675997"/>
      <w:r>
        <w:rPr>
          <w:rStyle w:val="CharSectno"/>
        </w:rPr>
        <w:t>321</w:t>
      </w:r>
      <w:r>
        <w:rPr>
          <w:snapToGrid w:val="0"/>
        </w:rPr>
        <w:t>.</w:t>
      </w:r>
      <w:r>
        <w:rPr>
          <w:snapToGrid w:val="0"/>
        </w:rPr>
        <w:tab/>
        <w:t>Applicant to notify works licence holders affected by the application</w:t>
      </w:r>
      <w:bookmarkEnd w:id="450"/>
      <w:r>
        <w:rPr>
          <w:snapToGrid w:val="0"/>
        </w:rPr>
        <w:t xml:space="preserve"> </w:t>
      </w:r>
    </w:p>
    <w:p>
      <w:pPr>
        <w:pStyle w:val="Subsection"/>
        <w:rPr>
          <w:snapToGrid w:val="0"/>
        </w:rPr>
      </w:pPr>
      <w:r>
        <w:rPr>
          <w:snapToGrid w:val="0"/>
        </w:rPr>
        <w:tab/>
        <w:t>(1)</w:t>
      </w:r>
      <w:r>
        <w:rPr>
          <w:snapToGrid w:val="0"/>
        </w:rPr>
        <w:tab/>
        <w:t>The applicant must notify interested works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works licence holders in writing; and</w:t>
      </w:r>
    </w:p>
    <w:p>
      <w:pPr>
        <w:pStyle w:val="Indenta"/>
        <w:rPr>
          <w:snapToGrid w:val="0"/>
        </w:rPr>
      </w:pPr>
      <w:r>
        <w:rPr>
          <w:snapToGrid w:val="0"/>
        </w:rPr>
        <w:tab/>
        <w:t>(b)</w:t>
      </w:r>
      <w:r>
        <w:rPr>
          <w:snapToGrid w:val="0"/>
        </w:rPr>
        <w:tab/>
        <w:t>must give details of the special purpose consent applied for; and</w:t>
      </w:r>
    </w:p>
    <w:p>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Heading5"/>
        <w:rPr>
          <w:snapToGrid w:val="0"/>
        </w:rPr>
      </w:pPr>
      <w:bookmarkStart w:id="451" w:name="_Toc166675998"/>
      <w:r>
        <w:rPr>
          <w:rStyle w:val="CharSectno"/>
        </w:rPr>
        <w:lastRenderedPageBreak/>
        <w:t>322</w:t>
      </w:r>
      <w:r>
        <w:rPr>
          <w:snapToGrid w:val="0"/>
        </w:rPr>
        <w:t>.</w:t>
      </w:r>
      <w:r>
        <w:rPr>
          <w:snapToGrid w:val="0"/>
        </w:rPr>
        <w:tab/>
        <w:t>Section number not used</w:t>
      </w:r>
      <w:bookmarkEnd w:id="45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52" w:name="_Toc166675999"/>
      <w:r>
        <w:rPr>
          <w:rStyle w:val="CharSectno"/>
        </w:rPr>
        <w:t>323</w:t>
      </w:r>
      <w:r>
        <w:rPr>
          <w:snapToGrid w:val="0"/>
        </w:rPr>
        <w:t>.</w:t>
      </w:r>
      <w:r>
        <w:rPr>
          <w:snapToGrid w:val="0"/>
        </w:rPr>
        <w:tab/>
        <w:t>Minister may grant special purpose consent</w:t>
      </w:r>
      <w:bookmarkEnd w:id="452"/>
      <w:r>
        <w:rPr>
          <w:snapToGrid w:val="0"/>
        </w:rPr>
        <w:t xml:space="preserve"> </w:t>
      </w:r>
    </w:p>
    <w:p>
      <w:pPr>
        <w:pStyle w:val="Subsection"/>
        <w:rPr>
          <w:snapToGrid w:val="0"/>
        </w:rPr>
      </w:pPr>
      <w:r>
        <w:rPr>
          <w:snapToGrid w:val="0"/>
        </w:rPr>
        <w:tab/>
      </w:r>
      <w:r>
        <w:rPr>
          <w:snapToGrid w:val="0"/>
        </w:rPr>
        <w:tab/>
        <w:t>If the applicant does what is required by sections 318 to 321, the Minister may — </w:t>
      </w:r>
    </w:p>
    <w:p>
      <w:pPr>
        <w:pStyle w:val="Indenta"/>
        <w:rPr>
          <w:snapToGrid w:val="0"/>
        </w:rPr>
      </w:pPr>
      <w:r>
        <w:rPr>
          <w:snapToGrid w:val="0"/>
        </w:rPr>
        <w:tab/>
        <w:t>(a)</w:t>
      </w:r>
      <w:r>
        <w:rPr>
          <w:snapToGrid w:val="0"/>
        </w:rPr>
        <w:tab/>
        <w:t>grant a special purpose consent to the applicant; or</w:t>
      </w:r>
    </w:p>
    <w:p>
      <w:pPr>
        <w:pStyle w:val="Indenta"/>
        <w:rPr>
          <w:snapToGrid w:val="0"/>
        </w:rPr>
      </w:pPr>
      <w:r>
        <w:rPr>
          <w:snapToGrid w:val="0"/>
        </w:rPr>
        <w:tab/>
        <w:t>(b)</w:t>
      </w:r>
      <w:r>
        <w:rPr>
          <w:snapToGrid w:val="0"/>
        </w:rPr>
        <w:tab/>
        <w:t>refuse the application.</w:t>
      </w:r>
    </w:p>
    <w:p>
      <w:pPr>
        <w:pStyle w:val="Heading5"/>
        <w:rPr>
          <w:snapToGrid w:val="0"/>
        </w:rPr>
      </w:pPr>
      <w:bookmarkStart w:id="453" w:name="_Toc166676000"/>
      <w:r>
        <w:rPr>
          <w:rStyle w:val="CharSectno"/>
        </w:rPr>
        <w:t>324</w:t>
      </w:r>
      <w:r>
        <w:rPr>
          <w:snapToGrid w:val="0"/>
        </w:rPr>
        <w:t>.</w:t>
      </w:r>
      <w:r>
        <w:rPr>
          <w:snapToGrid w:val="0"/>
        </w:rPr>
        <w:tab/>
        <w:t>Section number not used</w:t>
      </w:r>
      <w:bookmarkEnd w:id="45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54" w:name="_Toc166676001"/>
      <w:r>
        <w:rPr>
          <w:rStyle w:val="CharSectno"/>
        </w:rPr>
        <w:t>325</w:t>
      </w:r>
      <w:r>
        <w:rPr>
          <w:snapToGrid w:val="0"/>
        </w:rPr>
        <w:t>.</w:t>
      </w:r>
      <w:r>
        <w:rPr>
          <w:snapToGrid w:val="0"/>
        </w:rPr>
        <w:tab/>
        <w:t>Matters to be specified in the consent</w:t>
      </w:r>
      <w:bookmarkEnd w:id="454"/>
      <w:r>
        <w:rPr>
          <w:snapToGrid w:val="0"/>
        </w:rPr>
        <w:t xml:space="preserve"> </w:t>
      </w:r>
    </w:p>
    <w:p>
      <w:pPr>
        <w:pStyle w:val="Subsection"/>
        <w:rPr>
          <w:snapToGrid w:val="0"/>
        </w:rPr>
      </w:pPr>
      <w:r>
        <w:rPr>
          <w:snapToGrid w:val="0"/>
        </w:rPr>
        <w:tab/>
        <w:t>(1)</w:t>
      </w:r>
      <w:r>
        <w:rPr>
          <w:snapToGrid w:val="0"/>
        </w:rPr>
        <w:tab/>
        <w:t>The consent must specify — </w:t>
      </w:r>
    </w:p>
    <w:p>
      <w:pPr>
        <w:pStyle w:val="Indenta"/>
        <w:rPr>
          <w:snapToGrid w:val="0"/>
        </w:rPr>
      </w:pPr>
      <w:r>
        <w:rPr>
          <w:snapToGrid w:val="0"/>
        </w:rPr>
        <w:tab/>
        <w:t>(a)</w:t>
      </w:r>
      <w:r>
        <w:rPr>
          <w:snapToGrid w:val="0"/>
        </w:rPr>
        <w:tab/>
        <w:t>the blocks covered by the consent; and</w:t>
      </w:r>
    </w:p>
    <w:p>
      <w:pPr>
        <w:pStyle w:val="Indenta"/>
        <w:rPr>
          <w:snapToGrid w:val="0"/>
        </w:rPr>
      </w:pPr>
      <w:r>
        <w:rPr>
          <w:snapToGrid w:val="0"/>
        </w:rPr>
        <w:tab/>
        <w:t>(b)</w:t>
      </w:r>
      <w:r>
        <w:rPr>
          <w:snapToGrid w:val="0"/>
        </w:rPr>
        <w:tab/>
        <w:t>the activities authorised by the consent; and</w:t>
      </w:r>
    </w:p>
    <w:p>
      <w:pPr>
        <w:pStyle w:val="Indenta"/>
        <w:rPr>
          <w:snapToGrid w:val="0"/>
        </w:rPr>
      </w:pPr>
      <w:r>
        <w:rPr>
          <w:snapToGrid w:val="0"/>
        </w:rPr>
        <w:tab/>
        <w:t>(c)</w:t>
      </w:r>
      <w:r>
        <w:rPr>
          <w:snapToGrid w:val="0"/>
        </w:rPr>
        <w:tab/>
        <w:t>the period for which the consent is to have effect; and</w:t>
      </w:r>
    </w:p>
    <w:p>
      <w:pPr>
        <w:pStyle w:val="Indenta"/>
        <w:rPr>
          <w:snapToGrid w:val="0"/>
        </w:rPr>
      </w:pPr>
      <w:r>
        <w:rPr>
          <w:snapToGrid w:val="0"/>
        </w:rPr>
        <w:tab/>
        <w:t>(d)</w:t>
      </w:r>
      <w:r>
        <w:rPr>
          <w:snapToGrid w:val="0"/>
        </w:rPr>
        <w:tab/>
        <w:t>the consent conditions.</w:t>
      </w:r>
    </w:p>
    <w:p>
      <w:pPr>
        <w:pStyle w:val="PermNoteHeading"/>
      </w:pPr>
      <w:r>
        <w:tab/>
        <w:t>Note:</w:t>
      </w:r>
    </w:p>
    <w:p>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pPr>
        <w:pStyle w:val="Indenta"/>
        <w:rPr>
          <w:snapToGrid w:val="0"/>
        </w:rPr>
      </w:pPr>
      <w:r>
        <w:rPr>
          <w:snapToGrid w:val="0"/>
        </w:rPr>
        <w:tab/>
        <w:t>(a)</w:t>
      </w:r>
      <w:r>
        <w:rPr>
          <w:snapToGrid w:val="0"/>
        </w:rPr>
        <w:tab/>
        <w:t>the minerals to be collected; and</w:t>
      </w:r>
    </w:p>
    <w:p>
      <w:pPr>
        <w:pStyle w:val="Indenta"/>
        <w:rPr>
          <w:snapToGrid w:val="0"/>
        </w:rPr>
      </w:pPr>
      <w:r>
        <w:rPr>
          <w:snapToGrid w:val="0"/>
        </w:rPr>
        <w:tab/>
        <w:t>(b)</w:t>
      </w:r>
      <w:r>
        <w:rPr>
          <w:snapToGrid w:val="0"/>
        </w:rPr>
        <w:tab/>
        <w:t>the quantities to be collected.</w:t>
      </w:r>
    </w:p>
    <w:p>
      <w:pPr>
        <w:pStyle w:val="Subsection"/>
        <w:rPr>
          <w:snapToGrid w:val="0"/>
        </w:rPr>
      </w:pPr>
      <w:r>
        <w:rPr>
          <w:snapToGrid w:val="0"/>
        </w:rPr>
        <w:tab/>
        <w:t>(3)</w:t>
      </w:r>
      <w:r>
        <w:rPr>
          <w:snapToGrid w:val="0"/>
        </w:rPr>
        <w:tab/>
        <w:t>The period specified under subsection (1)(c) is not to be more than 12 months.</w:t>
      </w:r>
    </w:p>
    <w:p>
      <w:pPr>
        <w:pStyle w:val="Heading5"/>
        <w:rPr>
          <w:snapToGrid w:val="0"/>
        </w:rPr>
      </w:pPr>
      <w:bookmarkStart w:id="455" w:name="_Toc166676002"/>
      <w:r>
        <w:rPr>
          <w:rStyle w:val="CharSectno"/>
        </w:rPr>
        <w:lastRenderedPageBreak/>
        <w:t>326</w:t>
      </w:r>
      <w:r>
        <w:rPr>
          <w:snapToGrid w:val="0"/>
        </w:rPr>
        <w:t>.</w:t>
      </w:r>
      <w:r>
        <w:rPr>
          <w:snapToGrid w:val="0"/>
        </w:rPr>
        <w:tab/>
        <w:t>Duration of consent</w:t>
      </w:r>
      <w:bookmarkEnd w:id="455"/>
      <w:r>
        <w:rPr>
          <w:snapToGrid w:val="0"/>
        </w:rPr>
        <w:t xml:space="preserve"> </w:t>
      </w:r>
    </w:p>
    <w:p>
      <w:pPr>
        <w:pStyle w:val="Subsection"/>
        <w:rPr>
          <w:snapToGrid w:val="0"/>
        </w:rPr>
      </w:pPr>
      <w:r>
        <w:rPr>
          <w:snapToGrid w:val="0"/>
        </w:rPr>
        <w:tab/>
      </w:r>
      <w:r>
        <w:rPr>
          <w:snapToGrid w:val="0"/>
        </w:rPr>
        <w:tab/>
        <w:t>A consent has effect for the period specified under section 325(1)(c).</w:t>
      </w:r>
    </w:p>
    <w:p>
      <w:pPr>
        <w:pStyle w:val="Heading5"/>
        <w:rPr>
          <w:snapToGrid w:val="0"/>
        </w:rPr>
      </w:pPr>
      <w:bookmarkStart w:id="456" w:name="_Toc166676003"/>
      <w:r>
        <w:rPr>
          <w:rStyle w:val="CharSectno"/>
        </w:rPr>
        <w:t>327</w:t>
      </w:r>
      <w:r>
        <w:rPr>
          <w:snapToGrid w:val="0"/>
        </w:rPr>
        <w:t>.</w:t>
      </w:r>
      <w:r>
        <w:rPr>
          <w:snapToGrid w:val="0"/>
        </w:rPr>
        <w:tab/>
        <w:t>Conditions of consent</w:t>
      </w:r>
      <w:bookmarkEnd w:id="456"/>
      <w:r>
        <w:rPr>
          <w:snapToGrid w:val="0"/>
        </w:rPr>
        <w:t xml:space="preserve"> </w:t>
      </w:r>
    </w:p>
    <w:p>
      <w:pPr>
        <w:pStyle w:val="Subsection"/>
        <w:rPr>
          <w:snapToGrid w:val="0"/>
        </w:rPr>
      </w:pPr>
      <w:r>
        <w:rPr>
          <w:snapToGrid w:val="0"/>
        </w:rPr>
        <w:tab/>
        <w:t>(1)</w:t>
      </w:r>
      <w:r>
        <w:rPr>
          <w:snapToGrid w:val="0"/>
        </w:rPr>
        <w:tab/>
        <w:t>The Minister may grant a special purpose consent subject to whatever conditions the Minister thinks are appropriate.</w:t>
      </w:r>
    </w:p>
    <w:p>
      <w:pPr>
        <w:pStyle w:val="Subsection"/>
        <w:rPr>
          <w:snapToGrid w:val="0"/>
        </w:rPr>
      </w:pPr>
      <w:r>
        <w:rPr>
          <w:snapToGrid w:val="0"/>
        </w:rPr>
        <w:tab/>
        <w:t>(2)</w:t>
      </w:r>
      <w:r>
        <w:rPr>
          <w:snapToGrid w:val="0"/>
        </w:rPr>
        <w:tab/>
        <w:t>Without limiting subsection (1), the Minister may impose conditions that relate to — </w:t>
      </w:r>
    </w:p>
    <w:p>
      <w:pPr>
        <w:pStyle w:val="Indenta"/>
        <w:rPr>
          <w:snapToGrid w:val="0"/>
        </w:rPr>
      </w:pPr>
      <w:r>
        <w:rPr>
          <w:snapToGrid w:val="0"/>
        </w:rPr>
        <w:tab/>
        <w:t>(a)</w:t>
      </w:r>
      <w:r>
        <w:rPr>
          <w:snapToGrid w:val="0"/>
        </w:rPr>
        <w:tab/>
        <w:t>reports to be provided by the consent holder about activities carried out under the consent; and</w:t>
      </w:r>
    </w:p>
    <w:p>
      <w:pPr>
        <w:pStyle w:val="Indenta"/>
        <w:rPr>
          <w:snapToGrid w:val="0"/>
        </w:rPr>
      </w:pPr>
      <w:r>
        <w:rPr>
          <w:snapToGrid w:val="0"/>
        </w:rPr>
        <w:tab/>
        <w:t>(b)</w:t>
      </w:r>
      <w:r>
        <w:rPr>
          <w:snapToGrid w:val="0"/>
        </w:rPr>
        <w:tab/>
        <w:t>environmental matters.</w:t>
      </w:r>
    </w:p>
    <w:p>
      <w:pPr>
        <w:pStyle w:val="Heading2"/>
      </w:pPr>
      <w:bookmarkStart w:id="457" w:name="_Toc166675184"/>
      <w:bookmarkStart w:id="458" w:name="_Toc166675699"/>
      <w:bookmarkStart w:id="459" w:name="_Toc166676004"/>
      <w:r>
        <w:rPr>
          <w:rStyle w:val="CharPartNo"/>
        </w:rPr>
        <w:lastRenderedPageBreak/>
        <w:t>Chapter 3</w:t>
      </w:r>
      <w:r>
        <w:t xml:space="preserve"> — </w:t>
      </w:r>
      <w:r>
        <w:rPr>
          <w:rStyle w:val="CharPartText"/>
        </w:rPr>
        <w:t>Registration and Dealings</w:t>
      </w:r>
      <w:bookmarkEnd w:id="457"/>
      <w:bookmarkEnd w:id="458"/>
      <w:bookmarkEnd w:id="459"/>
    </w:p>
    <w:p>
      <w:pPr>
        <w:pStyle w:val="Heading3"/>
      </w:pPr>
      <w:bookmarkStart w:id="460" w:name="_Toc166675185"/>
      <w:bookmarkStart w:id="461" w:name="_Toc166675700"/>
      <w:bookmarkStart w:id="462" w:name="_Toc166676005"/>
      <w:r>
        <w:rPr>
          <w:rStyle w:val="CharDivNo"/>
        </w:rPr>
        <w:t>Part 3.1</w:t>
      </w:r>
      <w:r>
        <w:t xml:space="preserve"> — </w:t>
      </w:r>
      <w:r>
        <w:rPr>
          <w:rStyle w:val="CharDivText"/>
        </w:rPr>
        <w:t>Registration</w:t>
      </w:r>
      <w:bookmarkEnd w:id="460"/>
      <w:bookmarkEnd w:id="461"/>
      <w:bookmarkEnd w:id="462"/>
    </w:p>
    <w:p>
      <w:pPr>
        <w:pStyle w:val="Heading4"/>
        <w:rPr>
          <w:b w:val="0"/>
        </w:rPr>
      </w:pPr>
      <w:bookmarkStart w:id="463" w:name="_Toc166675186"/>
      <w:bookmarkStart w:id="464" w:name="_Toc166675701"/>
      <w:bookmarkStart w:id="465" w:name="_Toc166676006"/>
      <w:r>
        <w:rPr>
          <w:b w:val="0"/>
        </w:rPr>
        <w:t>Division 1 — Preliminary</w:t>
      </w:r>
      <w:bookmarkEnd w:id="463"/>
      <w:bookmarkEnd w:id="464"/>
      <w:bookmarkEnd w:id="465"/>
    </w:p>
    <w:p>
      <w:pPr>
        <w:pStyle w:val="Heading5"/>
        <w:rPr>
          <w:snapToGrid w:val="0"/>
        </w:rPr>
      </w:pPr>
      <w:bookmarkStart w:id="466" w:name="_Toc166676007"/>
      <w:r>
        <w:rPr>
          <w:rStyle w:val="CharSectno"/>
        </w:rPr>
        <w:t>328</w:t>
      </w:r>
      <w:r>
        <w:rPr>
          <w:snapToGrid w:val="0"/>
        </w:rPr>
        <w:t>.</w:t>
      </w:r>
      <w:r>
        <w:rPr>
          <w:snapToGrid w:val="0"/>
        </w:rPr>
        <w:tab/>
        <w:t>Register to be kept</w:t>
      </w:r>
      <w:bookmarkEnd w:id="466"/>
      <w:r>
        <w:rPr>
          <w:snapToGrid w:val="0"/>
        </w:rPr>
        <w:t xml:space="preserve"> </w:t>
      </w:r>
    </w:p>
    <w:p>
      <w:pPr>
        <w:pStyle w:val="Subsection"/>
        <w:rPr>
          <w:snapToGrid w:val="0"/>
        </w:rPr>
      </w:pPr>
      <w:r>
        <w:rPr>
          <w:snapToGrid w:val="0"/>
        </w:rPr>
        <w:tab/>
        <w:t>(1)</w:t>
      </w:r>
      <w:r>
        <w:rPr>
          <w:snapToGrid w:val="0"/>
        </w:rPr>
        <w:tab/>
        <w:t>The Minister must keep a register for the purposes of this Part.</w:t>
      </w:r>
    </w:p>
    <w:p>
      <w:pPr>
        <w:pStyle w:val="PermNoteHeading"/>
      </w:pPr>
      <w:r>
        <w:tab/>
        <w:t>Note:</w:t>
      </w:r>
    </w:p>
    <w:p>
      <w:pPr>
        <w:pStyle w:val="PermNoteText"/>
        <w:rPr>
          <w:snapToGrid w:val="0"/>
        </w:rPr>
      </w:pPr>
      <w:r>
        <w:rPr>
          <w:snapToGrid w:val="0"/>
        </w:rPr>
        <w:tab/>
      </w:r>
      <w:r>
        <w:rPr>
          <w:snapToGrid w:val="0"/>
        </w:rPr>
        <w:tab/>
        <w:t>The main matters entered in the register are — </w:t>
      </w:r>
    </w:p>
    <w:p>
      <w:pPr>
        <w:pStyle w:val="PermNotePara"/>
      </w:pPr>
      <w:r>
        <w:tab/>
        <w:t>1.</w:t>
      </w:r>
      <w:r>
        <w:tab/>
        <w:t>the grant or renewal of a licence (see sections 333 and 334);</w:t>
      </w:r>
    </w:p>
    <w:p>
      <w:pPr>
        <w:pStyle w:val="PermNotePara"/>
      </w:pPr>
      <w:r>
        <w:tab/>
        <w:t>2.</w:t>
      </w:r>
      <w:r>
        <w:tab/>
        <w:t>details of instruments that affect a licence (see section 337);</w:t>
      </w:r>
    </w:p>
    <w:p>
      <w:pPr>
        <w:pStyle w:val="PermNotePara"/>
      </w:pPr>
      <w:r>
        <w:tab/>
        <w:t>3.</w:t>
      </w:r>
      <w:r>
        <w:tab/>
        <w:t>details of instruments that affect an interest in a licence (see sections 338 and 339);</w:t>
      </w:r>
    </w:p>
    <w:p>
      <w:pPr>
        <w:pStyle w:val="PermNotePara"/>
      </w:pPr>
      <w:r>
        <w:tab/>
        <w:t>4.</w:t>
      </w:r>
      <w:r>
        <w:tab/>
        <w:t>details of interests in a licence that are acquired by devolution (see section 340);</w:t>
      </w:r>
    </w:p>
    <w:p>
      <w:pPr>
        <w:pStyle w:val="PermNotePara"/>
      </w:pPr>
      <w:r>
        <w:tab/>
        <w:t>5.</w:t>
      </w:r>
      <w:r>
        <w:tab/>
        <w:t>details of caveats (see section 345).</w:t>
      </w:r>
    </w:p>
    <w:p>
      <w:pPr>
        <w:pStyle w:val="Subsection"/>
        <w:rPr>
          <w:snapToGrid w:val="0"/>
        </w:rPr>
      </w:pPr>
      <w:r>
        <w:rPr>
          <w:snapToGrid w:val="0"/>
        </w:rPr>
        <w:tab/>
        <w:t>(2)</w:t>
      </w:r>
      <w:r>
        <w:rPr>
          <w:snapToGrid w:val="0"/>
        </w:rPr>
        <w:tab/>
        <w:t>The register is to be known as the State Offshore Mining Register.</w:t>
      </w:r>
    </w:p>
    <w:p>
      <w:pPr>
        <w:pStyle w:val="Heading5"/>
        <w:rPr>
          <w:snapToGrid w:val="0"/>
        </w:rPr>
      </w:pPr>
      <w:bookmarkStart w:id="467" w:name="_Toc166676008"/>
      <w:r>
        <w:rPr>
          <w:rStyle w:val="CharSectno"/>
        </w:rPr>
        <w:t>329</w:t>
      </w:r>
      <w:r>
        <w:rPr>
          <w:snapToGrid w:val="0"/>
        </w:rPr>
        <w:t>.</w:t>
      </w:r>
      <w:r>
        <w:rPr>
          <w:snapToGrid w:val="0"/>
        </w:rPr>
        <w:tab/>
        <w:t>Document files to be kept</w:t>
      </w:r>
      <w:bookmarkEnd w:id="467"/>
      <w:r>
        <w:rPr>
          <w:snapToGrid w:val="0"/>
        </w:rPr>
        <w:t xml:space="preserve"> </w:t>
      </w:r>
    </w:p>
    <w:p>
      <w:pPr>
        <w:pStyle w:val="Subsection"/>
        <w:rPr>
          <w:snapToGrid w:val="0"/>
        </w:rPr>
      </w:pPr>
      <w:r>
        <w:rPr>
          <w:snapToGrid w:val="0"/>
        </w:rPr>
        <w:tab/>
        <w:t>(1)</w:t>
      </w:r>
      <w:r>
        <w:rPr>
          <w:snapToGrid w:val="0"/>
        </w:rPr>
        <w:tab/>
        <w:t>The Minister must keep a document file for the purposes of this Part.</w:t>
      </w:r>
    </w:p>
    <w:p>
      <w:pPr>
        <w:pStyle w:val="Subsection"/>
        <w:rPr>
          <w:snapToGrid w:val="0"/>
        </w:rPr>
      </w:pPr>
      <w:r>
        <w:rPr>
          <w:snapToGrid w:val="0"/>
        </w:rPr>
        <w:tab/>
        <w:t>(2)</w:t>
      </w:r>
      <w:r>
        <w:rPr>
          <w:snapToGrid w:val="0"/>
        </w:rPr>
        <w:tab/>
        <w:t>In the document file are to be kept the documents that the Minister is required to keep under this Part.</w:t>
      </w:r>
    </w:p>
    <w:p>
      <w:pPr>
        <w:pStyle w:val="PermNoteHeading"/>
      </w:pPr>
      <w:r>
        <w:tab/>
        <w:t>Note:</w:t>
      </w:r>
    </w:p>
    <w:p>
      <w:pPr>
        <w:pStyle w:val="PermNoteText"/>
        <w:rPr>
          <w:snapToGrid w:val="0"/>
        </w:rPr>
      </w:pPr>
      <w:r>
        <w:rPr>
          <w:snapToGrid w:val="0"/>
        </w:rPr>
        <w:tab/>
      </w:r>
      <w:r>
        <w:rPr>
          <w:snapToGrid w:val="0"/>
        </w:rPr>
        <w:tab/>
        <w:t>The documents to be kept in the document file are — </w:t>
      </w:r>
    </w:p>
    <w:p>
      <w:pPr>
        <w:pStyle w:val="PermNotePara"/>
      </w:pPr>
      <w:r>
        <w:tab/>
        <w:t>1.</w:t>
      </w:r>
      <w:r>
        <w:tab/>
        <w:t>copies of licences (see section 333(6));</w:t>
      </w:r>
    </w:p>
    <w:p>
      <w:pPr>
        <w:pStyle w:val="PermNotePara"/>
      </w:pPr>
      <w:r>
        <w:tab/>
        <w:t>2.</w:t>
      </w:r>
      <w:r>
        <w:tab/>
        <w:t>copies of instruments that affect licences (see section 337(4));</w:t>
      </w:r>
    </w:p>
    <w:p>
      <w:pPr>
        <w:pStyle w:val="PermNotePara"/>
      </w:pPr>
      <w:r>
        <w:tab/>
        <w:t>3.</w:t>
      </w:r>
      <w:r>
        <w:tab/>
        <w:t>copies of transfers of licences (see section 338(6));</w:t>
      </w:r>
    </w:p>
    <w:p>
      <w:pPr>
        <w:pStyle w:val="PermNotePara"/>
      </w:pPr>
      <w:r>
        <w:tab/>
        <w:t>4.</w:t>
      </w:r>
      <w:r>
        <w:tab/>
        <w:t>copies of other dealings in licences (see section 339(4));</w:t>
      </w:r>
    </w:p>
    <w:p>
      <w:pPr>
        <w:pStyle w:val="PermNotePara"/>
      </w:pPr>
      <w:r>
        <w:tab/>
        <w:t>5.</w:t>
      </w:r>
      <w:r>
        <w:tab/>
        <w:t>caveats (see section 345(3));</w:t>
      </w:r>
    </w:p>
    <w:p>
      <w:pPr>
        <w:pStyle w:val="PermNotePara"/>
      </w:pPr>
      <w:r>
        <w:tab/>
        <w:t>6.</w:t>
      </w:r>
      <w:r>
        <w:tab/>
        <w:t>withdrawals of caveats (see section 346(2));</w:t>
      </w:r>
    </w:p>
    <w:p>
      <w:pPr>
        <w:pStyle w:val="PermNotePara"/>
      </w:pPr>
      <w:r>
        <w:lastRenderedPageBreak/>
        <w:tab/>
        <w:t>7.</w:t>
      </w:r>
      <w:r>
        <w:tab/>
        <w:t>consents to dealings given under section 350 (see section 350(6));</w:t>
      </w:r>
    </w:p>
    <w:p>
      <w:pPr>
        <w:pStyle w:val="PermNotePara"/>
      </w:pPr>
      <w:r>
        <w:tab/>
        <w:t>8.</w:t>
      </w:r>
      <w:r>
        <w:tab/>
        <w:t>copies of court orders (see section 351).</w:t>
      </w:r>
    </w:p>
    <w:p>
      <w:pPr>
        <w:pStyle w:val="Heading5"/>
        <w:rPr>
          <w:snapToGrid w:val="0"/>
        </w:rPr>
      </w:pPr>
      <w:bookmarkStart w:id="468" w:name="_Toc166676009"/>
      <w:r>
        <w:rPr>
          <w:rStyle w:val="CharSectno"/>
        </w:rPr>
        <w:t>330</w:t>
      </w:r>
      <w:r>
        <w:rPr>
          <w:snapToGrid w:val="0"/>
        </w:rPr>
        <w:t>.</w:t>
      </w:r>
      <w:r>
        <w:rPr>
          <w:snapToGrid w:val="0"/>
        </w:rPr>
        <w:tab/>
        <w:t>Form of register and document file</w:t>
      </w:r>
      <w:bookmarkEnd w:id="468"/>
      <w:r>
        <w:rPr>
          <w:snapToGrid w:val="0"/>
        </w:rPr>
        <w:t xml:space="preserve"> </w:t>
      </w:r>
    </w:p>
    <w:p>
      <w:pPr>
        <w:pStyle w:val="Subsection"/>
        <w:rPr>
          <w:snapToGrid w:val="0"/>
        </w:rPr>
      </w:pPr>
      <w:r>
        <w:rPr>
          <w:snapToGrid w:val="0"/>
        </w:rPr>
        <w:tab/>
        <w:t>(1)</w:t>
      </w:r>
      <w:r>
        <w:rPr>
          <w:snapToGrid w:val="0"/>
        </w:rPr>
        <w:tab/>
        <w:t>The offshore mining register is to be kept in the form and manner determined by the Minister.</w:t>
      </w:r>
    </w:p>
    <w:p>
      <w:pPr>
        <w:pStyle w:val="Subsection"/>
        <w:rPr>
          <w:snapToGrid w:val="0"/>
        </w:rPr>
      </w:pPr>
      <w:r>
        <w:rPr>
          <w:snapToGrid w:val="0"/>
        </w:rPr>
        <w:tab/>
        <w:t>(2)</w:t>
      </w:r>
      <w:r>
        <w:rPr>
          <w:snapToGrid w:val="0"/>
        </w:rPr>
        <w:tab/>
        <w:t>Without limiting subsection (1), the offshore mining register may be kept in the form of a computer record.</w:t>
      </w:r>
    </w:p>
    <w:p>
      <w:pPr>
        <w:pStyle w:val="Subsection"/>
        <w:rPr>
          <w:snapToGrid w:val="0"/>
        </w:rPr>
      </w:pPr>
      <w:r>
        <w:rPr>
          <w:snapToGrid w:val="0"/>
        </w:rPr>
        <w:tab/>
        <w:t>(3)</w:t>
      </w:r>
      <w:r>
        <w:rPr>
          <w:snapToGrid w:val="0"/>
        </w:rPr>
        <w:tab/>
        <w:t>The document file is to be kept in the form and manner determined by the Minister.</w:t>
      </w:r>
    </w:p>
    <w:p>
      <w:pPr>
        <w:pStyle w:val="Heading5"/>
        <w:rPr>
          <w:snapToGrid w:val="0"/>
        </w:rPr>
      </w:pPr>
      <w:bookmarkStart w:id="469" w:name="_Toc166676010"/>
      <w:r>
        <w:rPr>
          <w:rStyle w:val="CharSectno"/>
        </w:rPr>
        <w:t>331</w:t>
      </w:r>
      <w:r>
        <w:rPr>
          <w:snapToGrid w:val="0"/>
        </w:rPr>
        <w:t>.</w:t>
      </w:r>
      <w:r>
        <w:rPr>
          <w:snapToGrid w:val="0"/>
        </w:rPr>
        <w:tab/>
        <w:t>Correction of errors in the register</w:t>
      </w:r>
      <w:bookmarkEnd w:id="469"/>
      <w:r>
        <w:rPr>
          <w:snapToGrid w:val="0"/>
        </w:rPr>
        <w:t xml:space="preserve"> </w:t>
      </w:r>
    </w:p>
    <w:p>
      <w:pPr>
        <w:pStyle w:val="Subsection"/>
        <w:rPr>
          <w:snapToGrid w:val="0"/>
        </w:rPr>
      </w:pPr>
      <w:r>
        <w:rPr>
          <w:snapToGrid w:val="0"/>
        </w:rPr>
        <w:tab/>
        <w:t>(1)</w:t>
      </w:r>
      <w:r>
        <w:rPr>
          <w:snapToGrid w:val="0"/>
        </w:rPr>
        <w:tab/>
        <w:t>Subject to subsection (4), the Minister may correct the offshore mining register if the Minister is satisfied that — </w:t>
      </w:r>
    </w:p>
    <w:p>
      <w:pPr>
        <w:pStyle w:val="Indenta"/>
        <w:rPr>
          <w:snapToGrid w:val="0"/>
        </w:rPr>
      </w:pPr>
      <w:r>
        <w:rPr>
          <w:snapToGrid w:val="0"/>
        </w:rPr>
        <w:tab/>
        <w:t>(a)</w:t>
      </w:r>
      <w:r>
        <w:rPr>
          <w:snapToGrid w:val="0"/>
        </w:rPr>
        <w:tab/>
        <w:t>there is an omission of an entry from the register; or</w:t>
      </w:r>
    </w:p>
    <w:p>
      <w:pPr>
        <w:pStyle w:val="Indenta"/>
        <w:rPr>
          <w:snapToGrid w:val="0"/>
        </w:rPr>
      </w:pPr>
      <w:r>
        <w:rPr>
          <w:snapToGrid w:val="0"/>
        </w:rPr>
        <w:tab/>
        <w:t>(b)</w:t>
      </w:r>
      <w:r>
        <w:rPr>
          <w:snapToGrid w:val="0"/>
        </w:rPr>
        <w:tab/>
        <w:t>an entry in the register should not have been made; or</w:t>
      </w:r>
    </w:p>
    <w:p>
      <w:pPr>
        <w:pStyle w:val="Indenta"/>
        <w:rPr>
          <w:snapToGrid w:val="0"/>
        </w:rPr>
      </w:pPr>
      <w:r>
        <w:rPr>
          <w:snapToGrid w:val="0"/>
        </w:rPr>
        <w:tab/>
        <w:t>(c)</w:t>
      </w:r>
      <w:r>
        <w:rPr>
          <w:snapToGrid w:val="0"/>
        </w:rPr>
        <w:tab/>
        <w:t>there is an error or defect in an entry in the register.</w:t>
      </w:r>
    </w:p>
    <w:p>
      <w:pPr>
        <w:pStyle w:val="Subsection"/>
        <w:rPr>
          <w:snapToGrid w:val="0"/>
        </w:rPr>
      </w:pPr>
      <w:r>
        <w:rPr>
          <w:snapToGrid w:val="0"/>
        </w:rPr>
        <w:tab/>
        <w:t>(2)</w:t>
      </w:r>
      <w:r>
        <w:rPr>
          <w:snapToGrid w:val="0"/>
        </w:rPr>
        <w:tab/>
        <w:t>A person may apply to the Minister for correction of the offshore mining register under subsection (1).</w:t>
      </w:r>
    </w:p>
    <w:p>
      <w:pPr>
        <w:pStyle w:val="Subsection"/>
        <w:rPr>
          <w:snapToGrid w:val="0"/>
        </w:rPr>
      </w:pPr>
      <w:r>
        <w:rPr>
          <w:snapToGrid w:val="0"/>
        </w:rPr>
        <w:tab/>
        <w:t>(3)</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that is being requested.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intends to correct the offshore mining register under subsection (1); and</w:t>
      </w:r>
    </w:p>
    <w:p>
      <w:pPr>
        <w:pStyle w:val="Indenta"/>
        <w:rPr>
          <w:snapToGrid w:val="0"/>
        </w:rPr>
      </w:pPr>
      <w:r>
        <w:rPr>
          <w:snapToGrid w:val="0"/>
        </w:rPr>
        <w:tab/>
        <w:t>(b)</w:t>
      </w:r>
      <w:r>
        <w:rPr>
          <w:snapToGrid w:val="0"/>
        </w:rPr>
        <w:tab/>
        <w:t>the correction relates to a licence; and</w:t>
      </w:r>
    </w:p>
    <w:p>
      <w:pPr>
        <w:pStyle w:val="Indenta"/>
        <w:keepNext/>
        <w:rPr>
          <w:snapToGrid w:val="0"/>
        </w:rPr>
      </w:pPr>
      <w:r>
        <w:rPr>
          <w:snapToGrid w:val="0"/>
        </w:rPr>
        <w:lastRenderedPageBreak/>
        <w:tab/>
        <w:t>(c)</w:t>
      </w:r>
      <w:r>
        <w:rPr>
          <w:snapToGrid w:val="0"/>
        </w:rPr>
        <w:tab/>
        <w:t>the correction is not to be made in response to an application under subsection (2) by the licence holder,</w:t>
      </w:r>
    </w:p>
    <w:p>
      <w:pPr>
        <w:pStyle w:val="Subsection"/>
        <w:keepNext/>
        <w:keepLines/>
        <w:rPr>
          <w:snapToGrid w:val="0"/>
        </w:rPr>
      </w:pPr>
      <w:r>
        <w:rPr>
          <w:snapToGrid w:val="0"/>
        </w:rPr>
        <w:tab/>
      </w:r>
      <w:r>
        <w:rPr>
          <w:snapToGrid w:val="0"/>
        </w:rPr>
        <w:tab/>
        <w:t>the Minister must notify the holder that the Minister intends to correct the register.</w:t>
      </w:r>
    </w:p>
    <w:p>
      <w:pPr>
        <w:pStyle w:val="Subsection"/>
        <w:rPr>
          <w:snapToGrid w:val="0"/>
        </w:rPr>
      </w:pPr>
      <w:r>
        <w:rPr>
          <w:snapToGrid w:val="0"/>
        </w:rPr>
        <w:tab/>
        <w:t>(5)</w:t>
      </w:r>
      <w:r>
        <w:rPr>
          <w:snapToGrid w:val="0"/>
        </w:rPr>
        <w:tab/>
        <w:t>The notice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the Minister intends to make; and</w:t>
      </w:r>
    </w:p>
    <w:p>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Subsection"/>
        <w:rPr>
          <w:snapToGrid w:val="0"/>
        </w:rPr>
      </w:pPr>
      <w:r>
        <w:rPr>
          <w:snapToGrid w:val="0"/>
        </w:rPr>
        <w:tab/>
        <w:t>(6)</w:t>
      </w:r>
      <w:r>
        <w:rPr>
          <w:snapToGrid w:val="0"/>
        </w:rPr>
        <w:tab/>
        <w:t>The period specified under subsection (5)(c) is to be at least 14 days after the day on which the notice is given.</w:t>
      </w:r>
    </w:p>
    <w:p>
      <w:pPr>
        <w:pStyle w:val="Subsection"/>
        <w:rPr>
          <w:snapToGrid w:val="0"/>
        </w:rPr>
      </w:pPr>
      <w:r>
        <w:rPr>
          <w:snapToGrid w:val="0"/>
        </w:rPr>
        <w:tab/>
        <w:t>(7)</w:t>
      </w:r>
      <w:r>
        <w:rPr>
          <w:snapToGrid w:val="0"/>
        </w:rPr>
        <w:tab/>
        <w:t>If a notice is given under subsection (4) — </w:t>
      </w:r>
    </w:p>
    <w:p>
      <w:pPr>
        <w:pStyle w:val="Indenta"/>
        <w:rPr>
          <w:snapToGrid w:val="0"/>
        </w:rPr>
      </w:pPr>
      <w:r>
        <w:rPr>
          <w:snapToGrid w:val="0"/>
        </w:rPr>
        <w:tab/>
        <w:t>(a)</w:t>
      </w:r>
      <w:r>
        <w:rPr>
          <w:snapToGrid w:val="0"/>
        </w:rPr>
        <w:tab/>
        <w:t>the Minister is not to correct the register until the period specified in the notice has ended; and</w:t>
      </w:r>
    </w:p>
    <w:p>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Heading5"/>
        <w:rPr>
          <w:snapToGrid w:val="0"/>
        </w:rPr>
      </w:pPr>
      <w:bookmarkStart w:id="470" w:name="_Toc166676011"/>
      <w:r>
        <w:rPr>
          <w:rStyle w:val="CharSectno"/>
        </w:rPr>
        <w:t>332</w:t>
      </w:r>
      <w:r>
        <w:rPr>
          <w:snapToGrid w:val="0"/>
        </w:rPr>
        <w:t>.</w:t>
      </w:r>
      <w:r>
        <w:rPr>
          <w:snapToGrid w:val="0"/>
        </w:rPr>
        <w:tab/>
        <w:t>Inspection of register and documents</w:t>
      </w:r>
      <w:bookmarkEnd w:id="470"/>
      <w:r>
        <w:rPr>
          <w:snapToGrid w:val="0"/>
        </w:rPr>
        <w:t xml:space="preserve"> </w:t>
      </w:r>
    </w:p>
    <w:p>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pPr>
        <w:pStyle w:val="Heading4"/>
        <w:rPr>
          <w:b w:val="0"/>
        </w:rPr>
      </w:pPr>
      <w:bookmarkStart w:id="471" w:name="_Toc166675192"/>
      <w:bookmarkStart w:id="472" w:name="_Toc166675707"/>
      <w:bookmarkStart w:id="473" w:name="_Toc166676012"/>
      <w:r>
        <w:rPr>
          <w:b w:val="0"/>
          <w:snapToGrid w:val="0"/>
        </w:rPr>
        <w:lastRenderedPageBreak/>
        <w:t>Division 2 — Matters to be entered in register</w:t>
      </w:r>
      <w:bookmarkEnd w:id="471"/>
      <w:bookmarkEnd w:id="472"/>
      <w:bookmarkEnd w:id="473"/>
    </w:p>
    <w:p>
      <w:pPr>
        <w:pStyle w:val="Heading4"/>
        <w:rPr>
          <w:snapToGrid w:val="0"/>
        </w:rPr>
      </w:pPr>
      <w:bookmarkStart w:id="474" w:name="_Toc166675193"/>
      <w:bookmarkStart w:id="475" w:name="_Toc166675708"/>
      <w:bookmarkStart w:id="476" w:name="_Toc166676013"/>
      <w:r>
        <w:rPr>
          <w:snapToGrid w:val="0"/>
        </w:rPr>
        <w:t>Subdivision A — Licences</w:t>
      </w:r>
      <w:bookmarkEnd w:id="474"/>
      <w:bookmarkEnd w:id="475"/>
      <w:bookmarkEnd w:id="476"/>
      <w:r>
        <w:rPr>
          <w:snapToGrid w:val="0"/>
        </w:rPr>
        <w:t xml:space="preserve"> </w:t>
      </w:r>
    </w:p>
    <w:p>
      <w:pPr>
        <w:pStyle w:val="Heading5"/>
        <w:rPr>
          <w:snapToGrid w:val="0"/>
        </w:rPr>
      </w:pPr>
      <w:bookmarkStart w:id="477" w:name="_Toc166676014"/>
      <w:r>
        <w:rPr>
          <w:rStyle w:val="CharSectno"/>
        </w:rPr>
        <w:t>333</w:t>
      </w:r>
      <w:r>
        <w:rPr>
          <w:snapToGrid w:val="0"/>
        </w:rPr>
        <w:t>.</w:t>
      </w:r>
      <w:r>
        <w:rPr>
          <w:snapToGrid w:val="0"/>
        </w:rPr>
        <w:tab/>
        <w:t>Licences</w:t>
      </w:r>
      <w:bookmarkEnd w:id="477"/>
      <w:r>
        <w:rPr>
          <w:snapToGrid w:val="0"/>
        </w:rPr>
        <w:t xml:space="preserve"> </w:t>
      </w:r>
    </w:p>
    <w:p>
      <w:pPr>
        <w:pStyle w:val="Subsection"/>
        <w:rPr>
          <w:snapToGrid w:val="0"/>
        </w:rPr>
      </w:pPr>
      <w:r>
        <w:rPr>
          <w:snapToGrid w:val="0"/>
        </w:rPr>
        <w:tab/>
        <w:t>(1)</w:t>
      </w:r>
      <w:r>
        <w:rPr>
          <w:snapToGrid w:val="0"/>
        </w:rPr>
        <w:tab/>
        <w:t>If the provisional grant of a licence is properly accepted, the Minister must register — </w:t>
      </w:r>
    </w:p>
    <w:p>
      <w:pPr>
        <w:pStyle w:val="Indenta"/>
        <w:rPr>
          <w:snapToGrid w:val="0"/>
        </w:rPr>
      </w:pPr>
      <w:r>
        <w:rPr>
          <w:snapToGrid w:val="0"/>
        </w:rPr>
        <w:tab/>
        <w:t>(a)</w:t>
      </w:r>
      <w:r>
        <w:rPr>
          <w:snapToGrid w:val="0"/>
        </w:rPr>
        <w:tab/>
        <w:t>the holder’s name; and</w:t>
      </w:r>
    </w:p>
    <w:p>
      <w:pPr>
        <w:pStyle w:val="Indenta"/>
        <w:rPr>
          <w:snapToGrid w:val="0"/>
        </w:rPr>
      </w:pPr>
      <w:r>
        <w:rPr>
          <w:snapToGrid w:val="0"/>
        </w:rPr>
        <w:tab/>
        <w:t>(b)</w:t>
      </w:r>
      <w:r>
        <w:rPr>
          <w:snapToGrid w:val="0"/>
        </w:rPr>
        <w:tab/>
        <w:t>if there is more than one licence holder, the share in the licence held by each holder; and</w:t>
      </w:r>
    </w:p>
    <w:p>
      <w:pPr>
        <w:pStyle w:val="Indenta"/>
        <w:rPr>
          <w:snapToGrid w:val="0"/>
        </w:rPr>
      </w:pPr>
      <w:r>
        <w:rPr>
          <w:snapToGrid w:val="0"/>
        </w:rPr>
        <w:tab/>
        <w:t>(c)</w:t>
      </w:r>
      <w:r>
        <w:rPr>
          <w:snapToGrid w:val="0"/>
        </w:rPr>
        <w:tab/>
        <w:t>a description of the licence area, including a map or map reference; and</w:t>
      </w:r>
    </w:p>
    <w:p>
      <w:pPr>
        <w:pStyle w:val="Indenta"/>
        <w:rPr>
          <w:snapToGrid w:val="0"/>
        </w:rPr>
      </w:pPr>
      <w:r>
        <w:rPr>
          <w:snapToGrid w:val="0"/>
        </w:rPr>
        <w:tab/>
        <w:t>(d)</w:t>
      </w:r>
      <w:r>
        <w:rPr>
          <w:snapToGrid w:val="0"/>
        </w:rPr>
        <w:tab/>
        <w:t>the term of the licence; and</w:t>
      </w:r>
    </w:p>
    <w:p>
      <w:pPr>
        <w:pStyle w:val="Indenta"/>
        <w:rPr>
          <w:snapToGrid w:val="0"/>
        </w:rPr>
      </w:pPr>
      <w:r>
        <w:rPr>
          <w:snapToGrid w:val="0"/>
        </w:rPr>
        <w:tab/>
        <w:t>(e)</w:t>
      </w:r>
      <w:r>
        <w:rPr>
          <w:snapToGrid w:val="0"/>
        </w:rPr>
        <w:tab/>
        <w:t>the date of the provisional grant of the licence; and</w:t>
      </w:r>
    </w:p>
    <w:p>
      <w:pPr>
        <w:pStyle w:val="Indenta"/>
        <w:rPr>
          <w:snapToGrid w:val="0"/>
        </w:rPr>
      </w:pPr>
      <w:r>
        <w:rPr>
          <w:snapToGrid w:val="0"/>
        </w:rPr>
        <w:tab/>
        <w:t>(f)</w:t>
      </w:r>
      <w:r>
        <w:rPr>
          <w:snapToGrid w:val="0"/>
        </w:rPr>
        <w:tab/>
        <w:t>the date of registration of the licence; and</w:t>
      </w:r>
    </w:p>
    <w:p>
      <w:pPr>
        <w:pStyle w:val="Indenta"/>
        <w:rPr>
          <w:snapToGrid w:val="0"/>
        </w:rPr>
      </w:pPr>
      <w:r>
        <w:rPr>
          <w:snapToGrid w:val="0"/>
        </w:rPr>
        <w:tab/>
        <w:t>(g)</w:t>
      </w:r>
      <w:r>
        <w:rPr>
          <w:snapToGrid w:val="0"/>
        </w:rPr>
        <w:tab/>
        <w:t>an address for the service of notices under this Act on the licence holder.</w:t>
      </w:r>
    </w:p>
    <w:p>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Subsection"/>
        <w:rPr>
          <w:snapToGrid w:val="0"/>
        </w:rPr>
      </w:pPr>
      <w:r>
        <w:rPr>
          <w:snapToGrid w:val="0"/>
        </w:rPr>
        <w:tab/>
        <w:t>(4)</w:t>
      </w:r>
      <w:r>
        <w:rPr>
          <w:snapToGrid w:val="0"/>
        </w:rPr>
        <w:tab/>
        <w:t>If the Minister registers a licence under subsection (1)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the date of registration on the licence.</w:t>
      </w:r>
    </w:p>
    <w:p>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Subsection"/>
        <w:spacing w:before="120"/>
        <w:rPr>
          <w:snapToGrid w:val="0"/>
        </w:rPr>
      </w:pPr>
      <w:r>
        <w:rPr>
          <w:snapToGrid w:val="0"/>
        </w:rPr>
        <w:lastRenderedPageBreak/>
        <w:tab/>
        <w:t>(6)</w:t>
      </w:r>
      <w:r>
        <w:rPr>
          <w:snapToGrid w:val="0"/>
        </w:rPr>
        <w:tab/>
        <w:t>The Minister must keep a copy of the licence.</w:t>
      </w:r>
    </w:p>
    <w:p>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pPr>
        <w:pStyle w:val="Heading5"/>
        <w:rPr>
          <w:snapToGrid w:val="0"/>
        </w:rPr>
      </w:pPr>
      <w:bookmarkStart w:id="478" w:name="_Toc166676015"/>
      <w:r>
        <w:rPr>
          <w:rStyle w:val="CharSectno"/>
        </w:rPr>
        <w:t>334</w:t>
      </w:r>
      <w:r>
        <w:rPr>
          <w:snapToGrid w:val="0"/>
        </w:rPr>
        <w:t>.</w:t>
      </w:r>
      <w:r>
        <w:rPr>
          <w:snapToGrid w:val="0"/>
        </w:rPr>
        <w:tab/>
        <w:t>Renewal of licences</w:t>
      </w:r>
      <w:bookmarkEnd w:id="478"/>
      <w:r>
        <w:rPr>
          <w:snapToGrid w:val="0"/>
        </w:rPr>
        <w:t xml:space="preserve"> </w:t>
      </w:r>
    </w:p>
    <w:p>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pPr>
        <w:pStyle w:val="Subsection"/>
        <w:spacing w:before="120"/>
        <w:rPr>
          <w:snapToGrid w:val="0"/>
        </w:rPr>
      </w:pPr>
      <w:r>
        <w:rPr>
          <w:snapToGrid w:val="0"/>
        </w:rPr>
        <w:tab/>
        <w:t>(2)</w:t>
      </w:r>
      <w:r>
        <w:rPr>
          <w:snapToGrid w:val="0"/>
        </w:rPr>
        <w:tab/>
        <w:t>If the provisional renewal of a licence is properly accepted, the Minister must register — </w:t>
      </w:r>
    </w:p>
    <w:p>
      <w:pPr>
        <w:pStyle w:val="Indenta"/>
        <w:rPr>
          <w:snapToGrid w:val="0"/>
        </w:rPr>
      </w:pPr>
      <w:r>
        <w:rPr>
          <w:snapToGrid w:val="0"/>
        </w:rPr>
        <w:tab/>
        <w:t>(a)</w:t>
      </w:r>
      <w:r>
        <w:rPr>
          <w:snapToGrid w:val="0"/>
        </w:rPr>
        <w:tab/>
        <w:t>the renewal; and</w:t>
      </w:r>
    </w:p>
    <w:p>
      <w:pPr>
        <w:pStyle w:val="Indenta"/>
        <w:rPr>
          <w:snapToGrid w:val="0"/>
        </w:rPr>
      </w:pPr>
      <w:r>
        <w:rPr>
          <w:snapToGrid w:val="0"/>
        </w:rPr>
        <w:tab/>
        <w:t>(b)</w:t>
      </w:r>
      <w:r>
        <w:rPr>
          <w:snapToGrid w:val="0"/>
        </w:rPr>
        <w:tab/>
        <w:t>the term of the renewal; and</w:t>
      </w:r>
    </w:p>
    <w:p>
      <w:pPr>
        <w:pStyle w:val="Indenta"/>
        <w:rPr>
          <w:snapToGrid w:val="0"/>
        </w:rPr>
      </w:pPr>
      <w:r>
        <w:rPr>
          <w:snapToGrid w:val="0"/>
        </w:rPr>
        <w:tab/>
        <w:t>(c)</w:t>
      </w:r>
      <w:r>
        <w:rPr>
          <w:snapToGrid w:val="0"/>
        </w:rPr>
        <w:tab/>
        <w:t>the date of the provisional renewal; and</w:t>
      </w:r>
    </w:p>
    <w:p>
      <w:pPr>
        <w:pStyle w:val="Indenta"/>
        <w:rPr>
          <w:snapToGrid w:val="0"/>
        </w:rPr>
      </w:pPr>
      <w:r>
        <w:rPr>
          <w:snapToGrid w:val="0"/>
        </w:rPr>
        <w:tab/>
        <w:t>(d)</w:t>
      </w:r>
      <w:r>
        <w:rPr>
          <w:snapToGrid w:val="0"/>
        </w:rPr>
        <w:tab/>
        <w:t>the date of registration of the renewal.</w:t>
      </w:r>
    </w:p>
    <w:p>
      <w:pPr>
        <w:pStyle w:val="Subsection"/>
        <w:spacing w:before="120"/>
        <w:rPr>
          <w:snapToGrid w:val="0"/>
        </w:rPr>
      </w:pPr>
      <w:r>
        <w:rPr>
          <w:snapToGrid w:val="0"/>
        </w:rPr>
        <w:tab/>
        <w:t>(3)</w:t>
      </w:r>
      <w:r>
        <w:rPr>
          <w:snapToGrid w:val="0"/>
        </w:rPr>
        <w:tab/>
        <w:t>If the Minister registers the renewal of a licence under subsection (2)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on the licence — </w:t>
      </w:r>
    </w:p>
    <w:p>
      <w:pPr>
        <w:pStyle w:val="Indenti"/>
        <w:rPr>
          <w:snapToGrid w:val="0"/>
        </w:rPr>
      </w:pPr>
      <w:r>
        <w:rPr>
          <w:snapToGrid w:val="0"/>
        </w:rPr>
        <w:tab/>
        <w:t>(i)</w:t>
      </w:r>
      <w:r>
        <w:rPr>
          <w:snapToGrid w:val="0"/>
        </w:rPr>
        <w:tab/>
        <w:t>the term of the renewal; and</w:t>
      </w:r>
    </w:p>
    <w:p>
      <w:pPr>
        <w:pStyle w:val="Indenti"/>
        <w:rPr>
          <w:snapToGrid w:val="0"/>
        </w:rPr>
      </w:pPr>
      <w:r>
        <w:rPr>
          <w:snapToGrid w:val="0"/>
        </w:rPr>
        <w:tab/>
        <w:t>(ii)</w:t>
      </w:r>
      <w:r>
        <w:rPr>
          <w:snapToGrid w:val="0"/>
        </w:rPr>
        <w:tab/>
        <w:t>the date of registration of the renewal.</w:t>
      </w:r>
    </w:p>
    <w:p>
      <w:pPr>
        <w:pStyle w:val="Subsection"/>
        <w:spacing w:before="120"/>
        <w:rPr>
          <w:snapToGrid w:val="0"/>
        </w:rPr>
      </w:pPr>
      <w:r>
        <w:rPr>
          <w:snapToGrid w:val="0"/>
        </w:rPr>
        <w:tab/>
        <w:t>(4)</w:t>
      </w:r>
      <w:r>
        <w:rPr>
          <w:snapToGrid w:val="0"/>
        </w:rPr>
        <w:tab/>
        <w:t>If the Minister refuses to renew a licence, the Minister must register the refusal.</w:t>
      </w:r>
    </w:p>
    <w:p>
      <w:pPr>
        <w:pStyle w:val="Heading5"/>
        <w:keepNext w:val="0"/>
        <w:keepLines w:val="0"/>
        <w:rPr>
          <w:snapToGrid w:val="0"/>
        </w:rPr>
      </w:pPr>
      <w:bookmarkStart w:id="479" w:name="_Toc166676016"/>
      <w:r>
        <w:rPr>
          <w:rStyle w:val="CharSectno"/>
        </w:rPr>
        <w:t>335</w:t>
      </w:r>
      <w:r>
        <w:rPr>
          <w:snapToGrid w:val="0"/>
        </w:rPr>
        <w:t>.</w:t>
      </w:r>
      <w:r>
        <w:rPr>
          <w:snapToGrid w:val="0"/>
        </w:rPr>
        <w:tab/>
        <w:t>Extension of exploration licences</w:t>
      </w:r>
      <w:bookmarkEnd w:id="479"/>
      <w:r>
        <w:rPr>
          <w:snapToGrid w:val="0"/>
        </w:rPr>
        <w:t xml:space="preserve"> </w:t>
      </w:r>
    </w:p>
    <w:p>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pPr>
        <w:pStyle w:val="PermNoteHeading"/>
      </w:pPr>
      <w:r>
        <w:tab/>
        <w:t>Note:</w:t>
      </w:r>
    </w:p>
    <w:p>
      <w:pPr>
        <w:pStyle w:val="PermNoteText"/>
      </w:pPr>
      <w:r>
        <w:tab/>
        <w:t>1.</w:t>
      </w:r>
      <w:r>
        <w:tab/>
        <w:t>For extensions of the term of a licence see sections 94 to 98.</w:t>
      </w:r>
    </w:p>
    <w:p>
      <w:pPr>
        <w:pStyle w:val="PermNoteText"/>
      </w:pPr>
      <w:r>
        <w:lastRenderedPageBreak/>
        <w:tab/>
        <w:t xml:space="preserve">2. </w:t>
      </w:r>
      <w:r>
        <w:tab/>
        <w:t>The grant of the extension of the term of an exploration licence is registered under section 337(1).</w:t>
      </w:r>
    </w:p>
    <w:p>
      <w:pPr>
        <w:pStyle w:val="Heading5"/>
        <w:spacing w:before="180"/>
        <w:rPr>
          <w:snapToGrid w:val="0"/>
        </w:rPr>
      </w:pPr>
      <w:bookmarkStart w:id="480" w:name="_Toc166676017"/>
      <w:r>
        <w:rPr>
          <w:rStyle w:val="CharSectno"/>
        </w:rPr>
        <w:t>336</w:t>
      </w:r>
      <w:r>
        <w:rPr>
          <w:snapToGrid w:val="0"/>
        </w:rPr>
        <w:t>.</w:t>
      </w:r>
      <w:r>
        <w:rPr>
          <w:snapToGrid w:val="0"/>
        </w:rPr>
        <w:tab/>
        <w:t>Expiry of licences</w:t>
      </w:r>
      <w:bookmarkEnd w:id="480"/>
      <w:r>
        <w:rPr>
          <w:snapToGrid w:val="0"/>
        </w:rPr>
        <w:t xml:space="preserve"> </w:t>
      </w:r>
    </w:p>
    <w:p>
      <w:pPr>
        <w:pStyle w:val="Subsection"/>
        <w:spacing w:before="120"/>
        <w:rPr>
          <w:snapToGrid w:val="0"/>
        </w:rPr>
      </w:pPr>
      <w:r>
        <w:rPr>
          <w:snapToGrid w:val="0"/>
        </w:rPr>
        <w:tab/>
        <w:t>(1)</w:t>
      </w:r>
      <w:r>
        <w:rPr>
          <w:snapToGrid w:val="0"/>
        </w:rPr>
        <w:tab/>
        <w:t>If a licence expires because — </w:t>
      </w:r>
    </w:p>
    <w:p>
      <w:pPr>
        <w:pStyle w:val="Indenta"/>
        <w:spacing w:before="60"/>
        <w:rPr>
          <w:snapToGrid w:val="0"/>
        </w:rPr>
      </w:pPr>
      <w:r>
        <w:rPr>
          <w:snapToGrid w:val="0"/>
        </w:rPr>
        <w:tab/>
        <w:t>(a)</w:t>
      </w:r>
      <w:r>
        <w:rPr>
          <w:snapToGrid w:val="0"/>
        </w:rPr>
        <w:tab/>
        <w:t>its term ends; or</w:t>
      </w:r>
    </w:p>
    <w:p>
      <w:pPr>
        <w:pStyle w:val="Indenta"/>
        <w:spacing w:before="60"/>
        <w:rPr>
          <w:snapToGrid w:val="0"/>
        </w:rPr>
      </w:pPr>
      <w:r>
        <w:rPr>
          <w:snapToGrid w:val="0"/>
        </w:rPr>
        <w:tab/>
        <w:t>(b)</w:t>
      </w:r>
      <w:r>
        <w:rPr>
          <w:snapToGrid w:val="0"/>
        </w:rPr>
        <w:tab/>
        <w:t>a retention licence or mining licence is granted to the licence holder,</w:t>
      </w:r>
    </w:p>
    <w:p>
      <w:pPr>
        <w:pStyle w:val="Subsection"/>
        <w:spacing w:before="120"/>
        <w:rPr>
          <w:snapToGrid w:val="0"/>
        </w:rPr>
      </w:pPr>
      <w:r>
        <w:rPr>
          <w:snapToGrid w:val="0"/>
        </w:rPr>
        <w:tab/>
      </w:r>
      <w:r>
        <w:rPr>
          <w:snapToGrid w:val="0"/>
        </w:rPr>
        <w:tab/>
        <w:t>the Minister must register the expiry of the licence.</w:t>
      </w:r>
    </w:p>
    <w:p>
      <w:pPr>
        <w:pStyle w:val="PermNoteHeading"/>
      </w:pPr>
      <w:r>
        <w:tab/>
        <w:t>Note:</w:t>
      </w:r>
    </w:p>
    <w:p>
      <w:pPr>
        <w:pStyle w:val="PermNoteText"/>
      </w:pPr>
      <w:r>
        <w:tab/>
      </w:r>
      <w:r>
        <w:tab/>
        <w:t>Cancellation is dealt with under section 337.</w:t>
      </w:r>
    </w:p>
    <w:p>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Subsection"/>
        <w:spacing w:before="120"/>
        <w:rPr>
          <w:snapToGrid w:val="0"/>
        </w:rPr>
      </w:pPr>
      <w:r>
        <w:rPr>
          <w:snapToGrid w:val="0"/>
        </w:rPr>
        <w:tab/>
        <w:t>(3)</w:t>
      </w:r>
      <w:r>
        <w:rPr>
          <w:snapToGrid w:val="0"/>
        </w:rPr>
        <w:tab/>
        <w:t>If the Minister registers the expiry of a licence under subsection (1) — </w:t>
      </w:r>
    </w:p>
    <w:p>
      <w:pPr>
        <w:pStyle w:val="Indenta"/>
        <w:spacing w:before="60"/>
        <w:rPr>
          <w:snapToGrid w:val="0"/>
        </w:rPr>
      </w:pPr>
      <w:r>
        <w:rPr>
          <w:snapToGrid w:val="0"/>
        </w:rPr>
        <w:tab/>
        <w:t>(a)</w:t>
      </w:r>
      <w:r>
        <w:rPr>
          <w:snapToGrid w:val="0"/>
        </w:rPr>
        <w:tab/>
        <w:t>the licence holder must give the licence to the Minister; and</w:t>
      </w:r>
    </w:p>
    <w:p>
      <w:pPr>
        <w:pStyle w:val="Indenta"/>
        <w:spacing w:before="60"/>
        <w:rPr>
          <w:snapToGrid w:val="0"/>
        </w:rPr>
      </w:pPr>
      <w:r>
        <w:rPr>
          <w:snapToGrid w:val="0"/>
        </w:rPr>
        <w:tab/>
        <w:t>(b)</w:t>
      </w:r>
      <w:r>
        <w:rPr>
          <w:snapToGrid w:val="0"/>
        </w:rPr>
        <w:tab/>
        <w:t>the Minister must endorse the expiry and the date of the expiry on the licence.</w:t>
      </w:r>
    </w:p>
    <w:p>
      <w:pPr>
        <w:pStyle w:val="Heading5"/>
        <w:spacing w:before="180"/>
        <w:rPr>
          <w:snapToGrid w:val="0"/>
        </w:rPr>
      </w:pPr>
      <w:bookmarkStart w:id="481" w:name="_Toc166676018"/>
      <w:r>
        <w:rPr>
          <w:rStyle w:val="CharSectno"/>
        </w:rPr>
        <w:t>337</w:t>
      </w:r>
      <w:r>
        <w:rPr>
          <w:snapToGrid w:val="0"/>
        </w:rPr>
        <w:t>.</w:t>
      </w:r>
      <w:r>
        <w:rPr>
          <w:snapToGrid w:val="0"/>
        </w:rPr>
        <w:tab/>
        <w:t>Variations etc. to licences</w:t>
      </w:r>
      <w:bookmarkEnd w:id="481"/>
      <w:r>
        <w:rPr>
          <w:snapToGrid w:val="0"/>
        </w:rPr>
        <w:t xml:space="preserve"> </w:t>
      </w:r>
    </w:p>
    <w:p>
      <w:pPr>
        <w:pStyle w:val="Subsection"/>
        <w:spacing w:before="120"/>
        <w:rPr>
          <w:snapToGrid w:val="0"/>
        </w:rPr>
      </w:pPr>
      <w:r>
        <w:rPr>
          <w:snapToGrid w:val="0"/>
        </w:rPr>
        <w:tab/>
        <w:t>(1)</w:t>
      </w:r>
      <w:r>
        <w:rPr>
          <w:snapToGrid w:val="0"/>
        </w:rPr>
        <w:tab/>
        <w:t>The Minister must register — </w:t>
      </w:r>
    </w:p>
    <w:p>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pPr>
        <w:pStyle w:val="Indenta"/>
        <w:spacing w:before="60"/>
        <w:rPr>
          <w:snapToGrid w:val="0"/>
        </w:rPr>
      </w:pPr>
      <w:r>
        <w:rPr>
          <w:snapToGrid w:val="0"/>
        </w:rPr>
        <w:tab/>
        <w:t>(b)</w:t>
      </w:r>
      <w:r>
        <w:rPr>
          <w:snapToGrid w:val="0"/>
        </w:rPr>
        <w:tab/>
        <w:t>the details of any document that varies or revokes a document referred to in paragraph (a).</w:t>
      </w:r>
    </w:p>
    <w:p>
      <w:pPr>
        <w:pStyle w:val="PermNoteHeading"/>
      </w:pPr>
      <w:r>
        <w:tab/>
        <w:t>Note:</w:t>
      </w:r>
    </w:p>
    <w:p>
      <w:pPr>
        <w:pStyle w:val="PermNoteText"/>
      </w:pPr>
      <w:r>
        <w:tab/>
      </w:r>
      <w:r>
        <w:tab/>
        <w:t>The documents referred to in paragraph (a) are — </w:t>
      </w:r>
    </w:p>
    <w:p>
      <w:pPr>
        <w:pStyle w:val="PermNotePara"/>
      </w:pPr>
      <w:r>
        <w:tab/>
        <w:t>1.</w:t>
      </w:r>
      <w:r>
        <w:tab/>
        <w:t>suspension of licence rights (see sections 48 (exploration licence), 135 (retention licence) and 195 (mining licence));</w:t>
      </w:r>
    </w:p>
    <w:p>
      <w:pPr>
        <w:pStyle w:val="PermNotePara"/>
      </w:pPr>
      <w:r>
        <w:tab/>
        <w:t>2.</w:t>
      </w:r>
      <w:r>
        <w:tab/>
        <w:t xml:space="preserve">amendment of licence conditions between provisional grant and registration (see sections 67 (exploration licence), 148 (retention licence), 211 (mining licence) and 280 (works licence)) — these need to be registered at the same time as the </w:t>
      </w:r>
      <w:r>
        <w:lastRenderedPageBreak/>
        <w:t>grant is registered because if the conditions are amended between provisional grant and registration a replacement licence reflecting the change in conditions is not issued to the provisional holder;</w:t>
      </w:r>
    </w:p>
    <w:p>
      <w:pPr>
        <w:pStyle w:val="PermNotePara"/>
      </w:pPr>
      <w:r>
        <w:tab/>
        <w:t>3.</w:t>
      </w:r>
      <w:r>
        <w:tab/>
        <w:t>extension of term (see sections 90, 95 and 97 (exploration licence));</w:t>
      </w:r>
    </w:p>
    <w:p>
      <w:pPr>
        <w:pStyle w:val="PermNotePara"/>
      </w:pPr>
      <w:r>
        <w:tab/>
        <w:t>4.</w:t>
      </w:r>
      <w:r>
        <w:tab/>
        <w:t>surrender of the whole or a part of a licence (see sections 99 and 127 (exploration licence), 158 and 187 (retention licence), 235 and 264 (mining licence) and 312 (works licence));</w:t>
      </w:r>
    </w:p>
    <w:p>
      <w:pPr>
        <w:pStyle w:val="PermNotePara"/>
      </w:pPr>
      <w:r>
        <w:tab/>
        <w:t>5.</w:t>
      </w:r>
      <w:r>
        <w:tab/>
        <w:t>voluntary surrender — special approval (see section 100 (exploration licence));</w:t>
      </w:r>
    </w:p>
    <w:p>
      <w:pPr>
        <w:pStyle w:val="PermNotePara"/>
      </w:pPr>
      <w:r>
        <w:tab/>
        <w:t>6.</w:t>
      </w:r>
      <w:r>
        <w:tab/>
        <w:t>mandatory reduction of licence area — special permission (see section 104 (exploration licence));</w:t>
      </w:r>
    </w:p>
    <w:p>
      <w:pPr>
        <w:pStyle w:val="PermNotePara"/>
      </w:pPr>
      <w:r>
        <w:tab/>
        <w:t>7.</w:t>
      </w:r>
      <w:r>
        <w:tab/>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PermNotePara"/>
      </w:pPr>
      <w:r>
        <w:tab/>
        <w:t>8.</w:t>
      </w:r>
      <w:r>
        <w:tab/>
        <w:t>variation of conditions (see sections 120 (exploration licence), 179 (retention licence), 256 (mining licence) and 306 (works licence));</w:t>
      </w:r>
    </w:p>
    <w:p>
      <w:pPr>
        <w:pStyle w:val="PermNotePara"/>
      </w:pPr>
      <w:r>
        <w:tab/>
        <w:t>9.</w:t>
      </w:r>
      <w:r>
        <w:tab/>
        <w:t>exemption from or suspension of condition (see sections 121 (exploration licence), 180 (retention licence), 257 (mining licence) and 307 (works licence));</w:t>
      </w:r>
    </w:p>
    <w:p>
      <w:pPr>
        <w:pStyle w:val="PermNotePara"/>
      </w:pPr>
      <w:r>
        <w:tab/>
        <w:t>10.</w:t>
      </w:r>
      <w:r>
        <w:tab/>
        <w:t>cancellation (see sections 130 (exploration licence), 189 and 190 (retention licence), 265 (mining licence) and 313 (works licence));</w:t>
      </w:r>
    </w:p>
    <w:p>
      <w:pPr>
        <w:pStyle w:val="PermNotePara"/>
      </w:pPr>
      <w:r>
        <w:tab/>
        <w:t>11.</w:t>
      </w:r>
      <w:r>
        <w:tab/>
        <w:t>directions (see sections 387 and 392);</w:t>
      </w:r>
    </w:p>
    <w:p>
      <w:pPr>
        <w:pStyle w:val="PermNotePara"/>
      </w:pPr>
      <w:r>
        <w:tab/>
        <w:t>12.</w:t>
      </w:r>
      <w:r>
        <w:tab/>
        <w:t>security requirements (see section 399);</w:t>
      </w:r>
    </w:p>
    <w:p>
      <w:pPr>
        <w:pStyle w:val="PermNotePara"/>
      </w:pPr>
      <w:r>
        <w:tab/>
        <w:t>13.</w:t>
      </w:r>
      <w:r>
        <w:tab/>
        <w:t>approvals of transfers (see section 365).</w:t>
      </w:r>
    </w:p>
    <w:p>
      <w:pPr>
        <w:pStyle w:val="Subsection"/>
        <w:rPr>
          <w:snapToGrid w:val="0"/>
        </w:rPr>
      </w:pPr>
      <w:r>
        <w:rPr>
          <w:snapToGrid w:val="0"/>
        </w:rPr>
        <w:tab/>
        <w:t>(2)</w:t>
      </w:r>
      <w:r>
        <w:rPr>
          <w:snapToGrid w:val="0"/>
        </w:rPr>
        <w:tab/>
        <w:t>Subsection (1)(a) applies to a document that suspends the rights of a holder of a licence.</w:t>
      </w:r>
    </w:p>
    <w:p>
      <w:pPr>
        <w:pStyle w:val="Subsection"/>
        <w:rPr>
          <w:snapToGrid w:val="0"/>
        </w:rPr>
      </w:pPr>
      <w:r>
        <w:rPr>
          <w:snapToGrid w:val="0"/>
        </w:rPr>
        <w:tab/>
        <w:t>(3)</w:t>
      </w:r>
      <w:r>
        <w:rPr>
          <w:snapToGrid w:val="0"/>
        </w:rPr>
        <w:tab/>
        <w:t>Details of a document may be registered by registering a summary of the contents of the document.</w:t>
      </w:r>
    </w:p>
    <w:p>
      <w:pPr>
        <w:pStyle w:val="Subsection"/>
        <w:rPr>
          <w:snapToGrid w:val="0"/>
        </w:rPr>
      </w:pPr>
      <w:r>
        <w:rPr>
          <w:snapToGrid w:val="0"/>
        </w:rPr>
        <w:tab/>
        <w:t>(4)</w:t>
      </w:r>
      <w:r>
        <w:rPr>
          <w:snapToGrid w:val="0"/>
        </w:rPr>
        <w:tab/>
        <w:t>The Minister must keep a document referred to in subsection (1), or a copy of the document.</w:t>
      </w:r>
    </w:p>
    <w:p>
      <w:pPr>
        <w:pStyle w:val="Subsection"/>
        <w:spacing w:before="120"/>
        <w:rPr>
          <w:snapToGrid w:val="0"/>
        </w:rPr>
      </w:pPr>
      <w:r>
        <w:rPr>
          <w:snapToGrid w:val="0"/>
        </w:rPr>
        <w:tab/>
        <w:t>(5)</w:t>
      </w:r>
      <w:r>
        <w:rPr>
          <w:snapToGrid w:val="0"/>
        </w:rPr>
        <w:tab/>
        <w:t>A document referred to in subsection (1) — </w:t>
      </w:r>
    </w:p>
    <w:p>
      <w:pPr>
        <w:pStyle w:val="Indenta"/>
        <w:rPr>
          <w:snapToGrid w:val="0"/>
        </w:rPr>
      </w:pPr>
      <w:r>
        <w:rPr>
          <w:snapToGrid w:val="0"/>
        </w:rPr>
        <w:lastRenderedPageBreak/>
        <w:tab/>
        <w:t>(a)</w:t>
      </w:r>
      <w:r>
        <w:rPr>
          <w:snapToGrid w:val="0"/>
        </w:rPr>
        <w:tab/>
        <w:t>has no effect until it is registered; and</w:t>
      </w:r>
    </w:p>
    <w:p>
      <w:pPr>
        <w:pStyle w:val="Indenta"/>
        <w:rPr>
          <w:snapToGrid w:val="0"/>
        </w:rPr>
      </w:pPr>
      <w:r>
        <w:rPr>
          <w:snapToGrid w:val="0"/>
        </w:rPr>
        <w:tab/>
        <w:t>(b)</w:t>
      </w:r>
      <w:r>
        <w:rPr>
          <w:snapToGrid w:val="0"/>
        </w:rPr>
        <w:tab/>
        <w:t>is taken to be registered as soon as an entry complying with subsection (1) is made in the register.</w:t>
      </w:r>
    </w:p>
    <w:p>
      <w:pPr>
        <w:pStyle w:val="Heading5"/>
        <w:rPr>
          <w:snapToGrid w:val="0"/>
        </w:rPr>
      </w:pPr>
      <w:bookmarkStart w:id="482" w:name="_Toc166676019"/>
      <w:r>
        <w:rPr>
          <w:rStyle w:val="CharSectno"/>
        </w:rPr>
        <w:t>338</w:t>
      </w:r>
      <w:r>
        <w:rPr>
          <w:snapToGrid w:val="0"/>
        </w:rPr>
        <w:t>.</w:t>
      </w:r>
      <w:r>
        <w:rPr>
          <w:snapToGrid w:val="0"/>
        </w:rPr>
        <w:tab/>
        <w:t>Transfer of licences</w:t>
      </w:r>
      <w:bookmarkEnd w:id="482"/>
      <w:r>
        <w:rPr>
          <w:snapToGrid w:val="0"/>
        </w:rPr>
        <w:t xml:space="preserve"> </w:t>
      </w:r>
    </w:p>
    <w:p>
      <w:pPr>
        <w:pStyle w:val="Subsection"/>
        <w:spacing w:before="120"/>
        <w:rPr>
          <w:snapToGrid w:val="0"/>
        </w:rPr>
      </w:pPr>
      <w:r>
        <w:rPr>
          <w:snapToGrid w:val="0"/>
        </w:rPr>
        <w:tab/>
        <w:t>(1)</w:t>
      </w:r>
      <w:r>
        <w:rPr>
          <w:snapToGrid w:val="0"/>
        </w:rPr>
        <w:tab/>
        <w:t>The Minister must register the transfer of a licence or a share in a licence if — </w:t>
      </w:r>
    </w:p>
    <w:p>
      <w:pPr>
        <w:pStyle w:val="Indenta"/>
        <w:rPr>
          <w:snapToGrid w:val="0"/>
        </w:rPr>
      </w:pPr>
      <w:r>
        <w:rPr>
          <w:snapToGrid w:val="0"/>
        </w:rPr>
        <w:tab/>
        <w:t>(a)</w:t>
      </w:r>
      <w:r>
        <w:rPr>
          <w:snapToGrid w:val="0"/>
        </w:rPr>
        <w:tab/>
        <w:t>a party to the transfer lodges the instrument of transfer for registration; and</w:t>
      </w:r>
    </w:p>
    <w:p>
      <w:pPr>
        <w:pStyle w:val="Indenta"/>
        <w:rPr>
          <w:snapToGrid w:val="0"/>
        </w:rPr>
      </w:pPr>
      <w:r>
        <w:rPr>
          <w:snapToGrid w:val="0"/>
        </w:rPr>
        <w:tab/>
        <w:t>(b)</w:t>
      </w:r>
      <w:r>
        <w:rPr>
          <w:snapToGrid w:val="0"/>
        </w:rPr>
        <w:tab/>
        <w:t>a party to the transfer lodges a copy of the instrument of transfer; and</w:t>
      </w:r>
    </w:p>
    <w:p>
      <w:pPr>
        <w:pStyle w:val="Indenta"/>
        <w:rPr>
          <w:snapToGrid w:val="0"/>
        </w:rPr>
      </w:pPr>
      <w:r>
        <w:rPr>
          <w:snapToGrid w:val="0"/>
        </w:rPr>
        <w:tab/>
        <w:t>(c)</w:t>
      </w:r>
      <w:r>
        <w:rPr>
          <w:snapToGrid w:val="0"/>
        </w:rPr>
        <w:tab/>
        <w:t>the transfer has been approved by the Minister; and</w:t>
      </w:r>
    </w:p>
    <w:p>
      <w:pPr>
        <w:pStyle w:val="Indenta"/>
        <w:rPr>
          <w:snapToGrid w:val="0"/>
        </w:rPr>
      </w:pPr>
      <w:r>
        <w:rPr>
          <w:snapToGrid w:val="0"/>
        </w:rPr>
        <w:tab/>
        <w:t>(d)</w:t>
      </w:r>
      <w:r>
        <w:rPr>
          <w:snapToGrid w:val="0"/>
        </w:rPr>
        <w:tab/>
        <w:t>the licence is lodged with the Minister for annotation under subsection (5); and</w:t>
      </w:r>
    </w:p>
    <w:p>
      <w:pPr>
        <w:pStyle w:val="Indenta"/>
        <w:rPr>
          <w:snapToGrid w:val="0"/>
        </w:rPr>
      </w:pPr>
      <w:r>
        <w:rPr>
          <w:snapToGrid w:val="0"/>
        </w:rPr>
        <w:tab/>
        <w:t>(e)</w:t>
      </w:r>
      <w:r>
        <w:rPr>
          <w:snapToGrid w:val="0"/>
        </w:rPr>
        <w:tab/>
        <w:t>the fee provided for in the Registration Fees Act is paid; and</w:t>
      </w:r>
    </w:p>
    <w:p>
      <w:pPr>
        <w:pStyle w:val="Indenta"/>
        <w:rPr>
          <w:snapToGrid w:val="0"/>
        </w:rPr>
      </w:pPr>
      <w:r>
        <w:rPr>
          <w:snapToGrid w:val="0"/>
        </w:rPr>
        <w:tab/>
        <w:t>(f)</w:t>
      </w:r>
      <w:r>
        <w:rPr>
          <w:snapToGrid w:val="0"/>
        </w:rPr>
        <w:tab/>
        <w:t>the fee prescribed by the regulations is paid; and</w:t>
      </w:r>
    </w:p>
    <w:p>
      <w:pPr>
        <w:pStyle w:val="Indenta"/>
        <w:rPr>
          <w:snapToGrid w:val="0"/>
        </w:rPr>
      </w:pPr>
      <w:r>
        <w:rPr>
          <w:snapToGrid w:val="0"/>
        </w:rPr>
        <w:tab/>
        <w:t>(g)</w:t>
      </w:r>
      <w:r>
        <w:rPr>
          <w:snapToGrid w:val="0"/>
        </w:rPr>
        <w:tab/>
        <w:t>section 341 (caveats) does not prevent the registration of the transfer.</w:t>
      </w:r>
    </w:p>
    <w:p>
      <w:pPr>
        <w:pStyle w:val="PermNoteHeading"/>
      </w:pPr>
      <w:r>
        <w:tab/>
        <w:t>Note:</w:t>
      </w:r>
    </w:p>
    <w:p>
      <w:pPr>
        <w:pStyle w:val="PermNoteText"/>
      </w:pPr>
      <w:r>
        <w:tab/>
      </w:r>
      <w:r>
        <w:tab/>
        <w:t>Paragraph (c): the Minister’s approval is endorsed on the transfer (see section 365(3)).</w:t>
      </w:r>
    </w:p>
    <w:p>
      <w:pPr>
        <w:pStyle w:val="Subsection"/>
        <w:spacing w:before="120"/>
        <w:rPr>
          <w:snapToGrid w:val="0"/>
        </w:rPr>
      </w:pPr>
      <w:r>
        <w:rPr>
          <w:snapToGrid w:val="0"/>
        </w:rPr>
        <w:tab/>
        <w:t>(2)</w:t>
      </w:r>
      <w:r>
        <w:rPr>
          <w:snapToGrid w:val="0"/>
        </w:rPr>
        <w:tab/>
        <w:t>The Minister must also register the date and time of registration of the transfer.</w:t>
      </w:r>
    </w:p>
    <w:p>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Subsection"/>
        <w:spacing w:before="120"/>
        <w:rPr>
          <w:snapToGrid w:val="0"/>
        </w:rPr>
      </w:pPr>
      <w:r>
        <w:rPr>
          <w:snapToGrid w:val="0"/>
        </w:rPr>
        <w:lastRenderedPageBreak/>
        <w:tab/>
        <w:t>(5)</w:t>
      </w:r>
      <w:r>
        <w:rPr>
          <w:snapToGrid w:val="0"/>
        </w:rPr>
        <w:tab/>
        <w:t>If the Minister registers the transfer of a licence or a share in a licence, the Minister must annotate the licence to show the transferee as a licence holder.</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keep the copy of the transfer;</w:t>
      </w:r>
    </w:p>
    <w:p>
      <w:pPr>
        <w:pStyle w:val="Indenta"/>
        <w:rPr>
          <w:snapToGrid w:val="0"/>
        </w:rPr>
      </w:pPr>
      <w:r>
        <w:rPr>
          <w:snapToGrid w:val="0"/>
        </w:rPr>
        <w:tab/>
        <w:t>(b)</w:t>
      </w:r>
      <w:r>
        <w:rPr>
          <w:snapToGrid w:val="0"/>
        </w:rPr>
        <w:tab/>
        <w:t>return the transfer to the person who lodged it; and</w:t>
      </w:r>
    </w:p>
    <w:p>
      <w:pPr>
        <w:pStyle w:val="Indenta"/>
        <w:rPr>
          <w:snapToGrid w:val="0"/>
        </w:rPr>
      </w:pPr>
      <w:r>
        <w:rPr>
          <w:snapToGrid w:val="0"/>
        </w:rPr>
        <w:tab/>
        <w:t>(c)</w:t>
      </w:r>
      <w:r>
        <w:rPr>
          <w:snapToGrid w:val="0"/>
        </w:rPr>
        <w:tab/>
        <w:t>return the annotated licence to the person who lodged it.</w:t>
      </w:r>
    </w:p>
    <w:p>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Heading5"/>
        <w:rPr>
          <w:snapToGrid w:val="0"/>
        </w:rPr>
      </w:pPr>
      <w:bookmarkStart w:id="483" w:name="_Toc166676020"/>
      <w:r>
        <w:rPr>
          <w:rStyle w:val="CharSectno"/>
        </w:rPr>
        <w:t>339</w:t>
      </w:r>
      <w:r>
        <w:rPr>
          <w:snapToGrid w:val="0"/>
        </w:rPr>
        <w:t>.</w:t>
      </w:r>
      <w:r>
        <w:rPr>
          <w:snapToGrid w:val="0"/>
        </w:rPr>
        <w:tab/>
        <w:t>Other dealings in licences</w:t>
      </w:r>
      <w:bookmarkEnd w:id="483"/>
      <w:r>
        <w:rPr>
          <w:snapToGrid w:val="0"/>
        </w:rPr>
        <w:t xml:space="preserve"> </w:t>
      </w:r>
    </w:p>
    <w:p>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Indenta"/>
        <w:rPr>
          <w:snapToGrid w:val="0"/>
        </w:rPr>
      </w:pPr>
      <w:r>
        <w:rPr>
          <w:snapToGrid w:val="0"/>
        </w:rPr>
        <w:tab/>
        <w:t>(a)</w:t>
      </w:r>
      <w:r>
        <w:rPr>
          <w:snapToGrid w:val="0"/>
        </w:rPr>
        <w:tab/>
        <w:t>a party to the dealing lodges the document for registration; and</w:t>
      </w:r>
    </w:p>
    <w:p>
      <w:pPr>
        <w:pStyle w:val="Indenta"/>
        <w:rPr>
          <w:snapToGrid w:val="0"/>
        </w:rPr>
      </w:pPr>
      <w:r>
        <w:rPr>
          <w:snapToGrid w:val="0"/>
        </w:rPr>
        <w:tab/>
        <w:t>(b)</w:t>
      </w:r>
      <w:r>
        <w:rPr>
          <w:snapToGrid w:val="0"/>
        </w:rPr>
        <w:tab/>
        <w:t>a party to the dealing lodges a copy of the document; and</w:t>
      </w:r>
    </w:p>
    <w:p>
      <w:pPr>
        <w:pStyle w:val="Indenta"/>
        <w:rPr>
          <w:snapToGrid w:val="0"/>
        </w:rPr>
      </w:pPr>
      <w:r>
        <w:rPr>
          <w:snapToGrid w:val="0"/>
        </w:rPr>
        <w:tab/>
        <w:t>(c)</w:t>
      </w:r>
      <w:r>
        <w:rPr>
          <w:snapToGrid w:val="0"/>
        </w:rPr>
        <w:tab/>
        <w:t>the fee provided for in the Registration Fees Act is paid; and</w:t>
      </w:r>
    </w:p>
    <w:p>
      <w:pPr>
        <w:pStyle w:val="Indenta"/>
        <w:rPr>
          <w:snapToGrid w:val="0"/>
        </w:rPr>
      </w:pPr>
      <w:r>
        <w:rPr>
          <w:snapToGrid w:val="0"/>
        </w:rPr>
        <w:tab/>
        <w:t>(d)</w:t>
      </w:r>
      <w:r>
        <w:rPr>
          <w:snapToGrid w:val="0"/>
        </w:rPr>
        <w:tab/>
        <w:t>the fee prescribed by the regulations is paid; and</w:t>
      </w:r>
    </w:p>
    <w:p>
      <w:pPr>
        <w:pStyle w:val="Indenta"/>
        <w:rPr>
          <w:snapToGrid w:val="0"/>
        </w:rPr>
      </w:pPr>
      <w:r>
        <w:rPr>
          <w:snapToGrid w:val="0"/>
        </w:rPr>
        <w:tab/>
        <w:t>(e)</w:t>
      </w:r>
      <w:r>
        <w:rPr>
          <w:snapToGrid w:val="0"/>
        </w:rPr>
        <w:tab/>
        <w:t>section 341 (caveats) does not prevent the registration of the dealing.</w:t>
      </w:r>
    </w:p>
    <w:p>
      <w:pPr>
        <w:pStyle w:val="Subsection"/>
        <w:spacing w:before="120"/>
        <w:rPr>
          <w:snapToGrid w:val="0"/>
        </w:rPr>
      </w:pPr>
      <w:r>
        <w:rPr>
          <w:snapToGrid w:val="0"/>
        </w:rPr>
        <w:tab/>
        <w:t>(2)</w:t>
      </w:r>
      <w:r>
        <w:rPr>
          <w:snapToGrid w:val="0"/>
        </w:rPr>
        <w:tab/>
        <w:t>The Minister must also register the date and time of registration of the dealing.</w:t>
      </w:r>
    </w:p>
    <w:p>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Subsection"/>
        <w:rPr>
          <w:snapToGrid w:val="0"/>
        </w:rPr>
      </w:pPr>
      <w:r>
        <w:rPr>
          <w:snapToGrid w:val="0"/>
        </w:rPr>
        <w:tab/>
        <w:t>(4)</w:t>
      </w:r>
      <w:r>
        <w:rPr>
          <w:snapToGrid w:val="0"/>
        </w:rPr>
        <w:tab/>
        <w:t>The Minister must keep the copy of the document.</w:t>
      </w:r>
    </w:p>
    <w:p>
      <w:pPr>
        <w:pStyle w:val="Subsection"/>
        <w:rPr>
          <w:snapToGrid w:val="0"/>
        </w:rPr>
      </w:pPr>
      <w:r>
        <w:rPr>
          <w:snapToGrid w:val="0"/>
        </w:rPr>
        <w:lastRenderedPageBreak/>
        <w:tab/>
        <w:t>(5)</w:t>
      </w:r>
      <w:r>
        <w:rPr>
          <w:snapToGrid w:val="0"/>
        </w:rPr>
        <w:tab/>
        <w:t>The Minister must return the document to the person who lodged it.</w:t>
      </w:r>
    </w:p>
    <w:p>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Heading5"/>
        <w:rPr>
          <w:snapToGrid w:val="0"/>
        </w:rPr>
      </w:pPr>
      <w:bookmarkStart w:id="484" w:name="_Toc166676021"/>
      <w:r>
        <w:rPr>
          <w:rStyle w:val="CharSectno"/>
        </w:rPr>
        <w:t>340</w:t>
      </w:r>
      <w:r>
        <w:rPr>
          <w:snapToGrid w:val="0"/>
        </w:rPr>
        <w:t>.</w:t>
      </w:r>
      <w:r>
        <w:rPr>
          <w:snapToGrid w:val="0"/>
        </w:rPr>
        <w:tab/>
        <w:t>Devolution of licences</w:t>
      </w:r>
      <w:bookmarkEnd w:id="48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rights of a licence holder have devolved to a person by operation of law; and</w:t>
      </w:r>
    </w:p>
    <w:p>
      <w:pPr>
        <w:pStyle w:val="Indenta"/>
        <w:rPr>
          <w:snapToGrid w:val="0"/>
        </w:rPr>
      </w:pPr>
      <w:r>
        <w:rPr>
          <w:snapToGrid w:val="0"/>
        </w:rPr>
        <w:tab/>
        <w:t>(b)</w:t>
      </w:r>
      <w:r>
        <w:rPr>
          <w:snapToGrid w:val="0"/>
        </w:rPr>
        <w:tab/>
        <w:t>the person applies to the Minister in writing to be registered as a licence holder; and</w:t>
      </w:r>
    </w:p>
    <w:p>
      <w:pPr>
        <w:pStyle w:val="Indenta"/>
        <w:rPr>
          <w:snapToGrid w:val="0"/>
        </w:rPr>
      </w:pPr>
      <w:r>
        <w:rPr>
          <w:snapToGrid w:val="0"/>
        </w:rPr>
        <w:tab/>
        <w:t>(c)</w:t>
      </w:r>
      <w:r>
        <w:rPr>
          <w:snapToGrid w:val="0"/>
        </w:rPr>
        <w:tab/>
        <w:t>the licence is lodged with the Minister for annotation under subsection (3); and</w:t>
      </w:r>
    </w:p>
    <w:p>
      <w:pPr>
        <w:pStyle w:val="Indenta"/>
        <w:rPr>
          <w:snapToGrid w:val="0"/>
        </w:rPr>
      </w:pPr>
      <w:r>
        <w:rPr>
          <w:snapToGrid w:val="0"/>
        </w:rPr>
        <w:tab/>
        <w:t>(d)</w:t>
      </w:r>
      <w:r>
        <w:rPr>
          <w:snapToGrid w:val="0"/>
        </w:rPr>
        <w:tab/>
        <w:t>the person pays the fee prescribed by the regulations; and</w:t>
      </w:r>
    </w:p>
    <w:p>
      <w:pPr>
        <w:pStyle w:val="Indenta"/>
        <w:rPr>
          <w:snapToGrid w:val="0"/>
        </w:rPr>
      </w:pPr>
      <w:r>
        <w:rPr>
          <w:snapToGrid w:val="0"/>
        </w:rPr>
        <w:tab/>
        <w:t>(e)</w:t>
      </w:r>
      <w:r>
        <w:rPr>
          <w:snapToGrid w:val="0"/>
        </w:rPr>
        <w:tab/>
        <w:t>the Minister is satisfied that the applicant is entitled to those rights; and</w:t>
      </w:r>
    </w:p>
    <w:p>
      <w:pPr>
        <w:pStyle w:val="Indenta"/>
        <w:rPr>
          <w:snapToGrid w:val="0"/>
        </w:rPr>
      </w:pPr>
      <w:r>
        <w:rPr>
          <w:snapToGrid w:val="0"/>
        </w:rPr>
        <w:tab/>
        <w:t>(f)</w:t>
      </w:r>
      <w:r>
        <w:rPr>
          <w:snapToGrid w:val="0"/>
        </w:rPr>
        <w:tab/>
        <w:t>section 341 (caveats) does not prevent the registration of the person as a licence holder,</w:t>
      </w:r>
    </w:p>
    <w:p>
      <w:pPr>
        <w:pStyle w:val="Subsection"/>
        <w:rPr>
          <w:snapToGrid w:val="0"/>
        </w:rPr>
      </w:pPr>
      <w:r>
        <w:rPr>
          <w:snapToGrid w:val="0"/>
        </w:rPr>
        <w:tab/>
      </w:r>
      <w:r>
        <w:rPr>
          <w:snapToGrid w:val="0"/>
        </w:rPr>
        <w:tab/>
        <w:t>the Minister must register the person as a licence holder.</w:t>
      </w:r>
    </w:p>
    <w:p>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Subsection"/>
        <w:rPr>
          <w:snapToGrid w:val="0"/>
        </w:rPr>
      </w:pPr>
      <w:r>
        <w:rPr>
          <w:snapToGrid w:val="0"/>
        </w:rPr>
        <w:tab/>
        <w:t>(4)</w:t>
      </w:r>
      <w:r>
        <w:rPr>
          <w:snapToGrid w:val="0"/>
        </w:rPr>
        <w:tab/>
        <w:t>The Minister must return the annotated licence to the person who lodged it.</w:t>
      </w:r>
    </w:p>
    <w:p>
      <w:pPr>
        <w:pStyle w:val="Subsection"/>
        <w:rPr>
          <w:snapToGrid w:val="0"/>
        </w:rPr>
      </w:pPr>
      <w:r>
        <w:rPr>
          <w:snapToGrid w:val="0"/>
        </w:rPr>
        <w:lastRenderedPageBreak/>
        <w:tab/>
        <w:t>(5)</w:t>
      </w:r>
      <w:r>
        <w:rPr>
          <w:snapToGrid w:val="0"/>
        </w:rPr>
        <w:tab/>
        <w:t>This section applies to 2 or more persons to whom rights have devolved in the same way as it applies to a single person to whom rights have devolved.</w:t>
      </w:r>
    </w:p>
    <w:p>
      <w:pPr>
        <w:pStyle w:val="Heading4"/>
        <w:rPr>
          <w:snapToGrid w:val="0"/>
        </w:rPr>
      </w:pPr>
      <w:bookmarkStart w:id="485" w:name="_Toc166675202"/>
      <w:bookmarkStart w:id="486" w:name="_Toc166675717"/>
      <w:bookmarkStart w:id="487" w:name="_Toc166676022"/>
      <w:r>
        <w:rPr>
          <w:snapToGrid w:val="0"/>
        </w:rPr>
        <w:t>Subdivision B — Caveats</w:t>
      </w:r>
      <w:bookmarkEnd w:id="485"/>
      <w:bookmarkEnd w:id="486"/>
      <w:bookmarkEnd w:id="487"/>
      <w:r>
        <w:rPr>
          <w:snapToGrid w:val="0"/>
        </w:rPr>
        <w:t xml:space="preserve"> </w:t>
      </w:r>
    </w:p>
    <w:p>
      <w:pPr>
        <w:pStyle w:val="Heading5"/>
        <w:rPr>
          <w:snapToGrid w:val="0"/>
        </w:rPr>
      </w:pPr>
      <w:bookmarkStart w:id="488" w:name="_Toc166676023"/>
      <w:r>
        <w:rPr>
          <w:rStyle w:val="CharSectno"/>
        </w:rPr>
        <w:t>341</w:t>
      </w:r>
      <w:r>
        <w:rPr>
          <w:snapToGrid w:val="0"/>
        </w:rPr>
        <w:t>.</w:t>
      </w:r>
      <w:r>
        <w:rPr>
          <w:snapToGrid w:val="0"/>
        </w:rPr>
        <w:tab/>
        <w:t>Effect of a caveat</w:t>
      </w:r>
      <w:bookmarkEnd w:id="488"/>
      <w:r>
        <w:rPr>
          <w:snapToGrid w:val="0"/>
        </w:rPr>
        <w:t xml:space="preserve"> </w:t>
      </w:r>
    </w:p>
    <w:p>
      <w:pPr>
        <w:pStyle w:val="Subsection"/>
        <w:rPr>
          <w:snapToGrid w:val="0"/>
        </w:rPr>
      </w:pPr>
      <w:r>
        <w:rPr>
          <w:snapToGrid w:val="0"/>
        </w:rPr>
        <w:tab/>
        <w:t>(1)</w:t>
      </w:r>
      <w:r>
        <w:rPr>
          <w:snapToGrid w:val="0"/>
        </w:rPr>
        <w:tab/>
        <w:t>If a caveat is in force on a licence, the Minister must not register a dealing in the licence unless — </w:t>
      </w:r>
    </w:p>
    <w:p>
      <w:pPr>
        <w:pStyle w:val="Indenta"/>
        <w:rPr>
          <w:snapToGrid w:val="0"/>
        </w:rPr>
      </w:pPr>
      <w:r>
        <w:rPr>
          <w:snapToGrid w:val="0"/>
        </w:rPr>
        <w:tab/>
        <w:t>(a)</w:t>
      </w:r>
      <w:r>
        <w:rPr>
          <w:snapToGrid w:val="0"/>
        </w:rPr>
        <w:tab/>
        <w:t>the Minister is not required to give the caveat holder notice of the particular dealing; or</w:t>
      </w:r>
    </w:p>
    <w:p>
      <w:pPr>
        <w:pStyle w:val="Indenta"/>
        <w:rPr>
          <w:snapToGrid w:val="0"/>
        </w:rPr>
      </w:pPr>
      <w:r>
        <w:rPr>
          <w:snapToGrid w:val="0"/>
        </w:rPr>
        <w:tab/>
        <w:t>(b)</w:t>
      </w:r>
      <w:r>
        <w:rPr>
          <w:snapToGrid w:val="0"/>
        </w:rPr>
        <w:tab/>
        <w:t>the caveat holder consents to the registration of the dealing under section 350; or</w:t>
      </w:r>
    </w:p>
    <w:p>
      <w:pPr>
        <w:pStyle w:val="Indenta"/>
        <w:rPr>
          <w:snapToGrid w:val="0"/>
        </w:rPr>
      </w:pPr>
      <w:r>
        <w:rPr>
          <w:snapToGrid w:val="0"/>
        </w:rPr>
        <w:tab/>
        <w:t>(c)</w:t>
      </w:r>
      <w:r>
        <w:rPr>
          <w:snapToGrid w:val="0"/>
        </w:rPr>
        <w:tab/>
        <w:t>a court of competent jurisdiction orders the Minister to register the dealing under section 338 or 339 despite the caveat.</w:t>
      </w:r>
    </w:p>
    <w:p>
      <w:pPr>
        <w:pStyle w:val="PermNoteHeading"/>
      </w:pPr>
      <w:r>
        <w:tab/>
        <w:t>Note:</w:t>
      </w:r>
    </w:p>
    <w:p>
      <w:pPr>
        <w:pStyle w:val="PermNoteText"/>
      </w:pPr>
      <w:r>
        <w:tab/>
        <w:t>1.</w:t>
      </w:r>
      <w:r>
        <w:tab/>
        <w:t>For “dealing” see section 5.</w:t>
      </w:r>
    </w:p>
    <w:p>
      <w:pPr>
        <w:pStyle w:val="PermNoteText"/>
      </w:pPr>
      <w:r>
        <w:tab/>
        <w:t>2.</w:t>
      </w:r>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PermNoteText"/>
      </w:pPr>
      <w:r>
        <w:tab/>
        <w:t>3.</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Subsection"/>
        <w:rPr>
          <w:snapToGrid w:val="0"/>
        </w:rPr>
      </w:pPr>
      <w:r>
        <w:rPr>
          <w:snapToGrid w:val="0"/>
        </w:rPr>
        <w:tab/>
        <w:t>(2)</w:t>
      </w:r>
      <w:r>
        <w:rPr>
          <w:snapToGrid w:val="0"/>
        </w:rPr>
        <w:tab/>
        <w:t>If a caveat is in force on a licence, the Minister must not register a person under section 340 as a licence holder unless —</w:t>
      </w:r>
    </w:p>
    <w:p>
      <w:pPr>
        <w:pStyle w:val="Indenta"/>
        <w:rPr>
          <w:snapToGrid w:val="0"/>
        </w:rPr>
      </w:pPr>
      <w:r>
        <w:rPr>
          <w:snapToGrid w:val="0"/>
        </w:rPr>
        <w:tab/>
        <w:t>(a)</w:t>
      </w:r>
      <w:r>
        <w:rPr>
          <w:snapToGrid w:val="0"/>
        </w:rPr>
        <w:tab/>
        <w:t>the caveat holder consents to the registration under section 350; or</w:t>
      </w:r>
    </w:p>
    <w:p>
      <w:pPr>
        <w:pStyle w:val="Indenta"/>
        <w:keepNext/>
        <w:rPr>
          <w:snapToGrid w:val="0"/>
        </w:rPr>
      </w:pPr>
      <w:r>
        <w:rPr>
          <w:snapToGrid w:val="0"/>
        </w:rPr>
        <w:tab/>
        <w:t>(b)</w:t>
      </w:r>
      <w:r>
        <w:rPr>
          <w:snapToGrid w:val="0"/>
        </w:rPr>
        <w:tab/>
        <w:t>a court of competent jurisdiction orders the Minister to register the person under section 340 despite the caveat.</w:t>
      </w:r>
    </w:p>
    <w:p>
      <w:pPr>
        <w:pStyle w:val="PermNoteHeading"/>
      </w:pPr>
      <w:r>
        <w:tab/>
        <w:t>Note:</w:t>
      </w:r>
    </w:p>
    <w:p>
      <w:pPr>
        <w:pStyle w:val="PermNoteText"/>
      </w:pPr>
      <w:r>
        <w:tab/>
      </w:r>
      <w:r>
        <w:tab/>
        <w:t>Once the caveat holder has been given notice, the caveat will lapse at the end of 30 days unless the caveat holder consents to the registration or gets a court order extending the life of the caveat.</w:t>
      </w:r>
    </w:p>
    <w:p>
      <w:pPr>
        <w:pStyle w:val="Heading5"/>
        <w:rPr>
          <w:snapToGrid w:val="0"/>
        </w:rPr>
      </w:pPr>
      <w:bookmarkStart w:id="489" w:name="_Toc166676024"/>
      <w:r>
        <w:rPr>
          <w:rStyle w:val="CharSectno"/>
        </w:rPr>
        <w:lastRenderedPageBreak/>
        <w:t>342</w:t>
      </w:r>
      <w:r>
        <w:rPr>
          <w:snapToGrid w:val="0"/>
        </w:rPr>
        <w:t>.</w:t>
      </w:r>
      <w:r>
        <w:rPr>
          <w:snapToGrid w:val="0"/>
        </w:rPr>
        <w:tab/>
        <w:t>Lodgment of caveats</w:t>
      </w:r>
      <w:bookmarkEnd w:id="489"/>
      <w:r>
        <w:rPr>
          <w:snapToGrid w:val="0"/>
        </w:rPr>
        <w:t xml:space="preserve"> </w:t>
      </w:r>
    </w:p>
    <w:p>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Heading5"/>
        <w:rPr>
          <w:snapToGrid w:val="0"/>
        </w:rPr>
      </w:pPr>
      <w:bookmarkStart w:id="490" w:name="_Toc166676025"/>
      <w:r>
        <w:rPr>
          <w:rStyle w:val="CharSectno"/>
        </w:rPr>
        <w:t>343</w:t>
      </w:r>
      <w:r>
        <w:rPr>
          <w:snapToGrid w:val="0"/>
        </w:rPr>
        <w:t>.</w:t>
      </w:r>
      <w:r>
        <w:rPr>
          <w:snapToGrid w:val="0"/>
        </w:rPr>
        <w:tab/>
        <w:t>Form of caveat</w:t>
      </w:r>
      <w:bookmarkEnd w:id="490"/>
      <w:r>
        <w:rPr>
          <w:snapToGrid w:val="0"/>
        </w:rPr>
        <w:t xml:space="preserve"> </w:t>
      </w:r>
    </w:p>
    <w:p>
      <w:pPr>
        <w:pStyle w:val="Subsection"/>
        <w:rPr>
          <w:snapToGrid w:val="0"/>
        </w:rPr>
      </w:pPr>
      <w:r>
        <w:rPr>
          <w:snapToGrid w:val="0"/>
        </w:rPr>
        <w:tab/>
        <w:t>(1)</w:t>
      </w:r>
      <w:r>
        <w:rPr>
          <w:snapToGrid w:val="0"/>
        </w:rPr>
        <w:tab/>
        <w:t>A caveat must — </w:t>
      </w:r>
    </w:p>
    <w:p>
      <w:pPr>
        <w:pStyle w:val="Indenta"/>
        <w:rPr>
          <w:snapToGrid w:val="0"/>
        </w:rPr>
      </w:pPr>
      <w:r>
        <w:rPr>
          <w:snapToGrid w:val="0"/>
        </w:rPr>
        <w:tab/>
        <w:t>(a)</w:t>
      </w:r>
      <w:r>
        <w:rPr>
          <w:snapToGrid w:val="0"/>
        </w:rPr>
        <w:tab/>
        <w:t>be in accordance with the form approved by the Minister; and</w:t>
      </w:r>
    </w:p>
    <w:p>
      <w:pPr>
        <w:pStyle w:val="Indenta"/>
        <w:rPr>
          <w:snapToGrid w:val="0"/>
        </w:rPr>
      </w:pPr>
      <w:r>
        <w:rPr>
          <w:snapToGrid w:val="0"/>
        </w:rPr>
        <w:tab/>
        <w:t>(b)</w:t>
      </w:r>
      <w:r>
        <w:rPr>
          <w:snapToGrid w:val="0"/>
        </w:rPr>
        <w:tab/>
        <w:t>set out — </w:t>
      </w:r>
    </w:p>
    <w:p>
      <w:pPr>
        <w:pStyle w:val="Indenti"/>
        <w:rPr>
          <w:snapToGrid w:val="0"/>
        </w:rPr>
      </w:pPr>
      <w:r>
        <w:rPr>
          <w:snapToGrid w:val="0"/>
        </w:rPr>
        <w:tab/>
        <w:t>(i)</w:t>
      </w:r>
      <w:r>
        <w:rPr>
          <w:snapToGrid w:val="0"/>
        </w:rPr>
        <w:tab/>
        <w:t>the full name and address of the person claiming the interest; and</w:t>
      </w:r>
    </w:p>
    <w:p>
      <w:pPr>
        <w:pStyle w:val="Indenti"/>
        <w:rPr>
          <w:snapToGrid w:val="0"/>
        </w:rPr>
      </w:pPr>
      <w:r>
        <w:rPr>
          <w:snapToGrid w:val="0"/>
        </w:rPr>
        <w:tab/>
        <w:t>(ii)</w:t>
      </w:r>
      <w:r>
        <w:rPr>
          <w:snapToGrid w:val="0"/>
        </w:rPr>
        <w:tab/>
        <w:t xml:space="preserve">details of the interest claimed;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signed by the person claiming the interest; and</w:t>
      </w:r>
    </w:p>
    <w:p>
      <w:pPr>
        <w:pStyle w:val="Indenta"/>
        <w:rPr>
          <w:snapToGrid w:val="0"/>
        </w:rPr>
      </w:pPr>
      <w:r>
        <w:rPr>
          <w:snapToGrid w:val="0"/>
        </w:rPr>
        <w:tab/>
        <w:t>(d)</w:t>
      </w:r>
      <w:r>
        <w:rPr>
          <w:snapToGrid w:val="0"/>
        </w:rPr>
        <w:tab/>
        <w:t>specify an address for service of notices within the State.</w:t>
      </w:r>
    </w:p>
    <w:p>
      <w:pPr>
        <w:pStyle w:val="Subsection"/>
        <w:rPr>
          <w:snapToGrid w:val="0"/>
        </w:rPr>
      </w:pPr>
      <w:r>
        <w:rPr>
          <w:snapToGrid w:val="0"/>
        </w:rPr>
        <w:tab/>
        <w:t>(2)</w:t>
      </w:r>
      <w:r>
        <w:rPr>
          <w:snapToGrid w:val="0"/>
        </w:rPr>
        <w:tab/>
        <w:t>A caveat may specify the particular dealings that the caveat holder wants to be given notice of under section 349.</w:t>
      </w:r>
    </w:p>
    <w:p>
      <w:pPr>
        <w:pStyle w:val="Heading5"/>
        <w:rPr>
          <w:snapToGrid w:val="0"/>
        </w:rPr>
      </w:pPr>
      <w:bookmarkStart w:id="491" w:name="_Toc166676026"/>
      <w:r>
        <w:rPr>
          <w:rStyle w:val="CharSectno"/>
        </w:rPr>
        <w:t>344</w:t>
      </w:r>
      <w:r>
        <w:rPr>
          <w:snapToGrid w:val="0"/>
        </w:rPr>
        <w:t>.</w:t>
      </w:r>
      <w:r>
        <w:rPr>
          <w:snapToGrid w:val="0"/>
        </w:rPr>
        <w:tab/>
        <w:t>Payment of fee</w:t>
      </w:r>
      <w:bookmarkEnd w:id="491"/>
      <w:r>
        <w:rPr>
          <w:snapToGrid w:val="0"/>
        </w:rPr>
        <w:t xml:space="preserve"> </w:t>
      </w:r>
    </w:p>
    <w:p>
      <w:pPr>
        <w:pStyle w:val="Subsection"/>
        <w:rPr>
          <w:snapToGrid w:val="0"/>
        </w:rPr>
      </w:pPr>
      <w:r>
        <w:rPr>
          <w:snapToGrid w:val="0"/>
        </w:rPr>
        <w:tab/>
      </w:r>
      <w:r>
        <w:rPr>
          <w:snapToGrid w:val="0"/>
        </w:rPr>
        <w:tab/>
        <w:t>The person lodging a caveat must pay the caveat fee that is prescribed by the regulations.</w:t>
      </w:r>
    </w:p>
    <w:p>
      <w:pPr>
        <w:pStyle w:val="Heading5"/>
        <w:rPr>
          <w:snapToGrid w:val="0"/>
        </w:rPr>
      </w:pPr>
      <w:bookmarkStart w:id="492" w:name="_Toc166676027"/>
      <w:r>
        <w:rPr>
          <w:rStyle w:val="CharSectno"/>
        </w:rPr>
        <w:t>345</w:t>
      </w:r>
      <w:r>
        <w:rPr>
          <w:snapToGrid w:val="0"/>
        </w:rPr>
        <w:t>.</w:t>
      </w:r>
      <w:r>
        <w:rPr>
          <w:snapToGrid w:val="0"/>
        </w:rPr>
        <w:tab/>
        <w:t>Caveat to be registered</w:t>
      </w:r>
      <w:bookmarkEnd w:id="492"/>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caveat is lodged for registration; and</w:t>
      </w:r>
    </w:p>
    <w:p>
      <w:pPr>
        <w:pStyle w:val="Indenta"/>
        <w:rPr>
          <w:snapToGrid w:val="0"/>
        </w:rPr>
      </w:pPr>
      <w:r>
        <w:rPr>
          <w:snapToGrid w:val="0"/>
        </w:rPr>
        <w:tab/>
        <w:t>(b)</w:t>
      </w:r>
      <w:r>
        <w:rPr>
          <w:snapToGrid w:val="0"/>
        </w:rPr>
        <w:tab/>
        <w:t>the caveat complies with section 343; and</w:t>
      </w:r>
    </w:p>
    <w:p>
      <w:pPr>
        <w:pStyle w:val="Indenta"/>
        <w:rPr>
          <w:snapToGrid w:val="0"/>
        </w:rPr>
      </w:pPr>
      <w:r>
        <w:rPr>
          <w:snapToGrid w:val="0"/>
        </w:rPr>
        <w:tab/>
        <w:t>(c)</w:t>
      </w:r>
      <w:r>
        <w:rPr>
          <w:snapToGrid w:val="0"/>
        </w:rPr>
        <w:tab/>
        <w:t>the person lodging the caveat pays the fee required by section 344,</w:t>
      </w:r>
    </w:p>
    <w:p>
      <w:pPr>
        <w:pStyle w:val="Subsection"/>
        <w:spacing w:before="120"/>
        <w:rPr>
          <w:snapToGrid w:val="0"/>
        </w:rPr>
      </w:pPr>
      <w:r>
        <w:rPr>
          <w:snapToGrid w:val="0"/>
        </w:rPr>
        <w:lastRenderedPageBreak/>
        <w:tab/>
      </w:r>
      <w:r>
        <w:rPr>
          <w:snapToGrid w:val="0"/>
        </w:rPr>
        <w:tab/>
        <w:t>the Minister must, subject to subsection (4), register the caveat.</w:t>
      </w:r>
    </w:p>
    <w:p>
      <w:pPr>
        <w:pStyle w:val="Subsection"/>
        <w:spacing w:before="120"/>
        <w:rPr>
          <w:snapToGrid w:val="0"/>
        </w:rPr>
      </w:pPr>
      <w:r>
        <w:rPr>
          <w:snapToGrid w:val="0"/>
        </w:rPr>
        <w:tab/>
        <w:t>(2)</w:t>
      </w:r>
      <w:r>
        <w:rPr>
          <w:snapToGrid w:val="0"/>
        </w:rPr>
        <w:tab/>
        <w:t>The Minister must register the date and time of lodgment.</w:t>
      </w:r>
    </w:p>
    <w:p>
      <w:pPr>
        <w:pStyle w:val="Subsection"/>
        <w:spacing w:before="120"/>
        <w:rPr>
          <w:snapToGrid w:val="0"/>
        </w:rPr>
      </w:pPr>
      <w:r>
        <w:rPr>
          <w:snapToGrid w:val="0"/>
        </w:rPr>
        <w:tab/>
        <w:t>(3)</w:t>
      </w:r>
      <w:r>
        <w:rPr>
          <w:snapToGrid w:val="0"/>
        </w:rPr>
        <w:tab/>
        <w:t>The Minister must keep the original of the caveat and endorse on it the date and time of lodgment.</w:t>
      </w:r>
    </w:p>
    <w:p>
      <w:pPr>
        <w:pStyle w:val="Subsection"/>
        <w:spacing w:before="120"/>
        <w:rPr>
          <w:snapToGrid w:val="0"/>
        </w:rPr>
      </w:pPr>
      <w:r>
        <w:rPr>
          <w:snapToGrid w:val="0"/>
        </w:rPr>
        <w:tab/>
        <w:t>(4)</w:t>
      </w:r>
      <w:r>
        <w:rPr>
          <w:snapToGrid w:val="0"/>
        </w:rPr>
        <w:tab/>
        <w:t>Subsection (1) does not apply if — </w:t>
      </w:r>
    </w:p>
    <w:p>
      <w:pPr>
        <w:pStyle w:val="Indenta"/>
        <w:rPr>
          <w:snapToGrid w:val="0"/>
        </w:rPr>
      </w:pPr>
      <w:r>
        <w:rPr>
          <w:snapToGrid w:val="0"/>
        </w:rPr>
        <w:tab/>
        <w:t>(a)</w:t>
      </w:r>
      <w:r>
        <w:rPr>
          <w:snapToGrid w:val="0"/>
        </w:rPr>
        <w:tab/>
        <w:t>a court has made an order under section 351(2); and</w:t>
      </w:r>
    </w:p>
    <w:p>
      <w:pPr>
        <w:pStyle w:val="Indenta"/>
        <w:rPr>
          <w:snapToGrid w:val="0"/>
        </w:rPr>
      </w:pPr>
      <w:r>
        <w:rPr>
          <w:snapToGrid w:val="0"/>
        </w:rPr>
        <w:tab/>
        <w:t>(b)</w:t>
      </w:r>
      <w:r>
        <w:rPr>
          <w:snapToGrid w:val="0"/>
        </w:rPr>
        <w:tab/>
        <w:t>the order requires the court’s consent to the registration of the caveat; and</w:t>
      </w:r>
    </w:p>
    <w:p>
      <w:pPr>
        <w:pStyle w:val="Indenta"/>
        <w:rPr>
          <w:snapToGrid w:val="0"/>
        </w:rPr>
      </w:pPr>
      <w:r>
        <w:rPr>
          <w:snapToGrid w:val="0"/>
        </w:rPr>
        <w:tab/>
        <w:t>(c)</w:t>
      </w:r>
      <w:r>
        <w:rPr>
          <w:snapToGrid w:val="0"/>
        </w:rPr>
        <w:tab/>
        <w:t>the court has not consented to the registration of the caveat.</w:t>
      </w:r>
    </w:p>
    <w:p>
      <w:pPr>
        <w:pStyle w:val="Heading5"/>
        <w:rPr>
          <w:snapToGrid w:val="0"/>
        </w:rPr>
      </w:pPr>
      <w:bookmarkStart w:id="493" w:name="_Toc166676028"/>
      <w:r>
        <w:rPr>
          <w:rStyle w:val="CharSectno"/>
        </w:rPr>
        <w:t>346</w:t>
      </w:r>
      <w:r>
        <w:rPr>
          <w:snapToGrid w:val="0"/>
        </w:rPr>
        <w:t>.</w:t>
      </w:r>
      <w:r>
        <w:rPr>
          <w:snapToGrid w:val="0"/>
        </w:rPr>
        <w:tab/>
        <w:t>Withdrawal of caveat</w:t>
      </w:r>
      <w:bookmarkEnd w:id="493"/>
      <w:r>
        <w:rPr>
          <w:snapToGrid w:val="0"/>
        </w:rPr>
        <w:t xml:space="preserve"> </w:t>
      </w:r>
    </w:p>
    <w:p>
      <w:pPr>
        <w:pStyle w:val="Subsection"/>
        <w:spacing w:before="120"/>
        <w:rPr>
          <w:snapToGrid w:val="0"/>
        </w:rPr>
      </w:pPr>
      <w:r>
        <w:rPr>
          <w:snapToGrid w:val="0"/>
        </w:rPr>
        <w:tab/>
        <w:t>(1)</w:t>
      </w:r>
      <w:r>
        <w:rPr>
          <w:snapToGrid w:val="0"/>
        </w:rPr>
        <w:tab/>
        <w:t>A caveat holder may withdraw the caveat at any time by lodging a written withdrawal with the Minister.</w:t>
      </w:r>
    </w:p>
    <w:p>
      <w:pPr>
        <w:pStyle w:val="Subsection"/>
        <w:spacing w:before="120"/>
        <w:rPr>
          <w:snapToGrid w:val="0"/>
        </w:rPr>
      </w:pPr>
      <w:r>
        <w:rPr>
          <w:snapToGrid w:val="0"/>
        </w:rPr>
        <w:tab/>
        <w:t>(2)</w:t>
      </w:r>
      <w:r>
        <w:rPr>
          <w:snapToGrid w:val="0"/>
        </w:rPr>
        <w:tab/>
        <w:t>The Minister must — </w:t>
      </w:r>
    </w:p>
    <w:p>
      <w:pPr>
        <w:pStyle w:val="Indenta"/>
        <w:rPr>
          <w:snapToGrid w:val="0"/>
        </w:rPr>
      </w:pPr>
      <w:r>
        <w:rPr>
          <w:snapToGrid w:val="0"/>
        </w:rPr>
        <w:tab/>
        <w:t>(a)</w:t>
      </w:r>
      <w:r>
        <w:rPr>
          <w:snapToGrid w:val="0"/>
        </w:rPr>
        <w:tab/>
        <w:t>register details of the withdrawal; and</w:t>
      </w:r>
    </w:p>
    <w:p>
      <w:pPr>
        <w:pStyle w:val="Indenta"/>
        <w:rPr>
          <w:snapToGrid w:val="0"/>
        </w:rPr>
      </w:pPr>
      <w:r>
        <w:rPr>
          <w:snapToGrid w:val="0"/>
        </w:rPr>
        <w:tab/>
        <w:t>(b)</w:t>
      </w:r>
      <w:r>
        <w:rPr>
          <w:snapToGrid w:val="0"/>
        </w:rPr>
        <w:tab/>
        <w:t>endorse details of the withdrawal on the original of the caveat; and</w:t>
      </w:r>
    </w:p>
    <w:p>
      <w:pPr>
        <w:pStyle w:val="Indenta"/>
        <w:rPr>
          <w:snapToGrid w:val="0"/>
        </w:rPr>
      </w:pPr>
      <w:r>
        <w:rPr>
          <w:snapToGrid w:val="0"/>
        </w:rPr>
        <w:tab/>
        <w:t>(c)</w:t>
      </w:r>
      <w:r>
        <w:rPr>
          <w:snapToGrid w:val="0"/>
        </w:rPr>
        <w:tab/>
        <w:t>keep the original of the withdrawal.</w:t>
      </w:r>
    </w:p>
    <w:p>
      <w:pPr>
        <w:pStyle w:val="Heading5"/>
        <w:spacing w:before="180"/>
        <w:rPr>
          <w:snapToGrid w:val="0"/>
        </w:rPr>
      </w:pPr>
      <w:bookmarkStart w:id="494" w:name="_Toc166676029"/>
      <w:r>
        <w:rPr>
          <w:rStyle w:val="CharSectno"/>
        </w:rPr>
        <w:t>347</w:t>
      </w:r>
      <w:r>
        <w:rPr>
          <w:snapToGrid w:val="0"/>
        </w:rPr>
        <w:t>.</w:t>
      </w:r>
      <w:r>
        <w:rPr>
          <w:snapToGrid w:val="0"/>
        </w:rPr>
        <w:tab/>
        <w:t>Form of withdrawal</w:t>
      </w:r>
      <w:bookmarkEnd w:id="494"/>
      <w:r>
        <w:rPr>
          <w:snapToGrid w:val="0"/>
        </w:rPr>
        <w:t xml:space="preserve"> </w:t>
      </w:r>
    </w:p>
    <w:p>
      <w:pPr>
        <w:pStyle w:val="Subsection"/>
        <w:spacing w:before="120"/>
        <w:rPr>
          <w:snapToGrid w:val="0"/>
        </w:rPr>
      </w:pPr>
      <w:r>
        <w:rPr>
          <w:snapToGrid w:val="0"/>
        </w:rPr>
        <w:tab/>
      </w:r>
      <w:r>
        <w:rPr>
          <w:snapToGrid w:val="0"/>
        </w:rPr>
        <w:tab/>
        <w:t>A withdrawal of a caveat must — </w:t>
      </w:r>
    </w:p>
    <w:p>
      <w:pPr>
        <w:pStyle w:val="Indenta"/>
        <w:rPr>
          <w:snapToGrid w:val="0"/>
        </w:rPr>
      </w:pPr>
      <w:r>
        <w:rPr>
          <w:snapToGrid w:val="0"/>
        </w:rPr>
        <w:tab/>
        <w:t>(a)</w:t>
      </w:r>
      <w:r>
        <w:rPr>
          <w:snapToGrid w:val="0"/>
        </w:rPr>
        <w:tab/>
        <w:t>be in accordance with the approved form; and</w:t>
      </w:r>
    </w:p>
    <w:p>
      <w:pPr>
        <w:pStyle w:val="Indenta"/>
        <w:rPr>
          <w:snapToGrid w:val="0"/>
        </w:rPr>
      </w:pPr>
      <w:r>
        <w:rPr>
          <w:snapToGrid w:val="0"/>
        </w:rPr>
        <w:tab/>
        <w:t>(b)</w:t>
      </w:r>
      <w:r>
        <w:rPr>
          <w:snapToGrid w:val="0"/>
        </w:rPr>
        <w:tab/>
        <w:t>give details of the caveat; and</w:t>
      </w:r>
    </w:p>
    <w:p>
      <w:pPr>
        <w:pStyle w:val="Indenta"/>
        <w:rPr>
          <w:snapToGrid w:val="0"/>
        </w:rPr>
      </w:pPr>
      <w:r>
        <w:rPr>
          <w:snapToGrid w:val="0"/>
        </w:rPr>
        <w:tab/>
        <w:t>(c)</w:t>
      </w:r>
      <w:r>
        <w:rPr>
          <w:snapToGrid w:val="0"/>
        </w:rPr>
        <w:tab/>
        <w:t>be signed by the caveat holder.</w:t>
      </w:r>
    </w:p>
    <w:p>
      <w:pPr>
        <w:pStyle w:val="Heading5"/>
        <w:rPr>
          <w:snapToGrid w:val="0"/>
        </w:rPr>
      </w:pPr>
      <w:bookmarkStart w:id="495" w:name="_Toc166676030"/>
      <w:r>
        <w:rPr>
          <w:rStyle w:val="CharSectno"/>
        </w:rPr>
        <w:t>348</w:t>
      </w:r>
      <w:r>
        <w:rPr>
          <w:snapToGrid w:val="0"/>
        </w:rPr>
        <w:t>.</w:t>
      </w:r>
      <w:r>
        <w:rPr>
          <w:snapToGrid w:val="0"/>
        </w:rPr>
        <w:tab/>
        <w:t>Duration of caveat</w:t>
      </w:r>
      <w:bookmarkEnd w:id="495"/>
      <w:r>
        <w:rPr>
          <w:snapToGrid w:val="0"/>
        </w:rPr>
        <w:t xml:space="preserve"> </w:t>
      </w:r>
    </w:p>
    <w:p>
      <w:pPr>
        <w:pStyle w:val="Subsection"/>
        <w:rPr>
          <w:snapToGrid w:val="0"/>
        </w:rPr>
      </w:pPr>
      <w:r>
        <w:rPr>
          <w:snapToGrid w:val="0"/>
        </w:rPr>
        <w:tab/>
        <w:t>(1)</w:t>
      </w:r>
      <w:r>
        <w:rPr>
          <w:snapToGrid w:val="0"/>
        </w:rPr>
        <w:tab/>
        <w:t>A caveat that is registered is taken to have had effect from the time at which it is lodged with the Minister.</w:t>
      </w:r>
    </w:p>
    <w:p>
      <w:pPr>
        <w:pStyle w:val="Subsection"/>
        <w:rPr>
          <w:snapToGrid w:val="0"/>
        </w:rPr>
      </w:pPr>
      <w:r>
        <w:rPr>
          <w:snapToGrid w:val="0"/>
        </w:rPr>
        <w:tab/>
        <w:t>(2)</w:t>
      </w:r>
      <w:r>
        <w:rPr>
          <w:snapToGrid w:val="0"/>
        </w:rPr>
        <w:tab/>
        <w:t>A caveat on a licence ceases to have effect if — </w:t>
      </w:r>
    </w:p>
    <w:p>
      <w:pPr>
        <w:pStyle w:val="Indenta"/>
        <w:rPr>
          <w:snapToGrid w:val="0"/>
        </w:rPr>
      </w:pPr>
      <w:r>
        <w:rPr>
          <w:snapToGrid w:val="0"/>
        </w:rPr>
        <w:lastRenderedPageBreak/>
        <w:tab/>
        <w:t>(a)</w:t>
      </w:r>
      <w:r>
        <w:rPr>
          <w:snapToGrid w:val="0"/>
        </w:rPr>
        <w:tab/>
        <w:t>a court of competent jurisdiction makes an order for the removal of the caveat under section 351; or</w:t>
      </w:r>
    </w:p>
    <w:p>
      <w:pPr>
        <w:pStyle w:val="Indenta"/>
        <w:rPr>
          <w:snapToGrid w:val="0"/>
        </w:rPr>
      </w:pPr>
      <w:r>
        <w:rPr>
          <w:snapToGrid w:val="0"/>
        </w:rPr>
        <w:tab/>
        <w:t>(b)</w:t>
      </w:r>
      <w:r>
        <w:rPr>
          <w:snapToGrid w:val="0"/>
        </w:rPr>
        <w:tab/>
        <w:t>the caveat is withdrawn under section 346; or</w:t>
      </w:r>
    </w:p>
    <w:p>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Subsection"/>
        <w:rPr>
          <w:snapToGrid w:val="0"/>
        </w:rPr>
      </w:pPr>
      <w:r>
        <w:rPr>
          <w:snapToGrid w:val="0"/>
        </w:rPr>
        <w:tab/>
        <w:t>(4)</w:t>
      </w:r>
      <w:r>
        <w:rPr>
          <w:snapToGrid w:val="0"/>
        </w:rPr>
        <w:tab/>
        <w:t>Subsection (2)(c) does not apply if, before the end of the 30 days — </w:t>
      </w:r>
    </w:p>
    <w:p>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Indenta"/>
        <w:rPr>
          <w:snapToGrid w:val="0"/>
        </w:rPr>
      </w:pPr>
      <w:r>
        <w:rPr>
          <w:snapToGrid w:val="0"/>
        </w:rPr>
        <w:tab/>
        <w:t>(b)</w:t>
      </w:r>
      <w:r>
        <w:rPr>
          <w:snapToGrid w:val="0"/>
        </w:rPr>
        <w:tab/>
        <w:t>the court makes an order extending the period.</w:t>
      </w:r>
    </w:p>
    <w:p>
      <w:pPr>
        <w:pStyle w:val="Subsection"/>
        <w:rPr>
          <w:snapToGrid w:val="0"/>
        </w:rPr>
      </w:pPr>
      <w:r>
        <w:rPr>
          <w:snapToGrid w:val="0"/>
        </w:rPr>
        <w:tab/>
        <w:t>(5)</w:t>
      </w:r>
      <w:r>
        <w:rPr>
          <w:snapToGrid w:val="0"/>
        </w:rPr>
        <w:tab/>
        <w:t>If a court makes an order under section 351(1)(c), the caveat ceases to have effect at the end of the extended period.</w:t>
      </w:r>
    </w:p>
    <w:p>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Heading5"/>
        <w:rPr>
          <w:snapToGrid w:val="0"/>
        </w:rPr>
      </w:pPr>
      <w:bookmarkStart w:id="496" w:name="_Toc166676031"/>
      <w:r>
        <w:rPr>
          <w:rStyle w:val="CharSectno"/>
        </w:rPr>
        <w:t>349</w:t>
      </w:r>
      <w:r>
        <w:rPr>
          <w:snapToGrid w:val="0"/>
        </w:rPr>
        <w:t>.</w:t>
      </w:r>
      <w:r>
        <w:rPr>
          <w:snapToGrid w:val="0"/>
        </w:rPr>
        <w:tab/>
        <w:t>Notice to caveat holder</w:t>
      </w:r>
      <w:bookmarkEnd w:id="49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transfer of a licence or a share in a licence is lodged with the Minister under section 338;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subject to subsection (6), notify the caveat holder that the transfer has been lodged for registration.</w:t>
      </w:r>
    </w:p>
    <w:p>
      <w:pPr>
        <w:pStyle w:val="Subsection"/>
        <w:keepNext/>
        <w:keepLines/>
        <w:rPr>
          <w:snapToGrid w:val="0"/>
        </w:rPr>
      </w:pPr>
      <w:r>
        <w:rPr>
          <w:snapToGrid w:val="0"/>
        </w:rPr>
        <w:lastRenderedPageBreak/>
        <w:tab/>
        <w:t>(2)</w:t>
      </w:r>
      <w:r>
        <w:rPr>
          <w:snapToGrid w:val="0"/>
        </w:rPr>
        <w:tab/>
        <w:t>If — </w:t>
      </w:r>
    </w:p>
    <w:p>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Indenta"/>
        <w:rPr>
          <w:snapToGrid w:val="0"/>
        </w:rPr>
      </w:pPr>
      <w:r>
        <w:rPr>
          <w:snapToGrid w:val="0"/>
        </w:rPr>
        <w:tab/>
        <w:t>(b)</w:t>
      </w:r>
      <w:r>
        <w:rPr>
          <w:snapToGrid w:val="0"/>
        </w:rPr>
        <w:tab/>
        <w:t>a caveat is in force on the licence,</w:t>
      </w:r>
    </w:p>
    <w:p>
      <w:pPr>
        <w:pStyle w:val="Subsection"/>
        <w:keepLines/>
        <w:rPr>
          <w:snapToGrid w:val="0"/>
        </w:rPr>
      </w:pPr>
      <w:r>
        <w:rPr>
          <w:snapToGrid w:val="0"/>
        </w:rPr>
        <w:tab/>
      </w:r>
      <w:r>
        <w:rPr>
          <w:snapToGrid w:val="0"/>
        </w:rPr>
        <w:tab/>
        <w:t>the Minister must, subject to subsection (6), notify the caveat holder that the dealing has been lodged for registration.</w:t>
      </w:r>
    </w:p>
    <w:p>
      <w:pPr>
        <w:pStyle w:val="Subsection"/>
        <w:keepNext/>
        <w:keepLines/>
        <w:rPr>
          <w:snapToGrid w:val="0"/>
        </w:rPr>
      </w:pPr>
      <w:r>
        <w:rPr>
          <w:snapToGrid w:val="0"/>
        </w:rPr>
        <w:tab/>
        <w:t>(3)</w:t>
      </w:r>
      <w:r>
        <w:rPr>
          <w:snapToGrid w:val="0"/>
        </w:rPr>
        <w:tab/>
        <w:t>If — </w:t>
      </w:r>
    </w:p>
    <w:p>
      <w:pPr>
        <w:pStyle w:val="Indenta"/>
        <w:keepNext/>
        <w:rPr>
          <w:snapToGrid w:val="0"/>
        </w:rPr>
      </w:pPr>
      <w:r>
        <w:rPr>
          <w:snapToGrid w:val="0"/>
        </w:rPr>
        <w:tab/>
        <w:t>(a)</w:t>
      </w:r>
      <w:r>
        <w:rPr>
          <w:snapToGrid w:val="0"/>
        </w:rPr>
        <w:tab/>
        <w:t>a person applies to the Minister under section 340 to be registered as a licence holder;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that the application has been made.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licence holder surrenders the licence or surrenders a block or some of the blocks covered by the licence;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of the surrender.</w:t>
      </w:r>
    </w:p>
    <w:p>
      <w:pPr>
        <w:pStyle w:val="Subsection"/>
        <w:rPr>
          <w:snapToGrid w:val="0"/>
        </w:rPr>
      </w:pPr>
      <w:r>
        <w:rPr>
          <w:snapToGrid w:val="0"/>
        </w:rPr>
        <w:tab/>
        <w:t>(5)</w:t>
      </w:r>
      <w:r>
        <w:rPr>
          <w:snapToGrid w:val="0"/>
        </w:rPr>
        <w:tab/>
        <w:t>Notification under subsection (1), (2), (3) or (4) must be by certified mail.</w:t>
      </w:r>
    </w:p>
    <w:p>
      <w:pPr>
        <w:pStyle w:val="Subsection"/>
        <w:spacing w:before="120"/>
        <w:rPr>
          <w:snapToGrid w:val="0"/>
        </w:rPr>
      </w:pPr>
      <w:r>
        <w:rPr>
          <w:snapToGrid w:val="0"/>
        </w:rPr>
        <w:tab/>
        <w:t>(6)</w:t>
      </w:r>
      <w:r>
        <w:rPr>
          <w:snapToGrid w:val="0"/>
        </w:rPr>
        <w:tab/>
        <w:t>Notice is not to be given under subsection (1) or (2) if — </w:t>
      </w:r>
    </w:p>
    <w:p>
      <w:pPr>
        <w:pStyle w:val="Indenta"/>
        <w:rPr>
          <w:snapToGrid w:val="0"/>
        </w:rPr>
      </w:pPr>
      <w:r>
        <w:rPr>
          <w:snapToGrid w:val="0"/>
        </w:rPr>
        <w:tab/>
        <w:t>(a)</w:t>
      </w:r>
      <w:r>
        <w:rPr>
          <w:snapToGrid w:val="0"/>
        </w:rPr>
        <w:tab/>
        <w:t>the caveat holder is a party to the transfer or dealing concerned; or</w:t>
      </w:r>
    </w:p>
    <w:p>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Heading5"/>
        <w:rPr>
          <w:snapToGrid w:val="0"/>
        </w:rPr>
      </w:pPr>
      <w:bookmarkStart w:id="497" w:name="_Toc166676032"/>
      <w:r>
        <w:rPr>
          <w:rStyle w:val="CharSectno"/>
        </w:rPr>
        <w:lastRenderedPageBreak/>
        <w:t>350</w:t>
      </w:r>
      <w:r>
        <w:rPr>
          <w:snapToGrid w:val="0"/>
        </w:rPr>
        <w:t>.</w:t>
      </w:r>
      <w:r>
        <w:rPr>
          <w:snapToGrid w:val="0"/>
        </w:rPr>
        <w:tab/>
        <w:t>Caveat holder may consent to registration</w:t>
      </w:r>
      <w:bookmarkEnd w:id="497"/>
      <w:r>
        <w:rPr>
          <w:snapToGrid w:val="0"/>
        </w:rPr>
        <w:t xml:space="preserve"> </w:t>
      </w:r>
    </w:p>
    <w:p>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Subsection"/>
        <w:spacing w:before="120"/>
        <w:rPr>
          <w:snapToGrid w:val="0"/>
        </w:rPr>
      </w:pPr>
      <w:r>
        <w:rPr>
          <w:snapToGrid w:val="0"/>
        </w:rPr>
        <w:tab/>
        <w:t>(4)</w:t>
      </w:r>
      <w:r>
        <w:rPr>
          <w:snapToGrid w:val="0"/>
        </w:rPr>
        <w:tab/>
        <w:t>A consent under this section must be in writing and must be lodged with the Minister.</w:t>
      </w:r>
    </w:p>
    <w:p>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register details of the consent; and</w:t>
      </w:r>
    </w:p>
    <w:p>
      <w:pPr>
        <w:pStyle w:val="Indenta"/>
        <w:rPr>
          <w:snapToGrid w:val="0"/>
        </w:rPr>
      </w:pPr>
      <w:r>
        <w:rPr>
          <w:snapToGrid w:val="0"/>
        </w:rPr>
        <w:tab/>
        <w:t>(b)</w:t>
      </w:r>
      <w:r>
        <w:rPr>
          <w:snapToGrid w:val="0"/>
        </w:rPr>
        <w:tab/>
        <w:t>endorse details of the consent on the original of the caveat; and</w:t>
      </w:r>
    </w:p>
    <w:p>
      <w:pPr>
        <w:pStyle w:val="Indenta"/>
        <w:rPr>
          <w:snapToGrid w:val="0"/>
        </w:rPr>
      </w:pPr>
      <w:r>
        <w:rPr>
          <w:snapToGrid w:val="0"/>
        </w:rPr>
        <w:tab/>
        <w:t>(c)</w:t>
      </w:r>
      <w:r>
        <w:rPr>
          <w:snapToGrid w:val="0"/>
        </w:rPr>
        <w:tab/>
        <w:t>keep the original of the consent.</w:t>
      </w:r>
    </w:p>
    <w:p>
      <w:pPr>
        <w:pStyle w:val="Heading5"/>
        <w:rPr>
          <w:snapToGrid w:val="0"/>
        </w:rPr>
      </w:pPr>
      <w:bookmarkStart w:id="498" w:name="_Toc166676033"/>
      <w:r>
        <w:rPr>
          <w:rStyle w:val="CharSectno"/>
        </w:rPr>
        <w:t>351</w:t>
      </w:r>
      <w:r>
        <w:rPr>
          <w:snapToGrid w:val="0"/>
        </w:rPr>
        <w:t>.</w:t>
      </w:r>
      <w:r>
        <w:rPr>
          <w:snapToGrid w:val="0"/>
        </w:rPr>
        <w:tab/>
        <w:t>Orders that can be made by a court in relation to caveats</w:t>
      </w:r>
      <w:bookmarkEnd w:id="498"/>
      <w:r>
        <w:rPr>
          <w:snapToGrid w:val="0"/>
        </w:rPr>
        <w:t xml:space="preserve"> </w:t>
      </w:r>
    </w:p>
    <w:p>
      <w:pPr>
        <w:pStyle w:val="Subsection"/>
        <w:spacing w:before="120"/>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order the removal of a caveat from a licence; or</w:t>
      </w:r>
    </w:p>
    <w:p>
      <w:pPr>
        <w:pStyle w:val="Indenta"/>
        <w:rPr>
          <w:snapToGrid w:val="0"/>
        </w:rPr>
      </w:pPr>
      <w:r>
        <w:rPr>
          <w:snapToGrid w:val="0"/>
        </w:rPr>
        <w:tab/>
        <w:t>(b)</w:t>
      </w:r>
      <w:r>
        <w:rPr>
          <w:snapToGrid w:val="0"/>
        </w:rPr>
        <w:tab/>
        <w:t>order the Minister to register a dealing despite a caveat; or</w:t>
      </w:r>
    </w:p>
    <w:p>
      <w:pPr>
        <w:pStyle w:val="Indenta"/>
        <w:rPr>
          <w:snapToGrid w:val="0"/>
        </w:rPr>
      </w:pPr>
      <w:r>
        <w:rPr>
          <w:snapToGrid w:val="0"/>
        </w:rPr>
        <w:tab/>
        <w:t>(c)</w:t>
      </w:r>
      <w:r>
        <w:rPr>
          <w:snapToGrid w:val="0"/>
        </w:rPr>
        <w:tab/>
        <w:t>extend the period provided for by section 348(2)(c).</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court makes an order under subsection (1)(a) or (b) in relation to the licence; and</w:t>
      </w:r>
    </w:p>
    <w:p>
      <w:pPr>
        <w:pStyle w:val="Indenta"/>
        <w:rPr>
          <w:snapToGrid w:val="0"/>
        </w:rPr>
      </w:pPr>
      <w:r>
        <w:rPr>
          <w:snapToGrid w:val="0"/>
        </w:rPr>
        <w:tab/>
        <w:t>(b)</w:t>
      </w:r>
      <w:r>
        <w:rPr>
          <w:snapToGrid w:val="0"/>
        </w:rPr>
        <w:tab/>
        <w:t>the court is satisfied that caveats are being used vexatiously to delay the registration of a document,</w:t>
      </w:r>
    </w:p>
    <w:p>
      <w:pPr>
        <w:pStyle w:val="Subsection"/>
        <w:rPr>
          <w:snapToGrid w:val="0"/>
        </w:rPr>
      </w:pPr>
      <w:r>
        <w:rPr>
          <w:snapToGrid w:val="0"/>
        </w:rPr>
        <w:lastRenderedPageBreak/>
        <w:tab/>
      </w:r>
      <w:r>
        <w:rPr>
          <w:snapToGrid w:val="0"/>
        </w:rPr>
        <w:tab/>
        <w:t>the court may also make an order that the Minister is not to register any caveats in respect of the licence unless the court has consented to the registration.</w:t>
      </w:r>
    </w:p>
    <w:p>
      <w:pPr>
        <w:pStyle w:val="Subsection"/>
        <w:rPr>
          <w:snapToGrid w:val="0"/>
        </w:rPr>
      </w:pPr>
      <w:r>
        <w:rPr>
          <w:snapToGrid w:val="0"/>
        </w:rPr>
        <w:tab/>
        <w:t>(3)</w:t>
      </w:r>
      <w:r>
        <w:rPr>
          <w:snapToGrid w:val="0"/>
        </w:rPr>
        <w:tab/>
        <w:t>An order under subsection (2) may be for an indefinite period or for a specified period.</w:t>
      </w:r>
    </w:p>
    <w:p>
      <w:pPr>
        <w:pStyle w:val="Subsection"/>
        <w:rPr>
          <w:snapToGrid w:val="0"/>
        </w:rPr>
      </w:pPr>
      <w:r>
        <w:rPr>
          <w:snapToGrid w:val="0"/>
        </w:rPr>
        <w:tab/>
        <w:t>(4)</w:t>
      </w:r>
      <w:r>
        <w:rPr>
          <w:snapToGrid w:val="0"/>
        </w:rPr>
        <w:tab/>
        <w:t>An order under subsection (2) may provide that the court’s consent is not required in any specified case or class of case.</w:t>
      </w:r>
    </w:p>
    <w:p>
      <w:pPr>
        <w:pStyle w:val="Subsection"/>
        <w:rPr>
          <w:snapToGrid w:val="0"/>
        </w:rPr>
      </w:pPr>
      <w:r>
        <w:rPr>
          <w:snapToGrid w:val="0"/>
        </w:rPr>
        <w:tab/>
        <w:t>(5)</w:t>
      </w:r>
      <w:r>
        <w:rPr>
          <w:snapToGrid w:val="0"/>
        </w:rPr>
        <w:tab/>
        <w:t>If an application is made to the court for an order under subsection (2), the Minister becomes a party to the proceedings.</w:t>
      </w:r>
    </w:p>
    <w:p>
      <w:pPr>
        <w:pStyle w:val="Subsection"/>
        <w:rPr>
          <w:snapToGrid w:val="0"/>
        </w:rPr>
      </w:pPr>
      <w:r>
        <w:rPr>
          <w:snapToGrid w:val="0"/>
        </w:rPr>
        <w:tab/>
        <w:t>(6)</w:t>
      </w:r>
      <w:r>
        <w:rPr>
          <w:snapToGrid w:val="0"/>
        </w:rPr>
        <w:tab/>
        <w:t>If a court makes an order under this section, the Minister must — </w:t>
      </w:r>
    </w:p>
    <w:p>
      <w:pPr>
        <w:pStyle w:val="Indenta"/>
        <w:rPr>
          <w:snapToGrid w:val="0"/>
        </w:rPr>
      </w:pPr>
      <w:r>
        <w:rPr>
          <w:snapToGrid w:val="0"/>
        </w:rPr>
        <w:tab/>
        <w:t>(a)</w:t>
      </w:r>
      <w:r>
        <w:rPr>
          <w:snapToGrid w:val="0"/>
        </w:rPr>
        <w:tab/>
        <w:t>register details of the order; and</w:t>
      </w:r>
    </w:p>
    <w:p>
      <w:pPr>
        <w:pStyle w:val="Indenta"/>
        <w:rPr>
          <w:snapToGrid w:val="0"/>
        </w:rPr>
      </w:pPr>
      <w:r>
        <w:rPr>
          <w:snapToGrid w:val="0"/>
        </w:rPr>
        <w:tab/>
        <w:t>(b)</w:t>
      </w:r>
      <w:r>
        <w:rPr>
          <w:snapToGrid w:val="0"/>
        </w:rPr>
        <w:tab/>
        <w:t>keep a copy of the order.</w:t>
      </w:r>
    </w:p>
    <w:p>
      <w:pPr>
        <w:pStyle w:val="Heading4"/>
        <w:rPr>
          <w:b w:val="0"/>
        </w:rPr>
      </w:pPr>
      <w:bookmarkStart w:id="499" w:name="_Toc166675214"/>
      <w:bookmarkStart w:id="500" w:name="_Toc166675729"/>
      <w:bookmarkStart w:id="501" w:name="_Toc166676034"/>
      <w:r>
        <w:rPr>
          <w:b w:val="0"/>
          <w:snapToGrid w:val="0"/>
        </w:rPr>
        <w:t>Division 3 — Miscellaneous</w:t>
      </w:r>
      <w:bookmarkEnd w:id="499"/>
      <w:bookmarkEnd w:id="500"/>
      <w:bookmarkEnd w:id="501"/>
    </w:p>
    <w:p>
      <w:pPr>
        <w:pStyle w:val="Heading5"/>
        <w:rPr>
          <w:snapToGrid w:val="0"/>
        </w:rPr>
      </w:pPr>
      <w:bookmarkStart w:id="502" w:name="_Toc166676035"/>
      <w:r>
        <w:rPr>
          <w:rStyle w:val="CharSectno"/>
        </w:rPr>
        <w:t>352</w:t>
      </w:r>
      <w:r>
        <w:rPr>
          <w:snapToGrid w:val="0"/>
        </w:rPr>
        <w:t>.</w:t>
      </w:r>
      <w:r>
        <w:rPr>
          <w:snapToGrid w:val="0"/>
        </w:rPr>
        <w:tab/>
        <w:t>Fees for registration</w:t>
      </w:r>
      <w:bookmarkEnd w:id="502"/>
      <w:r>
        <w:rPr>
          <w:snapToGrid w:val="0"/>
        </w:rPr>
        <w:t xml:space="preserve"> </w:t>
      </w:r>
    </w:p>
    <w:p>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document creates, transfers, affects or otherwise deals with a licence or an interest in a licence; and</w:t>
      </w:r>
    </w:p>
    <w:p>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Indenta"/>
        <w:rPr>
          <w:snapToGrid w:val="0"/>
        </w:rPr>
      </w:pPr>
      <w:r>
        <w:rPr>
          <w:snapToGrid w:val="0"/>
        </w:rPr>
        <w:tab/>
        <w:t>(c)</w:t>
      </w:r>
      <w:r>
        <w:rPr>
          <w:snapToGrid w:val="0"/>
        </w:rPr>
        <w:tab/>
        <w:t>the Minister subsequently becomes satisfied that the document does not fully and truly set out — </w:t>
      </w:r>
    </w:p>
    <w:p>
      <w:pPr>
        <w:pStyle w:val="Indenti"/>
        <w:rPr>
          <w:snapToGrid w:val="0"/>
        </w:rPr>
      </w:pPr>
      <w:r>
        <w:rPr>
          <w:snapToGrid w:val="0"/>
        </w:rPr>
        <w:tab/>
        <w:t>(i)</w:t>
      </w:r>
      <w:r>
        <w:rPr>
          <w:snapToGrid w:val="0"/>
        </w:rPr>
        <w:tab/>
        <w:t>the consideration for the transaction it relates to; or</w:t>
      </w:r>
    </w:p>
    <w:p>
      <w:pPr>
        <w:pStyle w:val="Indenti"/>
        <w:keepNext/>
        <w:keepLines/>
        <w:rPr>
          <w:snapToGrid w:val="0"/>
        </w:rPr>
      </w:pPr>
      <w:r>
        <w:rPr>
          <w:snapToGrid w:val="0"/>
        </w:rPr>
        <w:lastRenderedPageBreak/>
        <w:tab/>
        <w:t>(ii)</w:t>
      </w:r>
      <w:r>
        <w:rPr>
          <w:snapToGrid w:val="0"/>
        </w:rPr>
        <w:tab/>
        <w:t>all the other facts and circumstances (if any) that affect the amount of the fee payable under the Registration Fees Act in respect of the document,</w:t>
      </w:r>
    </w:p>
    <w:p>
      <w:pPr>
        <w:pStyle w:val="Subsection"/>
        <w:keepNext/>
        <w:keepLines/>
        <w:rPr>
          <w:snapToGrid w:val="0"/>
        </w:rPr>
      </w:pPr>
      <w:r>
        <w:rPr>
          <w:snapToGrid w:val="0"/>
        </w:rPr>
        <w:tab/>
      </w:r>
      <w:r>
        <w:rPr>
          <w:snapToGrid w:val="0"/>
        </w:rPr>
        <w:tab/>
        <w:t>the Minister may make a fresh determination under subsection (1) of the amount of the fee.</w:t>
      </w:r>
    </w:p>
    <w:p>
      <w:pPr>
        <w:pStyle w:val="Heading5"/>
        <w:rPr>
          <w:rStyle w:val="CharSectno"/>
        </w:rPr>
      </w:pPr>
      <w:bookmarkStart w:id="503" w:name="_Toc166676036"/>
      <w:r>
        <w:rPr>
          <w:rStyle w:val="CharSectno"/>
        </w:rPr>
        <w:t>352A.</w:t>
      </w:r>
      <w:r>
        <w:rPr>
          <w:rStyle w:val="CharSectno"/>
        </w:rPr>
        <w:tab/>
        <w:t>Exemption from duty</w:t>
      </w:r>
      <w:bookmarkEnd w:id="503"/>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 </w:t>
      </w:r>
    </w:p>
    <w:p>
      <w:pPr>
        <w:pStyle w:val="Indenta"/>
        <w:rPr>
          <w:snapToGrid w:val="0"/>
        </w:rPr>
      </w:pPr>
      <w:r>
        <w:rPr>
          <w:snapToGrid w:val="0"/>
        </w:rPr>
        <w:tab/>
        <w:t>(a)</w:t>
      </w:r>
      <w:r>
        <w:rPr>
          <w:snapToGrid w:val="0"/>
        </w:rPr>
        <w:tab/>
        <w:t>on a licence; or</w:t>
      </w:r>
    </w:p>
    <w:p>
      <w:r>
        <w:rPr>
          <w:snapToGrid w:val="0"/>
        </w:rPr>
        <w:tab/>
        <w:t>(b)</w:t>
      </w:r>
      <w:r>
        <w:rPr>
          <w:snapToGrid w:val="0"/>
        </w:rPr>
        <w:tab/>
        <w:t>on any instrument that creates, transfers, affects or otherwise deals with an interest in a licence.</w:t>
      </w:r>
    </w:p>
    <w:p>
      <w:pPr>
        <w:pStyle w:val="Footnotesection"/>
      </w:pPr>
      <w:r>
        <w:tab/>
        <w:t>[Section 352A amended: No. 12 of 2008 Sch. 1 cl. 25.]</w:t>
      </w:r>
    </w:p>
    <w:p>
      <w:pPr>
        <w:pStyle w:val="Heading5"/>
        <w:rPr>
          <w:snapToGrid w:val="0"/>
        </w:rPr>
      </w:pPr>
      <w:bookmarkStart w:id="504" w:name="_Toc166676037"/>
      <w:r>
        <w:rPr>
          <w:rStyle w:val="CharSectno"/>
        </w:rPr>
        <w:t>353</w:t>
      </w:r>
      <w:r>
        <w:rPr>
          <w:snapToGrid w:val="0"/>
        </w:rPr>
        <w:t>.</w:t>
      </w:r>
      <w:r>
        <w:rPr>
          <w:snapToGrid w:val="0"/>
        </w:rPr>
        <w:tab/>
        <w:t>Protection from legal actions</w:t>
      </w:r>
      <w:bookmarkEnd w:id="504"/>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5"/>
        <w:rPr>
          <w:snapToGrid w:val="0"/>
        </w:rPr>
      </w:pPr>
      <w:bookmarkStart w:id="505" w:name="_Toc166676038"/>
      <w:r>
        <w:rPr>
          <w:rStyle w:val="CharSectno"/>
        </w:rPr>
        <w:lastRenderedPageBreak/>
        <w:t>354</w:t>
      </w:r>
      <w:r>
        <w:rPr>
          <w:snapToGrid w:val="0"/>
        </w:rPr>
        <w:t>.</w:t>
      </w:r>
      <w:r>
        <w:rPr>
          <w:snapToGrid w:val="0"/>
        </w:rPr>
        <w:tab/>
        <w:t>Application to court for correction of register</w:t>
      </w:r>
      <w:bookmarkEnd w:id="505"/>
      <w:r>
        <w:rPr>
          <w:snapToGrid w:val="0"/>
        </w:rPr>
        <w:t xml:space="preserve"> </w:t>
      </w:r>
    </w:p>
    <w:p>
      <w:pPr>
        <w:pStyle w:val="Subsection"/>
        <w:keepNext/>
        <w:keepLines/>
        <w:rPr>
          <w:snapToGrid w:val="0"/>
        </w:rPr>
      </w:pPr>
      <w:r>
        <w:rPr>
          <w:snapToGrid w:val="0"/>
        </w:rPr>
        <w:tab/>
        <w:t>(1)</w:t>
      </w:r>
      <w:r>
        <w:rPr>
          <w:snapToGrid w:val="0"/>
        </w:rPr>
        <w:tab/>
        <w:t>The Supreme Court, on the application of a person aggrieved by — </w:t>
      </w:r>
    </w:p>
    <w:p>
      <w:pPr>
        <w:pStyle w:val="Indenta"/>
        <w:keepNext/>
        <w:rPr>
          <w:snapToGrid w:val="0"/>
        </w:rPr>
      </w:pPr>
      <w:r>
        <w:rPr>
          <w:snapToGrid w:val="0"/>
        </w:rPr>
        <w:tab/>
        <w:t>(a)</w:t>
      </w:r>
      <w:r>
        <w:rPr>
          <w:snapToGrid w:val="0"/>
        </w:rPr>
        <w:tab/>
        <w:t>the omission of an entry from the offshore mining register; or</w:t>
      </w:r>
    </w:p>
    <w:p>
      <w:pPr>
        <w:pStyle w:val="Indenta"/>
        <w:rPr>
          <w:snapToGrid w:val="0"/>
        </w:rPr>
      </w:pPr>
      <w:r>
        <w:rPr>
          <w:snapToGrid w:val="0"/>
        </w:rPr>
        <w:tab/>
        <w:t>(b)</w:t>
      </w:r>
      <w:r>
        <w:rPr>
          <w:snapToGrid w:val="0"/>
        </w:rPr>
        <w:tab/>
        <w:t>an entry wrongly existing in the register; or</w:t>
      </w:r>
    </w:p>
    <w:p>
      <w:pPr>
        <w:pStyle w:val="Indenta"/>
        <w:rPr>
          <w:snapToGrid w:val="0"/>
        </w:rPr>
      </w:pPr>
      <w:r>
        <w:rPr>
          <w:snapToGrid w:val="0"/>
        </w:rPr>
        <w:tab/>
        <w:t>(c)</w:t>
      </w:r>
      <w:r>
        <w:rPr>
          <w:snapToGrid w:val="0"/>
        </w:rPr>
        <w:tab/>
        <w:t>an error or defect in an entry in the register,</w:t>
      </w:r>
    </w:p>
    <w:p>
      <w:pPr>
        <w:pStyle w:val="Subsection"/>
        <w:rPr>
          <w:snapToGrid w:val="0"/>
        </w:rPr>
      </w:pPr>
      <w:r>
        <w:rPr>
          <w:snapToGrid w:val="0"/>
        </w:rPr>
        <w:tab/>
      </w:r>
      <w:r>
        <w:rPr>
          <w:snapToGrid w:val="0"/>
        </w:rPr>
        <w:tab/>
        <w:t>may make any order it thinks appropriate directing correction of the register.</w:t>
      </w:r>
    </w:p>
    <w:p>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Subsection"/>
        <w:rPr>
          <w:snapToGrid w:val="0"/>
        </w:rPr>
      </w:pPr>
      <w:r>
        <w:rPr>
          <w:snapToGrid w:val="0"/>
        </w:rPr>
        <w:tab/>
        <w:t>(3)</w:t>
      </w:r>
      <w:r>
        <w:rPr>
          <w:snapToGrid w:val="0"/>
        </w:rPr>
        <w:tab/>
        <w:t>A copy of a Supreme Court order may be served on the Minister.</w:t>
      </w:r>
    </w:p>
    <w:p>
      <w:pPr>
        <w:pStyle w:val="Subsection"/>
        <w:rPr>
          <w:snapToGrid w:val="0"/>
        </w:rPr>
      </w:pPr>
      <w:r>
        <w:rPr>
          <w:snapToGrid w:val="0"/>
        </w:rPr>
        <w:tab/>
        <w:t>(4)</w:t>
      </w:r>
      <w:r>
        <w:rPr>
          <w:snapToGrid w:val="0"/>
        </w:rPr>
        <w:tab/>
        <w:t>In any proceedings under subsection (1)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Heading5"/>
        <w:rPr>
          <w:snapToGrid w:val="0"/>
        </w:rPr>
      </w:pPr>
      <w:bookmarkStart w:id="506" w:name="_Toc166676039"/>
      <w:r>
        <w:rPr>
          <w:rStyle w:val="CharSectno"/>
        </w:rPr>
        <w:t>355</w:t>
      </w:r>
      <w:r>
        <w:rPr>
          <w:snapToGrid w:val="0"/>
        </w:rPr>
        <w:t>.</w:t>
      </w:r>
      <w:r>
        <w:rPr>
          <w:snapToGrid w:val="0"/>
        </w:rPr>
        <w:tab/>
        <w:t>Appeals against determinations under section 352</w:t>
      </w:r>
      <w:bookmarkEnd w:id="506"/>
      <w:r>
        <w:rPr>
          <w:snapToGrid w:val="0"/>
        </w:rPr>
        <w:t xml:space="preserve"> </w:t>
      </w:r>
    </w:p>
    <w:p>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Subsection"/>
        <w:spacing w:before="120"/>
        <w:rPr>
          <w:snapToGrid w:val="0"/>
        </w:rPr>
      </w:pPr>
      <w:r>
        <w:rPr>
          <w:snapToGrid w:val="0"/>
        </w:rPr>
        <w:tab/>
        <w:t>(2)</w:t>
      </w:r>
      <w:r>
        <w:rPr>
          <w:snapToGrid w:val="0"/>
        </w:rPr>
        <w:tab/>
        <w:t>Written notice of an appeal under subsection (1) must be given to the Minister.</w:t>
      </w:r>
    </w:p>
    <w:p>
      <w:pPr>
        <w:pStyle w:val="Subsection"/>
        <w:spacing w:before="120"/>
        <w:rPr>
          <w:snapToGrid w:val="0"/>
        </w:rPr>
      </w:pPr>
      <w:r>
        <w:rPr>
          <w:snapToGrid w:val="0"/>
        </w:rPr>
        <w:tab/>
        <w:t>(3)</w:t>
      </w:r>
      <w:r>
        <w:rPr>
          <w:snapToGrid w:val="0"/>
        </w:rPr>
        <w:tab/>
        <w:t>In any proceedings under this section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lastRenderedPageBreak/>
        <w:tab/>
        <w:t>(b)</w:t>
      </w:r>
      <w:r>
        <w:rPr>
          <w:snapToGrid w:val="0"/>
        </w:rPr>
        <w:tab/>
        <w:t>if the Supreme Court so directs, the Minister must appear.</w:t>
      </w:r>
    </w:p>
    <w:p>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pPr>
        <w:pStyle w:val="Heading5"/>
        <w:rPr>
          <w:snapToGrid w:val="0"/>
        </w:rPr>
      </w:pPr>
      <w:bookmarkStart w:id="507" w:name="_Toc166676040"/>
      <w:r>
        <w:rPr>
          <w:rStyle w:val="CharSectno"/>
        </w:rPr>
        <w:t>356</w:t>
      </w:r>
      <w:r>
        <w:rPr>
          <w:snapToGrid w:val="0"/>
        </w:rPr>
        <w:t>.</w:t>
      </w:r>
      <w:r>
        <w:rPr>
          <w:snapToGrid w:val="0"/>
        </w:rPr>
        <w:tab/>
        <w:t>Section number not used</w:t>
      </w:r>
      <w:bookmarkEnd w:id="50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508" w:name="_Toc166676041"/>
      <w:r>
        <w:rPr>
          <w:rStyle w:val="CharSectno"/>
        </w:rPr>
        <w:t>357</w:t>
      </w:r>
      <w:r>
        <w:rPr>
          <w:snapToGrid w:val="0"/>
        </w:rPr>
        <w:t>.</w:t>
      </w:r>
      <w:r>
        <w:rPr>
          <w:snapToGrid w:val="0"/>
        </w:rPr>
        <w:tab/>
        <w:t>Evidentiary value of register</w:t>
      </w:r>
      <w:bookmarkEnd w:id="508"/>
      <w:r>
        <w:rPr>
          <w:snapToGrid w:val="0"/>
        </w:rPr>
        <w:t xml:space="preserve"> </w:t>
      </w:r>
    </w:p>
    <w:p>
      <w:pPr>
        <w:pStyle w:val="Subsection"/>
        <w:spacing w:before="120"/>
        <w:rPr>
          <w:snapToGrid w:val="0"/>
        </w:rPr>
      </w:pPr>
      <w:r>
        <w:rPr>
          <w:snapToGrid w:val="0"/>
        </w:rPr>
        <w:tab/>
        <w:t>(1)</w:t>
      </w:r>
      <w:r>
        <w:rPr>
          <w:snapToGrid w:val="0"/>
        </w:rPr>
        <w:tab/>
        <w:t>The offshore mining register is admissible in proceedings as evidence of the matters registered in it.</w:t>
      </w:r>
    </w:p>
    <w:p>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Subsection"/>
        <w:spacing w:before="120"/>
        <w:rPr>
          <w:snapToGrid w:val="0"/>
        </w:rPr>
      </w:pPr>
      <w:r>
        <w:rPr>
          <w:snapToGrid w:val="0"/>
        </w:rPr>
        <w:tab/>
        <w:t>(3)</w:t>
      </w:r>
      <w:r>
        <w:rPr>
          <w:snapToGrid w:val="0"/>
        </w:rPr>
        <w:tab/>
        <w:t>The document issued under subsection (2) is admissible in proceedings as evidence of the matter.</w:t>
      </w:r>
    </w:p>
    <w:p>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pPr>
        <w:pStyle w:val="Heading5"/>
        <w:rPr>
          <w:snapToGrid w:val="0"/>
        </w:rPr>
      </w:pPr>
      <w:bookmarkStart w:id="509" w:name="_Toc166676042"/>
      <w:r>
        <w:rPr>
          <w:rStyle w:val="CharSectno"/>
        </w:rPr>
        <w:t>358</w:t>
      </w:r>
      <w:r>
        <w:rPr>
          <w:snapToGrid w:val="0"/>
        </w:rPr>
        <w:t>.</w:t>
      </w:r>
      <w:r>
        <w:rPr>
          <w:snapToGrid w:val="0"/>
        </w:rPr>
        <w:tab/>
        <w:t>Certified copy of document on document file</w:t>
      </w:r>
      <w:bookmarkEnd w:id="509"/>
      <w:r>
        <w:rPr>
          <w:snapToGrid w:val="0"/>
        </w:rPr>
        <w:t xml:space="preserve"> </w:t>
      </w:r>
    </w:p>
    <w:p>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Subsection"/>
        <w:rPr>
          <w:snapToGrid w:val="0"/>
        </w:rPr>
      </w:pPr>
      <w:r>
        <w:rPr>
          <w:snapToGrid w:val="0"/>
        </w:rPr>
        <w:tab/>
        <w:t>(2)</w:t>
      </w:r>
      <w:r>
        <w:rPr>
          <w:snapToGrid w:val="0"/>
        </w:rPr>
        <w:tab/>
        <w:t>The certified copy is admissible in proceedings without any further proof of, or the production of, the original.</w:t>
      </w:r>
    </w:p>
    <w:p>
      <w:pPr>
        <w:pStyle w:val="Heading5"/>
        <w:rPr>
          <w:snapToGrid w:val="0"/>
        </w:rPr>
      </w:pPr>
      <w:bookmarkStart w:id="510" w:name="_Toc166676043"/>
      <w:r>
        <w:rPr>
          <w:rStyle w:val="CharSectno"/>
        </w:rPr>
        <w:t>359</w:t>
      </w:r>
      <w:r>
        <w:rPr>
          <w:snapToGrid w:val="0"/>
        </w:rPr>
        <w:t>.</w:t>
      </w:r>
      <w:r>
        <w:rPr>
          <w:snapToGrid w:val="0"/>
        </w:rPr>
        <w:tab/>
        <w:t>Certification of registration action</w:t>
      </w:r>
      <w:bookmarkEnd w:id="510"/>
      <w:r>
        <w:rPr>
          <w:snapToGrid w:val="0"/>
        </w:rPr>
        <w:t xml:space="preserve"> </w:t>
      </w:r>
    </w:p>
    <w:p>
      <w:pPr>
        <w:pStyle w:val="Subsection"/>
        <w:rPr>
          <w:snapToGrid w:val="0"/>
        </w:rPr>
      </w:pPr>
      <w:r>
        <w:rPr>
          <w:snapToGrid w:val="0"/>
        </w:rPr>
        <w:tab/>
        <w:t>(1)</w:t>
      </w:r>
      <w:r>
        <w:rPr>
          <w:snapToGrid w:val="0"/>
        </w:rPr>
        <w:tab/>
        <w:t>The Minister may give a person a signed certificate that — </w:t>
      </w:r>
    </w:p>
    <w:p>
      <w:pPr>
        <w:pStyle w:val="Indenta"/>
        <w:rPr>
          <w:snapToGrid w:val="0"/>
        </w:rPr>
      </w:pPr>
      <w:r>
        <w:rPr>
          <w:snapToGrid w:val="0"/>
        </w:rPr>
        <w:lastRenderedPageBreak/>
        <w:tab/>
        <w:t>(a)</w:t>
      </w:r>
      <w:r>
        <w:rPr>
          <w:snapToGrid w:val="0"/>
        </w:rPr>
        <w:tab/>
        <w:t>a thing required or allowed by this Part has been done; or</w:t>
      </w:r>
    </w:p>
    <w:p>
      <w:pPr>
        <w:pStyle w:val="Indenta"/>
        <w:rPr>
          <w:snapToGrid w:val="0"/>
        </w:rPr>
      </w:pPr>
      <w:r>
        <w:rPr>
          <w:snapToGrid w:val="0"/>
        </w:rPr>
        <w:tab/>
        <w:t>(b)</w:t>
      </w:r>
      <w:r>
        <w:rPr>
          <w:snapToGrid w:val="0"/>
        </w:rPr>
        <w:tab/>
        <w:t>a thing required or allowed by this Part has not been done,</w:t>
      </w:r>
    </w:p>
    <w:p>
      <w:pPr>
        <w:pStyle w:val="Subsection"/>
        <w:rPr>
          <w:snapToGrid w:val="0"/>
        </w:rPr>
      </w:pPr>
      <w:r>
        <w:rPr>
          <w:snapToGrid w:val="0"/>
        </w:rPr>
        <w:tab/>
      </w:r>
      <w:r>
        <w:rPr>
          <w:snapToGrid w:val="0"/>
        </w:rPr>
        <w:tab/>
        <w:t>if the person pays the fee prescribed by the regulations.</w:t>
      </w:r>
    </w:p>
    <w:p>
      <w:pPr>
        <w:pStyle w:val="Subsection"/>
        <w:rPr>
          <w:snapToGrid w:val="0"/>
        </w:rPr>
      </w:pPr>
      <w:r>
        <w:rPr>
          <w:snapToGrid w:val="0"/>
        </w:rPr>
        <w:tab/>
        <w:t>(2)</w:t>
      </w:r>
      <w:r>
        <w:rPr>
          <w:snapToGrid w:val="0"/>
        </w:rPr>
        <w:tab/>
        <w:t xml:space="preserve">The certificate is admissible in proceedings as evidence of the facts stated in the certificate. </w:t>
      </w:r>
    </w:p>
    <w:p>
      <w:pPr>
        <w:pStyle w:val="Heading3"/>
        <w:pageBreakBefore/>
      </w:pPr>
      <w:bookmarkStart w:id="511" w:name="_Toc166675224"/>
      <w:bookmarkStart w:id="512" w:name="_Toc166675739"/>
      <w:bookmarkStart w:id="513" w:name="_Toc166676044"/>
      <w:r>
        <w:rPr>
          <w:rStyle w:val="CharDivNo"/>
        </w:rPr>
        <w:lastRenderedPageBreak/>
        <w:t>Part 3.2</w:t>
      </w:r>
      <w:r>
        <w:t xml:space="preserve"> — </w:t>
      </w:r>
      <w:r>
        <w:rPr>
          <w:rStyle w:val="CharDivText"/>
        </w:rPr>
        <w:t>Dealings in licences</w:t>
      </w:r>
      <w:bookmarkEnd w:id="511"/>
      <w:bookmarkEnd w:id="512"/>
      <w:bookmarkEnd w:id="513"/>
    </w:p>
    <w:p>
      <w:pPr>
        <w:pStyle w:val="Heading4"/>
        <w:rPr>
          <w:b w:val="0"/>
        </w:rPr>
      </w:pPr>
      <w:bookmarkStart w:id="514" w:name="_Toc166675225"/>
      <w:bookmarkStart w:id="515" w:name="_Toc166675740"/>
      <w:bookmarkStart w:id="516" w:name="_Toc166676045"/>
      <w:r>
        <w:rPr>
          <w:b w:val="0"/>
        </w:rPr>
        <w:t>Division 1 — Dealings in licences to be in writing and registered</w:t>
      </w:r>
      <w:bookmarkEnd w:id="514"/>
      <w:bookmarkEnd w:id="515"/>
      <w:bookmarkEnd w:id="516"/>
    </w:p>
    <w:p>
      <w:pPr>
        <w:pStyle w:val="Heading5"/>
        <w:rPr>
          <w:snapToGrid w:val="0"/>
        </w:rPr>
      </w:pPr>
      <w:bookmarkStart w:id="517" w:name="_Toc166676046"/>
      <w:r>
        <w:rPr>
          <w:rStyle w:val="CharSectno"/>
        </w:rPr>
        <w:t>360</w:t>
      </w:r>
      <w:r>
        <w:rPr>
          <w:snapToGrid w:val="0"/>
        </w:rPr>
        <w:t>.</w:t>
      </w:r>
      <w:r>
        <w:rPr>
          <w:snapToGrid w:val="0"/>
        </w:rPr>
        <w:tab/>
        <w:t>Dealings in licences to be in writing</w:t>
      </w:r>
      <w:bookmarkEnd w:id="517"/>
      <w:r>
        <w:rPr>
          <w:snapToGrid w:val="0"/>
        </w:rPr>
        <w:t xml:space="preserve"> </w:t>
      </w:r>
    </w:p>
    <w:p>
      <w:pPr>
        <w:pStyle w:val="Subsection"/>
        <w:rPr>
          <w:snapToGrid w:val="0"/>
        </w:rPr>
      </w:pPr>
      <w:r>
        <w:rPr>
          <w:snapToGrid w:val="0"/>
        </w:rPr>
        <w:tab/>
        <w:t>(1)</w:t>
      </w:r>
      <w:r>
        <w:rPr>
          <w:snapToGrid w:val="0"/>
        </w:rPr>
        <w:tab/>
        <w:t>An interest in a licence may be created, transferred, affected or otherwise dealt with only by a written document.</w:t>
      </w:r>
    </w:p>
    <w:p>
      <w:pPr>
        <w:pStyle w:val="PermNoteHeading"/>
      </w:pPr>
      <w:r>
        <w:tab/>
        <w:t>Note:</w:t>
      </w:r>
    </w:p>
    <w:p>
      <w:pPr>
        <w:pStyle w:val="PermNoteText"/>
      </w:pPr>
      <w:r>
        <w:tab/>
      </w:r>
      <w:r>
        <w:tab/>
        <w:t>A transfer must be in writing because it is a dealing.</w:t>
      </w:r>
    </w:p>
    <w:p>
      <w:pPr>
        <w:pStyle w:val="Subsection"/>
        <w:rPr>
          <w:snapToGrid w:val="0"/>
        </w:rPr>
      </w:pPr>
      <w:r>
        <w:rPr>
          <w:snapToGrid w:val="0"/>
        </w:rPr>
        <w:tab/>
        <w:t>(2)</w:t>
      </w:r>
      <w:r>
        <w:rPr>
          <w:snapToGrid w:val="0"/>
        </w:rPr>
        <w:tab/>
        <w:t>Subsection (1) does not apply to the rights of a licence holder that devolve to a person by operation of law.</w:t>
      </w:r>
    </w:p>
    <w:p>
      <w:pPr>
        <w:pStyle w:val="PermNoteHeading"/>
      </w:pPr>
      <w:r>
        <w:tab/>
        <w:t>Note:</w:t>
      </w:r>
    </w:p>
    <w:p>
      <w:pPr>
        <w:pStyle w:val="PermNoteText"/>
      </w:pPr>
      <w:r>
        <w:tab/>
        <w:t>1.</w:t>
      </w:r>
      <w:r>
        <w:tab/>
        <w:t>Rights might devolve to a person, for example, by operation of the laws relating to intestacy or bankruptcy.</w:t>
      </w:r>
    </w:p>
    <w:p>
      <w:pPr>
        <w:pStyle w:val="PermNoteText"/>
      </w:pPr>
      <w:r>
        <w:tab/>
        <w:t>2.</w:t>
      </w:r>
      <w:r>
        <w:tab/>
        <w:t>For the registration of rights that devolve to a person by operation of law see section 340.</w:t>
      </w:r>
    </w:p>
    <w:p>
      <w:pPr>
        <w:pStyle w:val="Heading5"/>
        <w:rPr>
          <w:snapToGrid w:val="0"/>
        </w:rPr>
      </w:pPr>
      <w:bookmarkStart w:id="518" w:name="_Toc166676047"/>
      <w:r>
        <w:rPr>
          <w:rStyle w:val="CharSectno"/>
        </w:rPr>
        <w:t>361</w:t>
      </w:r>
      <w:r>
        <w:rPr>
          <w:snapToGrid w:val="0"/>
        </w:rPr>
        <w:t>.</w:t>
      </w:r>
      <w:r>
        <w:rPr>
          <w:snapToGrid w:val="0"/>
        </w:rPr>
        <w:tab/>
        <w:t>Dealings in interests in licences not effective until registered</w:t>
      </w:r>
      <w:bookmarkEnd w:id="518"/>
      <w:r>
        <w:rPr>
          <w:snapToGrid w:val="0"/>
        </w:rPr>
        <w:t xml:space="preserve"> </w:t>
      </w:r>
    </w:p>
    <w:p>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PermNoteHeading"/>
      </w:pPr>
      <w:r>
        <w:tab/>
        <w:t>Note:</w:t>
      </w:r>
    </w:p>
    <w:p>
      <w:pPr>
        <w:pStyle w:val="PermNoteText"/>
      </w:pPr>
      <w:r>
        <w:tab/>
        <w:t>1.</w:t>
      </w:r>
      <w:r>
        <w:tab/>
        <w:t>A transfer is a dealing and does not take effect until registered.</w:t>
      </w:r>
    </w:p>
    <w:p>
      <w:pPr>
        <w:pStyle w:val="PermNoteText"/>
      </w:pPr>
      <w:r>
        <w:tab/>
        <w:t>2.</w:t>
      </w:r>
      <w:r>
        <w:tab/>
        <w:t>Transfers are registered under section 338 and other dealings under section 339.</w:t>
      </w:r>
    </w:p>
    <w:p>
      <w:pPr>
        <w:pStyle w:val="Heading4"/>
        <w:rPr>
          <w:b w:val="0"/>
        </w:rPr>
      </w:pPr>
      <w:bookmarkStart w:id="519" w:name="_Toc166675228"/>
      <w:bookmarkStart w:id="520" w:name="_Toc166675743"/>
      <w:bookmarkStart w:id="521" w:name="_Toc166676048"/>
      <w:r>
        <w:rPr>
          <w:b w:val="0"/>
          <w:snapToGrid w:val="0"/>
        </w:rPr>
        <w:t>Division 2 — Approval of transfer of licences</w:t>
      </w:r>
      <w:bookmarkEnd w:id="519"/>
      <w:bookmarkEnd w:id="520"/>
      <w:bookmarkEnd w:id="521"/>
    </w:p>
    <w:p>
      <w:pPr>
        <w:pStyle w:val="Heading5"/>
        <w:rPr>
          <w:snapToGrid w:val="0"/>
        </w:rPr>
      </w:pPr>
      <w:bookmarkStart w:id="522" w:name="_Toc166676049"/>
      <w:r>
        <w:rPr>
          <w:rStyle w:val="CharSectno"/>
        </w:rPr>
        <w:t>362</w:t>
      </w:r>
      <w:r>
        <w:rPr>
          <w:snapToGrid w:val="0"/>
        </w:rPr>
        <w:t>.</w:t>
      </w:r>
      <w:r>
        <w:rPr>
          <w:snapToGrid w:val="0"/>
        </w:rPr>
        <w:tab/>
        <w:t>Transfers require approval by Minister</w:t>
      </w:r>
      <w:bookmarkEnd w:id="522"/>
      <w:r>
        <w:rPr>
          <w:snapToGrid w:val="0"/>
        </w:rPr>
        <w:t xml:space="preserve"> </w:t>
      </w:r>
    </w:p>
    <w:p>
      <w:pPr>
        <w:pStyle w:val="Subsection"/>
        <w:rPr>
          <w:snapToGrid w:val="0"/>
        </w:rPr>
      </w:pPr>
      <w:r>
        <w:rPr>
          <w:snapToGrid w:val="0"/>
        </w:rPr>
        <w:tab/>
        <w:t>(1)</w:t>
      </w:r>
      <w:r>
        <w:rPr>
          <w:snapToGrid w:val="0"/>
        </w:rPr>
        <w:tab/>
        <w:t>The transfer of a licence is not to be registered under section 338 unless it has been approved by the Minister.</w:t>
      </w:r>
    </w:p>
    <w:p>
      <w:pPr>
        <w:pStyle w:val="PermNoteHeading"/>
      </w:pPr>
      <w:r>
        <w:tab/>
        <w:t>Note:</w:t>
      </w:r>
    </w:p>
    <w:p>
      <w:pPr>
        <w:pStyle w:val="PermNoteText"/>
      </w:pPr>
      <w:r>
        <w:tab/>
        <w:t>1.</w:t>
      </w:r>
      <w:r>
        <w:tab/>
        <w:t>For “transfer” of a licence see section 7(1).</w:t>
      </w:r>
    </w:p>
    <w:p>
      <w:pPr>
        <w:pStyle w:val="PermNoteText"/>
      </w:pPr>
      <w:r>
        <w:lastRenderedPageBreak/>
        <w:tab/>
        <w:t>2.</w:t>
      </w:r>
      <w:r>
        <w:tab/>
        <w:t>A transfer is a dealing and under section 361 does not take effect until registered.</w:t>
      </w:r>
    </w:p>
    <w:p>
      <w:pPr>
        <w:pStyle w:val="Subsection"/>
        <w:keepNext/>
        <w:keepLines/>
        <w:rPr>
          <w:snapToGrid w:val="0"/>
        </w:rPr>
      </w:pPr>
      <w:r>
        <w:rPr>
          <w:snapToGrid w:val="0"/>
        </w:rPr>
        <w:tab/>
        <w:t>(2)</w:t>
      </w:r>
      <w:r>
        <w:rPr>
          <w:snapToGrid w:val="0"/>
        </w:rPr>
        <w:tab/>
        <w:t>The transfer of a share in a licence is not to be registered under section 338 unless it has been approved by the Minister.</w:t>
      </w:r>
    </w:p>
    <w:p>
      <w:pPr>
        <w:pStyle w:val="PermNoteHeading"/>
      </w:pPr>
      <w:r>
        <w:tab/>
        <w:t>Note:</w:t>
      </w:r>
    </w:p>
    <w:p>
      <w:pPr>
        <w:pStyle w:val="PermNoteText"/>
      </w:pPr>
      <w:r>
        <w:tab/>
        <w:t>1.</w:t>
      </w:r>
      <w:r>
        <w:tab/>
        <w:t>For “transfer” in a share of a licence see section 7(2) and (3).</w:t>
      </w:r>
    </w:p>
    <w:p>
      <w:pPr>
        <w:pStyle w:val="PermNoteText"/>
      </w:pPr>
      <w:r>
        <w:tab/>
        <w:t>2.</w:t>
      </w:r>
      <w:r>
        <w:tab/>
        <w:t>A transfer is a dealing and under section 361 does not take effect until registered.</w:t>
      </w:r>
    </w:p>
    <w:p>
      <w:pPr>
        <w:pStyle w:val="Heading5"/>
        <w:rPr>
          <w:snapToGrid w:val="0"/>
        </w:rPr>
      </w:pPr>
      <w:bookmarkStart w:id="523" w:name="_Toc166676050"/>
      <w:r>
        <w:rPr>
          <w:rStyle w:val="CharSectno"/>
        </w:rPr>
        <w:t>363</w:t>
      </w:r>
      <w:r>
        <w:rPr>
          <w:snapToGrid w:val="0"/>
        </w:rPr>
        <w:t>.</w:t>
      </w:r>
      <w:r>
        <w:rPr>
          <w:snapToGrid w:val="0"/>
        </w:rPr>
        <w:tab/>
        <w:t>Application for approval of transfer</w:t>
      </w:r>
      <w:bookmarkEnd w:id="523"/>
      <w:r>
        <w:rPr>
          <w:snapToGrid w:val="0"/>
        </w:rPr>
        <w:t xml:space="preserve"> </w:t>
      </w:r>
    </w:p>
    <w:p>
      <w:pPr>
        <w:pStyle w:val="Subsection"/>
        <w:rPr>
          <w:snapToGrid w:val="0"/>
        </w:rPr>
      </w:pPr>
      <w:r>
        <w:rPr>
          <w:snapToGrid w:val="0"/>
        </w:rPr>
        <w:tab/>
        <w:t>(1)</w:t>
      </w:r>
      <w:r>
        <w:rPr>
          <w:snapToGrid w:val="0"/>
        </w:rPr>
        <w:tab/>
        <w:t>A person may apply to the Minister for approval of the transfer.</w:t>
      </w:r>
    </w:p>
    <w:p>
      <w:pPr>
        <w:pStyle w:val="Subsection"/>
        <w:rPr>
          <w:snapToGrid w:val="0"/>
        </w:rPr>
      </w:pPr>
      <w:r>
        <w:rPr>
          <w:snapToGrid w:val="0"/>
        </w:rPr>
        <w:tab/>
        <w:t>(2)</w:t>
      </w:r>
      <w:r>
        <w:rPr>
          <w:snapToGrid w:val="0"/>
        </w:rPr>
        <w:tab/>
        <w:t>The application must be in writing.</w:t>
      </w:r>
    </w:p>
    <w:p>
      <w:pPr>
        <w:pStyle w:val="Subsection"/>
        <w:rPr>
          <w:snapToGrid w:val="0"/>
        </w:rPr>
      </w:pPr>
      <w:r>
        <w:rPr>
          <w:snapToGrid w:val="0"/>
        </w:rPr>
        <w:tab/>
        <w:t>(3)</w:t>
      </w:r>
      <w:r>
        <w:rPr>
          <w:snapToGrid w:val="0"/>
        </w:rPr>
        <w:tab/>
        <w:t>The application must be accompanied by — </w:t>
      </w:r>
    </w:p>
    <w:p>
      <w:pPr>
        <w:pStyle w:val="Indenta"/>
        <w:rPr>
          <w:snapToGrid w:val="0"/>
        </w:rPr>
      </w:pPr>
      <w:r>
        <w:rPr>
          <w:snapToGrid w:val="0"/>
        </w:rPr>
        <w:tab/>
        <w:t>(a)</w:t>
      </w:r>
      <w:r>
        <w:rPr>
          <w:snapToGrid w:val="0"/>
        </w:rPr>
        <w:tab/>
        <w:t>the transfer document (duly signed or executed); and</w:t>
      </w:r>
    </w:p>
    <w:p>
      <w:pPr>
        <w:pStyle w:val="Indenta"/>
        <w:rPr>
          <w:snapToGrid w:val="0"/>
        </w:rPr>
      </w:pPr>
      <w:r>
        <w:rPr>
          <w:snapToGrid w:val="0"/>
        </w:rPr>
        <w:tab/>
        <w:t>(b)</w:t>
      </w:r>
      <w:r>
        <w:rPr>
          <w:snapToGrid w:val="0"/>
        </w:rPr>
        <w:tab/>
        <w:t>a copy of the transfer document; and</w:t>
      </w:r>
    </w:p>
    <w:p>
      <w:pPr>
        <w:pStyle w:val="Indenta"/>
        <w:rPr>
          <w:snapToGrid w:val="0"/>
        </w:rPr>
      </w:pPr>
      <w:r>
        <w:rPr>
          <w:snapToGrid w:val="0"/>
        </w:rPr>
        <w:tab/>
        <w:t>(c)</w:t>
      </w:r>
      <w:r>
        <w:rPr>
          <w:snapToGrid w:val="0"/>
        </w:rPr>
        <w:tab/>
        <w:t>if a caveat holder has consented to the registration of the transfer under section 350(1), a copy of the consent.</w:t>
      </w:r>
    </w:p>
    <w:p>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Subsection"/>
        <w:rPr>
          <w:snapToGrid w:val="0"/>
        </w:rPr>
      </w:pPr>
      <w:r>
        <w:rPr>
          <w:snapToGrid w:val="0"/>
        </w:rPr>
        <w:tab/>
        <w:t>(5)</w:t>
      </w:r>
      <w:r>
        <w:rPr>
          <w:snapToGrid w:val="0"/>
        </w:rPr>
        <w:tab/>
        <w:t>Without limiting subsection (4), the application may include a statement about — </w:t>
      </w:r>
    </w:p>
    <w:p>
      <w:pPr>
        <w:pStyle w:val="Indenta"/>
        <w:rPr>
          <w:snapToGrid w:val="0"/>
        </w:rPr>
      </w:pPr>
      <w:r>
        <w:rPr>
          <w:snapToGrid w:val="0"/>
        </w:rPr>
        <w:tab/>
        <w:t>(a)</w:t>
      </w:r>
      <w:r>
        <w:rPr>
          <w:snapToGrid w:val="0"/>
        </w:rPr>
        <w:tab/>
        <w:t>the technical qualifications of a party to the transfer; or</w:t>
      </w:r>
    </w:p>
    <w:p>
      <w:pPr>
        <w:pStyle w:val="Indenta"/>
        <w:rPr>
          <w:snapToGrid w:val="0"/>
        </w:rPr>
      </w:pPr>
      <w:r>
        <w:rPr>
          <w:snapToGrid w:val="0"/>
        </w:rPr>
        <w:tab/>
        <w:t>(b)</w:t>
      </w:r>
      <w:r>
        <w:rPr>
          <w:snapToGrid w:val="0"/>
        </w:rPr>
        <w:tab/>
        <w:t>the technical qualifications of the employees of a party to the transfer; or</w:t>
      </w:r>
    </w:p>
    <w:p>
      <w:pPr>
        <w:pStyle w:val="Indenta"/>
        <w:rPr>
          <w:snapToGrid w:val="0"/>
        </w:rPr>
      </w:pPr>
      <w:r>
        <w:rPr>
          <w:snapToGrid w:val="0"/>
        </w:rPr>
        <w:tab/>
        <w:t>(c)</w:t>
      </w:r>
      <w:r>
        <w:rPr>
          <w:snapToGrid w:val="0"/>
        </w:rPr>
        <w:tab/>
        <w:t>the technical advice available to a party to the transfer; or</w:t>
      </w:r>
    </w:p>
    <w:p>
      <w:pPr>
        <w:pStyle w:val="Indenta"/>
        <w:rPr>
          <w:snapToGrid w:val="0"/>
        </w:rPr>
      </w:pPr>
      <w:r>
        <w:rPr>
          <w:snapToGrid w:val="0"/>
        </w:rPr>
        <w:tab/>
        <w:t>(d)</w:t>
      </w:r>
      <w:r>
        <w:rPr>
          <w:snapToGrid w:val="0"/>
        </w:rPr>
        <w:tab/>
        <w:t>the financial resources of a party to the transfer.</w:t>
      </w:r>
    </w:p>
    <w:p>
      <w:pPr>
        <w:pStyle w:val="Subsection"/>
        <w:rPr>
          <w:snapToGrid w:val="0"/>
        </w:rPr>
      </w:pPr>
      <w:r>
        <w:rPr>
          <w:snapToGrid w:val="0"/>
        </w:rPr>
        <w:tab/>
        <w:t>(6)</w:t>
      </w:r>
      <w:r>
        <w:rPr>
          <w:snapToGrid w:val="0"/>
        </w:rPr>
        <w:tab/>
        <w:t>The application must be accompanied by the fee prescribed by the regulations.</w:t>
      </w:r>
    </w:p>
    <w:p>
      <w:pPr>
        <w:pStyle w:val="Heading5"/>
        <w:rPr>
          <w:snapToGrid w:val="0"/>
        </w:rPr>
      </w:pPr>
      <w:bookmarkStart w:id="524" w:name="_Toc166676051"/>
      <w:r>
        <w:rPr>
          <w:rStyle w:val="CharSectno"/>
        </w:rPr>
        <w:lastRenderedPageBreak/>
        <w:t>364</w:t>
      </w:r>
      <w:r>
        <w:rPr>
          <w:snapToGrid w:val="0"/>
        </w:rPr>
        <w:t>.</w:t>
      </w:r>
      <w:r>
        <w:rPr>
          <w:snapToGrid w:val="0"/>
        </w:rPr>
        <w:tab/>
        <w:t>Minister may ask for further information</w:t>
      </w:r>
      <w:bookmarkEnd w:id="52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under section 363 for approval of a transfer; and</w:t>
      </w:r>
    </w:p>
    <w:p>
      <w:pPr>
        <w:pStyle w:val="Indenta"/>
        <w:rPr>
          <w:snapToGrid w:val="0"/>
        </w:rPr>
      </w:pPr>
      <w:r>
        <w:rPr>
          <w:snapToGrid w:val="0"/>
        </w:rPr>
        <w:tab/>
        <w:t>(b)</w:t>
      </w:r>
      <w:r>
        <w:rPr>
          <w:snapToGrid w:val="0"/>
        </w:rPr>
        <w:tab/>
        <w:t>the Minister has reason to believe that a person possesses or controls a document that relates to — </w:t>
      </w:r>
    </w:p>
    <w:p>
      <w:pPr>
        <w:pStyle w:val="Indenti"/>
        <w:rPr>
          <w:snapToGrid w:val="0"/>
        </w:rPr>
      </w:pPr>
      <w:r>
        <w:rPr>
          <w:snapToGrid w:val="0"/>
        </w:rPr>
        <w:tab/>
        <w:t>(i)</w:t>
      </w:r>
      <w:r>
        <w:rPr>
          <w:snapToGrid w:val="0"/>
        </w:rPr>
        <w:tab/>
        <w:t>the transfer document; or</w:t>
      </w:r>
    </w:p>
    <w:p>
      <w:pPr>
        <w:pStyle w:val="Indenti"/>
        <w:rPr>
          <w:snapToGrid w:val="0"/>
        </w:rPr>
      </w:pPr>
      <w:r>
        <w:rPr>
          <w:snapToGrid w:val="0"/>
        </w:rPr>
        <w:tab/>
        <w:t>(ii)</w:t>
      </w:r>
      <w:r>
        <w:rPr>
          <w:snapToGrid w:val="0"/>
        </w:rPr>
        <w:tab/>
        <w:t>the transfer transaction; or</w:t>
      </w:r>
    </w:p>
    <w:p>
      <w:pPr>
        <w:pStyle w:val="Indenti"/>
        <w:keepNext/>
        <w:keepLines/>
        <w:rPr>
          <w:snapToGrid w:val="0"/>
        </w:rPr>
      </w:pPr>
      <w:r>
        <w:rPr>
          <w:snapToGrid w:val="0"/>
        </w:rPr>
        <w:tab/>
        <w:t>(iii)</w:t>
      </w:r>
      <w:r>
        <w:rPr>
          <w:snapToGrid w:val="0"/>
        </w:rPr>
        <w:tab/>
        <w:t>the application for approval of the transfer,</w:t>
      </w:r>
    </w:p>
    <w:p>
      <w:pPr>
        <w:pStyle w:val="Subsection"/>
        <w:keepNext/>
        <w:keepLines/>
        <w:rPr>
          <w:snapToGrid w:val="0"/>
        </w:rPr>
      </w:pPr>
      <w:r>
        <w:rPr>
          <w:snapToGrid w:val="0"/>
        </w:rPr>
        <w:tab/>
      </w:r>
      <w:r>
        <w:rPr>
          <w:snapToGrid w:val="0"/>
        </w:rPr>
        <w:tab/>
        <w:t>the Minister may ask the person — </w:t>
      </w:r>
    </w:p>
    <w:p>
      <w:pPr>
        <w:pStyle w:val="Indenta"/>
        <w:rPr>
          <w:snapToGrid w:val="0"/>
        </w:rPr>
      </w:pPr>
      <w:r>
        <w:rPr>
          <w:snapToGrid w:val="0"/>
        </w:rPr>
        <w:tab/>
        <w:t>(c)</w:t>
      </w:r>
      <w:r>
        <w:rPr>
          <w:snapToGrid w:val="0"/>
        </w:rPr>
        <w:tab/>
        <w:t>to give the document to the Minister; or</w:t>
      </w:r>
    </w:p>
    <w:p>
      <w:pPr>
        <w:pStyle w:val="Indenta"/>
        <w:rPr>
          <w:snapToGrid w:val="0"/>
        </w:rPr>
      </w:pPr>
      <w:r>
        <w:rPr>
          <w:snapToGrid w:val="0"/>
        </w:rPr>
        <w:tab/>
        <w:t>(d)</w:t>
      </w:r>
      <w:r>
        <w:rPr>
          <w:snapToGrid w:val="0"/>
        </w:rPr>
        <w:tab/>
        <w:t>to make the document available for inspection by or on behalf of the Minister.</w:t>
      </w:r>
    </w:p>
    <w:p>
      <w:pPr>
        <w:pStyle w:val="Subsection"/>
        <w:rPr>
          <w:snapToGrid w:val="0"/>
        </w:rPr>
      </w:pPr>
      <w:r>
        <w:rPr>
          <w:snapToGrid w:val="0"/>
        </w:rPr>
        <w:tab/>
        <w:t>(2)</w:t>
      </w:r>
      <w:r>
        <w:rPr>
          <w:snapToGrid w:val="0"/>
        </w:rPr>
        <w:tab/>
        <w:t>The request under subsection (1) must be made by giving to the person a written notice containing the request.</w:t>
      </w:r>
    </w:p>
    <w:p>
      <w:pPr>
        <w:pStyle w:val="Subsection"/>
        <w:rPr>
          <w:snapToGrid w:val="0"/>
        </w:rPr>
      </w:pPr>
      <w:r>
        <w:rPr>
          <w:snapToGrid w:val="0"/>
        </w:rPr>
        <w:tab/>
        <w:t>(3)</w:t>
      </w:r>
      <w:r>
        <w:rPr>
          <w:snapToGrid w:val="0"/>
        </w:rPr>
        <w:tab/>
        <w:t>A person must not fail to comply with a request under subsection (1) without reasonable excuse.</w:t>
      </w:r>
    </w:p>
    <w:p>
      <w:pPr>
        <w:pStyle w:val="Penstart"/>
        <w:rPr>
          <w:snapToGrid w:val="0"/>
        </w:rPr>
      </w:pPr>
      <w:r>
        <w:rPr>
          <w:snapToGrid w:val="0"/>
        </w:rPr>
        <w:tab/>
        <w:t>Maximum penalty: $5 000.</w:t>
      </w:r>
    </w:p>
    <w:p>
      <w:pPr>
        <w:pStyle w:val="Heading5"/>
        <w:rPr>
          <w:snapToGrid w:val="0"/>
        </w:rPr>
      </w:pPr>
      <w:bookmarkStart w:id="525" w:name="_Toc166676052"/>
      <w:r>
        <w:rPr>
          <w:rStyle w:val="CharSectno"/>
        </w:rPr>
        <w:t>365</w:t>
      </w:r>
      <w:r>
        <w:rPr>
          <w:snapToGrid w:val="0"/>
        </w:rPr>
        <w:t>.</w:t>
      </w:r>
      <w:r>
        <w:rPr>
          <w:snapToGrid w:val="0"/>
        </w:rPr>
        <w:tab/>
        <w:t>Minister’s response to application for approval</w:t>
      </w:r>
      <w:bookmarkEnd w:id="525"/>
      <w:r>
        <w:rPr>
          <w:snapToGrid w:val="0"/>
        </w:rPr>
        <w:t xml:space="preserve"> </w:t>
      </w:r>
    </w:p>
    <w:p>
      <w:pPr>
        <w:pStyle w:val="Subsection"/>
        <w:rPr>
          <w:snapToGrid w:val="0"/>
        </w:rPr>
      </w:pPr>
      <w:r>
        <w:rPr>
          <w:snapToGrid w:val="0"/>
        </w:rPr>
        <w:tab/>
        <w:t>(1)</w:t>
      </w:r>
      <w:r>
        <w:rPr>
          <w:snapToGrid w:val="0"/>
        </w:rPr>
        <w:tab/>
        <w:t>If an application is made under section 363, the Minister may —</w:t>
      </w:r>
    </w:p>
    <w:p>
      <w:pPr>
        <w:pStyle w:val="Indenta"/>
        <w:rPr>
          <w:snapToGrid w:val="0"/>
        </w:rPr>
      </w:pPr>
      <w:r>
        <w:rPr>
          <w:snapToGrid w:val="0"/>
        </w:rPr>
        <w:tab/>
        <w:t>(a)</w:t>
      </w:r>
      <w:r>
        <w:rPr>
          <w:snapToGrid w:val="0"/>
        </w:rPr>
        <w:tab/>
        <w:t>approve the transfer; or</w:t>
      </w:r>
    </w:p>
    <w:p>
      <w:pPr>
        <w:pStyle w:val="Indenta"/>
        <w:rPr>
          <w:snapToGrid w:val="0"/>
        </w:rPr>
      </w:pPr>
      <w:r>
        <w:rPr>
          <w:snapToGrid w:val="0"/>
        </w:rPr>
        <w:tab/>
        <w:t>(b)</w:t>
      </w:r>
      <w:r>
        <w:rPr>
          <w:snapToGrid w:val="0"/>
        </w:rPr>
        <w:tab/>
        <w:t>refuse to approve the transfer.</w:t>
      </w:r>
    </w:p>
    <w:p>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Subsection"/>
        <w:keepNext/>
        <w:keepLines/>
        <w:rPr>
          <w:snapToGrid w:val="0"/>
        </w:rPr>
      </w:pPr>
      <w:r>
        <w:rPr>
          <w:snapToGrid w:val="0"/>
        </w:rPr>
        <w:lastRenderedPageBreak/>
        <w:tab/>
        <w:t>(3)</w:t>
      </w:r>
      <w:r>
        <w:rPr>
          <w:snapToGrid w:val="0"/>
        </w:rPr>
        <w:tab/>
        <w:t>If the Minister approves the transfer, the Minister must endorse on — </w:t>
      </w:r>
    </w:p>
    <w:p>
      <w:pPr>
        <w:pStyle w:val="Indenta"/>
        <w:keepNext/>
        <w:rPr>
          <w:snapToGrid w:val="0"/>
        </w:rPr>
      </w:pPr>
      <w:r>
        <w:rPr>
          <w:snapToGrid w:val="0"/>
        </w:rPr>
        <w:tab/>
        <w:t>(a)</w:t>
      </w:r>
      <w:r>
        <w:rPr>
          <w:snapToGrid w:val="0"/>
        </w:rPr>
        <w:tab/>
        <w:t>the transfer document; and</w:t>
      </w:r>
    </w:p>
    <w:p>
      <w:pPr>
        <w:pStyle w:val="Indenta"/>
        <w:rPr>
          <w:snapToGrid w:val="0"/>
        </w:rPr>
      </w:pPr>
      <w:r>
        <w:rPr>
          <w:snapToGrid w:val="0"/>
        </w:rPr>
        <w:tab/>
        <w:t>(b)</w:t>
      </w:r>
      <w:r>
        <w:rPr>
          <w:snapToGrid w:val="0"/>
        </w:rPr>
        <w:tab/>
        <w:t>a copy of the transfer document,</w:t>
      </w:r>
    </w:p>
    <w:p>
      <w:pPr>
        <w:pStyle w:val="Subsection"/>
        <w:rPr>
          <w:snapToGrid w:val="0"/>
        </w:rPr>
      </w:pPr>
      <w:r>
        <w:rPr>
          <w:snapToGrid w:val="0"/>
        </w:rPr>
        <w:tab/>
      </w:r>
      <w:r>
        <w:rPr>
          <w:snapToGrid w:val="0"/>
        </w:rPr>
        <w:tab/>
        <w:t>a record of the approval.</w:t>
      </w:r>
    </w:p>
    <w:p>
      <w:pPr>
        <w:pStyle w:val="PermNoteHeading"/>
      </w:pPr>
      <w:r>
        <w:tab/>
        <w:t>Note:</w:t>
      </w:r>
    </w:p>
    <w:p>
      <w:pPr>
        <w:pStyle w:val="PermNoteText"/>
      </w:pPr>
      <w:r>
        <w:tab/>
      </w:r>
      <w:r>
        <w:tab/>
        <w:t>A record of the approval will also be entered in the offshore mining register (see section 338(1)).</w:t>
      </w:r>
    </w:p>
    <w:p>
      <w:pPr>
        <w:pStyle w:val="Heading5"/>
        <w:rPr>
          <w:snapToGrid w:val="0"/>
        </w:rPr>
      </w:pPr>
      <w:bookmarkStart w:id="526" w:name="_Toc166676053"/>
      <w:r>
        <w:rPr>
          <w:rStyle w:val="CharSectno"/>
        </w:rPr>
        <w:t>366</w:t>
      </w:r>
      <w:r>
        <w:rPr>
          <w:snapToGrid w:val="0"/>
        </w:rPr>
        <w:t>.</w:t>
      </w:r>
      <w:r>
        <w:rPr>
          <w:snapToGrid w:val="0"/>
        </w:rPr>
        <w:tab/>
        <w:t>Protection from legal actions</w:t>
      </w:r>
      <w:bookmarkEnd w:id="526"/>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2"/>
      </w:pPr>
      <w:bookmarkStart w:id="527" w:name="_Toc166675234"/>
      <w:bookmarkStart w:id="528" w:name="_Toc166675749"/>
      <w:bookmarkStart w:id="529" w:name="_Toc166676054"/>
      <w:r>
        <w:rPr>
          <w:rStyle w:val="CharPartNo"/>
        </w:rPr>
        <w:lastRenderedPageBreak/>
        <w:t>Chapter 4</w:t>
      </w:r>
      <w:r>
        <w:t xml:space="preserve"> — </w:t>
      </w:r>
      <w:r>
        <w:rPr>
          <w:rStyle w:val="CharPartText"/>
        </w:rPr>
        <w:t>Administration</w:t>
      </w:r>
      <w:bookmarkEnd w:id="527"/>
      <w:bookmarkEnd w:id="528"/>
      <w:bookmarkEnd w:id="529"/>
    </w:p>
    <w:p>
      <w:pPr>
        <w:pStyle w:val="Heading3"/>
      </w:pPr>
      <w:bookmarkStart w:id="530" w:name="_Toc166675235"/>
      <w:bookmarkStart w:id="531" w:name="_Toc166675750"/>
      <w:bookmarkStart w:id="532" w:name="_Toc166676055"/>
      <w:r>
        <w:rPr>
          <w:rStyle w:val="CharDivNo"/>
        </w:rPr>
        <w:t>Part 4.1</w:t>
      </w:r>
      <w:r>
        <w:t xml:space="preserve"> — </w:t>
      </w:r>
      <w:r>
        <w:rPr>
          <w:rStyle w:val="CharDivText"/>
        </w:rPr>
        <w:t>Information management</w:t>
      </w:r>
      <w:bookmarkEnd w:id="530"/>
      <w:bookmarkEnd w:id="531"/>
      <w:bookmarkEnd w:id="532"/>
    </w:p>
    <w:p>
      <w:pPr>
        <w:pStyle w:val="Heading5"/>
        <w:rPr>
          <w:snapToGrid w:val="0"/>
        </w:rPr>
      </w:pPr>
      <w:bookmarkStart w:id="533" w:name="_Toc166676056"/>
      <w:r>
        <w:rPr>
          <w:rStyle w:val="CharSectno"/>
        </w:rPr>
        <w:t>367</w:t>
      </w:r>
      <w:r>
        <w:rPr>
          <w:snapToGrid w:val="0"/>
        </w:rPr>
        <w:t>.</w:t>
      </w:r>
      <w:r>
        <w:rPr>
          <w:snapToGrid w:val="0"/>
        </w:rPr>
        <w:tab/>
        <w:t>Minister may ask person for information</w:t>
      </w:r>
      <w:bookmarkEnd w:id="533"/>
      <w:r>
        <w:rPr>
          <w:snapToGrid w:val="0"/>
        </w:rPr>
        <w:t xml:space="preserve"> </w:t>
      </w:r>
    </w:p>
    <w:p>
      <w:pPr>
        <w:pStyle w:val="Subsection"/>
        <w:spacing w:before="120"/>
        <w:rPr>
          <w:snapToGrid w:val="0"/>
        </w:rPr>
      </w:pPr>
      <w:r>
        <w:rPr>
          <w:snapToGrid w:val="0"/>
        </w:rPr>
        <w:tab/>
        <w:t>(1)</w:t>
      </w:r>
      <w:r>
        <w:rPr>
          <w:snapToGrid w:val="0"/>
        </w:rPr>
        <w:tab/>
        <w:t>The Minister may ask a person to give the Minister information if — </w:t>
      </w:r>
    </w:p>
    <w:p>
      <w:pPr>
        <w:pStyle w:val="Indenta"/>
        <w:rPr>
          <w:snapToGrid w:val="0"/>
        </w:rPr>
      </w:pPr>
      <w:r>
        <w:rPr>
          <w:snapToGrid w:val="0"/>
        </w:rPr>
        <w:tab/>
        <w:t>(a)</w:t>
      </w:r>
      <w:r>
        <w:rPr>
          <w:snapToGrid w:val="0"/>
        </w:rPr>
        <w:tab/>
        <w:t>the information is relevant to the operation of this Act; and</w:t>
      </w:r>
    </w:p>
    <w:p>
      <w:pPr>
        <w:pStyle w:val="Indenta"/>
        <w:rPr>
          <w:snapToGrid w:val="0"/>
        </w:rPr>
      </w:pPr>
      <w:r>
        <w:rPr>
          <w:snapToGrid w:val="0"/>
        </w:rPr>
        <w:tab/>
        <w:t>(b)</w:t>
      </w:r>
      <w:r>
        <w:rPr>
          <w:snapToGrid w:val="0"/>
        </w:rPr>
        <w:tab/>
        <w:t>the Minister has reasonable grounds for believing that the person is able to give the information.</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information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person to whom the information is to be given; and</w:t>
      </w:r>
    </w:p>
    <w:p>
      <w:pPr>
        <w:pStyle w:val="Indenta"/>
        <w:rPr>
          <w:snapToGrid w:val="0"/>
        </w:rPr>
      </w:pPr>
      <w:r>
        <w:rPr>
          <w:snapToGrid w:val="0"/>
        </w:rPr>
        <w:tab/>
        <w:t>(c)</w:t>
      </w:r>
      <w:r>
        <w:rPr>
          <w:snapToGrid w:val="0"/>
        </w:rPr>
        <w:tab/>
        <w:t>specify the period within which the information is to be given.</w:t>
      </w:r>
    </w:p>
    <w:p>
      <w:pPr>
        <w:pStyle w:val="Subsection"/>
        <w:spacing w:before="120"/>
        <w:rPr>
          <w:snapToGrid w:val="0"/>
        </w:rPr>
      </w:pPr>
      <w:r>
        <w:rPr>
          <w:snapToGrid w:val="0"/>
        </w:rPr>
        <w:tab/>
        <w:t>(4)</w:t>
      </w:r>
      <w:r>
        <w:rPr>
          <w:snapToGrid w:val="0"/>
        </w:rPr>
        <w:tab/>
        <w:t>The information must be given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before the end of the period specified in the request.</w:t>
      </w:r>
    </w:p>
    <w:p>
      <w:pPr>
        <w:pStyle w:val="Subsection"/>
        <w:spacing w:before="120"/>
        <w:rPr>
          <w:snapToGrid w:val="0"/>
        </w:rPr>
      </w:pPr>
      <w:r>
        <w:rPr>
          <w:snapToGrid w:val="0"/>
        </w:rPr>
        <w:tab/>
        <w:t>(5)</w:t>
      </w:r>
      <w:r>
        <w:rPr>
          <w:snapToGrid w:val="0"/>
        </w:rPr>
        <w:tab/>
        <w:t>The document containing the information must be signed by —</w:t>
      </w:r>
    </w:p>
    <w:p>
      <w:pPr>
        <w:pStyle w:val="Indenta"/>
        <w:rPr>
          <w:snapToGrid w:val="0"/>
        </w:rPr>
      </w:pPr>
      <w:r>
        <w:rPr>
          <w:snapToGrid w:val="0"/>
        </w:rPr>
        <w:tab/>
        <w:t>(a)</w:t>
      </w:r>
      <w:r>
        <w:rPr>
          <w:snapToGrid w:val="0"/>
        </w:rPr>
        <w:tab/>
        <w:t>if the information is given by a body corporate, an authorised officer of the body corporate; or</w:t>
      </w:r>
    </w:p>
    <w:p>
      <w:pPr>
        <w:pStyle w:val="Indenta"/>
        <w:rPr>
          <w:snapToGrid w:val="0"/>
        </w:rPr>
      </w:pPr>
      <w:r>
        <w:rPr>
          <w:snapToGrid w:val="0"/>
        </w:rPr>
        <w:tab/>
        <w:t>(b)</w:t>
      </w:r>
      <w:r>
        <w:rPr>
          <w:snapToGrid w:val="0"/>
        </w:rPr>
        <w:tab/>
        <w:t>if the information is provided by an individual, the individual.</w:t>
      </w:r>
    </w:p>
    <w:p>
      <w:pPr>
        <w:pStyle w:val="Heading5"/>
        <w:rPr>
          <w:snapToGrid w:val="0"/>
        </w:rPr>
      </w:pPr>
      <w:bookmarkStart w:id="534" w:name="_Toc166676057"/>
      <w:r>
        <w:rPr>
          <w:rStyle w:val="CharSectno"/>
        </w:rPr>
        <w:lastRenderedPageBreak/>
        <w:t>368</w:t>
      </w:r>
      <w:r>
        <w:rPr>
          <w:snapToGrid w:val="0"/>
        </w:rPr>
        <w:t>.</w:t>
      </w:r>
      <w:r>
        <w:rPr>
          <w:snapToGrid w:val="0"/>
        </w:rPr>
        <w:tab/>
        <w:t>Power to ask person to appear</w:t>
      </w:r>
      <w:bookmarkEnd w:id="534"/>
      <w:r>
        <w:rPr>
          <w:snapToGrid w:val="0"/>
        </w:rPr>
        <w:t xml:space="preserve"> </w:t>
      </w:r>
    </w:p>
    <w:p>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Indenta"/>
        <w:rPr>
          <w:snapToGrid w:val="0"/>
        </w:rPr>
      </w:pPr>
      <w:r>
        <w:rPr>
          <w:snapToGrid w:val="0"/>
        </w:rPr>
        <w:tab/>
        <w:t>(a)</w:t>
      </w:r>
      <w:r>
        <w:rPr>
          <w:snapToGrid w:val="0"/>
        </w:rPr>
        <w:tab/>
        <w:t>give the information; and</w:t>
      </w:r>
    </w:p>
    <w:p>
      <w:pPr>
        <w:pStyle w:val="Indenta"/>
        <w:rPr>
          <w:snapToGrid w:val="0"/>
        </w:rPr>
      </w:pPr>
      <w:r>
        <w:rPr>
          <w:snapToGrid w:val="0"/>
        </w:rPr>
        <w:tab/>
        <w:t>(b)</w:t>
      </w:r>
      <w:r>
        <w:rPr>
          <w:snapToGrid w:val="0"/>
        </w:rPr>
        <w:tab/>
        <w:t>answer questions about the activity to which the information relates.</w:t>
      </w:r>
    </w:p>
    <w:p>
      <w:pPr>
        <w:pStyle w:val="PermNoteHeading"/>
      </w:pPr>
      <w:r>
        <w:tab/>
        <w:t>Note:</w:t>
      </w:r>
    </w:p>
    <w:p>
      <w:pPr>
        <w:pStyle w:val="PermNoteText"/>
      </w:pPr>
      <w:r>
        <w:tab/>
      </w:r>
      <w:r>
        <w:tab/>
        <w:t>The person must comply with the request (see section 372).</w:t>
      </w:r>
    </w:p>
    <w:p>
      <w:pPr>
        <w:pStyle w:val="Subsection"/>
        <w:rPr>
          <w:snapToGrid w:val="0"/>
        </w:rPr>
      </w:pPr>
      <w:r>
        <w:rPr>
          <w:snapToGrid w:val="0"/>
        </w:rPr>
        <w:tab/>
        <w:t>(2)</w:t>
      </w:r>
      <w:r>
        <w:rPr>
          <w:snapToGrid w:val="0"/>
        </w:rPr>
        <w:tab/>
        <w:t>The Minister may ask a person to appear before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activity about which the information is sought or questions will be asked; and</w:t>
      </w:r>
    </w:p>
    <w:p>
      <w:pPr>
        <w:pStyle w:val="Indenta"/>
        <w:rPr>
          <w:snapToGrid w:val="0"/>
        </w:rPr>
      </w:pPr>
      <w:r>
        <w:rPr>
          <w:snapToGrid w:val="0"/>
        </w:rPr>
        <w:tab/>
        <w:t>(c)</w:t>
      </w:r>
      <w:r>
        <w:rPr>
          <w:snapToGrid w:val="0"/>
        </w:rPr>
        <w:tab/>
        <w:t>specify the address at which the person is to attend; and</w:t>
      </w:r>
    </w:p>
    <w:p>
      <w:pPr>
        <w:pStyle w:val="Indenta"/>
        <w:rPr>
          <w:snapToGrid w:val="0"/>
        </w:rPr>
      </w:pPr>
      <w:r>
        <w:rPr>
          <w:snapToGrid w:val="0"/>
        </w:rPr>
        <w:tab/>
        <w:t>(d)</w:t>
      </w:r>
      <w:r>
        <w:rPr>
          <w:snapToGrid w:val="0"/>
        </w:rPr>
        <w:tab/>
        <w:t>specify the day on which and the time at which the person is to attend; and</w:t>
      </w:r>
    </w:p>
    <w:p>
      <w:pPr>
        <w:pStyle w:val="Indenta"/>
        <w:rPr>
          <w:snapToGrid w:val="0"/>
        </w:rPr>
      </w:pPr>
      <w:r>
        <w:rPr>
          <w:snapToGrid w:val="0"/>
        </w:rPr>
        <w:tab/>
        <w:t>(e)</w:t>
      </w:r>
      <w:r>
        <w:rPr>
          <w:snapToGrid w:val="0"/>
        </w:rPr>
        <w:tab/>
        <w:t>indicate whether the appearance is to be before the Minister or before a nominated inspector.</w:t>
      </w:r>
    </w:p>
    <w:p>
      <w:pPr>
        <w:pStyle w:val="Heading5"/>
        <w:rPr>
          <w:snapToGrid w:val="0"/>
        </w:rPr>
      </w:pPr>
      <w:bookmarkStart w:id="535" w:name="_Toc166676058"/>
      <w:r>
        <w:rPr>
          <w:rStyle w:val="CharSectno"/>
        </w:rPr>
        <w:t>369</w:t>
      </w:r>
      <w:r>
        <w:rPr>
          <w:snapToGrid w:val="0"/>
        </w:rPr>
        <w:t>.</w:t>
      </w:r>
      <w:r>
        <w:rPr>
          <w:snapToGrid w:val="0"/>
        </w:rPr>
        <w:tab/>
        <w:t>Power to examine on oath or affirmation</w:t>
      </w:r>
      <w:bookmarkEnd w:id="535"/>
      <w:r>
        <w:rPr>
          <w:snapToGrid w:val="0"/>
        </w:rPr>
        <w:t xml:space="preserve"> </w:t>
      </w:r>
    </w:p>
    <w:p>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Indenta"/>
        <w:keepNext/>
        <w:rPr>
          <w:snapToGrid w:val="0"/>
        </w:rPr>
      </w:pPr>
      <w:r>
        <w:rPr>
          <w:snapToGrid w:val="0"/>
        </w:rPr>
        <w:tab/>
        <w:t>(a)</w:t>
      </w:r>
      <w:r>
        <w:rPr>
          <w:snapToGrid w:val="0"/>
        </w:rPr>
        <w:tab/>
        <w:t>administer an oath or affirmation to the person; and</w:t>
      </w:r>
    </w:p>
    <w:p>
      <w:pPr>
        <w:pStyle w:val="Indenta"/>
        <w:rPr>
          <w:snapToGrid w:val="0"/>
        </w:rPr>
      </w:pPr>
      <w:r>
        <w:rPr>
          <w:snapToGrid w:val="0"/>
        </w:rPr>
        <w:tab/>
        <w:t>(b)</w:t>
      </w:r>
      <w:r>
        <w:rPr>
          <w:snapToGrid w:val="0"/>
        </w:rPr>
        <w:tab/>
        <w:t>request the person to answer any question that comes within the terms of the notice.</w:t>
      </w:r>
    </w:p>
    <w:p>
      <w:pPr>
        <w:pStyle w:val="Subsection"/>
        <w:spacing w:before="120"/>
        <w:rPr>
          <w:snapToGrid w:val="0"/>
        </w:rPr>
      </w:pPr>
      <w:r>
        <w:rPr>
          <w:snapToGrid w:val="0"/>
        </w:rPr>
        <w:lastRenderedPageBreak/>
        <w:tab/>
        <w:t>(2)</w:t>
      </w:r>
      <w:r>
        <w:rPr>
          <w:snapToGrid w:val="0"/>
        </w:rPr>
        <w:tab/>
        <w:t>The oath or affirmation to be administered is an oath or affirmation that the person will truthfully answer the questions put by the Minister or the inspector.</w:t>
      </w:r>
    </w:p>
    <w:p>
      <w:pPr>
        <w:pStyle w:val="Heading5"/>
        <w:rPr>
          <w:snapToGrid w:val="0"/>
        </w:rPr>
      </w:pPr>
      <w:bookmarkStart w:id="536" w:name="_Toc166676059"/>
      <w:r>
        <w:rPr>
          <w:rStyle w:val="CharSectno"/>
        </w:rPr>
        <w:t>370</w:t>
      </w:r>
      <w:r>
        <w:rPr>
          <w:snapToGrid w:val="0"/>
        </w:rPr>
        <w:t>.</w:t>
      </w:r>
      <w:r>
        <w:rPr>
          <w:snapToGrid w:val="0"/>
        </w:rPr>
        <w:tab/>
        <w:t>Minister may ask for documents</w:t>
      </w:r>
      <w:bookmarkEnd w:id="536"/>
      <w:r>
        <w:rPr>
          <w:snapToGrid w:val="0"/>
        </w:rPr>
        <w:t xml:space="preserve"> </w:t>
      </w:r>
    </w:p>
    <w:p>
      <w:pPr>
        <w:pStyle w:val="Subsection"/>
        <w:spacing w:before="120"/>
        <w:rPr>
          <w:snapToGrid w:val="0"/>
        </w:rPr>
      </w:pPr>
      <w:r>
        <w:rPr>
          <w:snapToGrid w:val="0"/>
        </w:rPr>
        <w:tab/>
        <w:t>(1)</w:t>
      </w:r>
      <w:r>
        <w:rPr>
          <w:snapToGrid w:val="0"/>
        </w:rPr>
        <w:tab/>
        <w:t>The Minister may ask a person to produce a document if — </w:t>
      </w:r>
    </w:p>
    <w:p>
      <w:pPr>
        <w:pStyle w:val="Indenta"/>
        <w:rPr>
          <w:snapToGrid w:val="0"/>
        </w:rPr>
      </w:pPr>
      <w:r>
        <w:rPr>
          <w:snapToGrid w:val="0"/>
        </w:rPr>
        <w:tab/>
        <w:t>(a)</w:t>
      </w:r>
      <w:r>
        <w:rPr>
          <w:snapToGrid w:val="0"/>
        </w:rPr>
        <w:tab/>
        <w:t>the document is relevant to the operation of this Act; and</w:t>
      </w:r>
    </w:p>
    <w:p>
      <w:pPr>
        <w:pStyle w:val="Indenta"/>
        <w:rPr>
          <w:snapToGrid w:val="0"/>
        </w:rPr>
      </w:pPr>
      <w:r>
        <w:rPr>
          <w:snapToGrid w:val="0"/>
        </w:rPr>
        <w:tab/>
        <w:t>(b)</w:t>
      </w:r>
      <w:r>
        <w:rPr>
          <w:snapToGrid w:val="0"/>
        </w:rPr>
        <w:tab/>
        <w:t>the Minister has reasonable grounds for believing that the person is able to produce the document.</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produce the document to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document is to be produced;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document is to be produced; or</w:t>
      </w:r>
    </w:p>
    <w:p>
      <w:pPr>
        <w:pStyle w:val="Indenti"/>
        <w:rPr>
          <w:snapToGrid w:val="0"/>
        </w:rPr>
      </w:pPr>
      <w:r>
        <w:rPr>
          <w:snapToGrid w:val="0"/>
        </w:rPr>
        <w:tab/>
        <w:t>(ii)</w:t>
      </w:r>
      <w:r>
        <w:rPr>
          <w:snapToGrid w:val="0"/>
        </w:rPr>
        <w:tab/>
        <w:t xml:space="preserve">the day on which and the time at which the document is to be produced;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specify whether the original or a copy of the document is to be produced.</w:t>
      </w:r>
    </w:p>
    <w:p>
      <w:pPr>
        <w:pStyle w:val="Subsection"/>
        <w:spacing w:before="120"/>
        <w:rPr>
          <w:snapToGrid w:val="0"/>
        </w:rPr>
      </w:pPr>
      <w:r>
        <w:rPr>
          <w:snapToGrid w:val="0"/>
        </w:rPr>
        <w:tab/>
        <w:t>(4)</w:t>
      </w:r>
      <w:r>
        <w:rPr>
          <w:snapToGrid w:val="0"/>
        </w:rPr>
        <w:tab/>
        <w:t>The regulations may provide for the manner in which the Minister is to deal with the document.</w:t>
      </w:r>
    </w:p>
    <w:p>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pPr>
        <w:pStyle w:val="Heading5"/>
        <w:rPr>
          <w:snapToGrid w:val="0"/>
        </w:rPr>
      </w:pPr>
      <w:bookmarkStart w:id="537" w:name="_Toc166676060"/>
      <w:r>
        <w:rPr>
          <w:rStyle w:val="CharSectno"/>
        </w:rPr>
        <w:lastRenderedPageBreak/>
        <w:t>371</w:t>
      </w:r>
      <w:r>
        <w:rPr>
          <w:snapToGrid w:val="0"/>
        </w:rPr>
        <w:t>.</w:t>
      </w:r>
      <w:r>
        <w:rPr>
          <w:snapToGrid w:val="0"/>
        </w:rPr>
        <w:tab/>
        <w:t>Minister may ask for samples</w:t>
      </w:r>
      <w:bookmarkEnd w:id="537"/>
      <w:r>
        <w:rPr>
          <w:snapToGrid w:val="0"/>
        </w:rPr>
        <w:t xml:space="preserve"> </w:t>
      </w:r>
    </w:p>
    <w:p>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pPr>
        <w:pStyle w:val="Indenta"/>
        <w:rPr>
          <w:snapToGrid w:val="0"/>
        </w:rPr>
      </w:pPr>
      <w:r>
        <w:rPr>
          <w:snapToGrid w:val="0"/>
        </w:rPr>
        <w:tab/>
        <w:t>(a)</w:t>
      </w:r>
      <w:r>
        <w:rPr>
          <w:snapToGrid w:val="0"/>
        </w:rPr>
        <w:tab/>
        <w:t>the sample is relevant to the operation of this Act; and</w:t>
      </w:r>
    </w:p>
    <w:p>
      <w:pPr>
        <w:pStyle w:val="Indenta"/>
        <w:keepNext/>
        <w:rPr>
          <w:snapToGrid w:val="0"/>
        </w:rPr>
      </w:pPr>
      <w:r>
        <w:rPr>
          <w:snapToGrid w:val="0"/>
        </w:rPr>
        <w:tab/>
        <w:t>(b)</w:t>
      </w:r>
      <w:r>
        <w:rPr>
          <w:snapToGrid w:val="0"/>
        </w:rPr>
        <w:tab/>
        <w:t>the Minister has reasonable grounds for believing that the person is able to produce the sample.</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sample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sample is to be given;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sample is to be given; or</w:t>
      </w:r>
    </w:p>
    <w:p>
      <w:pPr>
        <w:pStyle w:val="Indenti"/>
        <w:rPr>
          <w:snapToGrid w:val="0"/>
        </w:rPr>
      </w:pPr>
      <w:r>
        <w:rPr>
          <w:snapToGrid w:val="0"/>
        </w:rPr>
        <w:tab/>
        <w:t>(ii)</w:t>
      </w:r>
      <w:r>
        <w:rPr>
          <w:snapToGrid w:val="0"/>
        </w:rPr>
        <w:tab/>
        <w:t>the day on which and the time at which the sample is to be given.</w:t>
      </w:r>
    </w:p>
    <w:p>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pPr>
        <w:pStyle w:val="Heading5"/>
        <w:rPr>
          <w:snapToGrid w:val="0"/>
        </w:rPr>
      </w:pPr>
      <w:bookmarkStart w:id="538" w:name="_Toc166676061"/>
      <w:r>
        <w:rPr>
          <w:rStyle w:val="CharSectno"/>
        </w:rPr>
        <w:t>372</w:t>
      </w:r>
      <w:r>
        <w:rPr>
          <w:snapToGrid w:val="0"/>
        </w:rPr>
        <w:t>.</w:t>
      </w:r>
      <w:r>
        <w:rPr>
          <w:snapToGrid w:val="0"/>
        </w:rPr>
        <w:tab/>
        <w:t>Obligation to comply with request under section 367, 368, 369, 370 or 371</w:t>
      </w:r>
      <w:bookmarkEnd w:id="538"/>
      <w:r>
        <w:rPr>
          <w:snapToGrid w:val="0"/>
        </w:rPr>
        <w:t xml:space="preserve"> </w:t>
      </w:r>
    </w:p>
    <w:p>
      <w:pPr>
        <w:pStyle w:val="Subsection"/>
        <w:rPr>
          <w:snapToGrid w:val="0"/>
        </w:rPr>
      </w:pPr>
      <w:r>
        <w:rPr>
          <w:snapToGrid w:val="0"/>
        </w:rPr>
        <w:tab/>
        <w:t>(1)</w:t>
      </w:r>
      <w:r>
        <w:rPr>
          <w:snapToGrid w:val="0"/>
        </w:rPr>
        <w:tab/>
        <w:t>A person must not, without reasonable excuse, fail to comply with a request under section 367, 368, 369, 370 or 371.</w:t>
      </w:r>
    </w:p>
    <w:p>
      <w:pPr>
        <w:pStyle w:val="Penstart"/>
        <w:rPr>
          <w:snapToGrid w:val="0"/>
        </w:rPr>
      </w:pPr>
      <w:r>
        <w:rPr>
          <w:snapToGrid w:val="0"/>
        </w:rPr>
        <w:tab/>
        <w:t>Maximum penalty: $10 000.</w:t>
      </w:r>
    </w:p>
    <w:p>
      <w:pPr>
        <w:pStyle w:val="Subsection"/>
        <w:rPr>
          <w:snapToGrid w:val="0"/>
        </w:rPr>
      </w:pPr>
      <w:r>
        <w:rPr>
          <w:snapToGrid w:val="0"/>
        </w:rPr>
        <w:lastRenderedPageBreak/>
        <w:tab/>
        <w:t>(2)</w:t>
      </w:r>
      <w:r>
        <w:rPr>
          <w:snapToGrid w:val="0"/>
        </w:rPr>
        <w:tab/>
        <w:t>A person is not excused from complying with the request on the ground that complying with the request might tend to incriminate the person or make the person liable to a penalty.</w:t>
      </w:r>
    </w:p>
    <w:p>
      <w:pPr>
        <w:pStyle w:val="PermNoteHeading"/>
      </w:pPr>
      <w:r>
        <w:tab/>
        <w:t>Note:</w:t>
      </w:r>
    </w:p>
    <w:p>
      <w:pPr>
        <w:pStyle w:val="PermNoteText"/>
      </w:pPr>
      <w:r>
        <w:tab/>
      </w:r>
      <w:r>
        <w:tab/>
        <w:t>Section 373 provides immunity for the response to the request.</w:t>
      </w:r>
    </w:p>
    <w:p>
      <w:pPr>
        <w:pStyle w:val="Subsection"/>
        <w:rPr>
          <w:snapToGrid w:val="0"/>
        </w:rPr>
      </w:pPr>
      <w:r>
        <w:rPr>
          <w:snapToGrid w:val="0"/>
        </w:rPr>
        <w:tab/>
        <w:t>(3)</w:t>
      </w:r>
      <w:r>
        <w:rPr>
          <w:snapToGrid w:val="0"/>
        </w:rPr>
        <w:tab/>
        <w:t>A person must not give false or misleading information — </w:t>
      </w:r>
    </w:p>
    <w:p>
      <w:pPr>
        <w:pStyle w:val="Indenta"/>
        <w:rPr>
          <w:snapToGrid w:val="0"/>
        </w:rPr>
      </w:pPr>
      <w:r>
        <w:rPr>
          <w:snapToGrid w:val="0"/>
        </w:rPr>
        <w:tab/>
        <w:t>(a)</w:t>
      </w:r>
      <w:r>
        <w:rPr>
          <w:snapToGrid w:val="0"/>
        </w:rPr>
        <w:tab/>
        <w:t>in response to a request under section 367, 368, 370 or 371; or</w:t>
      </w:r>
    </w:p>
    <w:p>
      <w:pPr>
        <w:pStyle w:val="Indenta"/>
        <w:rPr>
          <w:snapToGrid w:val="0"/>
        </w:rPr>
      </w:pPr>
      <w:r>
        <w:rPr>
          <w:snapToGrid w:val="0"/>
        </w:rPr>
        <w:tab/>
        <w:t>(b)</w:t>
      </w:r>
      <w:r>
        <w:rPr>
          <w:snapToGrid w:val="0"/>
        </w:rPr>
        <w:tab/>
        <w:t>in response to a question asked under section 369(1).</w:t>
      </w:r>
    </w:p>
    <w:p>
      <w:pPr>
        <w:pStyle w:val="Penstart"/>
        <w:rPr>
          <w:snapToGrid w:val="0"/>
        </w:rPr>
      </w:pPr>
      <w:r>
        <w:rPr>
          <w:snapToGrid w:val="0"/>
        </w:rPr>
        <w:tab/>
        <w:t>Maximum penalty: $10 000.</w:t>
      </w:r>
    </w:p>
    <w:p>
      <w:pPr>
        <w:pStyle w:val="Heading5"/>
        <w:rPr>
          <w:snapToGrid w:val="0"/>
        </w:rPr>
      </w:pPr>
      <w:bookmarkStart w:id="539" w:name="_Toc166676062"/>
      <w:r>
        <w:rPr>
          <w:rStyle w:val="CharSectno"/>
        </w:rPr>
        <w:t>373</w:t>
      </w:r>
      <w:r>
        <w:rPr>
          <w:snapToGrid w:val="0"/>
        </w:rPr>
        <w:t>.</w:t>
      </w:r>
      <w:r>
        <w:rPr>
          <w:snapToGrid w:val="0"/>
        </w:rPr>
        <w:tab/>
        <w:t>Immunity from use of information etc. given in response to request under section 367, 368, 369, 370 or 371</w:t>
      </w:r>
      <w:bookmarkEnd w:id="539"/>
      <w:r>
        <w:rPr>
          <w:snapToGrid w:val="0"/>
        </w:rPr>
        <w:t xml:space="preserve"> </w:t>
      </w:r>
    </w:p>
    <w:p>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Indenta"/>
        <w:rPr>
          <w:snapToGrid w:val="0"/>
        </w:rPr>
      </w:pPr>
      <w:r>
        <w:rPr>
          <w:snapToGrid w:val="0"/>
        </w:rPr>
        <w:tab/>
        <w:t>(a)</w:t>
      </w:r>
      <w:r>
        <w:rPr>
          <w:snapToGrid w:val="0"/>
        </w:rPr>
        <w:tab/>
        <w:t>the document containing the information given in response to the request;</w:t>
      </w:r>
    </w:p>
    <w:p>
      <w:pPr>
        <w:pStyle w:val="Indenta"/>
        <w:rPr>
          <w:snapToGrid w:val="0"/>
        </w:rPr>
      </w:pPr>
      <w:r>
        <w:rPr>
          <w:snapToGrid w:val="0"/>
        </w:rPr>
        <w:tab/>
        <w:t>(b)</w:t>
      </w:r>
      <w:r>
        <w:rPr>
          <w:snapToGrid w:val="0"/>
        </w:rPr>
        <w:tab/>
        <w:t>the answer to the question; or</w:t>
      </w:r>
    </w:p>
    <w:p>
      <w:pPr>
        <w:pStyle w:val="Indenta"/>
        <w:rPr>
          <w:snapToGrid w:val="0"/>
        </w:rPr>
      </w:pPr>
      <w:r>
        <w:rPr>
          <w:snapToGrid w:val="0"/>
        </w:rPr>
        <w:tab/>
        <w:t>(c)</w:t>
      </w:r>
      <w:r>
        <w:rPr>
          <w:snapToGrid w:val="0"/>
        </w:rPr>
        <w:tab/>
        <w:t>any information, document or thing obtained as a direct or indirect consequence of the giving of the information or answer.</w:t>
      </w:r>
    </w:p>
    <w:p>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Indenta"/>
        <w:rPr>
          <w:snapToGrid w:val="0"/>
        </w:rPr>
      </w:pPr>
      <w:r>
        <w:rPr>
          <w:snapToGrid w:val="0"/>
        </w:rPr>
        <w:tab/>
        <w:t>(a)</w:t>
      </w:r>
      <w:r>
        <w:rPr>
          <w:snapToGrid w:val="0"/>
        </w:rPr>
        <w:tab/>
        <w:t>the document;</w:t>
      </w:r>
    </w:p>
    <w:p>
      <w:pPr>
        <w:pStyle w:val="Indenta"/>
        <w:rPr>
          <w:snapToGrid w:val="0"/>
        </w:rPr>
      </w:pPr>
      <w:r>
        <w:rPr>
          <w:snapToGrid w:val="0"/>
        </w:rPr>
        <w:tab/>
        <w:t>(b)</w:t>
      </w:r>
      <w:r>
        <w:rPr>
          <w:snapToGrid w:val="0"/>
        </w:rPr>
        <w:tab/>
        <w:t>the fact of the production of the document by the person;</w:t>
      </w:r>
    </w:p>
    <w:p>
      <w:pPr>
        <w:pStyle w:val="Indenta"/>
        <w:rPr>
          <w:snapToGrid w:val="0"/>
        </w:rPr>
      </w:pPr>
      <w:r>
        <w:rPr>
          <w:snapToGrid w:val="0"/>
        </w:rPr>
        <w:tab/>
        <w:t>(c)</w:t>
      </w:r>
      <w:r>
        <w:rPr>
          <w:snapToGrid w:val="0"/>
        </w:rPr>
        <w:tab/>
        <w:t>any information, document or thing obtained as a direct or indirect consequence of the production of the document.</w:t>
      </w:r>
    </w:p>
    <w:p>
      <w:pPr>
        <w:pStyle w:val="Subsection"/>
        <w:rPr>
          <w:snapToGrid w:val="0"/>
        </w:rPr>
      </w:pPr>
      <w:r>
        <w:rPr>
          <w:snapToGrid w:val="0"/>
        </w:rPr>
        <w:lastRenderedPageBreak/>
        <w:tab/>
        <w:t>(3)</w:t>
      </w:r>
      <w:r>
        <w:rPr>
          <w:snapToGrid w:val="0"/>
        </w:rPr>
        <w:tab/>
        <w:t>If a person produces a sample in response to a request under section 371, the following are not admissible in evidence against the person in any proceedings — </w:t>
      </w:r>
    </w:p>
    <w:p>
      <w:pPr>
        <w:pStyle w:val="Indenta"/>
        <w:rPr>
          <w:snapToGrid w:val="0"/>
        </w:rPr>
      </w:pPr>
      <w:r>
        <w:rPr>
          <w:snapToGrid w:val="0"/>
        </w:rPr>
        <w:tab/>
        <w:t>(a)</w:t>
      </w:r>
      <w:r>
        <w:rPr>
          <w:snapToGrid w:val="0"/>
        </w:rPr>
        <w:tab/>
        <w:t>the sample;</w:t>
      </w:r>
    </w:p>
    <w:p>
      <w:pPr>
        <w:pStyle w:val="Indenta"/>
        <w:rPr>
          <w:snapToGrid w:val="0"/>
        </w:rPr>
      </w:pPr>
      <w:r>
        <w:rPr>
          <w:snapToGrid w:val="0"/>
        </w:rPr>
        <w:tab/>
        <w:t>(b)</w:t>
      </w:r>
      <w:r>
        <w:rPr>
          <w:snapToGrid w:val="0"/>
        </w:rPr>
        <w:tab/>
        <w:t>the fact of the production of the sample by the person;</w:t>
      </w:r>
    </w:p>
    <w:p>
      <w:pPr>
        <w:pStyle w:val="Indenta"/>
        <w:rPr>
          <w:snapToGrid w:val="0"/>
        </w:rPr>
      </w:pPr>
      <w:r>
        <w:rPr>
          <w:snapToGrid w:val="0"/>
        </w:rPr>
        <w:tab/>
        <w:t>(c)</w:t>
      </w:r>
      <w:r>
        <w:rPr>
          <w:snapToGrid w:val="0"/>
        </w:rPr>
        <w:tab/>
        <w:t>any information, document or thing obtained as a direct or indirect consequence of the production of the sample.</w:t>
      </w:r>
    </w:p>
    <w:p>
      <w:pPr>
        <w:pStyle w:val="Subsection"/>
        <w:rPr>
          <w:snapToGrid w:val="0"/>
        </w:rPr>
      </w:pPr>
      <w:r>
        <w:rPr>
          <w:snapToGrid w:val="0"/>
        </w:rPr>
        <w:tab/>
        <w:t>(4)</w:t>
      </w:r>
      <w:r>
        <w:rPr>
          <w:snapToGrid w:val="0"/>
        </w:rPr>
        <w:tab/>
        <w:t>The immunity provided by subsections (1), (2) and (3) does not apply to proceedings for an offence against section 372(3).</w:t>
      </w:r>
    </w:p>
    <w:p>
      <w:pPr>
        <w:pStyle w:val="Heading5"/>
        <w:rPr>
          <w:snapToGrid w:val="0"/>
        </w:rPr>
      </w:pPr>
      <w:bookmarkStart w:id="540" w:name="_Toc166676063"/>
      <w:r>
        <w:rPr>
          <w:rStyle w:val="CharSectno"/>
        </w:rPr>
        <w:t>374</w:t>
      </w:r>
      <w:r>
        <w:rPr>
          <w:snapToGrid w:val="0"/>
        </w:rPr>
        <w:t>.</w:t>
      </w:r>
      <w:r>
        <w:rPr>
          <w:snapToGrid w:val="0"/>
        </w:rPr>
        <w:tab/>
        <w:t>Restrictions on release of confidential material</w:t>
      </w:r>
      <w:bookmarkEnd w:id="540"/>
      <w:r>
        <w:rPr>
          <w:snapToGrid w:val="0"/>
        </w:rPr>
        <w:t xml:space="preserve"> </w:t>
      </w:r>
    </w:p>
    <w:p>
      <w:pPr>
        <w:pStyle w:val="Subsection"/>
        <w:rPr>
          <w:snapToGrid w:val="0"/>
        </w:rPr>
      </w:pPr>
      <w:r>
        <w:rPr>
          <w:snapToGrid w:val="0"/>
        </w:rPr>
        <w:tab/>
        <w:t>(1)</w:t>
      </w:r>
      <w:r>
        <w:rPr>
          <w:snapToGrid w:val="0"/>
        </w:rPr>
        <w:tab/>
        <w:t>Subject to sections 375 and 376, if the Minister holds confidential information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the information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the information under section 375(3),</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publish the information; or</w:t>
      </w:r>
    </w:p>
    <w:p>
      <w:pPr>
        <w:pStyle w:val="Indenta"/>
        <w:rPr>
          <w:snapToGrid w:val="0"/>
        </w:rPr>
      </w:pPr>
      <w:r>
        <w:rPr>
          <w:snapToGrid w:val="0"/>
        </w:rPr>
        <w:tab/>
        <w:t>(f)</w:t>
      </w:r>
      <w:r>
        <w:rPr>
          <w:snapToGrid w:val="0"/>
        </w:rPr>
        <w:tab/>
        <w:t>make the information available to a person.</w:t>
      </w:r>
    </w:p>
    <w:p>
      <w:pPr>
        <w:pStyle w:val="Penstart"/>
        <w:rPr>
          <w:snapToGrid w:val="0"/>
        </w:rPr>
      </w:pPr>
      <w:r>
        <w:rPr>
          <w:snapToGrid w:val="0"/>
        </w:rPr>
        <w:tab/>
        <w:t>Maximum penalty: Imprisonment for 2 years.</w:t>
      </w:r>
    </w:p>
    <w:p>
      <w:pPr>
        <w:pStyle w:val="Subsection"/>
        <w:rPr>
          <w:snapToGrid w:val="0"/>
        </w:rPr>
      </w:pPr>
      <w:r>
        <w:rPr>
          <w:snapToGrid w:val="0"/>
        </w:rPr>
        <w:tab/>
        <w:t>(2)</w:t>
      </w:r>
      <w:r>
        <w:rPr>
          <w:snapToGrid w:val="0"/>
        </w:rPr>
        <w:tab/>
        <w:t>Subject to section 375, if the Minister holds a confidential sample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access to the sample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lastRenderedPageBreak/>
        <w:tab/>
        <w:t>(d)</w:t>
      </w:r>
      <w:r>
        <w:rPr>
          <w:snapToGrid w:val="0"/>
        </w:rPr>
        <w:tab/>
        <w:t>a person who is given access to the sample under section 375(4),</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allow a person to inspect the sample; or</w:t>
      </w:r>
    </w:p>
    <w:p>
      <w:pPr>
        <w:pStyle w:val="Indenta"/>
        <w:rPr>
          <w:snapToGrid w:val="0"/>
        </w:rPr>
      </w:pPr>
      <w:r>
        <w:rPr>
          <w:snapToGrid w:val="0"/>
        </w:rPr>
        <w:tab/>
        <w:t>(f)</w:t>
      </w:r>
      <w:r>
        <w:rPr>
          <w:snapToGrid w:val="0"/>
        </w:rPr>
        <w:tab/>
        <w:t>publish information about the sample.</w:t>
      </w:r>
    </w:p>
    <w:p>
      <w:pPr>
        <w:pStyle w:val="Penstart"/>
        <w:rPr>
          <w:snapToGrid w:val="0"/>
        </w:rPr>
      </w:pPr>
      <w:r>
        <w:rPr>
          <w:snapToGrid w:val="0"/>
        </w:rPr>
        <w:tab/>
        <w:t>Maximum penalty: Imprisonment for 2 years.</w:t>
      </w:r>
    </w:p>
    <w:p>
      <w:pPr>
        <w:pStyle w:val="Heading5"/>
        <w:rPr>
          <w:snapToGrid w:val="0"/>
        </w:rPr>
      </w:pPr>
      <w:bookmarkStart w:id="541" w:name="_Toc166676064"/>
      <w:r>
        <w:rPr>
          <w:rStyle w:val="CharSectno"/>
        </w:rPr>
        <w:t>375</w:t>
      </w:r>
      <w:r>
        <w:rPr>
          <w:snapToGrid w:val="0"/>
        </w:rPr>
        <w:t>.</w:t>
      </w:r>
      <w:r>
        <w:rPr>
          <w:snapToGrid w:val="0"/>
        </w:rPr>
        <w:tab/>
        <w:t>Circumstances in which confidential material may be released</w:t>
      </w:r>
      <w:bookmarkEnd w:id="541"/>
      <w:r>
        <w:rPr>
          <w:snapToGrid w:val="0"/>
        </w:rPr>
        <w:t xml:space="preserve"> </w:t>
      </w:r>
    </w:p>
    <w:p>
      <w:pPr>
        <w:pStyle w:val="Subsection"/>
        <w:keepNext/>
        <w:keepLines/>
        <w:rPr>
          <w:snapToGrid w:val="0"/>
        </w:rPr>
      </w:pPr>
      <w:r>
        <w:rPr>
          <w:snapToGrid w:val="0"/>
        </w:rPr>
        <w:tab/>
        <w:t>(1)</w:t>
      </w:r>
      <w:r>
        <w:rPr>
          <w:snapToGrid w:val="0"/>
        </w:rPr>
        <w:tab/>
        <w:t>If — </w:t>
      </w:r>
    </w:p>
    <w:p>
      <w:pPr>
        <w:pStyle w:val="Indenta"/>
        <w:rPr>
          <w:snapToGrid w:val="0"/>
        </w:rPr>
      </w:pPr>
      <w:r>
        <w:rPr>
          <w:snapToGrid w:val="0"/>
        </w:rPr>
        <w:tab/>
        <w:t>(a)</w:t>
      </w:r>
      <w:r>
        <w:rPr>
          <w:snapToGrid w:val="0"/>
        </w:rPr>
        <w:tab/>
        <w:t>a licence holder gives confidential information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makes the information publicly available; or</w:t>
      </w:r>
    </w:p>
    <w:p>
      <w:pPr>
        <w:pStyle w:val="Indenti"/>
        <w:rPr>
          <w:snapToGrid w:val="0"/>
        </w:rPr>
      </w:pPr>
      <w:r>
        <w:rPr>
          <w:snapToGrid w:val="0"/>
        </w:rPr>
        <w:tab/>
        <w:t>(ii)</w:t>
      </w:r>
      <w:r>
        <w:rPr>
          <w:snapToGrid w:val="0"/>
        </w:rPr>
        <w:tab/>
        <w:t>consents in writing to the information being made publicly available,</w:t>
      </w:r>
    </w:p>
    <w:p>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licence holder gives a confidential sample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publishes details of the sample; or</w:t>
      </w:r>
    </w:p>
    <w:p>
      <w:pPr>
        <w:pStyle w:val="Indenti"/>
        <w:rPr>
          <w:snapToGrid w:val="0"/>
        </w:rPr>
      </w:pPr>
      <w:r>
        <w:rPr>
          <w:snapToGrid w:val="0"/>
        </w:rPr>
        <w:tab/>
        <w:t>(ii)</w:t>
      </w:r>
      <w:r>
        <w:rPr>
          <w:snapToGrid w:val="0"/>
        </w:rPr>
        <w:tab/>
        <w:t>consents in writing to the details being made publicly available; or</w:t>
      </w:r>
    </w:p>
    <w:p>
      <w:pPr>
        <w:pStyle w:val="Indenti"/>
        <w:rPr>
          <w:snapToGrid w:val="0"/>
        </w:rPr>
      </w:pPr>
      <w:r>
        <w:rPr>
          <w:snapToGrid w:val="0"/>
        </w:rPr>
        <w:tab/>
        <w:t>(iii)</w:t>
      </w:r>
      <w:r>
        <w:rPr>
          <w:snapToGrid w:val="0"/>
        </w:rPr>
        <w:tab/>
        <w:t>consents in writing to the sample being made available for public inspection,</w:t>
      </w:r>
    </w:p>
    <w:p>
      <w:pPr>
        <w:pStyle w:val="Subsection"/>
        <w:rPr>
          <w:snapToGrid w:val="0"/>
        </w:rPr>
      </w:pPr>
      <w:r>
        <w:rPr>
          <w:snapToGrid w:val="0"/>
        </w:rPr>
        <w:tab/>
      </w:r>
      <w:r>
        <w:rPr>
          <w:snapToGrid w:val="0"/>
        </w:rPr>
        <w:tab/>
        <w:t>the Minister, or another State Minister or a Commonwealth Minister who is given access to the sample, may — </w:t>
      </w:r>
    </w:p>
    <w:p>
      <w:pPr>
        <w:pStyle w:val="Indenta"/>
        <w:rPr>
          <w:snapToGrid w:val="0"/>
        </w:rPr>
      </w:pPr>
      <w:r>
        <w:rPr>
          <w:snapToGrid w:val="0"/>
        </w:rPr>
        <w:lastRenderedPageBreak/>
        <w:tab/>
        <w:t>(c)</w:t>
      </w:r>
      <w:r>
        <w:rPr>
          <w:snapToGrid w:val="0"/>
        </w:rPr>
        <w:tab/>
        <w:t>make details of the sample available to any person; or</w:t>
      </w:r>
    </w:p>
    <w:p>
      <w:pPr>
        <w:pStyle w:val="Indenta"/>
        <w:rPr>
          <w:snapToGrid w:val="0"/>
        </w:rPr>
      </w:pPr>
      <w:r>
        <w:rPr>
          <w:snapToGrid w:val="0"/>
        </w:rPr>
        <w:tab/>
        <w:t>(d)</w:t>
      </w:r>
      <w:r>
        <w:rPr>
          <w:snapToGrid w:val="0"/>
        </w:rPr>
        <w:tab/>
        <w:t>allow any person to inspect the sample.</w:t>
      </w:r>
    </w:p>
    <w:p>
      <w:pPr>
        <w:pStyle w:val="PermNoteHeading"/>
      </w:pPr>
      <w:r>
        <w:tab/>
        <w:t>Note:</w:t>
      </w:r>
    </w:p>
    <w:p>
      <w:pPr>
        <w:pStyle w:val="PermNoteText"/>
      </w:pPr>
      <w:r>
        <w:tab/>
      </w:r>
      <w:r>
        <w:tab/>
        <w:t>For “confidential information” and “confidential sample” see sections 27 and 28.</w:t>
      </w:r>
    </w:p>
    <w:p>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Heading5"/>
        <w:rPr>
          <w:snapToGrid w:val="0"/>
        </w:rPr>
      </w:pPr>
      <w:bookmarkStart w:id="542" w:name="_Toc166676065"/>
      <w:r>
        <w:rPr>
          <w:rStyle w:val="CharSectno"/>
        </w:rPr>
        <w:t>376</w:t>
      </w:r>
      <w:r>
        <w:rPr>
          <w:snapToGrid w:val="0"/>
        </w:rPr>
        <w:t>.</w:t>
      </w:r>
      <w:r>
        <w:rPr>
          <w:snapToGrid w:val="0"/>
        </w:rPr>
        <w:tab/>
        <w:t>Certain reports to be made available</w:t>
      </w:r>
      <w:bookmarkEnd w:id="542"/>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in order to comply with — </w:t>
      </w:r>
    </w:p>
    <w:p>
      <w:pPr>
        <w:pStyle w:val="Indenti"/>
        <w:rPr>
          <w:snapToGrid w:val="0"/>
        </w:rPr>
      </w:pPr>
      <w:r>
        <w:rPr>
          <w:snapToGrid w:val="0"/>
        </w:rPr>
        <w:tab/>
        <w:t>(i)</w:t>
      </w:r>
      <w:r>
        <w:rPr>
          <w:snapToGrid w:val="0"/>
        </w:rPr>
        <w:tab/>
        <w:t>the regulations; or</w:t>
      </w:r>
    </w:p>
    <w:p>
      <w:pPr>
        <w:pStyle w:val="Indenti"/>
        <w:rPr>
          <w:snapToGrid w:val="0"/>
        </w:rPr>
      </w:pPr>
      <w:r>
        <w:rPr>
          <w:snapToGrid w:val="0"/>
        </w:rPr>
        <w:tab/>
        <w:t>(ii)</w:t>
      </w:r>
      <w:r>
        <w:rPr>
          <w:snapToGrid w:val="0"/>
        </w:rPr>
        <w:tab/>
        <w:t>a direction under section 387 or 392; or</w:t>
      </w:r>
    </w:p>
    <w:p>
      <w:pPr>
        <w:pStyle w:val="Indenti"/>
        <w:rPr>
          <w:snapToGrid w:val="0"/>
        </w:rPr>
      </w:pPr>
      <w:r>
        <w:rPr>
          <w:snapToGrid w:val="0"/>
        </w:rPr>
        <w:tab/>
        <w:t>(iii)</w:t>
      </w:r>
      <w:r>
        <w:rPr>
          <w:snapToGrid w:val="0"/>
        </w:rPr>
        <w:tab/>
        <w:t>a licence condition,</w:t>
      </w:r>
    </w:p>
    <w:p>
      <w:pPr>
        <w:pStyle w:val="Indenta"/>
        <w:rPr>
          <w:snapToGrid w:val="0"/>
        </w:rPr>
      </w:pPr>
      <w:r>
        <w:rPr>
          <w:snapToGrid w:val="0"/>
        </w:rPr>
        <w:tab/>
      </w:r>
      <w:r>
        <w:rPr>
          <w:snapToGrid w:val="0"/>
        </w:rPr>
        <w:tab/>
        <w:t>a licence holder gives the Minister a report; and</w:t>
      </w:r>
    </w:p>
    <w:p>
      <w:pPr>
        <w:pStyle w:val="Indenta"/>
        <w:rPr>
          <w:snapToGrid w:val="0"/>
        </w:rPr>
      </w:pPr>
      <w:r>
        <w:rPr>
          <w:snapToGrid w:val="0"/>
        </w:rPr>
        <w:tab/>
        <w:t>(b)</w:t>
      </w:r>
      <w:r>
        <w:rPr>
          <w:snapToGrid w:val="0"/>
        </w:rPr>
        <w:tab/>
        <w:t>the report relates to blocks that are no longer covered by the licence or by a successor licence to the licence; and</w:t>
      </w:r>
    </w:p>
    <w:p>
      <w:pPr>
        <w:pStyle w:val="Indenta"/>
        <w:rPr>
          <w:snapToGrid w:val="0"/>
        </w:rPr>
      </w:pPr>
      <w:r>
        <w:rPr>
          <w:snapToGrid w:val="0"/>
        </w:rPr>
        <w:tab/>
        <w:t>(c)</w:t>
      </w:r>
      <w:r>
        <w:rPr>
          <w:snapToGrid w:val="0"/>
        </w:rPr>
        <w:tab/>
        <w:t>another person requests the Minister to make the report available to the person,</w:t>
      </w:r>
    </w:p>
    <w:p>
      <w:pPr>
        <w:pStyle w:val="Subsection"/>
        <w:rPr>
          <w:snapToGrid w:val="0"/>
        </w:rPr>
      </w:pPr>
      <w:r>
        <w:rPr>
          <w:snapToGrid w:val="0"/>
        </w:rPr>
        <w:tab/>
      </w:r>
      <w:r>
        <w:rPr>
          <w:snapToGrid w:val="0"/>
        </w:rPr>
        <w:tab/>
        <w:t>the Minister must make the report available to the person.</w:t>
      </w:r>
    </w:p>
    <w:p>
      <w:pPr>
        <w:pStyle w:val="Heading3"/>
        <w:pageBreakBefore/>
      </w:pPr>
      <w:bookmarkStart w:id="543" w:name="_Toc166675246"/>
      <w:bookmarkStart w:id="544" w:name="_Toc166675761"/>
      <w:bookmarkStart w:id="545" w:name="_Toc166676066"/>
      <w:r>
        <w:rPr>
          <w:rStyle w:val="CharDivNo"/>
        </w:rPr>
        <w:lastRenderedPageBreak/>
        <w:t>Part 4.2</w:t>
      </w:r>
      <w:r>
        <w:rPr>
          <w:snapToGrid w:val="0"/>
        </w:rPr>
        <w:t xml:space="preserve"> — </w:t>
      </w:r>
      <w:r>
        <w:rPr>
          <w:rStyle w:val="CharDivText"/>
        </w:rPr>
        <w:t>Monitoring and enforcement</w:t>
      </w:r>
      <w:bookmarkEnd w:id="543"/>
      <w:bookmarkEnd w:id="544"/>
      <w:bookmarkEnd w:id="545"/>
    </w:p>
    <w:p>
      <w:pPr>
        <w:pStyle w:val="Heading4"/>
        <w:spacing w:before="180"/>
        <w:rPr>
          <w:b w:val="0"/>
        </w:rPr>
      </w:pPr>
      <w:bookmarkStart w:id="546" w:name="_Toc166675247"/>
      <w:bookmarkStart w:id="547" w:name="_Toc166675762"/>
      <w:bookmarkStart w:id="548" w:name="_Toc166676067"/>
      <w:r>
        <w:rPr>
          <w:b w:val="0"/>
        </w:rPr>
        <w:t>Division 1 — Inspections</w:t>
      </w:r>
      <w:bookmarkEnd w:id="546"/>
      <w:bookmarkEnd w:id="547"/>
      <w:bookmarkEnd w:id="548"/>
    </w:p>
    <w:p>
      <w:pPr>
        <w:pStyle w:val="Heading5"/>
        <w:rPr>
          <w:snapToGrid w:val="0"/>
        </w:rPr>
      </w:pPr>
      <w:bookmarkStart w:id="549" w:name="_Toc166676068"/>
      <w:r>
        <w:rPr>
          <w:rStyle w:val="CharSectno"/>
        </w:rPr>
        <w:t>377</w:t>
      </w:r>
      <w:r>
        <w:rPr>
          <w:snapToGrid w:val="0"/>
        </w:rPr>
        <w:t>.</w:t>
      </w:r>
      <w:r>
        <w:rPr>
          <w:snapToGrid w:val="0"/>
        </w:rPr>
        <w:tab/>
        <w:t>Compliance inspections</w:t>
      </w:r>
      <w:bookmarkEnd w:id="549"/>
      <w:r>
        <w:rPr>
          <w:snapToGrid w:val="0"/>
        </w:rPr>
        <w:t xml:space="preserve"> </w:t>
      </w:r>
    </w:p>
    <w:p>
      <w:pPr>
        <w:pStyle w:val="Subsection"/>
        <w:spacing w:before="120"/>
        <w:rPr>
          <w:snapToGrid w:val="0"/>
        </w:rPr>
      </w:pPr>
      <w:r>
        <w:rPr>
          <w:snapToGrid w:val="0"/>
        </w:rPr>
        <w:tab/>
      </w:r>
      <w:r>
        <w:rPr>
          <w:snapToGrid w:val="0"/>
        </w:rPr>
        <w:tab/>
        <w:t>For the purposes of this Act, a compliance inspection is an inspection carried out to determine whether — </w:t>
      </w:r>
    </w:p>
    <w:p>
      <w:pPr>
        <w:pStyle w:val="Indenta"/>
        <w:rPr>
          <w:snapToGrid w:val="0"/>
        </w:rPr>
      </w:pPr>
      <w:r>
        <w:rPr>
          <w:snapToGrid w:val="0"/>
        </w:rPr>
        <w:tab/>
        <w:t>(a)</w:t>
      </w:r>
      <w:r>
        <w:rPr>
          <w:snapToGrid w:val="0"/>
        </w:rPr>
        <w:tab/>
        <w:t>a licence holder, a special purpose consent holder or an associate has complied with or is complying with — </w:t>
      </w:r>
    </w:p>
    <w:p>
      <w:pPr>
        <w:pStyle w:val="Indenti"/>
        <w:rPr>
          <w:snapToGrid w:val="0"/>
        </w:rPr>
      </w:pPr>
      <w:r>
        <w:rPr>
          <w:snapToGrid w:val="0"/>
        </w:rPr>
        <w:tab/>
        <w:t>(i)</w:t>
      </w:r>
      <w:r>
        <w:rPr>
          <w:snapToGrid w:val="0"/>
        </w:rPr>
        <w:tab/>
        <w:t>this Act or the regulations; or</w:t>
      </w:r>
    </w:p>
    <w:p>
      <w:pPr>
        <w:pStyle w:val="Indenti"/>
        <w:rPr>
          <w:snapToGrid w:val="0"/>
        </w:rPr>
      </w:pPr>
      <w:r>
        <w:rPr>
          <w:snapToGrid w:val="0"/>
        </w:rPr>
        <w:tab/>
        <w:t>(ii)</w:t>
      </w:r>
      <w:r>
        <w:rPr>
          <w:snapToGrid w:val="0"/>
        </w:rPr>
        <w:tab/>
        <w:t>the Registration Fees Act or regulations made under that Act; or</w:t>
      </w:r>
    </w:p>
    <w:p>
      <w:pPr>
        <w:pStyle w:val="Indenti"/>
        <w:rPr>
          <w:snapToGrid w:val="0"/>
        </w:rPr>
      </w:pPr>
      <w:r>
        <w:rPr>
          <w:snapToGrid w:val="0"/>
        </w:rPr>
        <w:tab/>
        <w:t>(iii)</w:t>
      </w:r>
      <w:r>
        <w:rPr>
          <w:snapToGrid w:val="0"/>
        </w:rPr>
        <w:tab/>
        <w:t>the licence or consent conditions; or</w:t>
      </w:r>
    </w:p>
    <w:p>
      <w:pPr>
        <w:pStyle w:val="Indenti"/>
        <w:rPr>
          <w:snapToGrid w:val="0"/>
        </w:rPr>
      </w:pPr>
      <w:r>
        <w:rPr>
          <w:snapToGrid w:val="0"/>
        </w:rPr>
        <w:tab/>
        <w:t>(iv)</w:t>
      </w:r>
      <w:r>
        <w:rPr>
          <w:snapToGrid w:val="0"/>
        </w:rPr>
        <w:tab/>
        <w:t xml:space="preserve">a direction under section 387 or 392;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exploring for or recovering minerals in breach of section 38.</w:t>
      </w:r>
    </w:p>
    <w:p>
      <w:pPr>
        <w:pStyle w:val="PermNoteHeading"/>
      </w:pPr>
      <w:r>
        <w:tab/>
        <w:t>Note:</w:t>
      </w:r>
    </w:p>
    <w:p>
      <w:pPr>
        <w:pStyle w:val="PermNoteText"/>
      </w:pPr>
      <w:r>
        <w:tab/>
      </w:r>
      <w:r>
        <w:tab/>
        <w:t>An inspector may carry out a compliance inspection under — </w:t>
      </w:r>
    </w:p>
    <w:p>
      <w:pPr>
        <w:pStyle w:val="PermNotePara"/>
      </w:pPr>
      <w:r>
        <w:tab/>
        <w:t>1.</w:t>
      </w:r>
      <w:r>
        <w:tab/>
        <w:t>section 379 (inspection of licence</w:t>
      </w:r>
      <w:r>
        <w:noBreakHyphen/>
        <w:t>related premises etc. without a warrant);</w:t>
      </w:r>
    </w:p>
    <w:p>
      <w:pPr>
        <w:pStyle w:val="PermNotePara"/>
      </w:pPr>
      <w:r>
        <w:tab/>
        <w:t>2.</w:t>
      </w:r>
      <w:r>
        <w:tab/>
        <w:t>section 380 (inspection of other premises etc. with consent of the occupier);</w:t>
      </w:r>
    </w:p>
    <w:p>
      <w:pPr>
        <w:pStyle w:val="PermNotePara"/>
      </w:pPr>
      <w:r>
        <w:tab/>
        <w:t>3.</w:t>
      </w:r>
      <w:r>
        <w:tab/>
        <w:t>section 381 (inspection of premises etc. with a warrant).</w:t>
      </w:r>
    </w:p>
    <w:p>
      <w:pPr>
        <w:pStyle w:val="Heading5"/>
        <w:rPr>
          <w:snapToGrid w:val="0"/>
        </w:rPr>
      </w:pPr>
      <w:bookmarkStart w:id="550" w:name="_Toc166676069"/>
      <w:r>
        <w:rPr>
          <w:rStyle w:val="CharSectno"/>
        </w:rPr>
        <w:t>378</w:t>
      </w:r>
      <w:r>
        <w:rPr>
          <w:snapToGrid w:val="0"/>
        </w:rPr>
        <w:t>.</w:t>
      </w:r>
      <w:r>
        <w:rPr>
          <w:snapToGrid w:val="0"/>
        </w:rPr>
        <w:tab/>
        <w:t>Powers exercisable in course of inspection</w:t>
      </w:r>
      <w:bookmarkEnd w:id="550"/>
      <w:r>
        <w:rPr>
          <w:snapToGrid w:val="0"/>
        </w:rPr>
        <w:t xml:space="preserve"> </w:t>
      </w:r>
    </w:p>
    <w:p>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Subsection"/>
        <w:rPr>
          <w:snapToGrid w:val="0"/>
        </w:rPr>
      </w:pPr>
      <w:r>
        <w:rPr>
          <w:snapToGrid w:val="0"/>
        </w:rPr>
        <w:tab/>
        <w:t>(2)</w:t>
      </w:r>
      <w:r>
        <w:rPr>
          <w:snapToGrid w:val="0"/>
        </w:rPr>
        <w:tab/>
        <w:t>Without limiting subsection (1), the inspector may — </w:t>
      </w:r>
    </w:p>
    <w:p>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Indenta"/>
        <w:rPr>
          <w:snapToGrid w:val="0"/>
        </w:rPr>
      </w:pPr>
      <w:r>
        <w:rPr>
          <w:snapToGrid w:val="0"/>
        </w:rPr>
        <w:lastRenderedPageBreak/>
        <w:tab/>
        <w:t>(b)</w:t>
      </w:r>
      <w:r>
        <w:rPr>
          <w:snapToGrid w:val="0"/>
        </w:rPr>
        <w:tab/>
        <w:t>test equipment (for example, by operating it); and</w:t>
      </w:r>
    </w:p>
    <w:p>
      <w:pPr>
        <w:pStyle w:val="Indenta"/>
        <w:rPr>
          <w:snapToGrid w:val="0"/>
        </w:rPr>
      </w:pPr>
      <w:r>
        <w:rPr>
          <w:snapToGrid w:val="0"/>
        </w:rPr>
        <w:tab/>
        <w:t>(c)</w:t>
      </w:r>
      <w:r>
        <w:rPr>
          <w:snapToGrid w:val="0"/>
        </w:rPr>
        <w:tab/>
        <w:t>examine, and copy, documents; and</w:t>
      </w:r>
    </w:p>
    <w:p>
      <w:pPr>
        <w:pStyle w:val="Indenta"/>
        <w:rPr>
          <w:snapToGrid w:val="0"/>
        </w:rPr>
      </w:pPr>
      <w:r>
        <w:rPr>
          <w:snapToGrid w:val="0"/>
        </w:rPr>
        <w:tab/>
        <w:t>(d)</w:t>
      </w:r>
      <w:r>
        <w:rPr>
          <w:snapToGrid w:val="0"/>
        </w:rPr>
        <w:tab/>
        <w:t>remove documents; and</w:t>
      </w:r>
    </w:p>
    <w:p>
      <w:pPr>
        <w:pStyle w:val="Indenta"/>
        <w:rPr>
          <w:snapToGrid w:val="0"/>
        </w:rPr>
      </w:pPr>
      <w:r>
        <w:rPr>
          <w:snapToGrid w:val="0"/>
        </w:rPr>
        <w:tab/>
        <w:t>(e)</w:t>
      </w:r>
      <w:r>
        <w:rPr>
          <w:snapToGrid w:val="0"/>
        </w:rPr>
        <w:tab/>
        <w:t>take photographs and videotapes; and</w:t>
      </w:r>
    </w:p>
    <w:p>
      <w:pPr>
        <w:pStyle w:val="Indenta"/>
        <w:rPr>
          <w:snapToGrid w:val="0"/>
        </w:rPr>
      </w:pPr>
      <w:r>
        <w:rPr>
          <w:snapToGrid w:val="0"/>
        </w:rPr>
        <w:tab/>
        <w:t>(f)</w:t>
      </w:r>
      <w:r>
        <w:rPr>
          <w:snapToGrid w:val="0"/>
        </w:rPr>
        <w:tab/>
        <w:t>examine, and take samples from the seabed or subsoil; and</w:t>
      </w:r>
    </w:p>
    <w:p>
      <w:pPr>
        <w:pStyle w:val="Indenta"/>
        <w:rPr>
          <w:snapToGrid w:val="0"/>
        </w:rPr>
      </w:pPr>
      <w:r>
        <w:rPr>
          <w:snapToGrid w:val="0"/>
        </w:rPr>
        <w:tab/>
        <w:t>(g)</w:t>
      </w:r>
      <w:r>
        <w:rPr>
          <w:snapToGrid w:val="0"/>
        </w:rPr>
        <w:tab/>
        <w:t>enter or go onto any land, building or structure; and</w:t>
      </w:r>
    </w:p>
    <w:p>
      <w:pPr>
        <w:pStyle w:val="Indenta"/>
        <w:rPr>
          <w:snapToGrid w:val="0"/>
        </w:rPr>
      </w:pPr>
      <w:r>
        <w:rPr>
          <w:snapToGrid w:val="0"/>
        </w:rPr>
        <w:tab/>
        <w:t>(h)</w:t>
      </w:r>
      <w:r>
        <w:rPr>
          <w:snapToGrid w:val="0"/>
        </w:rPr>
        <w:tab/>
        <w:t>enter or board any vehicle, vessel or aircraft.</w:t>
      </w:r>
    </w:p>
    <w:p>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Indenta"/>
        <w:rPr>
          <w:snapToGrid w:val="0"/>
        </w:rPr>
      </w:pPr>
      <w:r>
        <w:rPr>
          <w:snapToGrid w:val="0"/>
        </w:rPr>
        <w:tab/>
        <w:t>(a)</w:t>
      </w:r>
      <w:r>
        <w:rPr>
          <w:snapToGrid w:val="0"/>
        </w:rPr>
        <w:tab/>
        <w:t>this Act and the regulations; or</w:t>
      </w:r>
    </w:p>
    <w:p>
      <w:pPr>
        <w:pStyle w:val="Indenta"/>
        <w:rPr>
          <w:snapToGrid w:val="0"/>
        </w:rPr>
      </w:pPr>
      <w:r>
        <w:rPr>
          <w:snapToGrid w:val="0"/>
        </w:rPr>
        <w:tab/>
        <w:t>(b)</w:t>
      </w:r>
      <w:r>
        <w:rPr>
          <w:snapToGrid w:val="0"/>
        </w:rPr>
        <w:tab/>
        <w:t>the Registration Fees Act or regulations made under that Act; or</w:t>
      </w:r>
    </w:p>
    <w:p>
      <w:pPr>
        <w:pStyle w:val="Indenta"/>
        <w:rPr>
          <w:snapToGrid w:val="0"/>
        </w:rPr>
      </w:pPr>
      <w:r>
        <w:rPr>
          <w:snapToGrid w:val="0"/>
        </w:rPr>
        <w:tab/>
        <w:t>(c)</w:t>
      </w:r>
      <w:r>
        <w:rPr>
          <w:snapToGrid w:val="0"/>
        </w:rPr>
        <w:tab/>
        <w:t>the licence or consent conditions; or</w:t>
      </w:r>
    </w:p>
    <w:p>
      <w:pPr>
        <w:pStyle w:val="Indenta"/>
        <w:rPr>
          <w:snapToGrid w:val="0"/>
        </w:rPr>
      </w:pPr>
      <w:r>
        <w:rPr>
          <w:snapToGrid w:val="0"/>
        </w:rPr>
        <w:tab/>
        <w:t>(d)</w:t>
      </w:r>
      <w:r>
        <w:rPr>
          <w:snapToGrid w:val="0"/>
        </w:rPr>
        <w:tab/>
        <w:t>a direction under section 387 or 392.</w:t>
      </w:r>
    </w:p>
    <w:p>
      <w:pPr>
        <w:pStyle w:val="Subsection"/>
        <w:rPr>
          <w:snapToGrid w:val="0"/>
        </w:rPr>
      </w:pPr>
      <w:r>
        <w:rPr>
          <w:snapToGrid w:val="0"/>
        </w:rPr>
        <w:tab/>
        <w:t>(5)</w:t>
      </w:r>
      <w:r>
        <w:rPr>
          <w:snapToGrid w:val="0"/>
        </w:rPr>
        <w:tab/>
        <w:t>Subject to subsection (6), the inspector must not retain the document for more than 60 days.</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pPr>
        <w:pStyle w:val="Indenta"/>
        <w:keepNext/>
        <w:keepLines/>
        <w:rPr>
          <w:snapToGrid w:val="0"/>
        </w:rPr>
      </w:pPr>
      <w:r>
        <w:rPr>
          <w:snapToGrid w:val="0"/>
        </w:rPr>
        <w:lastRenderedPageBreak/>
        <w:tab/>
        <w:t>(b)</w:t>
      </w:r>
      <w:r>
        <w:rPr>
          <w:snapToGrid w:val="0"/>
        </w:rPr>
        <w:tab/>
        <w:t>the document may afford evidence of the commission of the offence,</w:t>
      </w:r>
    </w:p>
    <w:p>
      <w:pPr>
        <w:pStyle w:val="Subsection"/>
        <w:rPr>
          <w:snapToGrid w:val="0"/>
        </w:rPr>
      </w:pPr>
      <w:r>
        <w:rPr>
          <w:snapToGrid w:val="0"/>
        </w:rPr>
        <w:tab/>
      </w:r>
      <w:r>
        <w:rPr>
          <w:snapToGrid w:val="0"/>
        </w:rPr>
        <w:tab/>
        <w:t>the inspector may retain the document until the proceedings are completed.</w:t>
      </w:r>
    </w:p>
    <w:p>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Heading5"/>
        <w:rPr>
          <w:snapToGrid w:val="0"/>
        </w:rPr>
      </w:pPr>
      <w:bookmarkStart w:id="551" w:name="_Toc166676070"/>
      <w:r>
        <w:rPr>
          <w:rStyle w:val="CharSectno"/>
        </w:rPr>
        <w:t>379</w:t>
      </w:r>
      <w:r>
        <w:rPr>
          <w:snapToGrid w:val="0"/>
        </w:rPr>
        <w:t>.</w:t>
      </w:r>
      <w:r>
        <w:rPr>
          <w:snapToGrid w:val="0"/>
        </w:rPr>
        <w:tab/>
        <w:t>Inspection of licence</w:t>
      </w:r>
      <w:r>
        <w:rPr>
          <w:snapToGrid w:val="0"/>
        </w:rPr>
        <w:noBreakHyphen/>
        <w:t>related premises etc. without warrant</w:t>
      </w:r>
      <w:bookmarkEnd w:id="551"/>
      <w:r>
        <w:rPr>
          <w:snapToGrid w:val="0"/>
        </w:rPr>
        <w:t xml:space="preserve"> </w:t>
      </w:r>
    </w:p>
    <w:p>
      <w:pPr>
        <w:pStyle w:val="Subsection"/>
        <w:rPr>
          <w:snapToGrid w:val="0"/>
        </w:rPr>
      </w:pPr>
      <w:r>
        <w:rPr>
          <w:snapToGrid w:val="0"/>
        </w:rPr>
        <w:tab/>
        <w:t>(1)</w:t>
      </w:r>
      <w:r>
        <w:rPr>
          <w:snapToGrid w:val="0"/>
        </w:rPr>
        <w:tab/>
        <w:t>Subject to subsections (2), (3) and (4), an inspector may, without a warrant, carry out a compliance inspection of — </w:t>
      </w:r>
    </w:p>
    <w:p>
      <w:pPr>
        <w:pStyle w:val="Indenta"/>
        <w:rPr>
          <w:snapToGrid w:val="0"/>
        </w:rPr>
      </w:pPr>
      <w:r>
        <w:rPr>
          <w:snapToGrid w:val="0"/>
        </w:rPr>
        <w:tab/>
        <w:t>(a)</w:t>
      </w:r>
      <w:r>
        <w:rPr>
          <w:snapToGrid w:val="0"/>
        </w:rPr>
        <w:tab/>
        <w:t>licence</w:t>
      </w:r>
      <w:r>
        <w:rPr>
          <w:snapToGrid w:val="0"/>
        </w:rPr>
        <w:noBreakHyphen/>
        <w:t>related land; or</w:t>
      </w:r>
    </w:p>
    <w:p>
      <w:pPr>
        <w:pStyle w:val="Indenta"/>
        <w:rPr>
          <w:snapToGrid w:val="0"/>
        </w:rPr>
      </w:pPr>
      <w:r>
        <w:rPr>
          <w:snapToGrid w:val="0"/>
        </w:rPr>
        <w:tab/>
        <w:t>(b)</w:t>
      </w:r>
      <w:r>
        <w:rPr>
          <w:snapToGrid w:val="0"/>
        </w:rPr>
        <w:tab/>
        <w:t>a licence</w:t>
      </w:r>
      <w:r>
        <w:rPr>
          <w:snapToGrid w:val="0"/>
        </w:rPr>
        <w:noBreakHyphen/>
        <w:t>related building, structure, vehicle, vessel or aircraft,</w:t>
      </w:r>
    </w:p>
    <w:p>
      <w:pPr>
        <w:pStyle w:val="Subsection"/>
        <w:rPr>
          <w:snapToGrid w:val="0"/>
        </w:rPr>
      </w:pPr>
      <w:r>
        <w:rPr>
          <w:snapToGrid w:val="0"/>
        </w:rPr>
        <w:tab/>
      </w:r>
      <w:r>
        <w:rPr>
          <w:snapToGrid w:val="0"/>
        </w:rPr>
        <w:tab/>
        <w:t>if the inspection is reasonably necessary.</w:t>
      </w:r>
    </w:p>
    <w:p>
      <w:pPr>
        <w:pStyle w:val="Subsection"/>
        <w:rPr>
          <w:snapToGrid w:val="0"/>
        </w:rPr>
      </w:pPr>
      <w:r>
        <w:rPr>
          <w:snapToGrid w:val="0"/>
        </w:rPr>
        <w:tab/>
        <w:t>(2)</w:t>
      </w:r>
      <w:r>
        <w:rPr>
          <w:snapToGrid w:val="0"/>
        </w:rPr>
        <w:tab/>
        <w:t>An inspection under subsection (1) must be made at a reasonable time.</w:t>
      </w:r>
    </w:p>
    <w:p>
      <w:pPr>
        <w:pStyle w:val="Subsection"/>
        <w:rPr>
          <w:snapToGrid w:val="0"/>
        </w:rPr>
      </w:pPr>
      <w:r>
        <w:rPr>
          <w:snapToGrid w:val="0"/>
        </w:rPr>
        <w:tab/>
        <w:t>(3)</w:t>
      </w:r>
      <w:r>
        <w:rPr>
          <w:snapToGrid w:val="0"/>
        </w:rPr>
        <w:tab/>
        <w:t>An inspector may not enter premises under subsection (1) if — </w:t>
      </w:r>
    </w:p>
    <w:p>
      <w:pPr>
        <w:pStyle w:val="Indenta"/>
        <w:rPr>
          <w:snapToGrid w:val="0"/>
        </w:rPr>
      </w:pPr>
      <w:r>
        <w:rPr>
          <w:snapToGrid w:val="0"/>
        </w:rPr>
        <w:tab/>
        <w:t>(a)</w:t>
      </w:r>
      <w:r>
        <w:rPr>
          <w:snapToGrid w:val="0"/>
        </w:rPr>
        <w:tab/>
        <w:t>the premises are a residence; and</w:t>
      </w:r>
    </w:p>
    <w:p>
      <w:pPr>
        <w:pStyle w:val="Indenta"/>
        <w:rPr>
          <w:snapToGrid w:val="0"/>
        </w:rPr>
      </w:pPr>
      <w:r>
        <w:rPr>
          <w:snapToGrid w:val="0"/>
        </w:rPr>
        <w:tab/>
        <w:t>(b)</w:t>
      </w:r>
      <w:r>
        <w:rPr>
          <w:snapToGrid w:val="0"/>
        </w:rPr>
        <w:tab/>
        <w:t>the occupier has not consented to the entry.</w:t>
      </w:r>
    </w:p>
    <w:p>
      <w:pPr>
        <w:pStyle w:val="Subsection"/>
        <w:rPr>
          <w:snapToGrid w:val="0"/>
        </w:rPr>
      </w:pPr>
      <w:r>
        <w:rPr>
          <w:snapToGrid w:val="0"/>
        </w:rPr>
        <w:tab/>
        <w:t>(4)</w:t>
      </w:r>
      <w:r>
        <w:rPr>
          <w:snapToGrid w:val="0"/>
        </w:rPr>
        <w:tab/>
        <w:t>An inspector may not carry out a compliance inspection under subsection (1) if — </w:t>
      </w:r>
    </w:p>
    <w:p>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lastRenderedPageBreak/>
        <w:tab/>
        <w:t>(b)</w:t>
      </w:r>
      <w:r>
        <w:rPr>
          <w:snapToGrid w:val="0"/>
        </w:rPr>
        <w:tab/>
        <w:t>the inspector does not comply with the person’s request.</w:t>
      </w:r>
    </w:p>
    <w:p>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Indenta"/>
        <w:rPr>
          <w:snapToGrid w:val="0"/>
        </w:rPr>
      </w:pPr>
      <w:r>
        <w:rPr>
          <w:snapToGrid w:val="0"/>
        </w:rPr>
        <w:tab/>
        <w:t>(a)</w:t>
      </w:r>
      <w:r>
        <w:rPr>
          <w:snapToGrid w:val="0"/>
        </w:rPr>
        <w:tab/>
        <w:t>it is used in connection with activities carried out under a licence or special purpose consent; or</w:t>
      </w:r>
    </w:p>
    <w:p>
      <w:pPr>
        <w:pStyle w:val="Indenta"/>
        <w:rPr>
          <w:snapToGrid w:val="0"/>
        </w:rPr>
      </w:pPr>
      <w:r>
        <w:rPr>
          <w:snapToGrid w:val="0"/>
        </w:rPr>
        <w:tab/>
        <w:t>(b)</w:t>
      </w:r>
      <w:r>
        <w:rPr>
          <w:snapToGrid w:val="0"/>
        </w:rPr>
        <w:tab/>
        <w:t>records about activities of that kind are kept there.</w:t>
      </w:r>
    </w:p>
    <w:p>
      <w:pPr>
        <w:pStyle w:val="Heading5"/>
        <w:rPr>
          <w:snapToGrid w:val="0"/>
        </w:rPr>
      </w:pPr>
      <w:bookmarkStart w:id="552" w:name="_Toc166676071"/>
      <w:r>
        <w:rPr>
          <w:rStyle w:val="CharSectno"/>
        </w:rPr>
        <w:t>380</w:t>
      </w:r>
      <w:r>
        <w:rPr>
          <w:snapToGrid w:val="0"/>
        </w:rPr>
        <w:t>.</w:t>
      </w:r>
      <w:r>
        <w:rPr>
          <w:snapToGrid w:val="0"/>
        </w:rPr>
        <w:tab/>
        <w:t>Inspection of other premises etc. with occupier’s consent</w:t>
      </w:r>
      <w:bookmarkEnd w:id="552"/>
      <w:r>
        <w:rPr>
          <w:snapToGrid w:val="0"/>
        </w:rPr>
        <w:t xml:space="preserve"> </w:t>
      </w:r>
    </w:p>
    <w:p>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Heading5"/>
        <w:rPr>
          <w:snapToGrid w:val="0"/>
        </w:rPr>
      </w:pPr>
      <w:bookmarkStart w:id="553" w:name="_Toc166676072"/>
      <w:r>
        <w:rPr>
          <w:rStyle w:val="CharSectno"/>
        </w:rPr>
        <w:t>381</w:t>
      </w:r>
      <w:r>
        <w:rPr>
          <w:snapToGrid w:val="0"/>
        </w:rPr>
        <w:t>.</w:t>
      </w:r>
      <w:r>
        <w:rPr>
          <w:snapToGrid w:val="0"/>
        </w:rPr>
        <w:tab/>
        <w:t>Inspection of other premises etc. with warrant</w:t>
      </w:r>
      <w:bookmarkEnd w:id="553"/>
      <w:r>
        <w:rPr>
          <w:snapToGrid w:val="0"/>
        </w:rPr>
        <w:t xml:space="preserve"> </w:t>
      </w:r>
    </w:p>
    <w:p>
      <w:pPr>
        <w:pStyle w:val="Subsection"/>
        <w:rPr>
          <w:snapToGrid w:val="0"/>
        </w:rPr>
      </w:pPr>
      <w:r>
        <w:rPr>
          <w:snapToGrid w:val="0"/>
        </w:rPr>
        <w:tab/>
      </w:r>
      <w:r>
        <w:rPr>
          <w:snapToGrid w:val="0"/>
        </w:rPr>
        <w:tab/>
        <w:t>An inspector may carry out a compliance inspection in accordance with a warrant issued under section 382.</w:t>
      </w:r>
    </w:p>
    <w:p>
      <w:pPr>
        <w:pStyle w:val="Heading5"/>
        <w:rPr>
          <w:snapToGrid w:val="0"/>
        </w:rPr>
      </w:pPr>
      <w:bookmarkStart w:id="554" w:name="_Toc166676073"/>
      <w:r>
        <w:rPr>
          <w:rStyle w:val="CharSectno"/>
        </w:rPr>
        <w:t>382</w:t>
      </w:r>
      <w:r>
        <w:rPr>
          <w:snapToGrid w:val="0"/>
        </w:rPr>
        <w:t>.</w:t>
      </w:r>
      <w:r>
        <w:rPr>
          <w:snapToGrid w:val="0"/>
        </w:rPr>
        <w:tab/>
        <w:t>Procedure for obtaining warrant</w:t>
      </w:r>
      <w:bookmarkEnd w:id="554"/>
      <w:r>
        <w:rPr>
          <w:snapToGrid w:val="0"/>
        </w:rPr>
        <w:t xml:space="preserve"> </w:t>
      </w:r>
    </w:p>
    <w:p>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Subsection"/>
        <w:keepNext/>
        <w:rPr>
          <w:snapToGrid w:val="0"/>
        </w:rPr>
      </w:pPr>
      <w:r>
        <w:rPr>
          <w:snapToGrid w:val="0"/>
        </w:rPr>
        <w:tab/>
        <w:t>(4)</w:t>
      </w:r>
      <w:r>
        <w:rPr>
          <w:snapToGrid w:val="0"/>
        </w:rPr>
        <w:tab/>
        <w:t>The warrant must state — </w:t>
      </w:r>
    </w:p>
    <w:p>
      <w:pPr>
        <w:pStyle w:val="Indenta"/>
        <w:rPr>
          <w:snapToGrid w:val="0"/>
        </w:rPr>
      </w:pPr>
      <w:r>
        <w:rPr>
          <w:snapToGrid w:val="0"/>
        </w:rPr>
        <w:tab/>
        <w:t>(a)</w:t>
      </w:r>
      <w:r>
        <w:rPr>
          <w:snapToGrid w:val="0"/>
        </w:rPr>
        <w:tab/>
        <w:t>the name of the inspector; and</w:t>
      </w:r>
    </w:p>
    <w:p>
      <w:pPr>
        <w:pStyle w:val="Indenta"/>
        <w:rPr>
          <w:snapToGrid w:val="0"/>
        </w:rPr>
      </w:pPr>
      <w:r>
        <w:rPr>
          <w:snapToGrid w:val="0"/>
        </w:rPr>
        <w:tab/>
        <w:t>(b)</w:t>
      </w:r>
      <w:r>
        <w:rPr>
          <w:snapToGrid w:val="0"/>
        </w:rPr>
        <w:tab/>
        <w:t>whether the inspection may be carried out at any time or only during specified hours of the day; and</w:t>
      </w:r>
    </w:p>
    <w:p>
      <w:pPr>
        <w:pStyle w:val="Indenta"/>
        <w:rPr>
          <w:snapToGrid w:val="0"/>
        </w:rPr>
      </w:pPr>
      <w:r>
        <w:rPr>
          <w:snapToGrid w:val="0"/>
        </w:rPr>
        <w:tab/>
        <w:t>(c)</w:t>
      </w:r>
      <w:r>
        <w:rPr>
          <w:snapToGrid w:val="0"/>
        </w:rPr>
        <w:tab/>
        <w:t>the day on which the warrant ceases to have effect; and</w:t>
      </w:r>
    </w:p>
    <w:p>
      <w:pPr>
        <w:pStyle w:val="Indenta"/>
        <w:rPr>
          <w:snapToGrid w:val="0"/>
        </w:rPr>
      </w:pPr>
      <w:r>
        <w:rPr>
          <w:snapToGrid w:val="0"/>
        </w:rPr>
        <w:lastRenderedPageBreak/>
        <w:tab/>
        <w:t>(d)</w:t>
      </w:r>
      <w:r>
        <w:rPr>
          <w:snapToGrid w:val="0"/>
        </w:rPr>
        <w:tab/>
        <w:t>the purposes for which the warrant is issued.</w:t>
      </w:r>
    </w:p>
    <w:p>
      <w:pPr>
        <w:pStyle w:val="Subsection"/>
        <w:rPr>
          <w:snapToGrid w:val="0"/>
        </w:rPr>
      </w:pPr>
      <w:r>
        <w:rPr>
          <w:snapToGrid w:val="0"/>
        </w:rPr>
        <w:tab/>
        <w:t>(5)</w:t>
      </w:r>
      <w:r>
        <w:rPr>
          <w:snapToGrid w:val="0"/>
        </w:rPr>
        <w:tab/>
        <w:t>The day specified under subsection (4)(c) is not to be more than 7 days after the day on which the warrant is issued.</w:t>
      </w:r>
    </w:p>
    <w:p>
      <w:pPr>
        <w:pStyle w:val="Subsection"/>
        <w:rPr>
          <w:snapToGrid w:val="0"/>
        </w:rPr>
      </w:pPr>
      <w:r>
        <w:rPr>
          <w:snapToGrid w:val="0"/>
        </w:rPr>
        <w:tab/>
        <w:t>(6)</w:t>
      </w:r>
      <w:r>
        <w:rPr>
          <w:snapToGrid w:val="0"/>
        </w:rPr>
        <w:tab/>
        <w:t>The purposes specified under subsection (4)(d) must include the identification of — </w:t>
      </w:r>
    </w:p>
    <w:p>
      <w:pPr>
        <w:pStyle w:val="Indenta"/>
        <w:rPr>
          <w:snapToGrid w:val="0"/>
        </w:rPr>
      </w:pPr>
      <w:r>
        <w:rPr>
          <w:snapToGrid w:val="0"/>
        </w:rPr>
        <w:tab/>
        <w:t>(a)</w:t>
      </w:r>
      <w:r>
        <w:rPr>
          <w:snapToGrid w:val="0"/>
        </w:rPr>
        <w:tab/>
        <w:t>the land, building, structure, vehicle, vessel or aircraft to be inspected; and</w:t>
      </w:r>
    </w:p>
    <w:p>
      <w:pPr>
        <w:pStyle w:val="Indenta"/>
        <w:rPr>
          <w:snapToGrid w:val="0"/>
        </w:rPr>
      </w:pPr>
      <w:r>
        <w:rPr>
          <w:snapToGrid w:val="0"/>
        </w:rPr>
        <w:tab/>
        <w:t>(b)</w:t>
      </w:r>
      <w:r>
        <w:rPr>
          <w:snapToGrid w:val="0"/>
        </w:rPr>
        <w:tab/>
        <w:t>any equipment that the inspector may test; and</w:t>
      </w:r>
    </w:p>
    <w:p>
      <w:pPr>
        <w:pStyle w:val="Indenta"/>
        <w:rPr>
          <w:snapToGrid w:val="0"/>
        </w:rPr>
      </w:pPr>
      <w:r>
        <w:rPr>
          <w:snapToGrid w:val="0"/>
        </w:rPr>
        <w:tab/>
        <w:t>(c)</w:t>
      </w:r>
      <w:r>
        <w:rPr>
          <w:snapToGrid w:val="0"/>
        </w:rPr>
        <w:tab/>
        <w:t>any documents that the inspector may examine and copy; and</w:t>
      </w:r>
    </w:p>
    <w:p>
      <w:pPr>
        <w:pStyle w:val="Indenta"/>
        <w:rPr>
          <w:snapToGrid w:val="0"/>
        </w:rPr>
      </w:pPr>
      <w:r>
        <w:rPr>
          <w:snapToGrid w:val="0"/>
        </w:rPr>
        <w:tab/>
        <w:t>(d)</w:t>
      </w:r>
      <w:r>
        <w:rPr>
          <w:snapToGrid w:val="0"/>
        </w:rPr>
        <w:tab/>
        <w:t>any cores or cuttings from the seabed or subsoil that the inspector may examine and take samples of.</w:t>
      </w:r>
    </w:p>
    <w:p>
      <w:pPr>
        <w:pStyle w:val="Heading5"/>
        <w:rPr>
          <w:snapToGrid w:val="0"/>
        </w:rPr>
      </w:pPr>
      <w:bookmarkStart w:id="555" w:name="_Toc166676074"/>
      <w:r>
        <w:rPr>
          <w:rStyle w:val="CharSectno"/>
        </w:rPr>
        <w:t>383</w:t>
      </w:r>
      <w:r>
        <w:rPr>
          <w:snapToGrid w:val="0"/>
        </w:rPr>
        <w:t>.</w:t>
      </w:r>
      <w:r>
        <w:rPr>
          <w:snapToGrid w:val="0"/>
        </w:rPr>
        <w:tab/>
        <w:t>Further provisions as to exercise of powers under warrant</w:t>
      </w:r>
      <w:bookmarkEnd w:id="555"/>
      <w:r>
        <w:rPr>
          <w:snapToGrid w:val="0"/>
        </w:rPr>
        <w:t xml:space="preserve"> </w:t>
      </w:r>
    </w:p>
    <w:p>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Indenta"/>
        <w:rPr>
          <w:snapToGrid w:val="0"/>
        </w:rPr>
      </w:pPr>
      <w:r>
        <w:rPr>
          <w:snapToGrid w:val="0"/>
        </w:rPr>
        <w:tab/>
        <w:t>(a)</w:t>
      </w:r>
      <w:r>
        <w:rPr>
          <w:snapToGrid w:val="0"/>
        </w:rPr>
        <w:tab/>
        <w:t>with such assistance as is reasonable and necessary; and</w:t>
      </w:r>
    </w:p>
    <w:p>
      <w:pPr>
        <w:pStyle w:val="Indenta"/>
        <w:rPr>
          <w:snapToGrid w:val="0"/>
        </w:rPr>
      </w:pPr>
      <w:r>
        <w:rPr>
          <w:snapToGrid w:val="0"/>
        </w:rPr>
        <w:tab/>
        <w:t>(b)</w:t>
      </w:r>
      <w:r>
        <w:rPr>
          <w:snapToGrid w:val="0"/>
        </w:rPr>
        <w:tab/>
        <w:t>by such force as is reasonable and necessary.</w:t>
      </w:r>
    </w:p>
    <w:p>
      <w:pPr>
        <w:pStyle w:val="Subsection"/>
        <w:keepNext/>
        <w:keepLines/>
        <w:rPr>
          <w:snapToGrid w:val="0"/>
        </w:rPr>
      </w:pPr>
      <w:r>
        <w:rPr>
          <w:snapToGrid w:val="0"/>
        </w:rPr>
        <w:tab/>
        <w:t>(2)</w:t>
      </w:r>
      <w:r>
        <w:rPr>
          <w:snapToGrid w:val="0"/>
        </w:rPr>
        <w:tab/>
        <w:t>An inspector may not carry out a compliance inspection under a warrant if — </w:t>
      </w:r>
    </w:p>
    <w:p>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Heading5"/>
        <w:rPr>
          <w:snapToGrid w:val="0"/>
        </w:rPr>
      </w:pPr>
      <w:bookmarkStart w:id="556" w:name="_Toc166676075"/>
      <w:r>
        <w:rPr>
          <w:rStyle w:val="CharSectno"/>
        </w:rPr>
        <w:t>384</w:t>
      </w:r>
      <w:r>
        <w:rPr>
          <w:snapToGrid w:val="0"/>
        </w:rPr>
        <w:t>.</w:t>
      </w:r>
      <w:r>
        <w:rPr>
          <w:snapToGrid w:val="0"/>
        </w:rPr>
        <w:tab/>
        <w:t>Occupier to cooperate with inspector</w:t>
      </w:r>
      <w:bookmarkEnd w:id="556"/>
      <w:r>
        <w:rPr>
          <w:snapToGrid w:val="0"/>
        </w:rPr>
        <w:t xml:space="preserve"> </w:t>
      </w:r>
    </w:p>
    <w:p>
      <w:pPr>
        <w:pStyle w:val="Subsection"/>
        <w:rPr>
          <w:snapToGrid w:val="0"/>
          <w:spacing w:val="-4"/>
        </w:rPr>
      </w:pPr>
      <w:r>
        <w:rPr>
          <w:snapToGrid w:val="0"/>
          <w:spacing w:val="-4"/>
        </w:rPr>
        <w:tab/>
      </w:r>
      <w:r>
        <w:rPr>
          <w:snapToGrid w:val="0"/>
          <w:spacing w:val="-4"/>
        </w:rPr>
        <w:tab/>
        <w:t xml:space="preserve">If an inspector carries out a compliance inspection of land or of a building, structure, vehicle, vessel or aircraft under section 379 or 381, the person who occupies or is in charge of it must provide </w:t>
      </w:r>
      <w:r>
        <w:rPr>
          <w:snapToGrid w:val="0"/>
          <w:spacing w:val="-4"/>
        </w:rPr>
        <w:lastRenderedPageBreak/>
        <w:t>the inspector with the facilities and assistance that the inspector reasonably requires for carrying out the inspection.</w:t>
      </w:r>
    </w:p>
    <w:p>
      <w:pPr>
        <w:pStyle w:val="Penstart"/>
        <w:rPr>
          <w:snapToGrid w:val="0"/>
        </w:rPr>
      </w:pPr>
      <w:r>
        <w:rPr>
          <w:snapToGrid w:val="0"/>
        </w:rPr>
        <w:tab/>
        <w:t>Maximum penalty: $5 000.</w:t>
      </w:r>
    </w:p>
    <w:p>
      <w:pPr>
        <w:pStyle w:val="Heading4"/>
        <w:rPr>
          <w:b w:val="0"/>
        </w:rPr>
      </w:pPr>
      <w:bookmarkStart w:id="557" w:name="_Toc166675256"/>
      <w:bookmarkStart w:id="558" w:name="_Toc166675771"/>
      <w:bookmarkStart w:id="559" w:name="_Toc166676076"/>
      <w:r>
        <w:rPr>
          <w:b w:val="0"/>
          <w:snapToGrid w:val="0"/>
        </w:rPr>
        <w:t>Division 2 — Directions</w:t>
      </w:r>
      <w:bookmarkEnd w:id="557"/>
      <w:bookmarkEnd w:id="558"/>
      <w:bookmarkEnd w:id="559"/>
    </w:p>
    <w:p>
      <w:pPr>
        <w:pStyle w:val="Heading5"/>
        <w:rPr>
          <w:snapToGrid w:val="0"/>
        </w:rPr>
      </w:pPr>
      <w:bookmarkStart w:id="560" w:name="_Toc166676077"/>
      <w:r>
        <w:rPr>
          <w:rStyle w:val="CharSectno"/>
        </w:rPr>
        <w:t>385</w:t>
      </w:r>
      <w:r>
        <w:rPr>
          <w:snapToGrid w:val="0"/>
        </w:rPr>
        <w:t>.</w:t>
      </w:r>
      <w:r>
        <w:rPr>
          <w:snapToGrid w:val="0"/>
        </w:rPr>
        <w:tab/>
        <w:t>Directions by Minister must be obeyed</w:t>
      </w:r>
      <w:bookmarkEnd w:id="560"/>
      <w:r>
        <w:rPr>
          <w:snapToGrid w:val="0"/>
        </w:rPr>
        <w:t xml:space="preserve"> </w:t>
      </w:r>
    </w:p>
    <w:p>
      <w:pPr>
        <w:pStyle w:val="Subsection"/>
        <w:rPr>
          <w:snapToGrid w:val="0"/>
        </w:rPr>
      </w:pPr>
      <w:r>
        <w:rPr>
          <w:snapToGrid w:val="0"/>
        </w:rPr>
        <w:tab/>
        <w:t>(1)</w:t>
      </w:r>
      <w:r>
        <w:rPr>
          <w:snapToGrid w:val="0"/>
        </w:rPr>
        <w:tab/>
        <w:t>A person must comply with a direction under section 387 or 392.</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must comply with a supplementary direction given under section 391(2).</w:t>
      </w:r>
    </w:p>
    <w:p>
      <w:pPr>
        <w:pStyle w:val="Penstart"/>
        <w:rPr>
          <w:snapToGrid w:val="0"/>
        </w:rPr>
      </w:pPr>
      <w:r>
        <w:rPr>
          <w:snapToGrid w:val="0"/>
        </w:rPr>
        <w:tab/>
        <w:t>Maximum penalty: $5 000.</w:t>
      </w:r>
    </w:p>
    <w:p>
      <w:pPr>
        <w:pStyle w:val="Heading5"/>
        <w:rPr>
          <w:snapToGrid w:val="0"/>
        </w:rPr>
      </w:pPr>
      <w:bookmarkStart w:id="561" w:name="_Toc166676078"/>
      <w:r>
        <w:rPr>
          <w:rStyle w:val="CharSectno"/>
        </w:rPr>
        <w:t>386</w:t>
      </w:r>
      <w:r>
        <w:rPr>
          <w:snapToGrid w:val="0"/>
        </w:rPr>
        <w:t>.</w:t>
      </w:r>
      <w:r>
        <w:rPr>
          <w:snapToGrid w:val="0"/>
        </w:rPr>
        <w:tab/>
        <w:t>Scope of directions</w:t>
      </w:r>
      <w:bookmarkEnd w:id="561"/>
      <w:r>
        <w:rPr>
          <w:snapToGrid w:val="0"/>
        </w:rPr>
        <w:t xml:space="preserve"> </w:t>
      </w:r>
    </w:p>
    <w:p>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Subsection"/>
        <w:rPr>
          <w:snapToGrid w:val="0"/>
        </w:rPr>
      </w:pPr>
      <w:r>
        <w:rPr>
          <w:snapToGrid w:val="0"/>
        </w:rPr>
        <w:tab/>
        <w:t>(2)</w:t>
      </w:r>
      <w:r>
        <w:rPr>
          <w:snapToGrid w:val="0"/>
        </w:rPr>
        <w:tab/>
        <w:t>Without limiting subsection (1), directions may be given in relation to — </w:t>
      </w:r>
    </w:p>
    <w:p>
      <w:pPr>
        <w:pStyle w:val="Indenta"/>
        <w:rPr>
          <w:snapToGrid w:val="0"/>
        </w:rPr>
      </w:pPr>
      <w:r>
        <w:rPr>
          <w:snapToGrid w:val="0"/>
        </w:rPr>
        <w:tab/>
        <w:t>(a)</w:t>
      </w:r>
      <w:r>
        <w:rPr>
          <w:snapToGrid w:val="0"/>
        </w:rPr>
        <w:tab/>
        <w:t>the control of offshore exploration or mining activities; and</w:t>
      </w:r>
    </w:p>
    <w:p>
      <w:pPr>
        <w:pStyle w:val="Indenta"/>
        <w:rPr>
          <w:snapToGrid w:val="0"/>
        </w:rPr>
      </w:pPr>
      <w:r>
        <w:rPr>
          <w:snapToGrid w:val="0"/>
        </w:rPr>
        <w:tab/>
        <w:t>(b)</w:t>
      </w:r>
      <w:r>
        <w:rPr>
          <w:snapToGrid w:val="0"/>
        </w:rPr>
        <w:tab/>
        <w:t>the conservation and protection of the mineral resources in coastal waters; and</w:t>
      </w:r>
    </w:p>
    <w:p>
      <w:pPr>
        <w:pStyle w:val="Indenta"/>
        <w:rPr>
          <w:snapToGrid w:val="0"/>
        </w:rPr>
      </w:pPr>
      <w:r>
        <w:rPr>
          <w:snapToGrid w:val="0"/>
        </w:rPr>
        <w:tab/>
        <w:t>(c)</w:t>
      </w:r>
      <w:r>
        <w:rPr>
          <w:snapToGrid w:val="0"/>
        </w:rPr>
        <w:tab/>
        <w:t>the remedying of — </w:t>
      </w:r>
    </w:p>
    <w:p>
      <w:pPr>
        <w:pStyle w:val="Indenti"/>
        <w:rPr>
          <w:snapToGrid w:val="0"/>
        </w:rPr>
      </w:pPr>
      <w:r>
        <w:rPr>
          <w:snapToGrid w:val="0"/>
        </w:rPr>
        <w:tab/>
        <w:t>(i)</w:t>
      </w:r>
      <w:r>
        <w:rPr>
          <w:snapToGrid w:val="0"/>
        </w:rPr>
        <w:tab/>
        <w:t>damage caused to the seabed or subsoil in coastal waters by offshore exploration or mining activities; or</w:t>
      </w:r>
    </w:p>
    <w:p>
      <w:pPr>
        <w:pStyle w:val="Indenti"/>
        <w:rPr>
          <w:snapToGrid w:val="0"/>
        </w:rPr>
      </w:pPr>
      <w:r>
        <w:rPr>
          <w:snapToGrid w:val="0"/>
        </w:rPr>
        <w:tab/>
        <w:t>(ii)</w:t>
      </w:r>
      <w:r>
        <w:rPr>
          <w:snapToGrid w:val="0"/>
        </w:rPr>
        <w:tab/>
        <w:t xml:space="preserve">damage caused by the escape of substances as a result of offshore exploration or mining activities;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the protection of the environment; and</w:t>
      </w:r>
    </w:p>
    <w:p>
      <w:pPr>
        <w:pStyle w:val="Indenta"/>
        <w:rPr>
          <w:snapToGrid w:val="0"/>
        </w:rPr>
      </w:pPr>
      <w:r>
        <w:rPr>
          <w:snapToGrid w:val="0"/>
        </w:rPr>
        <w:tab/>
        <w:t>(e)</w:t>
      </w:r>
      <w:r>
        <w:rPr>
          <w:snapToGrid w:val="0"/>
        </w:rPr>
        <w:tab/>
        <w:t>the keeping of records and samples; and</w:t>
      </w:r>
    </w:p>
    <w:p>
      <w:pPr>
        <w:pStyle w:val="Indenta"/>
        <w:rPr>
          <w:snapToGrid w:val="0"/>
        </w:rPr>
      </w:pPr>
      <w:r>
        <w:rPr>
          <w:snapToGrid w:val="0"/>
        </w:rPr>
        <w:tab/>
        <w:t>(f)</w:t>
      </w:r>
      <w:r>
        <w:rPr>
          <w:snapToGrid w:val="0"/>
        </w:rPr>
        <w:tab/>
        <w:t>the giving of records and samples to the Minister for inspection; and</w:t>
      </w:r>
    </w:p>
    <w:p>
      <w:pPr>
        <w:pStyle w:val="Indenta"/>
        <w:rPr>
          <w:snapToGrid w:val="0"/>
        </w:rPr>
      </w:pPr>
      <w:r>
        <w:rPr>
          <w:snapToGrid w:val="0"/>
        </w:rPr>
        <w:tab/>
        <w:t>(g)</w:t>
      </w:r>
      <w:r>
        <w:rPr>
          <w:snapToGrid w:val="0"/>
        </w:rPr>
        <w:tab/>
        <w:t>the making of returns.</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(3)</w:t>
      </w:r>
      <w:r>
        <w:rPr>
          <w:snapToGrid w:val="0"/>
        </w:rPr>
        <w:tab/>
        <w:t>For the purposes of subsection (2), the control of offshore exploration or mining activities extends to the control of — </w:t>
      </w:r>
    </w:p>
    <w:p>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Indenta"/>
        <w:rPr>
          <w:snapToGrid w:val="0"/>
        </w:rPr>
      </w:pPr>
      <w:r>
        <w:rPr>
          <w:snapToGrid w:val="0"/>
        </w:rPr>
        <w:tab/>
        <w:t>(b)</w:t>
      </w:r>
      <w:r>
        <w:rPr>
          <w:snapToGrid w:val="0"/>
        </w:rPr>
        <w:tab/>
        <w:t>the flow or discharge of fluids arising from exploration or mining activities in coastal waters; and</w:t>
      </w:r>
    </w:p>
    <w:p>
      <w:pPr>
        <w:pStyle w:val="Indenta"/>
        <w:rPr>
          <w:snapToGrid w:val="0"/>
        </w:rPr>
      </w:pPr>
      <w:r>
        <w:rPr>
          <w:snapToGrid w:val="0"/>
        </w:rPr>
        <w:tab/>
        <w:t>(c)</w:t>
      </w:r>
      <w:r>
        <w:rPr>
          <w:snapToGrid w:val="0"/>
        </w:rPr>
        <w:tab/>
        <w:t>the safety, health and welfare of persons working in offshore exploration or mining activities; and</w:t>
      </w:r>
    </w:p>
    <w:p>
      <w:pPr>
        <w:pStyle w:val="Indenta"/>
        <w:rPr>
          <w:snapToGrid w:val="0"/>
        </w:rPr>
      </w:pPr>
      <w:r>
        <w:rPr>
          <w:snapToGrid w:val="0"/>
        </w:rPr>
        <w:tab/>
        <w:t>(d)</w:t>
      </w:r>
      <w:r>
        <w:rPr>
          <w:snapToGrid w:val="0"/>
        </w:rPr>
        <w:tab/>
        <w:t>the maintenance of structures, equipment and property used in or for use in offshore exploration or mining activities.</w:t>
      </w:r>
    </w:p>
    <w:p>
      <w:pPr>
        <w:pStyle w:val="PermNoteHeading"/>
      </w:pPr>
      <w:r>
        <w:tab/>
        <w:t>Note:</w:t>
      </w:r>
    </w:p>
    <w:p>
      <w:pPr>
        <w:pStyle w:val="PermNoteText"/>
      </w:pPr>
      <w:r>
        <w:tab/>
      </w:r>
      <w:r>
        <w:tab/>
        <w:t>For “offshore exploration or mining activities” see section 5.</w:t>
      </w:r>
    </w:p>
    <w:p>
      <w:pPr>
        <w:pStyle w:val="Heading5"/>
        <w:rPr>
          <w:snapToGrid w:val="0"/>
        </w:rPr>
      </w:pPr>
      <w:bookmarkStart w:id="562" w:name="_Toc166676079"/>
      <w:r>
        <w:rPr>
          <w:rStyle w:val="CharSectno"/>
        </w:rPr>
        <w:t>387</w:t>
      </w:r>
      <w:r>
        <w:rPr>
          <w:snapToGrid w:val="0"/>
        </w:rPr>
        <w:t>.</w:t>
      </w:r>
      <w:r>
        <w:rPr>
          <w:snapToGrid w:val="0"/>
        </w:rPr>
        <w:tab/>
        <w:t>Minister may give directions</w:t>
      </w:r>
      <w:bookmarkEnd w:id="562"/>
      <w:r>
        <w:rPr>
          <w:snapToGrid w:val="0"/>
        </w:rPr>
        <w:t xml:space="preserve"> </w:t>
      </w:r>
    </w:p>
    <w:p>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Subsection"/>
        <w:rPr>
          <w:snapToGrid w:val="0"/>
        </w:rPr>
      </w:pPr>
      <w:r>
        <w:rPr>
          <w:snapToGrid w:val="0"/>
        </w:rPr>
        <w:tab/>
        <w:t>(2)</w:t>
      </w:r>
      <w:r>
        <w:rPr>
          <w:snapToGrid w:val="0"/>
        </w:rPr>
        <w:tab/>
        <w:t>The direction must be in writing and is given by serving it on the holder.</w:t>
      </w:r>
    </w:p>
    <w:p>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Subsection"/>
        <w:rPr>
          <w:snapToGrid w:val="0"/>
        </w:rPr>
      </w:pPr>
      <w:r>
        <w:rPr>
          <w:snapToGrid w:val="0"/>
        </w:rPr>
        <w:lastRenderedPageBreak/>
        <w:tab/>
        <w:t>(4)</w:t>
      </w:r>
      <w:r>
        <w:rPr>
          <w:snapToGrid w:val="0"/>
        </w:rPr>
        <w:tab/>
        <w:t>A failure to comply with subsection (3) does not affect the validity of the direction concerned.</w:t>
      </w:r>
    </w:p>
    <w:p>
      <w:pPr>
        <w:pStyle w:val="Heading5"/>
        <w:rPr>
          <w:snapToGrid w:val="0"/>
        </w:rPr>
      </w:pPr>
      <w:bookmarkStart w:id="563" w:name="_Toc166676080"/>
      <w:r>
        <w:rPr>
          <w:rStyle w:val="CharSectno"/>
        </w:rPr>
        <w:t>388</w:t>
      </w:r>
      <w:r>
        <w:rPr>
          <w:snapToGrid w:val="0"/>
        </w:rPr>
        <w:t>.</w:t>
      </w:r>
      <w:r>
        <w:rPr>
          <w:snapToGrid w:val="0"/>
        </w:rPr>
        <w:tab/>
        <w:t>Direction may incorporate material in another document</w:t>
      </w:r>
      <w:bookmarkEnd w:id="563"/>
      <w:r>
        <w:rPr>
          <w:snapToGrid w:val="0"/>
        </w:rPr>
        <w:t xml:space="preserve"> </w:t>
      </w:r>
    </w:p>
    <w:p>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Subsection"/>
        <w:rPr>
          <w:snapToGrid w:val="0"/>
        </w:rPr>
      </w:pPr>
      <w:r>
        <w:rPr>
          <w:snapToGrid w:val="0"/>
        </w:rPr>
        <w:tab/>
        <w:t>(2)</w:t>
      </w:r>
      <w:r>
        <w:rPr>
          <w:snapToGrid w:val="0"/>
        </w:rPr>
        <w:tab/>
        <w:t>The application, adoption or incorporation of the other document may be made with or without modification.</w:t>
      </w:r>
    </w:p>
    <w:p>
      <w:pPr>
        <w:pStyle w:val="Subsection"/>
        <w:rPr>
          <w:snapToGrid w:val="0"/>
        </w:rPr>
      </w:pPr>
      <w:r>
        <w:rPr>
          <w:snapToGrid w:val="0"/>
        </w:rPr>
        <w:tab/>
        <w:t>(3)</w:t>
      </w:r>
      <w:r>
        <w:rPr>
          <w:snapToGrid w:val="0"/>
        </w:rPr>
        <w:tab/>
        <w:t>The other document may be one issued outside Australia.</w:t>
      </w:r>
    </w:p>
    <w:p>
      <w:pPr>
        <w:pStyle w:val="Subsection"/>
        <w:rPr>
          <w:snapToGrid w:val="0"/>
        </w:rPr>
      </w:pPr>
      <w:r>
        <w:rPr>
          <w:snapToGrid w:val="0"/>
        </w:rPr>
        <w:tab/>
        <w:t>(4)</w:t>
      </w:r>
      <w:r>
        <w:rPr>
          <w:snapToGrid w:val="0"/>
        </w:rPr>
        <w:tab/>
        <w:t>The direction may apply, adopt or modify the other document — </w:t>
      </w:r>
    </w:p>
    <w:p>
      <w:pPr>
        <w:pStyle w:val="Indenta"/>
        <w:rPr>
          <w:snapToGrid w:val="0"/>
        </w:rPr>
      </w:pPr>
      <w:r>
        <w:rPr>
          <w:snapToGrid w:val="0"/>
        </w:rPr>
        <w:tab/>
        <w:t>(a)</w:t>
      </w:r>
      <w:r>
        <w:rPr>
          <w:snapToGrid w:val="0"/>
        </w:rPr>
        <w:tab/>
        <w:t>as in force at the time when the direction is given; or</w:t>
      </w:r>
    </w:p>
    <w:p>
      <w:pPr>
        <w:pStyle w:val="Indenta"/>
        <w:rPr>
          <w:snapToGrid w:val="0"/>
        </w:rPr>
      </w:pPr>
      <w:r>
        <w:rPr>
          <w:snapToGrid w:val="0"/>
        </w:rPr>
        <w:tab/>
        <w:t>(b)</w:t>
      </w:r>
      <w:r>
        <w:rPr>
          <w:snapToGrid w:val="0"/>
        </w:rPr>
        <w:tab/>
        <w:t>as in force from time to time.</w:t>
      </w:r>
    </w:p>
    <w:p>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Heading5"/>
        <w:rPr>
          <w:snapToGrid w:val="0"/>
        </w:rPr>
      </w:pPr>
      <w:bookmarkStart w:id="564" w:name="_Toc166676081"/>
      <w:r>
        <w:rPr>
          <w:rStyle w:val="CharSectno"/>
        </w:rPr>
        <w:t>389</w:t>
      </w:r>
      <w:r>
        <w:rPr>
          <w:snapToGrid w:val="0"/>
        </w:rPr>
        <w:t>.</w:t>
      </w:r>
      <w:r>
        <w:rPr>
          <w:snapToGrid w:val="0"/>
        </w:rPr>
        <w:tab/>
        <w:t>Direction may impose absolute prohibition</w:t>
      </w:r>
      <w:bookmarkEnd w:id="564"/>
      <w:r>
        <w:rPr>
          <w:snapToGrid w:val="0"/>
        </w:rPr>
        <w:t xml:space="preserve"> </w:t>
      </w:r>
    </w:p>
    <w:p>
      <w:pPr>
        <w:pStyle w:val="Subsection"/>
        <w:rPr>
          <w:snapToGrid w:val="0"/>
        </w:rPr>
      </w:pPr>
      <w:r>
        <w:rPr>
          <w:snapToGrid w:val="0"/>
        </w:rPr>
        <w:tab/>
      </w:r>
      <w:r>
        <w:rPr>
          <w:snapToGrid w:val="0"/>
        </w:rPr>
        <w:tab/>
        <w:t>Without limiting section 387 a direction under that section may — </w:t>
      </w:r>
    </w:p>
    <w:p>
      <w:pPr>
        <w:pStyle w:val="Indenta"/>
        <w:rPr>
          <w:snapToGrid w:val="0"/>
        </w:rPr>
      </w:pPr>
      <w:r>
        <w:rPr>
          <w:snapToGrid w:val="0"/>
        </w:rPr>
        <w:tab/>
        <w:t>(a)</w:t>
      </w:r>
      <w:r>
        <w:rPr>
          <w:snapToGrid w:val="0"/>
        </w:rPr>
        <w:tab/>
        <w:t>prohibit absolutely the doing of a thing; or</w:t>
      </w:r>
    </w:p>
    <w:p>
      <w:pPr>
        <w:pStyle w:val="Indenta"/>
        <w:rPr>
          <w:snapToGrid w:val="0"/>
        </w:rPr>
      </w:pPr>
      <w:r>
        <w:rPr>
          <w:snapToGrid w:val="0"/>
        </w:rPr>
        <w:tab/>
        <w:t>(b)</w:t>
      </w:r>
      <w:r>
        <w:rPr>
          <w:snapToGrid w:val="0"/>
        </w:rPr>
        <w:tab/>
        <w:t>prohibit the doing of a thing unless a person’s consent or approval is obtained.</w:t>
      </w:r>
    </w:p>
    <w:p>
      <w:pPr>
        <w:pStyle w:val="Heading5"/>
        <w:rPr>
          <w:snapToGrid w:val="0"/>
        </w:rPr>
      </w:pPr>
      <w:bookmarkStart w:id="565" w:name="_Toc166676082"/>
      <w:r>
        <w:rPr>
          <w:rStyle w:val="CharSectno"/>
        </w:rPr>
        <w:t>390</w:t>
      </w:r>
      <w:r>
        <w:rPr>
          <w:snapToGrid w:val="0"/>
        </w:rPr>
        <w:t>.</w:t>
      </w:r>
      <w:r>
        <w:rPr>
          <w:snapToGrid w:val="0"/>
        </w:rPr>
        <w:tab/>
        <w:t>Direction may extend to associates</w:t>
      </w:r>
      <w:bookmarkEnd w:id="565"/>
      <w:r>
        <w:rPr>
          <w:snapToGrid w:val="0"/>
        </w:rPr>
        <w:t xml:space="preserve"> </w:t>
      </w:r>
    </w:p>
    <w:p>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Subsection"/>
        <w:rPr>
          <w:snapToGrid w:val="0"/>
        </w:rPr>
      </w:pPr>
      <w:r>
        <w:rPr>
          <w:snapToGrid w:val="0"/>
        </w:rPr>
        <w:tab/>
        <w:t>(2)</w:t>
      </w:r>
      <w:r>
        <w:rPr>
          <w:snapToGrid w:val="0"/>
        </w:rPr>
        <w:tab/>
        <w:t>An associate may be specified by name or by class.</w:t>
      </w:r>
    </w:p>
    <w:p>
      <w:pPr>
        <w:pStyle w:val="Subsection"/>
        <w:rPr>
          <w:snapToGrid w:val="0"/>
        </w:rPr>
      </w:pPr>
      <w:r>
        <w:rPr>
          <w:snapToGrid w:val="0"/>
        </w:rPr>
        <w:lastRenderedPageBreak/>
        <w:tab/>
        <w:t>(3)</w:t>
      </w:r>
      <w:r>
        <w:rPr>
          <w:snapToGrid w:val="0"/>
        </w:rPr>
        <w:tab/>
        <w:t>The direction may provide that only particular obligations specified in the direction extend to a particular associate.</w:t>
      </w:r>
    </w:p>
    <w:p>
      <w:pPr>
        <w:pStyle w:val="Heading5"/>
        <w:rPr>
          <w:snapToGrid w:val="0"/>
        </w:rPr>
      </w:pPr>
      <w:bookmarkStart w:id="566" w:name="_Toc166676083"/>
      <w:r>
        <w:rPr>
          <w:rStyle w:val="CharSectno"/>
        </w:rPr>
        <w:t>391</w:t>
      </w:r>
      <w:r>
        <w:rPr>
          <w:snapToGrid w:val="0"/>
        </w:rPr>
        <w:t>.</w:t>
      </w:r>
      <w:r>
        <w:rPr>
          <w:snapToGrid w:val="0"/>
        </w:rPr>
        <w:tab/>
        <w:t>Holder to give notice of direction to associates</w:t>
      </w:r>
      <w:bookmarkEnd w:id="566"/>
      <w:r>
        <w:rPr>
          <w:snapToGrid w:val="0"/>
        </w:rPr>
        <w:t xml:space="preserve"> </w:t>
      </w:r>
    </w:p>
    <w:p>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pPr>
        <w:pStyle w:val="Indenta"/>
        <w:rPr>
          <w:snapToGrid w:val="0"/>
        </w:rPr>
      </w:pPr>
      <w:r>
        <w:rPr>
          <w:snapToGrid w:val="0"/>
        </w:rPr>
        <w:tab/>
        <w:t>(a)</w:t>
      </w:r>
      <w:r>
        <w:rPr>
          <w:snapToGrid w:val="0"/>
        </w:rPr>
        <w:tab/>
        <w:t>give a copy of the direction to the associate; or</w:t>
      </w:r>
    </w:p>
    <w:p>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Penstart"/>
        <w:rPr>
          <w:snapToGrid w:val="0"/>
        </w:rPr>
      </w:pPr>
      <w:r>
        <w:rPr>
          <w:snapToGrid w:val="0"/>
        </w:rPr>
        <w:tab/>
        <w:t>Maximum penalty: $5 000.</w:t>
      </w:r>
    </w:p>
    <w:p>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Subsection"/>
        <w:rPr>
          <w:snapToGrid w:val="0"/>
        </w:rPr>
      </w:pPr>
      <w:r>
        <w:rPr>
          <w:snapToGrid w:val="0"/>
        </w:rPr>
        <w:tab/>
        <w:t>(3)</w:t>
      </w:r>
      <w:r>
        <w:rPr>
          <w:snapToGrid w:val="0"/>
        </w:rPr>
        <w:tab/>
        <w:t>A supplementary direction is to have effect as if it were part of the original direction.</w:t>
      </w:r>
    </w:p>
    <w:p>
      <w:pPr>
        <w:pStyle w:val="Heading5"/>
        <w:rPr>
          <w:snapToGrid w:val="0"/>
        </w:rPr>
      </w:pPr>
      <w:bookmarkStart w:id="567" w:name="_Toc166676084"/>
      <w:r>
        <w:rPr>
          <w:rStyle w:val="CharSectno"/>
        </w:rPr>
        <w:t>392</w:t>
      </w:r>
      <w:r>
        <w:rPr>
          <w:snapToGrid w:val="0"/>
        </w:rPr>
        <w:t>.</w:t>
      </w:r>
      <w:r>
        <w:rPr>
          <w:snapToGrid w:val="0"/>
        </w:rPr>
        <w:tab/>
        <w:t>Power to give directions after licence etc. ends</w:t>
      </w:r>
      <w:bookmarkEnd w:id="567"/>
      <w:r>
        <w:rPr>
          <w:snapToGrid w:val="0"/>
        </w:rPr>
        <w:t xml:space="preserve"> </w:t>
      </w:r>
    </w:p>
    <w:p>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Subsection"/>
        <w:rPr>
          <w:snapToGrid w:val="0"/>
        </w:rPr>
      </w:pPr>
      <w:r>
        <w:rPr>
          <w:snapToGrid w:val="0"/>
        </w:rPr>
        <w:tab/>
        <w:t>(2)</w:t>
      </w:r>
      <w:r>
        <w:rPr>
          <w:snapToGrid w:val="0"/>
        </w:rPr>
        <w:tab/>
        <w:t>A direction may be given only for the following purposes — </w:t>
      </w:r>
    </w:p>
    <w:p>
      <w:pPr>
        <w:pStyle w:val="Indenta"/>
        <w:rPr>
          <w:snapToGrid w:val="0"/>
        </w:rPr>
      </w:pPr>
      <w:r>
        <w:rPr>
          <w:snapToGrid w:val="0"/>
        </w:rPr>
        <w:tab/>
        <w:t>(a)</w:t>
      </w:r>
      <w:r>
        <w:rPr>
          <w:snapToGrid w:val="0"/>
        </w:rPr>
        <w:tab/>
        <w:t>to ensure that the obligation is complied with;</w:t>
      </w:r>
    </w:p>
    <w:p>
      <w:pPr>
        <w:pStyle w:val="Indenta"/>
        <w:rPr>
          <w:snapToGrid w:val="0"/>
        </w:rPr>
      </w:pPr>
      <w:r>
        <w:rPr>
          <w:snapToGrid w:val="0"/>
        </w:rPr>
        <w:tab/>
        <w:t>(b)</w:t>
      </w:r>
      <w:r>
        <w:rPr>
          <w:snapToGrid w:val="0"/>
        </w:rPr>
        <w:tab/>
        <w:t>a purpose that is incidental to the purpose in paragraph (a).</w:t>
      </w:r>
    </w:p>
    <w:p>
      <w:pPr>
        <w:pStyle w:val="PermNoteHeading"/>
      </w:pPr>
      <w:r>
        <w:tab/>
        <w:t>Note:</w:t>
      </w:r>
    </w:p>
    <w:p>
      <w:pPr>
        <w:pStyle w:val="PermNoteText"/>
      </w:pPr>
      <w:r>
        <w:tab/>
      </w:r>
      <w:r>
        <w:tab/>
        <w:t>Sections 131, 191, 266 and 314 provide for undischarged obligations to continue to bind a former licence holder or associate after the licence ends.</w:t>
      </w:r>
    </w:p>
    <w:p>
      <w:pPr>
        <w:pStyle w:val="Subsection"/>
        <w:rPr>
          <w:snapToGrid w:val="0"/>
        </w:rPr>
      </w:pPr>
      <w:r>
        <w:rPr>
          <w:snapToGrid w:val="0"/>
        </w:rPr>
        <w:tab/>
        <w:t>(3)</w:t>
      </w:r>
      <w:r>
        <w:rPr>
          <w:snapToGrid w:val="0"/>
        </w:rPr>
        <w:tab/>
        <w:t>A direction must be in writing and is given by serving it on the person bound by the obligation.</w:t>
      </w:r>
    </w:p>
    <w:p>
      <w:pPr>
        <w:pStyle w:val="Heading5"/>
        <w:rPr>
          <w:snapToGrid w:val="0"/>
        </w:rPr>
      </w:pPr>
      <w:bookmarkStart w:id="568" w:name="_Toc166676085"/>
      <w:r>
        <w:rPr>
          <w:rStyle w:val="CharSectno"/>
        </w:rPr>
        <w:lastRenderedPageBreak/>
        <w:t>393</w:t>
      </w:r>
      <w:r>
        <w:rPr>
          <w:snapToGrid w:val="0"/>
        </w:rPr>
        <w:t>.</w:t>
      </w:r>
      <w:r>
        <w:rPr>
          <w:snapToGrid w:val="0"/>
        </w:rPr>
        <w:tab/>
        <w:t>Effect of directions on other instruments</w:t>
      </w:r>
      <w:bookmarkEnd w:id="568"/>
      <w:r>
        <w:rPr>
          <w:snapToGrid w:val="0"/>
        </w:rPr>
        <w:t xml:space="preserve"> </w:t>
      </w:r>
    </w:p>
    <w:p>
      <w:pPr>
        <w:pStyle w:val="Subsection"/>
        <w:rPr>
          <w:snapToGrid w:val="0"/>
        </w:rPr>
      </w:pPr>
      <w:r>
        <w:rPr>
          <w:snapToGrid w:val="0"/>
        </w:rPr>
        <w:tab/>
        <w:t>(1)</w:t>
      </w:r>
      <w:r>
        <w:rPr>
          <w:snapToGrid w:val="0"/>
        </w:rPr>
        <w:tab/>
        <w:t>A later direction under section 387 or 392 overrides an earlier direction if they are inconsistent.</w:t>
      </w:r>
    </w:p>
    <w:p>
      <w:pPr>
        <w:pStyle w:val="Subsection"/>
        <w:rPr>
          <w:snapToGrid w:val="0"/>
        </w:rPr>
      </w:pPr>
      <w:r>
        <w:rPr>
          <w:snapToGrid w:val="0"/>
        </w:rPr>
        <w:tab/>
        <w:t>(2)</w:t>
      </w:r>
      <w:r>
        <w:rPr>
          <w:snapToGrid w:val="0"/>
        </w:rPr>
        <w:tab/>
        <w:t>A direction has effect despite anything in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licence condition that relates to safety or environmental matters.</w:t>
      </w:r>
    </w:p>
    <w:p>
      <w:pPr>
        <w:pStyle w:val="Heading5"/>
        <w:rPr>
          <w:snapToGrid w:val="0"/>
        </w:rPr>
      </w:pPr>
      <w:bookmarkStart w:id="569" w:name="_Toc166676086"/>
      <w:r>
        <w:rPr>
          <w:rStyle w:val="CharSectno"/>
        </w:rPr>
        <w:t>394</w:t>
      </w:r>
      <w:r>
        <w:rPr>
          <w:snapToGrid w:val="0"/>
        </w:rPr>
        <w:t>.</w:t>
      </w:r>
      <w:r>
        <w:rPr>
          <w:snapToGrid w:val="0"/>
        </w:rPr>
        <w:tab/>
        <w:t>Minister may specify time for compliance</w:t>
      </w:r>
      <w:bookmarkEnd w:id="569"/>
      <w:r>
        <w:rPr>
          <w:snapToGrid w:val="0"/>
        </w:rPr>
        <w:t xml:space="preserve"> </w:t>
      </w:r>
    </w:p>
    <w:p>
      <w:pPr>
        <w:pStyle w:val="Subsection"/>
        <w:rPr>
          <w:snapToGrid w:val="0"/>
        </w:rPr>
      </w:pPr>
      <w:r>
        <w:rPr>
          <w:snapToGrid w:val="0"/>
        </w:rPr>
        <w:tab/>
        <w:t>(1)</w:t>
      </w:r>
      <w:r>
        <w:rPr>
          <w:snapToGrid w:val="0"/>
        </w:rPr>
        <w:tab/>
        <w:t>If the Minister gives a direction under section 387 or 392 to a person, the Minister may — </w:t>
      </w:r>
    </w:p>
    <w:p>
      <w:pPr>
        <w:pStyle w:val="Indenta"/>
        <w:rPr>
          <w:snapToGrid w:val="0"/>
        </w:rPr>
      </w:pPr>
      <w:r>
        <w:rPr>
          <w:snapToGrid w:val="0"/>
        </w:rPr>
        <w:tab/>
        <w:t>(a)</w:t>
      </w:r>
      <w:r>
        <w:rPr>
          <w:snapToGrid w:val="0"/>
        </w:rPr>
        <w:tab/>
        <w:t>specify in the direction a time for compliance with the direction; or</w:t>
      </w:r>
    </w:p>
    <w:p>
      <w:pPr>
        <w:pStyle w:val="Indenta"/>
        <w:rPr>
          <w:snapToGrid w:val="0"/>
        </w:rPr>
      </w:pPr>
      <w:r>
        <w:rPr>
          <w:snapToGrid w:val="0"/>
        </w:rPr>
        <w:tab/>
        <w:t>(b)</w:t>
      </w:r>
      <w:r>
        <w:rPr>
          <w:snapToGrid w:val="0"/>
        </w:rPr>
        <w:tab/>
        <w:t>give the person a supplementary direction specifying a time for compliance with the direction.</w:t>
      </w:r>
    </w:p>
    <w:p>
      <w:pPr>
        <w:pStyle w:val="Subsection"/>
        <w:rPr>
          <w:snapToGrid w:val="0"/>
        </w:rPr>
      </w:pPr>
      <w:r>
        <w:rPr>
          <w:snapToGrid w:val="0"/>
        </w:rPr>
        <w:tab/>
        <w:t>(2)</w:t>
      </w:r>
      <w:r>
        <w:rPr>
          <w:snapToGrid w:val="0"/>
        </w:rPr>
        <w:tab/>
        <w:t>A supplementary direction is to have effect as if it were part of the original direction.</w:t>
      </w:r>
    </w:p>
    <w:p>
      <w:pPr>
        <w:pStyle w:val="Heading5"/>
        <w:rPr>
          <w:snapToGrid w:val="0"/>
        </w:rPr>
      </w:pPr>
      <w:bookmarkStart w:id="570" w:name="_Toc166676087"/>
      <w:r>
        <w:rPr>
          <w:rStyle w:val="CharSectno"/>
        </w:rPr>
        <w:t>395</w:t>
      </w:r>
      <w:r>
        <w:rPr>
          <w:snapToGrid w:val="0"/>
        </w:rPr>
        <w:t>.</w:t>
      </w:r>
      <w:r>
        <w:rPr>
          <w:snapToGrid w:val="0"/>
        </w:rPr>
        <w:tab/>
        <w:t>Minister may take action if holder fails to comply</w:t>
      </w:r>
      <w:bookmarkEnd w:id="570"/>
      <w:r>
        <w:rPr>
          <w:snapToGrid w:val="0"/>
        </w:rPr>
        <w:t xml:space="preserve"> </w:t>
      </w:r>
    </w:p>
    <w:p>
      <w:pPr>
        <w:pStyle w:val="Subsection"/>
        <w:rPr>
          <w:snapToGrid w:val="0"/>
        </w:rPr>
      </w:pPr>
      <w:r>
        <w:rPr>
          <w:snapToGrid w:val="0"/>
        </w:rPr>
        <w:tab/>
        <w:t>(1)</w:t>
      </w:r>
      <w:r>
        <w:rPr>
          <w:snapToGrid w:val="0"/>
        </w:rPr>
        <w:tab/>
        <w:t>The Minister may do all or any of the things required by a direction under section 387 or 392 if — </w:t>
      </w:r>
    </w:p>
    <w:p>
      <w:pPr>
        <w:pStyle w:val="Indenta"/>
        <w:rPr>
          <w:snapToGrid w:val="0"/>
        </w:rPr>
      </w:pPr>
      <w:r>
        <w:rPr>
          <w:snapToGrid w:val="0"/>
        </w:rPr>
        <w:tab/>
        <w:t>(a)</w:t>
      </w:r>
      <w:r>
        <w:rPr>
          <w:snapToGrid w:val="0"/>
        </w:rPr>
        <w:tab/>
        <w:t>the time for compliance specified under section 394 has ended; and</w:t>
      </w:r>
    </w:p>
    <w:p>
      <w:pPr>
        <w:pStyle w:val="Indenta"/>
        <w:rPr>
          <w:snapToGrid w:val="0"/>
        </w:rPr>
      </w:pPr>
      <w:r>
        <w:rPr>
          <w:snapToGrid w:val="0"/>
        </w:rPr>
        <w:tab/>
        <w:t>(b)</w:t>
      </w:r>
      <w:r>
        <w:rPr>
          <w:snapToGrid w:val="0"/>
        </w:rPr>
        <w:tab/>
        <w:t>the person to whom the direction was given or to whom it extended has not complied with the direction.</w:t>
      </w:r>
    </w:p>
    <w:p>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Heading5"/>
        <w:rPr>
          <w:snapToGrid w:val="0"/>
        </w:rPr>
      </w:pPr>
      <w:bookmarkStart w:id="571" w:name="_Toc166676088"/>
      <w:r>
        <w:rPr>
          <w:rStyle w:val="CharSectno"/>
        </w:rPr>
        <w:lastRenderedPageBreak/>
        <w:t>396</w:t>
      </w:r>
      <w:r>
        <w:rPr>
          <w:snapToGrid w:val="0"/>
        </w:rPr>
        <w:t>.</w:t>
      </w:r>
      <w:r>
        <w:rPr>
          <w:snapToGrid w:val="0"/>
        </w:rPr>
        <w:tab/>
        <w:t>Costs incurred by Minister in taking action under section 395</w:t>
      </w:r>
      <w:bookmarkEnd w:id="57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Indenta"/>
        <w:keepNext/>
        <w:rPr>
          <w:snapToGrid w:val="0"/>
        </w:rPr>
      </w:pPr>
      <w:r>
        <w:rPr>
          <w:snapToGrid w:val="0"/>
        </w:rPr>
        <w:tab/>
        <w:t>(b)</w:t>
      </w:r>
      <w:r>
        <w:rPr>
          <w:snapToGrid w:val="0"/>
        </w:rPr>
        <w:tab/>
        <w:t>the direction does not extend to an associate of the holder,</w:t>
      </w:r>
    </w:p>
    <w:p>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Indenta"/>
        <w:keepNext/>
        <w:keepLines/>
        <w:rPr>
          <w:snapToGrid w:val="0"/>
        </w:rPr>
      </w:pPr>
      <w:r>
        <w:rPr>
          <w:snapToGrid w:val="0"/>
        </w:rPr>
        <w:tab/>
        <w:t>(b)</w:t>
      </w:r>
      <w:r>
        <w:rPr>
          <w:snapToGrid w:val="0"/>
        </w:rPr>
        <w:tab/>
        <w:t>the Minister takes action under section 395 in relation to that obligation,</w:t>
      </w:r>
    </w:p>
    <w:p>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pPr>
        <w:pStyle w:val="Subsection"/>
        <w:spacing w:before="120"/>
        <w:rPr>
          <w:snapToGrid w:val="0"/>
        </w:rPr>
      </w:pPr>
      <w:r>
        <w:rPr>
          <w:snapToGrid w:val="0"/>
        </w:rPr>
        <w:tab/>
        <w:t>(4)</w:t>
      </w:r>
      <w:r>
        <w:rPr>
          <w:snapToGrid w:val="0"/>
        </w:rPr>
        <w:tab/>
        <w:t>A debt under this section is recoverable in a court of competent jurisdiction.</w:t>
      </w:r>
    </w:p>
    <w:p>
      <w:pPr>
        <w:pStyle w:val="Heading5"/>
        <w:rPr>
          <w:snapToGrid w:val="0"/>
        </w:rPr>
      </w:pPr>
      <w:bookmarkStart w:id="572" w:name="_Toc166676089"/>
      <w:r>
        <w:rPr>
          <w:rStyle w:val="CharSectno"/>
        </w:rPr>
        <w:t>397</w:t>
      </w:r>
      <w:r>
        <w:rPr>
          <w:snapToGrid w:val="0"/>
        </w:rPr>
        <w:t>.</w:t>
      </w:r>
      <w:r>
        <w:rPr>
          <w:snapToGrid w:val="0"/>
        </w:rPr>
        <w:tab/>
        <w:t>Defences to actions to recover debts</w:t>
      </w:r>
      <w:bookmarkEnd w:id="572"/>
      <w:r>
        <w:rPr>
          <w:snapToGrid w:val="0"/>
        </w:rPr>
        <w:t xml:space="preserve"> </w:t>
      </w:r>
    </w:p>
    <w:p>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Indenta"/>
        <w:rPr>
          <w:snapToGrid w:val="0"/>
        </w:rPr>
      </w:pPr>
      <w:r>
        <w:rPr>
          <w:snapToGrid w:val="0"/>
        </w:rPr>
        <w:tab/>
        <w:t>(b)</w:t>
      </w:r>
      <w:r>
        <w:rPr>
          <w:snapToGrid w:val="0"/>
        </w:rPr>
        <w:tab/>
        <w:t>the evidence is not rebutted.</w:t>
      </w:r>
    </w:p>
    <w:p>
      <w:pPr>
        <w:pStyle w:val="Subsection"/>
        <w:spacing w:before="120"/>
        <w:rPr>
          <w:snapToGrid w:val="0"/>
        </w:rPr>
      </w:pPr>
      <w:r>
        <w:rPr>
          <w:snapToGrid w:val="0"/>
        </w:rPr>
        <w:lastRenderedPageBreak/>
        <w:tab/>
        <w:t>(2)</w:t>
      </w:r>
      <w:r>
        <w:rPr>
          <w:snapToGrid w:val="0"/>
        </w:rPr>
        <w:tab/>
        <w:t>It is a defence to an action to recover the debt from the associate if — </w:t>
      </w:r>
    </w:p>
    <w:p>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Indenta"/>
        <w:rPr>
          <w:snapToGrid w:val="0"/>
        </w:rPr>
      </w:pPr>
      <w:r>
        <w:rPr>
          <w:snapToGrid w:val="0"/>
        </w:rPr>
        <w:tab/>
        <w:t>(b)</w:t>
      </w:r>
      <w:r>
        <w:rPr>
          <w:snapToGrid w:val="0"/>
        </w:rPr>
        <w:tab/>
        <w:t>the evidence is not rebutted.</w:t>
      </w:r>
    </w:p>
    <w:p>
      <w:pPr>
        <w:pStyle w:val="Heading4"/>
        <w:rPr>
          <w:b w:val="0"/>
        </w:rPr>
      </w:pPr>
      <w:bookmarkStart w:id="573" w:name="_Toc166675270"/>
      <w:bookmarkStart w:id="574" w:name="_Toc166675785"/>
      <w:bookmarkStart w:id="575" w:name="_Toc166676090"/>
      <w:r>
        <w:rPr>
          <w:b w:val="0"/>
          <w:snapToGrid w:val="0"/>
        </w:rPr>
        <w:t>Division 3 — Securities</w:t>
      </w:r>
      <w:bookmarkEnd w:id="573"/>
      <w:bookmarkEnd w:id="574"/>
      <w:bookmarkEnd w:id="575"/>
    </w:p>
    <w:p>
      <w:pPr>
        <w:pStyle w:val="Heading5"/>
        <w:rPr>
          <w:snapToGrid w:val="0"/>
        </w:rPr>
      </w:pPr>
      <w:bookmarkStart w:id="576" w:name="_Toc166676091"/>
      <w:r>
        <w:rPr>
          <w:rStyle w:val="CharSectno"/>
        </w:rPr>
        <w:t>398</w:t>
      </w:r>
      <w:r>
        <w:rPr>
          <w:snapToGrid w:val="0"/>
        </w:rPr>
        <w:t>.</w:t>
      </w:r>
      <w:r>
        <w:rPr>
          <w:snapToGrid w:val="0"/>
        </w:rPr>
        <w:tab/>
        <w:t>Securities</w:t>
      </w:r>
      <w:bookmarkEnd w:id="576"/>
      <w:r>
        <w:rPr>
          <w:snapToGrid w:val="0"/>
        </w:rPr>
        <w:t xml:space="preserve"> </w:t>
      </w:r>
    </w:p>
    <w:p>
      <w:pPr>
        <w:pStyle w:val="Subsection"/>
        <w:spacing w:before="120"/>
        <w:rPr>
          <w:snapToGrid w:val="0"/>
        </w:rPr>
      </w:pPr>
      <w:r>
        <w:rPr>
          <w:snapToGrid w:val="0"/>
        </w:rPr>
        <w:tab/>
        <w:t>(1)</w:t>
      </w:r>
      <w:r>
        <w:rPr>
          <w:snapToGrid w:val="0"/>
        </w:rPr>
        <w:tab/>
        <w:t>A person may be required to lodge a security with the Minister under — </w:t>
      </w:r>
    </w:p>
    <w:p>
      <w:pPr>
        <w:pStyle w:val="Indenta"/>
        <w:rPr>
          <w:snapToGrid w:val="0"/>
        </w:rPr>
      </w:pPr>
      <w:r>
        <w:rPr>
          <w:snapToGrid w:val="0"/>
        </w:rPr>
        <w:tab/>
        <w:t>(a)</w:t>
      </w:r>
      <w:r>
        <w:rPr>
          <w:snapToGrid w:val="0"/>
        </w:rPr>
        <w:tab/>
        <w:t>section 399 (security as prerequisite for proper acceptance of provisional grant or provisional renewal); or</w:t>
      </w:r>
    </w:p>
    <w:p>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Subsection"/>
        <w:rPr>
          <w:snapToGrid w:val="0"/>
        </w:rPr>
      </w:pPr>
      <w:r>
        <w:rPr>
          <w:snapToGrid w:val="0"/>
        </w:rPr>
        <w:tab/>
        <w:t>(2)</w:t>
      </w:r>
      <w:r>
        <w:rPr>
          <w:snapToGrid w:val="0"/>
        </w:rPr>
        <w:tab/>
        <w:t>Securities are required as a way of ensuring compliance with this Act and with licence conditions.</w:t>
      </w:r>
    </w:p>
    <w:p>
      <w:pPr>
        <w:pStyle w:val="Subsection"/>
        <w:rPr>
          <w:snapToGrid w:val="0"/>
        </w:rPr>
      </w:pPr>
      <w:r>
        <w:rPr>
          <w:snapToGrid w:val="0"/>
        </w:rPr>
        <w:tab/>
        <w:t>(3)</w:t>
      </w:r>
      <w:r>
        <w:rPr>
          <w:snapToGrid w:val="0"/>
        </w:rPr>
        <w:tab/>
        <w:t>Securities may only be used for the purposes laid down in section 400.</w:t>
      </w:r>
    </w:p>
    <w:p>
      <w:pPr>
        <w:pStyle w:val="Heading5"/>
        <w:rPr>
          <w:snapToGrid w:val="0"/>
        </w:rPr>
      </w:pPr>
      <w:bookmarkStart w:id="577" w:name="_Toc166676092"/>
      <w:r>
        <w:rPr>
          <w:rStyle w:val="CharSectno"/>
        </w:rPr>
        <w:t>399</w:t>
      </w:r>
      <w:r>
        <w:rPr>
          <w:snapToGrid w:val="0"/>
        </w:rPr>
        <w:t>.</w:t>
      </w:r>
      <w:r>
        <w:rPr>
          <w:snapToGrid w:val="0"/>
        </w:rPr>
        <w:tab/>
        <w:t>Determination of requirement to lodge security</w:t>
      </w:r>
      <w:bookmarkEnd w:id="577"/>
      <w:r>
        <w:rPr>
          <w:snapToGrid w:val="0"/>
        </w:rPr>
        <w:t xml:space="preserve"> </w:t>
      </w:r>
    </w:p>
    <w:p>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PermNoteHeading"/>
      </w:pPr>
      <w:r>
        <w:tab/>
        <w:t>Note:</w:t>
      </w:r>
    </w:p>
    <w:p>
      <w:pPr>
        <w:pStyle w:val="PermNoteText"/>
      </w:pPr>
      <w:r>
        <w:tab/>
        <w:t>1.</w:t>
      </w:r>
      <w:r>
        <w:tab/>
        <w:t>The provisional holder will be given notice of the determination under section 66 or 83 (exploration licence), 147 (retention licence), 210 or 227 (mining licence) or 279 (works licence).</w:t>
      </w:r>
    </w:p>
    <w:p>
      <w:pPr>
        <w:pStyle w:val="PermNoteText"/>
      </w:pPr>
      <w:r>
        <w:tab/>
        <w:t>2.</w:t>
      </w:r>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Subsection"/>
        <w:keepNext/>
        <w:keepLines/>
        <w:rPr>
          <w:snapToGrid w:val="0"/>
        </w:rPr>
      </w:pPr>
      <w:r>
        <w:rPr>
          <w:snapToGrid w:val="0"/>
        </w:rPr>
        <w:lastRenderedPageBreak/>
        <w:tab/>
        <w:t>(2)</w:t>
      </w:r>
      <w:r>
        <w:rPr>
          <w:snapToGrid w:val="0"/>
        </w:rPr>
        <w:tab/>
        <w:t>If the Minister provisionally renews a licence, the Minister may determine that the licence holder must lodge a security with the Minister.</w:t>
      </w:r>
    </w:p>
    <w:p>
      <w:pPr>
        <w:pStyle w:val="PermNoteHeading"/>
      </w:pPr>
      <w:r>
        <w:tab/>
        <w:t>Note:</w:t>
      </w:r>
    </w:p>
    <w:p>
      <w:pPr>
        <w:pStyle w:val="PermNoteText"/>
      </w:pPr>
      <w:r>
        <w:tab/>
        <w:t>1.</w:t>
      </w:r>
      <w:r>
        <w:tab/>
        <w:t>The licence holder will be given notice of the determination under section 110 (exploration licence), 169 (retention licence), 246 (mining licence) or 296 (works licence).</w:t>
      </w:r>
    </w:p>
    <w:p>
      <w:pPr>
        <w:pStyle w:val="PermNoteText"/>
      </w:pPr>
      <w:r>
        <w:tab/>
        <w:t>2.</w:t>
      </w:r>
      <w:r>
        <w:tab/>
        <w:t>If the holder does not lodge the security within a particular time provided for in this Act, the provisional renewal will lapse (see section 116 (exploration licence), 175 (retention licence), 252 (mining licence) or 302 (works licence)).</w:t>
      </w:r>
    </w:p>
    <w:p>
      <w:pPr>
        <w:pStyle w:val="Subsection"/>
        <w:rPr>
          <w:snapToGrid w:val="0"/>
        </w:rPr>
      </w:pPr>
      <w:r>
        <w:rPr>
          <w:snapToGrid w:val="0"/>
        </w:rPr>
        <w:tab/>
        <w:t>(3)</w:t>
      </w:r>
      <w:r>
        <w:rPr>
          <w:snapToGrid w:val="0"/>
        </w:rPr>
        <w:tab/>
        <w:t>A determination under subsection (1) or (2)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(5)</w:t>
      </w:r>
      <w:r>
        <w:rPr>
          <w:snapToGrid w:val="0"/>
        </w:rPr>
        <w:tab/>
        <w:t>The determination is to be in writing.</w:t>
      </w:r>
    </w:p>
    <w:p>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Subsection"/>
        <w:rPr>
          <w:snapToGrid w:val="0"/>
        </w:rPr>
      </w:pPr>
      <w:r>
        <w:rPr>
          <w:snapToGrid w:val="0"/>
        </w:rPr>
        <w:tab/>
        <w:t>(7)</w:t>
      </w:r>
      <w:r>
        <w:rPr>
          <w:snapToGrid w:val="0"/>
        </w:rPr>
        <w:tab/>
        <w:t>This section does not limit the terms and conditions that may be included in a resolution referred to in section 38A(2).</w:t>
      </w:r>
    </w:p>
    <w:p>
      <w:pPr>
        <w:pStyle w:val="PermNoteHeading"/>
      </w:pPr>
      <w:r>
        <w:tab/>
        <w:t>Note:</w:t>
      </w:r>
    </w:p>
    <w:p>
      <w:pPr>
        <w:pStyle w:val="PermNoteText"/>
      </w:pPr>
      <w:r>
        <w:tab/>
      </w:r>
      <w:r>
        <w:tab/>
        <w:t>For the contents of a tender block licence notice see sections 75 and 219.</w:t>
      </w:r>
    </w:p>
    <w:p>
      <w:pPr>
        <w:pStyle w:val="Heading5"/>
        <w:rPr>
          <w:snapToGrid w:val="0"/>
        </w:rPr>
      </w:pPr>
      <w:bookmarkStart w:id="578" w:name="_Toc166676093"/>
      <w:r>
        <w:rPr>
          <w:rStyle w:val="CharSectno"/>
        </w:rPr>
        <w:lastRenderedPageBreak/>
        <w:t>400</w:t>
      </w:r>
      <w:r>
        <w:rPr>
          <w:snapToGrid w:val="0"/>
        </w:rPr>
        <w:t>.</w:t>
      </w:r>
      <w:r>
        <w:rPr>
          <w:snapToGrid w:val="0"/>
        </w:rPr>
        <w:tab/>
        <w:t>Application of security</w:t>
      </w:r>
      <w:bookmarkEnd w:id="578"/>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person is or was a licence holder; and</w:t>
      </w:r>
    </w:p>
    <w:p>
      <w:pPr>
        <w:pStyle w:val="Indenta"/>
        <w:rPr>
          <w:snapToGrid w:val="0"/>
        </w:rPr>
      </w:pPr>
      <w:r>
        <w:rPr>
          <w:snapToGrid w:val="0"/>
        </w:rPr>
        <w:tab/>
        <w:t>(b)</w:t>
      </w:r>
      <w:r>
        <w:rPr>
          <w:snapToGrid w:val="0"/>
        </w:rPr>
        <w:tab/>
        <w:t>the person has lodged a security with the Minister,</w:t>
      </w:r>
    </w:p>
    <w:p>
      <w:pPr>
        <w:pStyle w:val="Subsection"/>
        <w:rPr>
          <w:snapToGrid w:val="0"/>
        </w:rPr>
      </w:pPr>
      <w:r>
        <w:rPr>
          <w:snapToGrid w:val="0"/>
        </w:rPr>
        <w:tab/>
      </w:r>
      <w:r>
        <w:rPr>
          <w:snapToGrid w:val="0"/>
        </w:rPr>
        <w:tab/>
        <w:t>the Minister may use the security to discharge the person’s obligations arising from a failure to comply with — </w:t>
      </w:r>
    </w:p>
    <w:p>
      <w:pPr>
        <w:pStyle w:val="Indenta"/>
        <w:rPr>
          <w:snapToGrid w:val="0"/>
        </w:rPr>
      </w:pPr>
      <w:r>
        <w:rPr>
          <w:snapToGrid w:val="0"/>
        </w:rPr>
        <w:tab/>
        <w:t>(c)</w:t>
      </w:r>
      <w:r>
        <w:rPr>
          <w:snapToGrid w:val="0"/>
        </w:rPr>
        <w:tab/>
        <w:t>this Act or the regulations; or</w:t>
      </w:r>
    </w:p>
    <w:p>
      <w:pPr>
        <w:pStyle w:val="Indenta"/>
        <w:rPr>
          <w:snapToGrid w:val="0"/>
        </w:rPr>
      </w:pPr>
      <w:r>
        <w:rPr>
          <w:snapToGrid w:val="0"/>
        </w:rPr>
        <w:tab/>
        <w:t>(d)</w:t>
      </w:r>
      <w:r>
        <w:rPr>
          <w:snapToGrid w:val="0"/>
        </w:rPr>
        <w:tab/>
        <w:t>the licence conditions; or</w:t>
      </w:r>
    </w:p>
    <w:p>
      <w:pPr>
        <w:pStyle w:val="Indenta"/>
        <w:rPr>
          <w:snapToGrid w:val="0"/>
        </w:rPr>
      </w:pPr>
      <w:r>
        <w:rPr>
          <w:snapToGrid w:val="0"/>
        </w:rPr>
        <w:tab/>
        <w:t>(e)</w:t>
      </w:r>
      <w:r>
        <w:rPr>
          <w:snapToGrid w:val="0"/>
        </w:rPr>
        <w:tab/>
        <w:t>a direction under section 387 or 392.</w:t>
      </w:r>
    </w:p>
    <w:p>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Subsection"/>
        <w:rPr>
          <w:snapToGrid w:val="0"/>
        </w:rPr>
      </w:pPr>
      <w:r>
        <w:rPr>
          <w:snapToGrid w:val="0"/>
        </w:rPr>
        <w:tab/>
        <w:t>(3)</w:t>
      </w:r>
      <w:r>
        <w:rPr>
          <w:snapToGrid w:val="0"/>
        </w:rPr>
        <w:tab/>
        <w:t>Subject to subsection (1), the Minister is to deal with a security in accordance with the regulations.</w:t>
      </w:r>
    </w:p>
    <w:p>
      <w:pPr>
        <w:pStyle w:val="Heading4"/>
        <w:rPr>
          <w:b w:val="0"/>
        </w:rPr>
      </w:pPr>
      <w:bookmarkStart w:id="579" w:name="_Toc166675274"/>
      <w:bookmarkStart w:id="580" w:name="_Toc166675789"/>
      <w:bookmarkStart w:id="581" w:name="_Toc166676094"/>
      <w:r>
        <w:rPr>
          <w:b w:val="0"/>
          <w:snapToGrid w:val="0"/>
        </w:rPr>
        <w:t>Division 4 — Restoration of environment</w:t>
      </w:r>
      <w:bookmarkEnd w:id="579"/>
      <w:bookmarkEnd w:id="580"/>
      <w:bookmarkEnd w:id="581"/>
    </w:p>
    <w:p>
      <w:pPr>
        <w:pStyle w:val="Heading5"/>
        <w:rPr>
          <w:snapToGrid w:val="0"/>
        </w:rPr>
      </w:pPr>
      <w:bookmarkStart w:id="582" w:name="_Toc166676095"/>
      <w:r>
        <w:rPr>
          <w:rStyle w:val="CharSectno"/>
        </w:rPr>
        <w:t>401</w:t>
      </w:r>
      <w:r>
        <w:rPr>
          <w:snapToGrid w:val="0"/>
        </w:rPr>
        <w:t>.</w:t>
      </w:r>
      <w:r>
        <w:rPr>
          <w:snapToGrid w:val="0"/>
        </w:rPr>
        <w:tab/>
        <w:t>Removal of property from coastal waters</w:t>
      </w:r>
      <w:bookmarkEnd w:id="582"/>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removal from coastal waters of property that — </w:t>
      </w:r>
    </w:p>
    <w:p>
      <w:pPr>
        <w:pStyle w:val="Indenti"/>
        <w:rPr>
          <w:snapToGrid w:val="0"/>
        </w:rPr>
      </w:pPr>
      <w:r>
        <w:rPr>
          <w:snapToGrid w:val="0"/>
        </w:rPr>
        <w:tab/>
        <w:t>(i)</w:t>
      </w:r>
      <w:r>
        <w:rPr>
          <w:snapToGrid w:val="0"/>
        </w:rPr>
        <w:tab/>
        <w:t>has been brought into coastal waters for use in offshore exploration or mining activities; and</w:t>
      </w:r>
    </w:p>
    <w:p>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disposal by the Minister of property removed under regulations made for the purposes of paragraph (a); and</w:t>
      </w:r>
    </w:p>
    <w:p>
      <w:pPr>
        <w:pStyle w:val="Indenta"/>
        <w:rPr>
          <w:snapToGrid w:val="0"/>
        </w:rPr>
      </w:pPr>
      <w:r>
        <w:rPr>
          <w:snapToGrid w:val="0"/>
        </w:rPr>
        <w:tab/>
        <w:t>(c)</w:t>
      </w:r>
      <w:r>
        <w:rPr>
          <w:snapToGrid w:val="0"/>
        </w:rPr>
        <w:tab/>
        <w:t xml:space="preserve">the recovery of costs and expenses incurred by the Minister or another person in removing or disposing of </w:t>
      </w:r>
      <w:r>
        <w:rPr>
          <w:snapToGrid w:val="0"/>
        </w:rPr>
        <w:lastRenderedPageBreak/>
        <w:t>property in accordance with regulations made for the purposes of paragraphs (a) and (b).</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(2)</w:t>
      </w:r>
      <w:r>
        <w:rPr>
          <w:snapToGrid w:val="0"/>
        </w:rPr>
        <w:tab/>
        <w:t>Regulations made for the purposes of subsection (1)(a) may provide for removal by the Minister or by someone else.</w:t>
      </w:r>
    </w:p>
    <w:p>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property</w:t>
      </w:r>
      <w:r>
        <w:t xml:space="preserve"> includes a structure or equipment.</w:t>
      </w:r>
    </w:p>
    <w:p>
      <w:pPr>
        <w:pStyle w:val="Heading5"/>
        <w:rPr>
          <w:snapToGrid w:val="0"/>
        </w:rPr>
      </w:pPr>
      <w:bookmarkStart w:id="583" w:name="_Toc166676096"/>
      <w:r>
        <w:rPr>
          <w:rStyle w:val="CharSectno"/>
        </w:rPr>
        <w:t>402</w:t>
      </w:r>
      <w:r>
        <w:rPr>
          <w:snapToGrid w:val="0"/>
        </w:rPr>
        <w:t>.</w:t>
      </w:r>
      <w:r>
        <w:rPr>
          <w:snapToGrid w:val="0"/>
        </w:rPr>
        <w:tab/>
        <w:t>Rehabilitation of damaged areas</w:t>
      </w:r>
      <w:bookmarkEnd w:id="583"/>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Heading4"/>
        <w:rPr>
          <w:b w:val="0"/>
        </w:rPr>
      </w:pPr>
      <w:bookmarkStart w:id="584" w:name="_Toc166675277"/>
      <w:bookmarkStart w:id="585" w:name="_Toc166675792"/>
      <w:bookmarkStart w:id="586" w:name="_Toc166676097"/>
      <w:r>
        <w:rPr>
          <w:b w:val="0"/>
          <w:snapToGrid w:val="0"/>
        </w:rPr>
        <w:lastRenderedPageBreak/>
        <w:t>Division 5 — Safety zones</w:t>
      </w:r>
      <w:bookmarkEnd w:id="584"/>
      <w:bookmarkEnd w:id="585"/>
      <w:bookmarkEnd w:id="586"/>
    </w:p>
    <w:p>
      <w:pPr>
        <w:pStyle w:val="Heading5"/>
        <w:rPr>
          <w:snapToGrid w:val="0"/>
        </w:rPr>
      </w:pPr>
      <w:bookmarkStart w:id="587" w:name="_Toc166676098"/>
      <w:r>
        <w:rPr>
          <w:rStyle w:val="CharSectno"/>
        </w:rPr>
        <w:t>403</w:t>
      </w:r>
      <w:r>
        <w:rPr>
          <w:snapToGrid w:val="0"/>
        </w:rPr>
        <w:t>.</w:t>
      </w:r>
      <w:r>
        <w:rPr>
          <w:snapToGrid w:val="0"/>
        </w:rPr>
        <w:tab/>
        <w:t>Declaration of safety zone around a structure or equipment</w:t>
      </w:r>
      <w:bookmarkEnd w:id="587"/>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Subsection"/>
        <w:rPr>
          <w:snapToGrid w:val="0"/>
        </w:rPr>
      </w:pPr>
      <w:r>
        <w:rPr>
          <w:snapToGrid w:val="0"/>
        </w:rPr>
        <w:tab/>
        <w:t>(2)</w:t>
      </w:r>
      <w:r>
        <w:rPr>
          <w:snapToGrid w:val="0"/>
        </w:rPr>
        <w:tab/>
        <w:t>A safety zone may only be established for the purpose of protecting the structure or equipment.</w:t>
      </w:r>
    </w:p>
    <w:p>
      <w:pPr>
        <w:pStyle w:val="Subsection"/>
        <w:rPr>
          <w:snapToGrid w:val="0"/>
        </w:rPr>
      </w:pPr>
      <w:r>
        <w:rPr>
          <w:snapToGrid w:val="0"/>
        </w:rPr>
        <w:tab/>
        <w:t>(3)</w:t>
      </w:r>
      <w:r>
        <w:rPr>
          <w:snapToGrid w:val="0"/>
        </w:rPr>
        <w:tab/>
        <w:t>The safety zone may extend not more than 500 metres from the outer edge of the structure or equipment.</w:t>
      </w:r>
    </w:p>
    <w:p>
      <w:pPr>
        <w:pStyle w:val="Subsection"/>
        <w:rPr>
          <w:snapToGrid w:val="0"/>
        </w:rPr>
      </w:pPr>
      <w:r>
        <w:rPr>
          <w:snapToGrid w:val="0"/>
        </w:rPr>
        <w:tab/>
        <w:t>(4)</w:t>
      </w:r>
      <w:r>
        <w:rPr>
          <w:snapToGrid w:val="0"/>
        </w:rPr>
        <w:tab/>
        <w:t>The order may apply to —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except those specified in the order.</w:t>
      </w:r>
    </w:p>
    <w:p>
      <w:pPr>
        <w:pStyle w:val="Heading5"/>
        <w:rPr>
          <w:snapToGrid w:val="0"/>
        </w:rPr>
      </w:pPr>
      <w:bookmarkStart w:id="588" w:name="_Toc166676099"/>
      <w:r>
        <w:rPr>
          <w:rStyle w:val="CharSectno"/>
        </w:rPr>
        <w:t>404</w:t>
      </w:r>
      <w:r>
        <w:rPr>
          <w:snapToGrid w:val="0"/>
        </w:rPr>
        <w:t>.</w:t>
      </w:r>
      <w:r>
        <w:rPr>
          <w:snapToGrid w:val="0"/>
        </w:rPr>
        <w:tab/>
        <w:t>Effect of declaration of safety zone</w:t>
      </w:r>
      <w:bookmarkEnd w:id="588"/>
      <w:r>
        <w:rPr>
          <w:snapToGrid w:val="0"/>
        </w:rPr>
        <w:t xml:space="preserve"> </w:t>
      </w:r>
    </w:p>
    <w:p>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Penstart"/>
        <w:rPr>
          <w:snapToGrid w:val="0"/>
        </w:rPr>
      </w:pPr>
      <w:r>
        <w:rPr>
          <w:snapToGrid w:val="0"/>
        </w:rPr>
        <w:tab/>
        <w:t>Summary conviction penalty: imprisonment for 2 years or a fine of $10 000 or both.</w:t>
      </w:r>
    </w:p>
    <w:p>
      <w:pPr>
        <w:pStyle w:val="Ednotesubsection"/>
      </w:pPr>
      <w:r>
        <w:tab/>
        <w:t>[(4), (5) repealed]</w:t>
      </w:r>
    </w:p>
    <w:p>
      <w:pPr>
        <w:pStyle w:val="Subsection"/>
        <w:rPr>
          <w:snapToGrid w:val="0"/>
        </w:rPr>
      </w:pPr>
      <w:r>
        <w:rPr>
          <w:snapToGrid w:val="0"/>
        </w:rPr>
        <w:tab/>
        <w:t>(6)</w:t>
      </w:r>
      <w:r>
        <w:rPr>
          <w:snapToGrid w:val="0"/>
        </w:rPr>
        <w:tab/>
        <w:t>It is a defence to a prosecution of a person for an offence against subsection (3) if the person satisfies the court that — </w:t>
      </w:r>
    </w:p>
    <w:p>
      <w:pPr>
        <w:pStyle w:val="Indenta"/>
        <w:rPr>
          <w:snapToGrid w:val="0"/>
        </w:rPr>
      </w:pPr>
      <w:r>
        <w:rPr>
          <w:snapToGrid w:val="0"/>
        </w:rPr>
        <w:lastRenderedPageBreak/>
        <w:tab/>
        <w:t>(a)</w:t>
      </w:r>
      <w:r>
        <w:rPr>
          <w:snapToGrid w:val="0"/>
        </w:rPr>
        <w:tab/>
        <w:t>an unforeseen emergency made it necessary for the vessel to enter or remain in the safety zone to attempt to secure the safety of — </w:t>
      </w:r>
    </w:p>
    <w:p>
      <w:pPr>
        <w:pStyle w:val="Indenti"/>
        <w:rPr>
          <w:snapToGrid w:val="0"/>
        </w:rPr>
      </w:pPr>
      <w:r>
        <w:rPr>
          <w:snapToGrid w:val="0"/>
        </w:rPr>
        <w:tab/>
        <w:t>(i)</w:t>
      </w:r>
      <w:r>
        <w:rPr>
          <w:snapToGrid w:val="0"/>
        </w:rPr>
        <w:tab/>
        <w:t>a human life; or</w:t>
      </w:r>
    </w:p>
    <w:p>
      <w:pPr>
        <w:pStyle w:val="Indenti"/>
        <w:rPr>
          <w:snapToGrid w:val="0"/>
        </w:rPr>
      </w:pPr>
      <w:r>
        <w:rPr>
          <w:snapToGrid w:val="0"/>
        </w:rPr>
        <w:tab/>
        <w:t>(ii)</w:t>
      </w:r>
      <w:r>
        <w:rPr>
          <w:snapToGrid w:val="0"/>
        </w:rPr>
        <w:tab/>
        <w:t>the vessel; or</w:t>
      </w:r>
    </w:p>
    <w:p>
      <w:pPr>
        <w:pStyle w:val="Indenti"/>
        <w:rPr>
          <w:snapToGrid w:val="0"/>
        </w:rPr>
      </w:pPr>
      <w:r>
        <w:rPr>
          <w:snapToGrid w:val="0"/>
        </w:rPr>
        <w:tab/>
        <w:t>(iii)</w:t>
      </w:r>
      <w:r>
        <w:rPr>
          <w:snapToGrid w:val="0"/>
        </w:rPr>
        <w:tab/>
        <w:t>another vessel; or</w:t>
      </w:r>
    </w:p>
    <w:p>
      <w:pPr>
        <w:pStyle w:val="Indenti"/>
        <w:rPr>
          <w:snapToGrid w:val="0"/>
        </w:rPr>
      </w:pPr>
      <w:r>
        <w:rPr>
          <w:snapToGrid w:val="0"/>
        </w:rPr>
        <w:tab/>
        <w:t>(iv)</w:t>
      </w:r>
      <w:r>
        <w:rPr>
          <w:snapToGrid w:val="0"/>
        </w:rPr>
        <w:tab/>
        <w:t>a well, pipeline, structure or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Indenta"/>
        <w:rPr>
          <w:snapToGrid w:val="0"/>
        </w:rPr>
      </w:pPr>
      <w:r>
        <w:rPr>
          <w:snapToGrid w:val="0"/>
        </w:rPr>
        <w:tab/>
        <w:t>(a)</w:t>
      </w:r>
      <w:r>
        <w:rPr>
          <w:snapToGrid w:val="0"/>
        </w:rPr>
        <w:tab/>
        <w:t>did not aid, abet, counsel or procure the vessel’s entering or remaining in the safety zone; and</w:t>
      </w:r>
    </w:p>
    <w:p>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Footnotesection"/>
      </w:pPr>
      <w:r>
        <w:tab/>
        <w:t>[Section 404 amended: No. 4 of 2004 s. 58.]</w:t>
      </w:r>
    </w:p>
    <w:p>
      <w:pPr>
        <w:pStyle w:val="Heading5"/>
        <w:rPr>
          <w:snapToGrid w:val="0"/>
        </w:rPr>
      </w:pPr>
      <w:bookmarkStart w:id="589" w:name="_Toc166676100"/>
      <w:r>
        <w:rPr>
          <w:rStyle w:val="CharSectno"/>
          <w:spacing w:val="-4"/>
        </w:rPr>
        <w:t>405. – 420</w:t>
      </w:r>
      <w:r>
        <w:rPr>
          <w:snapToGrid w:val="0"/>
          <w:spacing w:val="-4"/>
        </w:rPr>
        <w:t>.</w:t>
      </w:r>
      <w:r>
        <w:rPr>
          <w:snapToGrid w:val="0"/>
          <w:spacing w:val="-4"/>
        </w:rPr>
        <w:tab/>
      </w:r>
      <w:r>
        <w:rPr>
          <w:snapToGrid w:val="0"/>
        </w:rPr>
        <w:t>Section numbers not used</w:t>
      </w:r>
      <w:bookmarkEnd w:id="589"/>
      <w:r>
        <w:rPr>
          <w:snapToGrid w:val="0"/>
        </w:rPr>
        <w:t xml:space="preserve"> </w:t>
      </w:r>
    </w:p>
    <w:p>
      <w:pPr>
        <w:pStyle w:val="Subsection"/>
        <w:rPr>
          <w:snapToGrid w:val="0"/>
        </w:rPr>
      </w:pPr>
      <w:r>
        <w:rPr>
          <w:snapToGrid w:val="0"/>
        </w:rPr>
        <w:tab/>
      </w:r>
      <w:r>
        <w:rPr>
          <w:snapToGrid w:val="0"/>
        </w:rPr>
        <w:tab/>
        <w:t>See note 2 to section 3(1).</w:t>
      </w:r>
    </w:p>
    <w:p>
      <w:pPr>
        <w:pStyle w:val="Heading3"/>
        <w:pageBreakBefore/>
      </w:pPr>
      <w:bookmarkStart w:id="590" w:name="_Toc166675281"/>
      <w:bookmarkStart w:id="591" w:name="_Toc166675796"/>
      <w:bookmarkStart w:id="592" w:name="_Toc166676101"/>
      <w:r>
        <w:rPr>
          <w:rStyle w:val="CharDivNo"/>
        </w:rPr>
        <w:lastRenderedPageBreak/>
        <w:t>Part 4.3</w:t>
      </w:r>
      <w:r>
        <w:rPr>
          <w:snapToGrid w:val="0"/>
        </w:rPr>
        <w:t xml:space="preserve"> — </w:t>
      </w:r>
      <w:r>
        <w:rPr>
          <w:rStyle w:val="CharDivText"/>
        </w:rPr>
        <w:t>Inspectors</w:t>
      </w:r>
      <w:bookmarkEnd w:id="590"/>
      <w:bookmarkEnd w:id="591"/>
      <w:bookmarkEnd w:id="592"/>
    </w:p>
    <w:p>
      <w:pPr>
        <w:pStyle w:val="Heading5"/>
        <w:rPr>
          <w:snapToGrid w:val="0"/>
        </w:rPr>
      </w:pPr>
      <w:bookmarkStart w:id="593" w:name="_Toc166676102"/>
      <w:r>
        <w:rPr>
          <w:rStyle w:val="CharSectno"/>
        </w:rPr>
        <w:t>421</w:t>
      </w:r>
      <w:r>
        <w:rPr>
          <w:snapToGrid w:val="0"/>
        </w:rPr>
        <w:t>.</w:t>
      </w:r>
      <w:r>
        <w:rPr>
          <w:snapToGrid w:val="0"/>
        </w:rPr>
        <w:tab/>
        <w:t>Appointment of inspectors</w:t>
      </w:r>
      <w:bookmarkEnd w:id="593"/>
      <w:r>
        <w:rPr>
          <w:snapToGrid w:val="0"/>
        </w:rPr>
        <w:t xml:space="preserve"> </w:t>
      </w:r>
    </w:p>
    <w:p>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PermNoteHeading"/>
      </w:pPr>
      <w:r>
        <w:tab/>
        <w:t>Note:</w:t>
      </w:r>
    </w:p>
    <w:p>
      <w:pPr>
        <w:pStyle w:val="PermNoteText"/>
      </w:pPr>
      <w:r>
        <w:tab/>
      </w:r>
      <w:r>
        <w:tab/>
        <w:t>Inspectors have powers under sections 367, 368, 369, 370, 371, 378, 379, 380 and 381.</w:t>
      </w:r>
    </w:p>
    <w:p>
      <w:pPr>
        <w:pStyle w:val="Subsection"/>
        <w:rPr>
          <w:snapToGrid w:val="0"/>
        </w:rPr>
      </w:pPr>
      <w:r>
        <w:rPr>
          <w:snapToGrid w:val="0"/>
        </w:rPr>
        <w:tab/>
        <w:t>(2)</w:t>
      </w:r>
      <w:r>
        <w:rPr>
          <w:snapToGrid w:val="0"/>
        </w:rPr>
        <w:tab/>
        <w:t>The appointment must be in writing.</w:t>
      </w:r>
    </w:p>
    <w:p>
      <w:pPr>
        <w:pStyle w:val="Heading5"/>
        <w:rPr>
          <w:snapToGrid w:val="0"/>
        </w:rPr>
      </w:pPr>
      <w:bookmarkStart w:id="594" w:name="_Toc166676103"/>
      <w:r>
        <w:rPr>
          <w:rStyle w:val="CharSectno"/>
        </w:rPr>
        <w:t>422</w:t>
      </w:r>
      <w:r>
        <w:rPr>
          <w:snapToGrid w:val="0"/>
        </w:rPr>
        <w:t>.</w:t>
      </w:r>
      <w:r>
        <w:rPr>
          <w:snapToGrid w:val="0"/>
        </w:rPr>
        <w:tab/>
        <w:t>Identity cards</w:t>
      </w:r>
      <w:bookmarkEnd w:id="594"/>
      <w:r>
        <w:rPr>
          <w:snapToGrid w:val="0"/>
        </w:rPr>
        <w:t xml:space="preserve"> </w:t>
      </w:r>
    </w:p>
    <w:p>
      <w:pPr>
        <w:pStyle w:val="Subsection"/>
        <w:rPr>
          <w:snapToGrid w:val="0"/>
        </w:rPr>
      </w:pPr>
      <w:r>
        <w:rPr>
          <w:snapToGrid w:val="0"/>
        </w:rPr>
        <w:tab/>
        <w:t>(1)</w:t>
      </w:r>
      <w:r>
        <w:rPr>
          <w:snapToGrid w:val="0"/>
        </w:rPr>
        <w:tab/>
        <w:t>The Minister must issue an inspector with an identity card.</w:t>
      </w:r>
    </w:p>
    <w:p>
      <w:pPr>
        <w:pStyle w:val="Subsection"/>
        <w:rPr>
          <w:snapToGrid w:val="0"/>
        </w:rPr>
      </w:pPr>
      <w:r>
        <w:rPr>
          <w:snapToGrid w:val="0"/>
        </w:rPr>
        <w:tab/>
        <w:t>(2)</w:t>
      </w:r>
      <w:r>
        <w:rPr>
          <w:snapToGrid w:val="0"/>
        </w:rPr>
        <w:tab/>
        <w:t>The card must — </w:t>
      </w:r>
    </w:p>
    <w:p>
      <w:pPr>
        <w:pStyle w:val="Indenta"/>
        <w:rPr>
          <w:snapToGrid w:val="0"/>
        </w:rPr>
      </w:pPr>
      <w:r>
        <w:rPr>
          <w:snapToGrid w:val="0"/>
        </w:rPr>
        <w:tab/>
        <w:t>(a)</w:t>
      </w:r>
      <w:r>
        <w:rPr>
          <w:snapToGrid w:val="0"/>
        </w:rPr>
        <w:tab/>
        <w:t>contain a recent photograph of the inspector; and</w:t>
      </w:r>
    </w:p>
    <w:p>
      <w:pPr>
        <w:pStyle w:val="Indenta"/>
        <w:rPr>
          <w:snapToGrid w:val="0"/>
        </w:rPr>
      </w:pPr>
      <w:r>
        <w:rPr>
          <w:snapToGrid w:val="0"/>
        </w:rPr>
        <w:tab/>
        <w:t>(b)</w:t>
      </w:r>
      <w:r>
        <w:rPr>
          <w:snapToGrid w:val="0"/>
        </w:rPr>
        <w:tab/>
        <w:t>be in the form approved by the Minister.</w:t>
      </w:r>
    </w:p>
    <w:p>
      <w:pPr>
        <w:pStyle w:val="Heading5"/>
        <w:rPr>
          <w:snapToGrid w:val="0"/>
        </w:rPr>
      </w:pPr>
      <w:bookmarkStart w:id="595" w:name="_Toc166676104"/>
      <w:r>
        <w:rPr>
          <w:rStyle w:val="CharSectno"/>
        </w:rPr>
        <w:t>423</w:t>
      </w:r>
      <w:r>
        <w:rPr>
          <w:snapToGrid w:val="0"/>
        </w:rPr>
        <w:t>.</w:t>
      </w:r>
      <w:r>
        <w:rPr>
          <w:snapToGrid w:val="0"/>
        </w:rPr>
        <w:tab/>
        <w:t>Return of identity card</w:t>
      </w:r>
      <w:bookmarkEnd w:id="595"/>
      <w:r>
        <w:rPr>
          <w:snapToGrid w:val="0"/>
        </w:rPr>
        <w:t xml:space="preserve"> </w:t>
      </w:r>
    </w:p>
    <w:p>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Subsection"/>
        <w:rPr>
          <w:snapToGrid w:val="0"/>
        </w:rPr>
      </w:pPr>
      <w:r>
        <w:rPr>
          <w:snapToGrid w:val="0"/>
        </w:rPr>
        <w:tab/>
        <w:t>(2)</w:t>
      </w:r>
      <w:r>
        <w:rPr>
          <w:snapToGrid w:val="0"/>
        </w:rPr>
        <w:tab/>
        <w:t>A person must not contravene subsection (1) without reasonable excuse.</w:t>
      </w:r>
    </w:p>
    <w:p>
      <w:pPr>
        <w:pStyle w:val="Penstart"/>
        <w:rPr>
          <w:snapToGrid w:val="0"/>
        </w:rPr>
      </w:pPr>
      <w:r>
        <w:rPr>
          <w:snapToGrid w:val="0"/>
        </w:rPr>
        <w:tab/>
        <w:t>Maximum penalty: $100.</w:t>
      </w:r>
    </w:p>
    <w:p>
      <w:pPr>
        <w:pStyle w:val="Heading3"/>
        <w:pageBreakBefore/>
      </w:pPr>
      <w:bookmarkStart w:id="596" w:name="_Toc166675285"/>
      <w:bookmarkStart w:id="597" w:name="_Toc166675800"/>
      <w:bookmarkStart w:id="598" w:name="_Toc166676105"/>
      <w:r>
        <w:rPr>
          <w:rStyle w:val="CharDivNo"/>
        </w:rPr>
        <w:lastRenderedPageBreak/>
        <w:t>Part 4.4</w:t>
      </w:r>
      <w:r>
        <w:rPr>
          <w:snapToGrid w:val="0"/>
        </w:rPr>
        <w:t xml:space="preserve"> — </w:t>
      </w:r>
      <w:r>
        <w:rPr>
          <w:rStyle w:val="CharDivText"/>
        </w:rPr>
        <w:t>Licence fees and royalty</w:t>
      </w:r>
      <w:bookmarkEnd w:id="596"/>
      <w:bookmarkEnd w:id="597"/>
      <w:bookmarkEnd w:id="598"/>
    </w:p>
    <w:p>
      <w:pPr>
        <w:pStyle w:val="Heading4"/>
        <w:spacing w:before="180"/>
        <w:rPr>
          <w:b w:val="0"/>
        </w:rPr>
      </w:pPr>
      <w:bookmarkStart w:id="599" w:name="_Toc166675286"/>
      <w:bookmarkStart w:id="600" w:name="_Toc166675801"/>
      <w:bookmarkStart w:id="601" w:name="_Toc166676106"/>
      <w:r>
        <w:rPr>
          <w:b w:val="0"/>
        </w:rPr>
        <w:t>Division 1 — Licence fees</w:t>
      </w:r>
      <w:bookmarkEnd w:id="599"/>
      <w:bookmarkEnd w:id="600"/>
      <w:bookmarkEnd w:id="601"/>
    </w:p>
    <w:p>
      <w:pPr>
        <w:pStyle w:val="Heading5"/>
        <w:spacing w:before="180"/>
        <w:rPr>
          <w:snapToGrid w:val="0"/>
        </w:rPr>
      </w:pPr>
      <w:bookmarkStart w:id="602" w:name="_Toc166676107"/>
      <w:r>
        <w:rPr>
          <w:rStyle w:val="CharSectno"/>
        </w:rPr>
        <w:t>424</w:t>
      </w:r>
      <w:r>
        <w:rPr>
          <w:snapToGrid w:val="0"/>
        </w:rPr>
        <w:t>.</w:t>
      </w:r>
      <w:r>
        <w:rPr>
          <w:snapToGrid w:val="0"/>
        </w:rPr>
        <w:tab/>
        <w:t>Definition</w:t>
      </w:r>
      <w:bookmarkEnd w:id="602"/>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year</w:t>
      </w:r>
      <w:r>
        <w:t>, in relation to the period when a licence is in force, means — </w:t>
      </w:r>
    </w:p>
    <w:p>
      <w:pPr>
        <w:pStyle w:val="Defpara"/>
      </w:pPr>
      <w:r>
        <w:tab/>
        <w:t>(a)</w:t>
      </w:r>
      <w:r>
        <w:tab/>
        <w:t>the period of 12 months commencing on (and including) the day on which the provisional grant of the licence is properly accepted; or</w:t>
      </w:r>
    </w:p>
    <w:p>
      <w:pPr>
        <w:pStyle w:val="Defpara"/>
      </w:pPr>
      <w:r>
        <w:tab/>
        <w:t>(b)</w:t>
      </w:r>
      <w:r>
        <w:tab/>
        <w:t>a period of 12 months commencing on (and including) an anniversary of that day; or</w:t>
      </w:r>
    </w:p>
    <w:p>
      <w:pPr>
        <w:pStyle w:val="Defpara"/>
      </w:pPr>
      <w:r>
        <w:tab/>
        <w:t>(c)</w:t>
      </w:r>
      <w:r>
        <w:tab/>
        <w:t>a period of less than 12 months that — </w:t>
      </w:r>
    </w:p>
    <w:p>
      <w:pPr>
        <w:pStyle w:val="Defsubpara"/>
      </w:pPr>
      <w:r>
        <w:tab/>
        <w:t>(i)</w:t>
      </w:r>
      <w:r>
        <w:tab/>
        <w:t>commences on (and includes) — </w:t>
      </w:r>
    </w:p>
    <w:p>
      <w:pPr>
        <w:pStyle w:val="Defitem"/>
      </w:pPr>
      <w:r>
        <w:tab/>
        <w:t>(I)</w:t>
      </w:r>
      <w:r>
        <w:tab/>
        <w:t>the day on which the provisional grant of the licence is properly accepted; or</w:t>
      </w:r>
    </w:p>
    <w:p>
      <w:pPr>
        <w:pStyle w:val="Defitem"/>
      </w:pPr>
      <w:r>
        <w:tab/>
        <w:t>(II)</w:t>
      </w:r>
      <w:r>
        <w:tab/>
        <w:t xml:space="preserve">an anniversary of that day; </w:t>
      </w:r>
    </w:p>
    <w:p>
      <w:pPr>
        <w:pStyle w:val="Defsubpara"/>
      </w:pPr>
      <w:r>
        <w:tab/>
      </w:r>
      <w:r>
        <w:tab/>
        <w:t>and</w:t>
      </w:r>
    </w:p>
    <w:p>
      <w:pPr>
        <w:pStyle w:val="Defsubpara"/>
      </w:pPr>
      <w:r>
        <w:tab/>
        <w:t>(ii)</w:t>
      </w:r>
      <w:r>
        <w:tab/>
        <w:t>ends on the expiry of the licence.</w:t>
      </w:r>
    </w:p>
    <w:p>
      <w:pPr>
        <w:pStyle w:val="Heading5"/>
        <w:spacing w:before="180"/>
        <w:rPr>
          <w:snapToGrid w:val="0"/>
        </w:rPr>
      </w:pPr>
      <w:bookmarkStart w:id="603" w:name="_Toc166676108"/>
      <w:r>
        <w:rPr>
          <w:rStyle w:val="CharSectno"/>
        </w:rPr>
        <w:t>425</w:t>
      </w:r>
      <w:r>
        <w:rPr>
          <w:snapToGrid w:val="0"/>
        </w:rPr>
        <w:t>.</w:t>
      </w:r>
      <w:r>
        <w:rPr>
          <w:snapToGrid w:val="0"/>
        </w:rPr>
        <w:tab/>
        <w:t>Licence fees</w:t>
      </w:r>
      <w:bookmarkEnd w:id="603"/>
      <w:r>
        <w:rPr>
          <w:snapToGrid w:val="0"/>
        </w:rPr>
        <w:t xml:space="preserve"> </w:t>
      </w:r>
    </w:p>
    <w:p>
      <w:pPr>
        <w:pStyle w:val="Subsection"/>
        <w:spacing w:before="120"/>
        <w:rPr>
          <w:snapToGrid w:val="0"/>
        </w:rPr>
      </w:pPr>
      <w:r>
        <w:rPr>
          <w:snapToGrid w:val="0"/>
        </w:rPr>
        <w:tab/>
        <w:t>(1)</w:t>
      </w:r>
      <w:r>
        <w:rPr>
          <w:snapToGrid w:val="0"/>
        </w:rPr>
        <w:tab/>
        <w:t>A licence holder must pay a fee to the Minister for each year during which the licence is in force.</w:t>
      </w:r>
    </w:p>
    <w:p>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Subsection"/>
        <w:spacing w:before="120"/>
        <w:rPr>
          <w:snapToGrid w:val="0"/>
        </w:rPr>
      </w:pPr>
      <w:r>
        <w:rPr>
          <w:snapToGrid w:val="0"/>
        </w:rPr>
        <w:tab/>
        <w:t>(3)</w:t>
      </w:r>
      <w:r>
        <w:rPr>
          <w:snapToGrid w:val="0"/>
        </w:rPr>
        <w:tab/>
        <w:t>If the licence has 2 or more holders, the holders are jointly and severally liable to pay the fee.</w:t>
      </w:r>
    </w:p>
    <w:p>
      <w:pPr>
        <w:pStyle w:val="Heading5"/>
        <w:rPr>
          <w:snapToGrid w:val="0"/>
        </w:rPr>
      </w:pPr>
      <w:bookmarkStart w:id="604" w:name="_Toc166676109"/>
      <w:r>
        <w:rPr>
          <w:rStyle w:val="CharSectno"/>
        </w:rPr>
        <w:t>426</w:t>
      </w:r>
      <w:r>
        <w:rPr>
          <w:snapToGrid w:val="0"/>
        </w:rPr>
        <w:t>.</w:t>
      </w:r>
      <w:r>
        <w:rPr>
          <w:snapToGrid w:val="0"/>
        </w:rPr>
        <w:tab/>
        <w:t>Limit on amount of fees</w:t>
      </w:r>
      <w:bookmarkEnd w:id="604"/>
      <w:r>
        <w:rPr>
          <w:snapToGrid w:val="0"/>
        </w:rPr>
        <w:t xml:space="preserve"> </w:t>
      </w:r>
    </w:p>
    <w:p>
      <w:pPr>
        <w:pStyle w:val="Subsection"/>
        <w:rPr>
          <w:snapToGrid w:val="0"/>
        </w:rPr>
      </w:pPr>
      <w:r>
        <w:rPr>
          <w:snapToGrid w:val="0"/>
        </w:rPr>
        <w:tab/>
        <w:t>(1)</w:t>
      </w:r>
      <w:r>
        <w:rPr>
          <w:snapToGrid w:val="0"/>
        </w:rPr>
        <w:tab/>
        <w:t>The amount of the fee for an exploration licence for a year is not to exceed whichever is the greater of — </w:t>
      </w:r>
    </w:p>
    <w:p>
      <w:pPr>
        <w:pStyle w:val="Indenta"/>
        <w:rPr>
          <w:snapToGrid w:val="0"/>
        </w:rPr>
      </w:pPr>
      <w:r>
        <w:rPr>
          <w:snapToGrid w:val="0"/>
        </w:rPr>
        <w:lastRenderedPageBreak/>
        <w:tab/>
        <w:t>(a)</w:t>
      </w:r>
      <w:r>
        <w:rPr>
          <w:snapToGrid w:val="0"/>
        </w:rPr>
        <w:tab/>
        <w:t>$2 000; or</w:t>
      </w:r>
    </w:p>
    <w:p>
      <w:pPr>
        <w:pStyle w:val="Indenta"/>
        <w:rPr>
          <w:snapToGrid w:val="0"/>
        </w:rPr>
      </w:pPr>
      <w:r>
        <w:rPr>
          <w:snapToGrid w:val="0"/>
        </w:rPr>
        <w:tab/>
        <w:t>(b)</w:t>
      </w:r>
      <w:r>
        <w:rPr>
          <w:snapToGrid w:val="0"/>
        </w:rPr>
        <w:tab/>
        <w:t>the amount obtained by multiplying $100 by the number of blocks covered by the licence at the beginning of the year.</w:t>
      </w:r>
    </w:p>
    <w:p>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Heading5"/>
        <w:rPr>
          <w:snapToGrid w:val="0"/>
        </w:rPr>
      </w:pPr>
      <w:bookmarkStart w:id="605" w:name="_Toc166676110"/>
      <w:r>
        <w:rPr>
          <w:rStyle w:val="CharSectno"/>
        </w:rPr>
        <w:t>427</w:t>
      </w:r>
      <w:r>
        <w:rPr>
          <w:snapToGrid w:val="0"/>
        </w:rPr>
        <w:t>.</w:t>
      </w:r>
      <w:r>
        <w:rPr>
          <w:snapToGrid w:val="0"/>
        </w:rPr>
        <w:tab/>
        <w:t>Time for payment</w:t>
      </w:r>
      <w:bookmarkEnd w:id="605"/>
      <w:r>
        <w:rPr>
          <w:snapToGrid w:val="0"/>
        </w:rPr>
        <w:t xml:space="preserve"> </w:t>
      </w:r>
    </w:p>
    <w:p>
      <w:pPr>
        <w:pStyle w:val="Subsection"/>
        <w:rPr>
          <w:snapToGrid w:val="0"/>
        </w:rPr>
      </w:pPr>
      <w:r>
        <w:rPr>
          <w:snapToGrid w:val="0"/>
        </w:rPr>
        <w:tab/>
      </w:r>
      <w:r>
        <w:rPr>
          <w:snapToGrid w:val="0"/>
        </w:rPr>
        <w:tab/>
        <w:t>The fee for a year becomes payable one month after the day on which the year begins.</w:t>
      </w:r>
    </w:p>
    <w:p>
      <w:pPr>
        <w:pStyle w:val="Heading4"/>
        <w:keepNext w:val="0"/>
        <w:rPr>
          <w:b w:val="0"/>
        </w:rPr>
      </w:pPr>
      <w:bookmarkStart w:id="606" w:name="_Toc166675291"/>
      <w:bookmarkStart w:id="607" w:name="_Toc166675806"/>
      <w:bookmarkStart w:id="608" w:name="_Toc166676111"/>
      <w:r>
        <w:rPr>
          <w:b w:val="0"/>
          <w:snapToGrid w:val="0"/>
        </w:rPr>
        <w:t>Division 2 — Royalty</w:t>
      </w:r>
      <w:bookmarkEnd w:id="606"/>
      <w:bookmarkEnd w:id="607"/>
      <w:bookmarkEnd w:id="608"/>
    </w:p>
    <w:p>
      <w:pPr>
        <w:pStyle w:val="Heading5"/>
        <w:keepNext w:val="0"/>
        <w:keepLines w:val="0"/>
        <w:rPr>
          <w:snapToGrid w:val="0"/>
        </w:rPr>
      </w:pPr>
      <w:bookmarkStart w:id="609" w:name="_Toc166676112"/>
      <w:r>
        <w:rPr>
          <w:rStyle w:val="CharSectno"/>
        </w:rPr>
        <w:t>428</w:t>
      </w:r>
      <w:r>
        <w:rPr>
          <w:snapToGrid w:val="0"/>
        </w:rPr>
        <w:t>.</w:t>
      </w:r>
      <w:r>
        <w:rPr>
          <w:snapToGrid w:val="0"/>
        </w:rPr>
        <w:tab/>
        <w:t>Definition</w:t>
      </w:r>
      <w:bookmarkEnd w:id="60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royalty period</w:t>
      </w:r>
      <w:r>
        <w:t>, in relation to a mining licence, means — </w:t>
      </w:r>
    </w:p>
    <w:p>
      <w:pPr>
        <w:pStyle w:val="Defpara"/>
      </w:pPr>
      <w:r>
        <w:tab/>
        <w:t>(a)</w:t>
      </w:r>
      <w:r>
        <w:tab/>
        <w:t>the period from (and including) the day on which the licence takes effect to (and including) the next 30 June or 31 December whichever is the earlier; and</w:t>
      </w:r>
    </w:p>
    <w:p>
      <w:pPr>
        <w:pStyle w:val="Defpara"/>
      </w:pPr>
      <w:r>
        <w:tab/>
        <w:t>(b)</w:t>
      </w:r>
      <w:r>
        <w:tab/>
        <w:t>each period of 6 months after that period.</w:t>
      </w:r>
    </w:p>
    <w:p>
      <w:pPr>
        <w:pStyle w:val="Heading5"/>
        <w:rPr>
          <w:snapToGrid w:val="0"/>
        </w:rPr>
      </w:pPr>
      <w:bookmarkStart w:id="610" w:name="_Toc166676113"/>
      <w:r>
        <w:rPr>
          <w:rStyle w:val="CharSectno"/>
        </w:rPr>
        <w:t>429</w:t>
      </w:r>
      <w:r>
        <w:rPr>
          <w:snapToGrid w:val="0"/>
        </w:rPr>
        <w:t>.</w:t>
      </w:r>
      <w:r>
        <w:rPr>
          <w:snapToGrid w:val="0"/>
        </w:rPr>
        <w:tab/>
        <w:t>Royalty</w:t>
      </w:r>
      <w:bookmarkEnd w:id="610"/>
      <w:r>
        <w:rPr>
          <w:snapToGrid w:val="0"/>
        </w:rPr>
        <w:t xml:space="preserve"> </w:t>
      </w:r>
    </w:p>
    <w:p>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Heading5"/>
        <w:rPr>
          <w:snapToGrid w:val="0"/>
        </w:rPr>
      </w:pPr>
      <w:bookmarkStart w:id="611" w:name="_Toc166676114"/>
      <w:r>
        <w:rPr>
          <w:rStyle w:val="CharSectno"/>
        </w:rPr>
        <w:lastRenderedPageBreak/>
        <w:t>430</w:t>
      </w:r>
      <w:r>
        <w:rPr>
          <w:snapToGrid w:val="0"/>
        </w:rPr>
        <w:t>.</w:t>
      </w:r>
      <w:r>
        <w:rPr>
          <w:snapToGrid w:val="0"/>
        </w:rPr>
        <w:tab/>
        <w:t>Rate of royalty</w:t>
      </w:r>
      <w:bookmarkEnd w:id="611"/>
      <w:r>
        <w:rPr>
          <w:snapToGrid w:val="0"/>
        </w:rPr>
        <w:t xml:space="preserve"> </w:t>
      </w:r>
    </w:p>
    <w:p>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Heading5"/>
        <w:rPr>
          <w:snapToGrid w:val="0"/>
        </w:rPr>
      </w:pPr>
      <w:bookmarkStart w:id="612" w:name="_Toc166676115"/>
      <w:r>
        <w:rPr>
          <w:rStyle w:val="CharSectno"/>
        </w:rPr>
        <w:t>431</w:t>
      </w:r>
      <w:r>
        <w:rPr>
          <w:snapToGrid w:val="0"/>
        </w:rPr>
        <w:t>.</w:t>
      </w:r>
      <w:r>
        <w:rPr>
          <w:snapToGrid w:val="0"/>
        </w:rPr>
        <w:tab/>
        <w:t>Reduction of royalty in certain cases</w:t>
      </w:r>
      <w:bookmarkEnd w:id="612"/>
      <w:r>
        <w:rPr>
          <w:snapToGrid w:val="0"/>
        </w:rPr>
        <w:t xml:space="preserve"> </w:t>
      </w:r>
    </w:p>
    <w:p>
      <w:pPr>
        <w:pStyle w:val="Subsection"/>
        <w:rPr>
          <w:snapToGrid w:val="0"/>
        </w:rPr>
      </w:pPr>
      <w:r>
        <w:rPr>
          <w:snapToGrid w:val="0"/>
        </w:rPr>
        <w:tab/>
        <w:t>(1)</w:t>
      </w:r>
      <w:r>
        <w:rPr>
          <w:snapToGrid w:val="0"/>
        </w:rPr>
        <w:tab/>
        <w:t>The Minister may determine a rate of royalty that is lower than the rate determined under section 430 for — </w:t>
      </w:r>
    </w:p>
    <w:p>
      <w:pPr>
        <w:pStyle w:val="Indenta"/>
        <w:rPr>
          <w:snapToGrid w:val="0"/>
        </w:rPr>
      </w:pPr>
      <w:r>
        <w:rPr>
          <w:snapToGrid w:val="0"/>
        </w:rPr>
        <w:tab/>
        <w:t>(a)</w:t>
      </w:r>
      <w:r>
        <w:rPr>
          <w:snapToGrid w:val="0"/>
        </w:rPr>
        <w:tab/>
        <w:t>a particular kind of mineral; or</w:t>
      </w:r>
    </w:p>
    <w:p>
      <w:pPr>
        <w:pStyle w:val="Indenta"/>
        <w:rPr>
          <w:snapToGrid w:val="0"/>
        </w:rPr>
      </w:pPr>
      <w:r>
        <w:rPr>
          <w:snapToGrid w:val="0"/>
        </w:rPr>
        <w:tab/>
        <w:t>(b)</w:t>
      </w:r>
      <w:r>
        <w:rPr>
          <w:snapToGrid w:val="0"/>
        </w:rPr>
        <w:tab/>
        <w:t>all minerals recovered under a particular mining licence.</w:t>
      </w:r>
    </w:p>
    <w:p>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Heading5"/>
        <w:rPr>
          <w:snapToGrid w:val="0"/>
        </w:rPr>
      </w:pPr>
      <w:bookmarkStart w:id="613" w:name="_Toc166676116"/>
      <w:r>
        <w:rPr>
          <w:rStyle w:val="CharSectno"/>
        </w:rPr>
        <w:lastRenderedPageBreak/>
        <w:t>432</w:t>
      </w:r>
      <w:r>
        <w:rPr>
          <w:snapToGrid w:val="0"/>
        </w:rPr>
        <w:t>.</w:t>
      </w:r>
      <w:r>
        <w:rPr>
          <w:snapToGrid w:val="0"/>
        </w:rPr>
        <w:tab/>
        <w:t>Fixing of landed value</w:t>
      </w:r>
      <w:bookmarkEnd w:id="613"/>
      <w:r>
        <w:rPr>
          <w:snapToGrid w:val="0"/>
        </w:rPr>
        <w:t xml:space="preserve"> </w:t>
      </w:r>
    </w:p>
    <w:p>
      <w:pPr>
        <w:pStyle w:val="Subsection"/>
        <w:keepNext/>
        <w:keepLines/>
        <w:rPr>
          <w:snapToGrid w:val="0"/>
        </w:rPr>
      </w:pPr>
      <w:r>
        <w:rPr>
          <w:snapToGrid w:val="0"/>
        </w:rPr>
        <w:tab/>
      </w:r>
      <w:r>
        <w:rPr>
          <w:snapToGrid w:val="0"/>
        </w:rPr>
        <w:tab/>
        <w:t>For the purposes of this Division, the landed value of a mineral is — </w:t>
      </w:r>
    </w:p>
    <w:p>
      <w:pPr>
        <w:pStyle w:val="Indenta"/>
        <w:keepNext/>
        <w:rPr>
          <w:snapToGrid w:val="0"/>
        </w:rPr>
      </w:pPr>
      <w:r>
        <w:rPr>
          <w:snapToGrid w:val="0"/>
        </w:rPr>
        <w:tab/>
        <w:t>(a)</w:t>
      </w:r>
      <w:r>
        <w:rPr>
          <w:snapToGrid w:val="0"/>
        </w:rPr>
        <w:tab/>
        <w:t xml:space="preserve">an amount agreed between the mining licence holder and the Minister; or </w:t>
      </w:r>
    </w:p>
    <w:p>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Heading5"/>
        <w:rPr>
          <w:snapToGrid w:val="0"/>
        </w:rPr>
      </w:pPr>
      <w:bookmarkStart w:id="614" w:name="_Toc166676117"/>
      <w:r>
        <w:rPr>
          <w:rStyle w:val="CharSectno"/>
        </w:rPr>
        <w:t>433</w:t>
      </w:r>
      <w:r>
        <w:rPr>
          <w:snapToGrid w:val="0"/>
        </w:rPr>
        <w:t>.</w:t>
      </w:r>
      <w:r>
        <w:rPr>
          <w:snapToGrid w:val="0"/>
        </w:rPr>
        <w:tab/>
        <w:t>Fixing of quantity</w:t>
      </w:r>
      <w:bookmarkEnd w:id="614"/>
      <w:r>
        <w:rPr>
          <w:snapToGrid w:val="0"/>
        </w:rPr>
        <w:t xml:space="preserve"> </w:t>
      </w:r>
    </w:p>
    <w:p>
      <w:pPr>
        <w:pStyle w:val="Subsection"/>
        <w:rPr>
          <w:snapToGrid w:val="0"/>
        </w:rPr>
      </w:pPr>
      <w:r>
        <w:rPr>
          <w:snapToGrid w:val="0"/>
        </w:rPr>
        <w:tab/>
      </w:r>
      <w:r>
        <w:rPr>
          <w:snapToGrid w:val="0"/>
        </w:rPr>
        <w:tab/>
        <w:t>For the purposes of this Division, the quantity of any mineral recovered by a mining licence holder during a royalty period is — </w:t>
      </w:r>
    </w:p>
    <w:p>
      <w:pPr>
        <w:pStyle w:val="Indenta"/>
        <w:rPr>
          <w:snapToGrid w:val="0"/>
        </w:rPr>
      </w:pPr>
      <w:r>
        <w:rPr>
          <w:snapToGrid w:val="0"/>
        </w:rPr>
        <w:tab/>
        <w:t>(a)</w:t>
      </w:r>
      <w:r>
        <w:rPr>
          <w:snapToGrid w:val="0"/>
        </w:rPr>
        <w:tab/>
        <w:t>the quantity agreed between the holder and the Minister; or</w:t>
      </w:r>
    </w:p>
    <w:p>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Heading5"/>
        <w:rPr>
          <w:snapToGrid w:val="0"/>
        </w:rPr>
      </w:pPr>
      <w:bookmarkStart w:id="615" w:name="_Toc166676118"/>
      <w:r>
        <w:rPr>
          <w:rStyle w:val="CharSectno"/>
        </w:rPr>
        <w:t>434</w:t>
      </w:r>
      <w:r>
        <w:rPr>
          <w:snapToGrid w:val="0"/>
        </w:rPr>
        <w:t>.</w:t>
      </w:r>
      <w:r>
        <w:rPr>
          <w:snapToGrid w:val="0"/>
        </w:rPr>
        <w:tab/>
        <w:t>Time for payment</w:t>
      </w:r>
      <w:bookmarkEnd w:id="615"/>
      <w:r>
        <w:rPr>
          <w:snapToGrid w:val="0"/>
        </w:rPr>
        <w:t xml:space="preserve"> </w:t>
      </w:r>
    </w:p>
    <w:p>
      <w:pPr>
        <w:pStyle w:val="Subsection"/>
        <w:rPr>
          <w:snapToGrid w:val="0"/>
        </w:rPr>
      </w:pPr>
      <w:r>
        <w:rPr>
          <w:snapToGrid w:val="0"/>
        </w:rPr>
        <w:tab/>
      </w:r>
      <w:r>
        <w:rPr>
          <w:snapToGrid w:val="0"/>
        </w:rPr>
        <w:tab/>
        <w:t>Royalty for any mineral recovered during a royalty period is payable within one month after the last day of that royalty period.</w:t>
      </w:r>
    </w:p>
    <w:p>
      <w:pPr>
        <w:pStyle w:val="Heading5"/>
        <w:rPr>
          <w:snapToGrid w:val="0"/>
        </w:rPr>
      </w:pPr>
      <w:bookmarkStart w:id="616" w:name="_Toc166676119"/>
      <w:r>
        <w:rPr>
          <w:rStyle w:val="CharSectno"/>
        </w:rPr>
        <w:t>435</w:t>
      </w:r>
      <w:r>
        <w:rPr>
          <w:snapToGrid w:val="0"/>
        </w:rPr>
        <w:t>.</w:t>
      </w:r>
      <w:r>
        <w:rPr>
          <w:snapToGrid w:val="0"/>
        </w:rPr>
        <w:tab/>
        <w:t>State to pay 40% of royalties to Commonwealth</w:t>
      </w:r>
      <w:bookmarkEnd w:id="616"/>
      <w:r>
        <w:rPr>
          <w:snapToGrid w:val="0"/>
        </w:rPr>
        <w:t xml:space="preserve"> </w:t>
      </w:r>
    </w:p>
    <w:p>
      <w:pPr>
        <w:pStyle w:val="Subsection"/>
        <w:rPr>
          <w:snapToGrid w:val="0"/>
        </w:rPr>
      </w:pPr>
      <w:r>
        <w:rPr>
          <w:snapToGrid w:val="0"/>
        </w:rPr>
        <w:tab/>
        <w:t>(1)</w:t>
      </w:r>
      <w:r>
        <w:rPr>
          <w:snapToGrid w:val="0"/>
        </w:rPr>
        <w:tab/>
        <w:t>The State is to pay to the Commonwealth 40% of royalties received under this Division.</w:t>
      </w:r>
    </w:p>
    <w:p>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royalty</w:t>
      </w:r>
      <w:r>
        <w:t xml:space="preserve"> includes any penalty for late payment of royalty.</w:t>
      </w:r>
    </w:p>
    <w:p>
      <w:pPr>
        <w:pStyle w:val="Heading4"/>
        <w:rPr>
          <w:b w:val="0"/>
        </w:rPr>
      </w:pPr>
      <w:bookmarkStart w:id="617" w:name="_Toc166675300"/>
      <w:bookmarkStart w:id="618" w:name="_Toc166675815"/>
      <w:bookmarkStart w:id="619" w:name="_Toc166676120"/>
      <w:r>
        <w:rPr>
          <w:b w:val="0"/>
        </w:rPr>
        <w:lastRenderedPageBreak/>
        <w:t>Division 3 — Penalties and recovery</w:t>
      </w:r>
      <w:bookmarkEnd w:id="617"/>
      <w:bookmarkEnd w:id="618"/>
      <w:bookmarkEnd w:id="619"/>
    </w:p>
    <w:p>
      <w:pPr>
        <w:pStyle w:val="Heading5"/>
        <w:rPr>
          <w:snapToGrid w:val="0"/>
        </w:rPr>
      </w:pPr>
      <w:bookmarkStart w:id="620" w:name="_Toc166676121"/>
      <w:r>
        <w:rPr>
          <w:rStyle w:val="CharSectno"/>
        </w:rPr>
        <w:t>436</w:t>
      </w:r>
      <w:r>
        <w:rPr>
          <w:snapToGrid w:val="0"/>
        </w:rPr>
        <w:t>.</w:t>
      </w:r>
      <w:r>
        <w:rPr>
          <w:snapToGrid w:val="0"/>
        </w:rPr>
        <w:tab/>
        <w:t>Penalty if fee or royalty overdue</w:t>
      </w:r>
      <w:bookmarkEnd w:id="620"/>
      <w:r>
        <w:rPr>
          <w:snapToGrid w:val="0"/>
        </w:rPr>
        <w:t xml:space="preserve"> </w:t>
      </w:r>
    </w:p>
    <w:p>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Subsection"/>
        <w:rPr>
          <w:snapToGrid w:val="0"/>
        </w:rPr>
      </w:pPr>
      <w:r>
        <w:rPr>
          <w:snapToGrid w:val="0"/>
        </w:rPr>
        <w:tab/>
        <w:t>(2)</w:t>
      </w:r>
      <w:r>
        <w:rPr>
          <w:snapToGrid w:val="0"/>
        </w:rPr>
        <w:tab/>
        <w:t>The penalty is to be calculated — </w:t>
      </w:r>
    </w:p>
    <w:p>
      <w:pPr>
        <w:pStyle w:val="Indenta"/>
        <w:rPr>
          <w:snapToGrid w:val="0"/>
        </w:rPr>
      </w:pPr>
      <w:r>
        <w:rPr>
          <w:snapToGrid w:val="0"/>
        </w:rPr>
        <w:tab/>
        <w:t>(a)</w:t>
      </w:r>
      <w:r>
        <w:rPr>
          <w:snapToGrid w:val="0"/>
        </w:rPr>
        <w:tab/>
        <w:t>on the amount of the fee or royalty that remains unpaid; and</w:t>
      </w:r>
    </w:p>
    <w:p>
      <w:pPr>
        <w:pStyle w:val="Indenta"/>
        <w:rPr>
          <w:snapToGrid w:val="0"/>
        </w:rPr>
      </w:pPr>
      <w:r>
        <w:rPr>
          <w:snapToGrid w:val="0"/>
        </w:rPr>
        <w:tab/>
        <w:t>(b)</w:t>
      </w:r>
      <w:r>
        <w:rPr>
          <w:snapToGrid w:val="0"/>
        </w:rPr>
        <w:tab/>
        <w:t>at the rate of 0.33% for each day during which the fee or royalty is unpaid.</w:t>
      </w:r>
    </w:p>
    <w:p>
      <w:pPr>
        <w:pStyle w:val="Subsection"/>
        <w:rPr>
          <w:snapToGrid w:val="0"/>
        </w:rPr>
      </w:pPr>
      <w:r>
        <w:rPr>
          <w:snapToGrid w:val="0"/>
        </w:rPr>
        <w:tab/>
        <w:t>(3)</w:t>
      </w:r>
      <w:r>
        <w:rPr>
          <w:snapToGrid w:val="0"/>
        </w:rPr>
        <w:tab/>
        <w:t>A penalty is not payable under subsection (1) on an amount of royalty in respect of any period until 7 days after — </w:t>
      </w:r>
    </w:p>
    <w:p>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Heading5"/>
        <w:rPr>
          <w:snapToGrid w:val="0"/>
        </w:rPr>
      </w:pPr>
      <w:bookmarkStart w:id="621" w:name="_Toc166676122"/>
      <w:r>
        <w:rPr>
          <w:rStyle w:val="CharSectno"/>
        </w:rPr>
        <w:t>437</w:t>
      </w:r>
      <w:r>
        <w:rPr>
          <w:snapToGrid w:val="0"/>
        </w:rPr>
        <w:t>.</w:t>
      </w:r>
      <w:r>
        <w:rPr>
          <w:snapToGrid w:val="0"/>
        </w:rPr>
        <w:tab/>
        <w:t>Fees etc. recoverable as debts</w:t>
      </w:r>
      <w:bookmarkEnd w:id="621"/>
      <w:r>
        <w:rPr>
          <w:snapToGrid w:val="0"/>
        </w:rPr>
        <w:t xml:space="preserve"> </w:t>
      </w:r>
    </w:p>
    <w:p>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Heading2"/>
      </w:pPr>
      <w:bookmarkStart w:id="622" w:name="_Toc166675303"/>
      <w:bookmarkStart w:id="623" w:name="_Toc166675818"/>
      <w:bookmarkStart w:id="624" w:name="_Toc166676123"/>
      <w:r>
        <w:rPr>
          <w:rStyle w:val="CharPartNo"/>
        </w:rPr>
        <w:lastRenderedPageBreak/>
        <w:t>Chapter 5</w:t>
      </w:r>
      <w:r>
        <w:rPr>
          <w:rStyle w:val="CharDivNo"/>
        </w:rPr>
        <w:t xml:space="preserve"> </w:t>
      </w:r>
      <w:r>
        <w:t>—</w:t>
      </w:r>
      <w:r>
        <w:rPr>
          <w:rStyle w:val="CharDivText"/>
        </w:rPr>
        <w:t xml:space="preserve"> </w:t>
      </w:r>
      <w:r>
        <w:rPr>
          <w:rStyle w:val="CharPartText"/>
        </w:rPr>
        <w:t>Miscellaneous</w:t>
      </w:r>
      <w:bookmarkEnd w:id="622"/>
      <w:bookmarkEnd w:id="623"/>
      <w:bookmarkEnd w:id="624"/>
    </w:p>
    <w:p>
      <w:pPr>
        <w:pStyle w:val="Heading5"/>
        <w:rPr>
          <w:snapToGrid w:val="0"/>
        </w:rPr>
      </w:pPr>
      <w:bookmarkStart w:id="625" w:name="_Toc166676124"/>
      <w:r>
        <w:rPr>
          <w:rStyle w:val="CharSectno"/>
        </w:rPr>
        <w:t>438</w:t>
      </w:r>
      <w:r>
        <w:rPr>
          <w:snapToGrid w:val="0"/>
        </w:rPr>
        <w:t>.</w:t>
      </w:r>
      <w:r>
        <w:rPr>
          <w:snapToGrid w:val="0"/>
        </w:rPr>
        <w:tab/>
        <w:t>State functions under Part 5.1 of Commonwealth Act</w:t>
      </w:r>
      <w:bookmarkEnd w:id="625"/>
      <w:r>
        <w:rPr>
          <w:snapToGrid w:val="0"/>
        </w:rPr>
        <w:t xml:space="preserve"> </w:t>
      </w:r>
    </w:p>
    <w:p>
      <w:pPr>
        <w:pStyle w:val="Subsection"/>
        <w:rPr>
          <w:snapToGrid w:val="0"/>
        </w:rPr>
      </w:pPr>
      <w:r>
        <w:rPr>
          <w:snapToGrid w:val="0"/>
        </w:rPr>
        <w:tab/>
        <w:t>(1)</w:t>
      </w:r>
      <w:r>
        <w:rPr>
          <w:snapToGrid w:val="0"/>
        </w:rPr>
        <w:tab/>
        <w:t>A State court may exercise any jurisdiction that is conferred on the court by the Commonwealth Act.</w:t>
      </w:r>
    </w:p>
    <w:p>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State authority</w:t>
      </w:r>
      <w:r>
        <w:t xml:space="preserve"> means — </w:t>
      </w:r>
    </w:p>
    <w:p>
      <w:pPr>
        <w:pStyle w:val="Defpara"/>
      </w:pPr>
      <w:r>
        <w:tab/>
        <w:t>(a)</w:t>
      </w:r>
      <w:r>
        <w:tab/>
        <w:t>the Governor in Executive Council;</w:t>
      </w:r>
    </w:p>
    <w:p>
      <w:pPr>
        <w:pStyle w:val="Defpara"/>
      </w:pPr>
      <w:r>
        <w:tab/>
        <w:t>(b)</w:t>
      </w:r>
      <w:r>
        <w:tab/>
        <w:t>a Minister of the Crown in right of the State;</w:t>
      </w:r>
    </w:p>
    <w:p>
      <w:pPr>
        <w:pStyle w:val="Defpara"/>
      </w:pPr>
      <w:r>
        <w:tab/>
        <w:t>(c)</w:t>
      </w:r>
      <w:r>
        <w:tab/>
        <w:t>a department of the Public Service of the State;</w:t>
      </w:r>
    </w:p>
    <w:p>
      <w:pPr>
        <w:pStyle w:val="Defpara"/>
      </w:pPr>
      <w:r>
        <w:tab/>
        <w:t>(d)</w:t>
      </w:r>
      <w:r>
        <w:tab/>
        <w:t>an agency, authority or instrumentality established under a written law of the State;</w:t>
      </w:r>
    </w:p>
    <w:p>
      <w:pPr>
        <w:pStyle w:val="Defpara"/>
      </w:pPr>
      <w:r>
        <w:tab/>
        <w:t>(e)</w:t>
      </w:r>
      <w:r>
        <w:tab/>
        <w:t>a person holding or exercising the powers of an office established under a written law of the State;</w:t>
      </w:r>
    </w:p>
    <w:p>
      <w:pPr>
        <w:pStyle w:val="Defpara"/>
      </w:pPr>
      <w:r>
        <w:tab/>
        <w:t>(f)</w:t>
      </w:r>
      <w:r>
        <w:tab/>
        <w:t>an officer or employee of — </w:t>
      </w:r>
    </w:p>
    <w:p>
      <w:pPr>
        <w:pStyle w:val="Defsubpara"/>
      </w:pPr>
      <w:r>
        <w:tab/>
        <w:t>(i)</w:t>
      </w:r>
      <w:r>
        <w:tab/>
        <w:t>an agency, authority or instrumentality referred to in paragraph (d); or</w:t>
      </w:r>
    </w:p>
    <w:p>
      <w:pPr>
        <w:pStyle w:val="Defsubpara"/>
      </w:pPr>
      <w:r>
        <w:tab/>
        <w:t>(ii)</w:t>
      </w:r>
      <w:r>
        <w:tab/>
        <w:t>a person referred to in paragraph (e);</w:t>
      </w:r>
    </w:p>
    <w:p>
      <w:pPr>
        <w:pStyle w:val="Defpara"/>
      </w:pPr>
      <w:r>
        <w:tab/>
        <w:t>(g)</w:t>
      </w:r>
      <w:r>
        <w:tab/>
        <w:t>an officer appointed, or a person employed, under any other written law of the State;</w:t>
      </w:r>
    </w:p>
    <w:p>
      <w:pPr>
        <w:pStyle w:val="Defpara"/>
      </w:pPr>
      <w:r>
        <w:tab/>
        <w:t>(h)</w:t>
      </w:r>
      <w:r>
        <w:tab/>
        <w:t>any other person or entity prescribed by the regulations to be a State authority for the purposes of this section;</w:t>
      </w:r>
    </w:p>
    <w:p>
      <w:pPr>
        <w:pStyle w:val="Defstart"/>
      </w:pPr>
      <w:r>
        <w:rPr>
          <w:b/>
        </w:rPr>
        <w:tab/>
      </w:r>
      <w:r>
        <w:rPr>
          <w:rStyle w:val="CharDefText"/>
        </w:rPr>
        <w:t>State court</w:t>
      </w:r>
      <w:r>
        <w:t xml:space="preserve"> means a court or other tribunal of the State.</w:t>
      </w:r>
    </w:p>
    <w:p>
      <w:pPr>
        <w:pStyle w:val="Heading5"/>
        <w:rPr>
          <w:i/>
        </w:rPr>
      </w:pPr>
      <w:bookmarkStart w:id="626" w:name="_Toc166676125"/>
      <w:r>
        <w:rPr>
          <w:rStyle w:val="CharSectno"/>
        </w:rPr>
        <w:t>439</w:t>
      </w:r>
      <w:r>
        <w:t>.</w:t>
      </w:r>
      <w:r>
        <w:tab/>
        <w:t xml:space="preserve">Minister’s approval required for certain transactions under </w:t>
      </w:r>
      <w:r>
        <w:rPr>
          <w:i/>
        </w:rPr>
        <w:t>Land Administration Act 1997</w:t>
      </w:r>
      <w:bookmarkEnd w:id="626"/>
    </w:p>
    <w:p>
      <w:pPr>
        <w:pStyle w:val="Subsection"/>
      </w:pPr>
      <w:r>
        <w:tab/>
      </w:r>
      <w:r>
        <w:tab/>
        <w:t xml:space="preserve">No Crown land that is in coastal waters is to be leased, transferred in fee simple, or otherwise disposed of, under the </w:t>
      </w:r>
      <w:r>
        <w:rPr>
          <w:i/>
        </w:rPr>
        <w:lastRenderedPageBreak/>
        <w:t>Land Administration Act 1997</w:t>
      </w:r>
      <w:r>
        <w:t xml:space="preserve"> without the approval of the Minister.</w:t>
      </w:r>
    </w:p>
    <w:p>
      <w:pPr>
        <w:pStyle w:val="Heading5"/>
        <w:rPr>
          <w:snapToGrid w:val="0"/>
        </w:rPr>
      </w:pPr>
      <w:bookmarkStart w:id="627" w:name="_Toc166676126"/>
      <w:r>
        <w:rPr>
          <w:rStyle w:val="CharSectno"/>
        </w:rPr>
        <w:t>440</w:t>
      </w:r>
      <w:r>
        <w:rPr>
          <w:snapToGrid w:val="0"/>
        </w:rPr>
        <w:t>.</w:t>
      </w:r>
      <w:r>
        <w:rPr>
          <w:snapToGrid w:val="0"/>
        </w:rPr>
        <w:tab/>
        <w:t>Delegation by Minister</w:t>
      </w:r>
      <w:bookmarkEnd w:id="627"/>
      <w:r>
        <w:rPr>
          <w:snapToGrid w:val="0"/>
        </w:rPr>
        <w:t xml:space="preserve"> </w:t>
      </w:r>
    </w:p>
    <w:p>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the Registration Fees Act; or</w:t>
      </w:r>
    </w:p>
    <w:p>
      <w:pPr>
        <w:pStyle w:val="Indenta"/>
        <w:rPr>
          <w:snapToGrid w:val="0"/>
        </w:rPr>
      </w:pPr>
      <w:r>
        <w:rPr>
          <w:snapToGrid w:val="0"/>
        </w:rPr>
        <w:tab/>
        <w:t>(c)</w:t>
      </w:r>
      <w:r>
        <w:rPr>
          <w:snapToGrid w:val="0"/>
        </w:rPr>
        <w:tab/>
        <w:t>regulations made under this Act.</w:t>
      </w:r>
    </w:p>
    <w:p>
      <w:pPr>
        <w:pStyle w:val="PermNoteHeading"/>
      </w:pPr>
      <w:r>
        <w:tab/>
        <w:t>Note:</w:t>
      </w:r>
    </w:p>
    <w:p>
      <w:pPr>
        <w:pStyle w:val="PermNoteText"/>
      </w:pPr>
      <w:r>
        <w:tab/>
      </w:r>
      <w:r>
        <w:tab/>
        <w:t xml:space="preserve">See also sections 58 and 59 of the </w:t>
      </w:r>
      <w:r>
        <w:rPr>
          <w:i/>
        </w:rPr>
        <w:t>Interpretation Act 1984</w:t>
      </w:r>
      <w:r>
        <w:t>.</w:t>
      </w:r>
    </w:p>
    <w:p>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Subsection"/>
        <w:rPr>
          <w:snapToGrid w:val="0"/>
        </w:rPr>
      </w:pPr>
      <w:r>
        <w:rPr>
          <w:snapToGrid w:val="0"/>
        </w:rPr>
        <w:tab/>
        <w:t>(3)</w:t>
      </w:r>
      <w:r>
        <w:rPr>
          <w:snapToGrid w:val="0"/>
        </w:rPr>
        <w:tab/>
        <w:t>If the Minister delegates the performance of a function under this section, the delegation continues in force despite — </w:t>
      </w:r>
    </w:p>
    <w:p>
      <w:pPr>
        <w:pStyle w:val="Indenta"/>
        <w:rPr>
          <w:snapToGrid w:val="0"/>
        </w:rPr>
      </w:pPr>
      <w:r>
        <w:rPr>
          <w:snapToGrid w:val="0"/>
        </w:rPr>
        <w:tab/>
        <w:t>(a)</w:t>
      </w:r>
      <w:r>
        <w:rPr>
          <w:snapToGrid w:val="0"/>
        </w:rPr>
        <w:tab/>
        <w:t>a vacancy in the office of Minister; or</w:t>
      </w:r>
    </w:p>
    <w:p>
      <w:pPr>
        <w:pStyle w:val="Indenta"/>
        <w:rPr>
          <w:snapToGrid w:val="0"/>
        </w:rPr>
      </w:pPr>
      <w:r>
        <w:rPr>
          <w:snapToGrid w:val="0"/>
        </w:rPr>
        <w:tab/>
        <w:t>(b)</w:t>
      </w:r>
      <w:r>
        <w:rPr>
          <w:snapToGrid w:val="0"/>
        </w:rPr>
        <w:tab/>
        <w:t>a change in the identity of the holder of the office of Minister.</w:t>
      </w:r>
    </w:p>
    <w:p>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Heading5"/>
        <w:rPr>
          <w:snapToGrid w:val="0"/>
        </w:rPr>
      </w:pPr>
      <w:bookmarkStart w:id="628" w:name="_Toc166676127"/>
      <w:r>
        <w:rPr>
          <w:rStyle w:val="CharSectno"/>
        </w:rPr>
        <w:t>441</w:t>
      </w:r>
      <w:r>
        <w:rPr>
          <w:snapToGrid w:val="0"/>
        </w:rPr>
        <w:t>.</w:t>
      </w:r>
      <w:r>
        <w:rPr>
          <w:snapToGrid w:val="0"/>
        </w:rPr>
        <w:tab/>
        <w:t>False statements</w:t>
      </w:r>
      <w:bookmarkEnd w:id="628"/>
      <w:r>
        <w:rPr>
          <w:snapToGrid w:val="0"/>
        </w:rPr>
        <w:t xml:space="preserve"> </w:t>
      </w:r>
    </w:p>
    <w:p>
      <w:pPr>
        <w:pStyle w:val="Subsection"/>
        <w:rPr>
          <w:snapToGrid w:val="0"/>
        </w:rPr>
      </w:pPr>
      <w:r>
        <w:rPr>
          <w:snapToGrid w:val="0"/>
        </w:rPr>
        <w:tab/>
      </w:r>
      <w:r>
        <w:rPr>
          <w:snapToGrid w:val="0"/>
        </w:rPr>
        <w:tab/>
        <w:t>A person must not in connection with — </w:t>
      </w:r>
    </w:p>
    <w:p>
      <w:pPr>
        <w:pStyle w:val="Indenta"/>
        <w:rPr>
          <w:snapToGrid w:val="0"/>
        </w:rPr>
      </w:pPr>
      <w:r>
        <w:rPr>
          <w:snapToGrid w:val="0"/>
        </w:rPr>
        <w:tab/>
        <w:t>(a)</w:t>
      </w:r>
      <w:r>
        <w:rPr>
          <w:snapToGrid w:val="0"/>
        </w:rPr>
        <w:tab/>
        <w:t>any application or request to the Minister; or</w:t>
      </w:r>
    </w:p>
    <w:p>
      <w:pPr>
        <w:pStyle w:val="Indenta"/>
        <w:rPr>
          <w:snapToGrid w:val="0"/>
        </w:rPr>
      </w:pPr>
      <w:r>
        <w:rPr>
          <w:snapToGrid w:val="0"/>
        </w:rPr>
        <w:tab/>
        <w:t>(b)</w:t>
      </w:r>
      <w:r>
        <w:rPr>
          <w:snapToGrid w:val="0"/>
        </w:rPr>
        <w:tab/>
        <w:t>the lodgment of any document,</w:t>
      </w:r>
    </w:p>
    <w:p>
      <w:pPr>
        <w:pStyle w:val="Subsection"/>
        <w:rPr>
          <w:snapToGrid w:val="0"/>
        </w:rPr>
      </w:pPr>
      <w:r>
        <w:rPr>
          <w:snapToGrid w:val="0"/>
        </w:rPr>
        <w:tab/>
      </w:r>
      <w:r>
        <w:rPr>
          <w:snapToGrid w:val="0"/>
        </w:rPr>
        <w:tab/>
        <w:t>under this Act give any information or make any statement — </w:t>
      </w:r>
    </w:p>
    <w:p>
      <w:pPr>
        <w:pStyle w:val="Indenta"/>
        <w:rPr>
          <w:snapToGrid w:val="0"/>
        </w:rPr>
      </w:pPr>
      <w:r>
        <w:rPr>
          <w:snapToGrid w:val="0"/>
        </w:rPr>
        <w:tab/>
        <w:t>(c)</w:t>
      </w:r>
      <w:r>
        <w:rPr>
          <w:snapToGrid w:val="0"/>
        </w:rPr>
        <w:tab/>
        <w:t>that the person knows to be false in a material particular; or</w:t>
      </w:r>
    </w:p>
    <w:p>
      <w:pPr>
        <w:pStyle w:val="Indenta"/>
        <w:keepNext/>
        <w:rPr>
          <w:snapToGrid w:val="0"/>
        </w:rPr>
      </w:pPr>
      <w:r>
        <w:rPr>
          <w:snapToGrid w:val="0"/>
        </w:rPr>
        <w:lastRenderedPageBreak/>
        <w:tab/>
        <w:t>(d)</w:t>
      </w:r>
      <w:r>
        <w:rPr>
          <w:snapToGrid w:val="0"/>
        </w:rPr>
        <w:tab/>
        <w:t>that is false in a material particular and that the person does not believe to be true.</w:t>
      </w:r>
    </w:p>
    <w:p>
      <w:pPr>
        <w:pStyle w:val="Penstart"/>
        <w:keepNext/>
        <w:keepLines/>
        <w:rPr>
          <w:snapToGrid w:val="0"/>
        </w:rPr>
      </w:pPr>
      <w:r>
        <w:rPr>
          <w:snapToGrid w:val="0"/>
        </w:rPr>
        <w:tab/>
        <w:t>Penalty: $10 000.</w:t>
      </w:r>
    </w:p>
    <w:p>
      <w:pPr>
        <w:pStyle w:val="Heading5"/>
        <w:rPr>
          <w:snapToGrid w:val="0"/>
        </w:rPr>
      </w:pPr>
      <w:bookmarkStart w:id="629" w:name="_Toc166676128"/>
      <w:r>
        <w:rPr>
          <w:rStyle w:val="CharSectno"/>
        </w:rPr>
        <w:t>442</w:t>
      </w:r>
      <w:r>
        <w:rPr>
          <w:snapToGrid w:val="0"/>
        </w:rPr>
        <w:t>.</w:t>
      </w:r>
      <w:r>
        <w:rPr>
          <w:snapToGrid w:val="0"/>
        </w:rPr>
        <w:tab/>
        <w:t>Service of documents on licence holders etc.</w:t>
      </w:r>
      <w:bookmarkEnd w:id="629"/>
      <w:r>
        <w:rPr>
          <w:snapToGrid w:val="0"/>
        </w:rPr>
        <w:t xml:space="preserve"> </w:t>
      </w:r>
    </w:p>
    <w:p>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PermNoteHeading"/>
      </w:pPr>
      <w:r>
        <w:tab/>
        <w:t>Note:</w:t>
      </w:r>
    </w:p>
    <w:p>
      <w:pPr>
        <w:pStyle w:val="PermNoteText"/>
      </w:pPr>
      <w:r>
        <w:tab/>
      </w:r>
      <w:r>
        <w:tab/>
        <w:t>See section 333 for registration of an address for service.</w:t>
      </w:r>
    </w:p>
    <w:p>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Heading5"/>
      </w:pPr>
      <w:bookmarkStart w:id="630" w:name="_Toc166676129"/>
      <w:r>
        <w:rPr>
          <w:rStyle w:val="CharSectno"/>
        </w:rPr>
        <w:t>443A</w:t>
      </w:r>
      <w:r>
        <w:t>.</w:t>
      </w:r>
      <w:r>
        <w:tab/>
        <w:t xml:space="preserve">Certain things are not personal property for the purposes of the </w:t>
      </w:r>
      <w:r>
        <w:rPr>
          <w:i/>
          <w:iCs/>
        </w:rPr>
        <w:t>Personal Property Securities Act 2009</w:t>
      </w:r>
      <w:r>
        <w:t xml:space="preserve"> (Commonwealth)</w:t>
      </w:r>
      <w:bookmarkEnd w:id="630"/>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licence granted under section 63(a) or 81(1);</w:t>
      </w:r>
    </w:p>
    <w:p>
      <w:pPr>
        <w:pStyle w:val="Indenta"/>
      </w:pPr>
      <w:r>
        <w:tab/>
        <w:t>(b)</w:t>
      </w:r>
      <w:r>
        <w:tab/>
        <w:t>a retention licence granted under section 143(a);</w:t>
      </w:r>
    </w:p>
    <w:p>
      <w:pPr>
        <w:pStyle w:val="Indenta"/>
      </w:pPr>
      <w:r>
        <w:tab/>
        <w:t>(c)</w:t>
      </w:r>
      <w:r>
        <w:tab/>
        <w:t>a mining licence granted under section 206(a) or 225(1);</w:t>
      </w:r>
    </w:p>
    <w:p>
      <w:pPr>
        <w:pStyle w:val="Indenta"/>
      </w:pPr>
      <w:r>
        <w:tab/>
        <w:t>(d)</w:t>
      </w:r>
      <w:r>
        <w:tab/>
        <w:t>a works licence granted under section 276(a).</w:t>
      </w:r>
    </w:p>
    <w:p>
      <w:pPr>
        <w:pStyle w:val="Footnotesection"/>
      </w:pPr>
      <w:r>
        <w:tab/>
        <w:t>[Section 443A inserted: No. 42 of 2011 s. 85.]</w:t>
      </w:r>
    </w:p>
    <w:p>
      <w:pPr>
        <w:pStyle w:val="Heading5"/>
        <w:rPr>
          <w:snapToGrid w:val="0"/>
        </w:rPr>
      </w:pPr>
      <w:bookmarkStart w:id="631" w:name="_Toc166676130"/>
      <w:r>
        <w:rPr>
          <w:rStyle w:val="CharSectno"/>
        </w:rPr>
        <w:t>443</w:t>
      </w:r>
      <w:r>
        <w:rPr>
          <w:snapToGrid w:val="0"/>
        </w:rPr>
        <w:t>.</w:t>
      </w:r>
      <w:r>
        <w:rPr>
          <w:snapToGrid w:val="0"/>
        </w:rPr>
        <w:tab/>
        <w:t>Regulations</w:t>
      </w:r>
      <w:bookmarkEnd w:id="631"/>
      <w:r>
        <w:rPr>
          <w:snapToGrid w:val="0"/>
        </w:rPr>
        <w:t xml:space="preserve"> </w:t>
      </w:r>
    </w:p>
    <w:p>
      <w:pPr>
        <w:pStyle w:val="Subsection"/>
        <w:rPr>
          <w:snapToGrid w:val="0"/>
        </w:rPr>
      </w:pPr>
      <w:r>
        <w:rPr>
          <w:snapToGrid w:val="0"/>
        </w:rPr>
        <w:tab/>
        <w:t>(1)</w:t>
      </w:r>
      <w:r>
        <w:rPr>
          <w:snapToGrid w:val="0"/>
        </w:rPr>
        <w:tab/>
        <w:t>The Governor may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lastRenderedPageBreak/>
        <w:tab/>
        <w:t>(b)</w:t>
      </w:r>
      <w:r>
        <w:rPr>
          <w:snapToGrid w:val="0"/>
        </w:rPr>
        <w:tab/>
        <w:t>necessary or convenient to be prescribed for giving effect to this Act.</w:t>
      </w:r>
    </w:p>
    <w:p>
      <w:pPr>
        <w:pStyle w:val="Subsection"/>
        <w:rPr>
          <w:snapToGrid w:val="0"/>
        </w:rPr>
      </w:pPr>
      <w:r>
        <w:rPr>
          <w:snapToGrid w:val="0"/>
        </w:rPr>
        <w:tab/>
        <w:t>(2)</w:t>
      </w:r>
      <w:r>
        <w:rPr>
          <w:snapToGrid w:val="0"/>
        </w:rPr>
        <w:tab/>
        <w:t>Without limiting subsection (1), the regulations may provide for — </w:t>
      </w:r>
    </w:p>
    <w:p>
      <w:pPr>
        <w:pStyle w:val="Indenta"/>
        <w:rPr>
          <w:snapToGrid w:val="0"/>
        </w:rPr>
      </w:pPr>
      <w:r>
        <w:rPr>
          <w:snapToGrid w:val="0"/>
        </w:rPr>
        <w:tab/>
        <w:t>(a)</w:t>
      </w:r>
      <w:r>
        <w:rPr>
          <w:snapToGrid w:val="0"/>
        </w:rPr>
        <w:tab/>
        <w:t>the control of offshore exploration and mining activities; and</w:t>
      </w:r>
    </w:p>
    <w:p>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Indenta"/>
        <w:rPr>
          <w:snapToGrid w:val="0"/>
        </w:rPr>
      </w:pPr>
      <w:r>
        <w:rPr>
          <w:snapToGrid w:val="0"/>
        </w:rPr>
        <w:tab/>
        <w:t>(c)</w:t>
      </w:r>
      <w:r>
        <w:rPr>
          <w:snapToGrid w:val="0"/>
        </w:rPr>
        <w:tab/>
        <w:t>the conservation and protection of the mineral resources of coastal waters; and</w:t>
      </w:r>
    </w:p>
    <w:p>
      <w:pPr>
        <w:pStyle w:val="Indenta"/>
        <w:keepNext/>
        <w:rPr>
          <w:snapToGrid w:val="0"/>
        </w:rPr>
      </w:pPr>
      <w:r>
        <w:rPr>
          <w:snapToGrid w:val="0"/>
        </w:rPr>
        <w:tab/>
        <w:t>(d)</w:t>
      </w:r>
      <w:r>
        <w:rPr>
          <w:snapToGrid w:val="0"/>
        </w:rPr>
        <w:tab/>
        <w:t>the remedying of — </w:t>
      </w:r>
    </w:p>
    <w:p>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pPr>
        <w:pStyle w:val="Indenti"/>
        <w:rPr>
          <w:snapToGrid w:val="0"/>
        </w:rPr>
      </w:pPr>
      <w:r>
        <w:rPr>
          <w:snapToGrid w:val="0"/>
        </w:rPr>
        <w:tab/>
        <w:t>(ii)</w:t>
      </w:r>
      <w:r>
        <w:rPr>
          <w:snapToGrid w:val="0"/>
        </w:rPr>
        <w:tab/>
        <w:t>damage caused by the escape of substances as a result of offshore exploration and mining activities;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protection of the environment; and</w:t>
      </w:r>
    </w:p>
    <w:p>
      <w:pPr>
        <w:pStyle w:val="Indenta"/>
        <w:rPr>
          <w:snapToGrid w:val="0"/>
        </w:rPr>
      </w:pPr>
      <w:r>
        <w:rPr>
          <w:snapToGrid w:val="0"/>
        </w:rPr>
        <w:tab/>
        <w:t>(f)</w:t>
      </w:r>
      <w:r>
        <w:rPr>
          <w:snapToGrid w:val="0"/>
        </w:rPr>
        <w:tab/>
        <w:t>the keeping of records and samples; and</w:t>
      </w:r>
    </w:p>
    <w:p>
      <w:pPr>
        <w:pStyle w:val="Indenta"/>
        <w:rPr>
          <w:snapToGrid w:val="0"/>
        </w:rPr>
      </w:pPr>
      <w:r>
        <w:rPr>
          <w:snapToGrid w:val="0"/>
        </w:rPr>
        <w:tab/>
        <w:t>(g)</w:t>
      </w:r>
      <w:r>
        <w:rPr>
          <w:snapToGrid w:val="0"/>
        </w:rPr>
        <w:tab/>
        <w:t>the giving of records and samples to the Minister for inspection; and</w:t>
      </w:r>
    </w:p>
    <w:p>
      <w:pPr>
        <w:pStyle w:val="Indenta"/>
        <w:rPr>
          <w:snapToGrid w:val="0"/>
        </w:rPr>
      </w:pPr>
      <w:r>
        <w:rPr>
          <w:snapToGrid w:val="0"/>
        </w:rPr>
        <w:tab/>
        <w:t>(h)</w:t>
      </w:r>
      <w:r>
        <w:rPr>
          <w:snapToGrid w:val="0"/>
        </w:rPr>
        <w:tab/>
        <w:t>the making of returns; and</w:t>
      </w:r>
    </w:p>
    <w:p>
      <w:pPr>
        <w:pStyle w:val="Indenta"/>
        <w:rPr>
          <w:snapToGrid w:val="0"/>
        </w:rPr>
      </w:pPr>
      <w:r>
        <w:rPr>
          <w:snapToGrid w:val="0"/>
        </w:rPr>
        <w:tab/>
        <w:t>(i)</w:t>
      </w:r>
      <w:r>
        <w:rPr>
          <w:snapToGrid w:val="0"/>
        </w:rPr>
        <w:tab/>
        <w:t>the imposition and recovery of fees for access to reports under section 376.</w:t>
      </w:r>
    </w:p>
    <w:p>
      <w:pPr>
        <w:pStyle w:val="PermNoteHeading"/>
      </w:pPr>
      <w:r>
        <w:tab/>
        <w:t>Note:</w:t>
      </w:r>
    </w:p>
    <w:p>
      <w:pPr>
        <w:pStyle w:val="PermNoteText"/>
      </w:pPr>
      <w:r>
        <w:tab/>
      </w:r>
      <w:r>
        <w:tab/>
        <w:t>For “offshore exploration or mining activities” see section 5.</w:t>
      </w:r>
    </w:p>
    <w:p>
      <w:pPr>
        <w:pStyle w:val="Subsection"/>
        <w:keepNext/>
        <w:keepLines/>
        <w:rPr>
          <w:snapToGrid w:val="0"/>
        </w:rPr>
      </w:pPr>
      <w:r>
        <w:rPr>
          <w:snapToGrid w:val="0"/>
        </w:rPr>
        <w:lastRenderedPageBreak/>
        <w:tab/>
        <w:t>(3)</w:t>
      </w:r>
      <w:r>
        <w:rPr>
          <w:snapToGrid w:val="0"/>
        </w:rPr>
        <w:tab/>
        <w:t>For the purposes of subsection (2), the control of offshore exploration and mining activities extends to the control of — </w:t>
      </w:r>
    </w:p>
    <w:p>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pPr>
        <w:pStyle w:val="Indenta"/>
        <w:rPr>
          <w:snapToGrid w:val="0"/>
        </w:rPr>
      </w:pPr>
      <w:r>
        <w:rPr>
          <w:snapToGrid w:val="0"/>
        </w:rPr>
        <w:tab/>
        <w:t>(b)</w:t>
      </w:r>
      <w:r>
        <w:rPr>
          <w:snapToGrid w:val="0"/>
        </w:rPr>
        <w:tab/>
        <w:t>the flow or discharge of fluids arising from offshore exploration and mining activities; and</w:t>
      </w:r>
    </w:p>
    <w:p>
      <w:pPr>
        <w:pStyle w:val="Indenta"/>
        <w:rPr>
          <w:snapToGrid w:val="0"/>
        </w:rPr>
      </w:pPr>
      <w:r>
        <w:rPr>
          <w:snapToGrid w:val="0"/>
        </w:rPr>
        <w:tab/>
        <w:t>(c)</w:t>
      </w:r>
      <w:r>
        <w:rPr>
          <w:snapToGrid w:val="0"/>
        </w:rPr>
        <w:tab/>
        <w:t>the safety, health and welfare of persons working in offshore exploration and mining activities; and</w:t>
      </w:r>
    </w:p>
    <w:p>
      <w:pPr>
        <w:pStyle w:val="Indenta"/>
        <w:rPr>
          <w:snapToGrid w:val="0"/>
        </w:rPr>
      </w:pPr>
      <w:r>
        <w:rPr>
          <w:snapToGrid w:val="0"/>
        </w:rPr>
        <w:tab/>
        <w:t>(d)</w:t>
      </w:r>
      <w:r>
        <w:rPr>
          <w:snapToGrid w:val="0"/>
        </w:rPr>
        <w:tab/>
        <w:t>the maintenance of structures, equipment and property used in or for use in offshore exploration and mining activities.</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Subsection"/>
        <w:rPr>
          <w:snapToGrid w:val="0"/>
        </w:rPr>
      </w:pPr>
      <w:r>
        <w:rPr>
          <w:snapToGrid w:val="0"/>
        </w:rPr>
        <w:tab/>
        <w:t>(5)</w:t>
      </w:r>
      <w:r>
        <w:rPr>
          <w:snapToGrid w:val="0"/>
        </w:rPr>
        <w:tab/>
        <w:t>Subject to section 124, the regulations may provide for offences against the regulations.</w:t>
      </w:r>
    </w:p>
    <w:p>
      <w:pPr>
        <w:pStyle w:val="Subsection"/>
        <w:rPr>
          <w:snapToGrid w:val="0"/>
        </w:rPr>
      </w:pPr>
      <w:r>
        <w:rPr>
          <w:snapToGrid w:val="0"/>
        </w:rPr>
        <w:tab/>
        <w:t>(6)</w:t>
      </w:r>
      <w:r>
        <w:rPr>
          <w:snapToGrid w:val="0"/>
        </w:rPr>
        <w:tab/>
        <w:t>The penalties provided for offences against the regulations are not to exceed — </w:t>
      </w:r>
    </w:p>
    <w:p>
      <w:pPr>
        <w:pStyle w:val="Indenta"/>
        <w:rPr>
          <w:snapToGrid w:val="0"/>
        </w:rPr>
      </w:pPr>
      <w:r>
        <w:rPr>
          <w:snapToGrid w:val="0"/>
        </w:rPr>
        <w:tab/>
        <w:t>(a)</w:t>
      </w:r>
      <w:r>
        <w:rPr>
          <w:snapToGrid w:val="0"/>
        </w:rPr>
        <w:tab/>
        <w:t>a fine of $1 000; or</w:t>
      </w:r>
    </w:p>
    <w:p>
      <w:pPr>
        <w:pStyle w:val="Indenta"/>
        <w:rPr>
          <w:snapToGrid w:val="0"/>
        </w:rPr>
      </w:pPr>
      <w:r>
        <w:rPr>
          <w:snapToGrid w:val="0"/>
        </w:rPr>
        <w:tab/>
        <w:t>(b)</w:t>
      </w:r>
      <w:r>
        <w:rPr>
          <w:snapToGrid w:val="0"/>
        </w:rPr>
        <w:tab/>
        <w:t>a fine of $1 000 for each day on which the offence is taken to continue.</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control</w:t>
      </w:r>
      <w:r>
        <w:t xml:space="preserve"> includes restrict.</w:t>
      </w:r>
    </w:p>
    <w:p>
      <w:pPr>
        <w:pStyle w:val="Heading5"/>
        <w:rPr>
          <w:snapToGrid w:val="0"/>
        </w:rPr>
      </w:pPr>
      <w:bookmarkStart w:id="632" w:name="_Toc166676131"/>
      <w:r>
        <w:rPr>
          <w:rStyle w:val="CharSectno"/>
        </w:rPr>
        <w:t>444</w:t>
      </w:r>
      <w:r>
        <w:rPr>
          <w:snapToGrid w:val="0"/>
        </w:rPr>
        <w:t>.</w:t>
      </w:r>
      <w:r>
        <w:rPr>
          <w:snapToGrid w:val="0"/>
        </w:rPr>
        <w:tab/>
        <w:t>Savings and transitional provisions</w:t>
      </w:r>
      <w:bookmarkEnd w:id="632"/>
      <w:r>
        <w:rPr>
          <w:snapToGrid w:val="0"/>
        </w:rPr>
        <w:t xml:space="preserve"> </w:t>
      </w:r>
    </w:p>
    <w:p>
      <w:pPr>
        <w:pStyle w:val="Subsection"/>
        <w:rPr>
          <w:snapToGrid w:val="0"/>
        </w:rPr>
      </w:pPr>
      <w:r>
        <w:rPr>
          <w:snapToGrid w:val="0"/>
        </w:rPr>
        <w:tab/>
      </w:r>
      <w:r>
        <w:rPr>
          <w:snapToGrid w:val="0"/>
        </w:rPr>
        <w:tab/>
        <w:t>Schedule 2 has effect.</w:t>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sectPr>
      </w:pPr>
    </w:p>
    <w:p>
      <w:pPr>
        <w:pStyle w:val="yScheduleHeading"/>
        <w:outlineLvl w:val="0"/>
      </w:pPr>
      <w:bookmarkStart w:id="633" w:name="_Toc166675312"/>
      <w:bookmarkStart w:id="634" w:name="_Toc166675827"/>
      <w:bookmarkStart w:id="635" w:name="_Toc166676132"/>
      <w:r>
        <w:rPr>
          <w:rStyle w:val="CharSchNo"/>
        </w:rPr>
        <w:lastRenderedPageBreak/>
        <w:t>Schedule 1</w:t>
      </w:r>
      <w:r>
        <w:rPr>
          <w:rStyle w:val="CharSClsNo"/>
        </w:rPr>
        <w:t xml:space="preserve"> </w:t>
      </w:r>
      <w:r>
        <w:t>—</w:t>
      </w:r>
      <w:r>
        <w:rPr>
          <w:rStyle w:val="CharSClsNo"/>
        </w:rPr>
        <w:t xml:space="preserve"> </w:t>
      </w:r>
      <w:r>
        <w:rPr>
          <w:rStyle w:val="CharSchText"/>
        </w:rPr>
        <w:t>Area in which coastal waters are situated</w:t>
      </w:r>
      <w:bookmarkEnd w:id="633"/>
      <w:bookmarkEnd w:id="634"/>
      <w:bookmarkEnd w:id="635"/>
    </w:p>
    <w:p>
      <w:pPr>
        <w:pStyle w:val="yShoulderClause"/>
      </w:pPr>
      <w:r>
        <w:t>[s. 16(1)]</w:t>
      </w:r>
    </w:p>
    <w:p>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 xml:space="preserve">easterly along the geodesic to a point of Latitude 13° 49′ 45″ South, </w:t>
      </w:r>
      <w:r>
        <w:rPr>
          <w:snapToGrid w:val="0"/>
          <w:sz w:val="22"/>
        </w:rPr>
        <w:lastRenderedPageBreak/>
        <w:t>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ScheduleHeading"/>
        <w:outlineLvl w:val="0"/>
        <w:sectPr>
          <w:headerReference w:type="even" r:id="rId25"/>
          <w:headerReference w:type="default" r:id="rId26"/>
          <w:headerReference w:type="first" r:id="rId27"/>
          <w:pgSz w:w="11907" w:h="16840" w:code="9"/>
          <w:pgMar w:top="2376" w:right="2404" w:bottom="3544" w:left="2404" w:header="720" w:footer="3544" w:gutter="0"/>
          <w:cols w:space="720"/>
          <w:noEndnote/>
          <w:docGrid w:linePitch="326"/>
        </w:sectPr>
      </w:pPr>
    </w:p>
    <w:p>
      <w:pPr>
        <w:pStyle w:val="yScheduleHeading"/>
        <w:outlineLvl w:val="0"/>
      </w:pPr>
      <w:bookmarkStart w:id="637" w:name="_Toc166675313"/>
      <w:bookmarkStart w:id="638" w:name="_Toc166675828"/>
      <w:bookmarkStart w:id="639" w:name="_Toc166676133"/>
      <w:r>
        <w:rPr>
          <w:rStyle w:val="CharSchNo"/>
        </w:rPr>
        <w:lastRenderedPageBreak/>
        <w:t>Schedule 2</w:t>
      </w:r>
      <w:r>
        <w:t xml:space="preserve"> — </w:t>
      </w:r>
      <w:r>
        <w:rPr>
          <w:rStyle w:val="CharSchText"/>
        </w:rPr>
        <w:t>Savings and transitional provisions</w:t>
      </w:r>
      <w:bookmarkEnd w:id="637"/>
      <w:bookmarkEnd w:id="638"/>
      <w:bookmarkEnd w:id="639"/>
    </w:p>
    <w:p>
      <w:pPr>
        <w:pStyle w:val="yShoulderClause"/>
      </w:pPr>
      <w:r>
        <w:t>[s. 444]</w:t>
      </w:r>
    </w:p>
    <w:p>
      <w:pPr>
        <w:pStyle w:val="yHeading5"/>
        <w:outlineLvl w:val="9"/>
        <w:rPr>
          <w:snapToGrid w:val="0"/>
        </w:rPr>
      </w:pPr>
      <w:bookmarkStart w:id="640" w:name="_Toc166676134"/>
      <w:r>
        <w:rPr>
          <w:rStyle w:val="CharSClsNo"/>
        </w:rPr>
        <w:t>1</w:t>
      </w:r>
      <w:r>
        <w:rPr>
          <w:snapToGrid w:val="0"/>
        </w:rPr>
        <w:t>.</w:t>
      </w:r>
      <w:r>
        <w:rPr>
          <w:snapToGrid w:val="0"/>
        </w:rPr>
        <w:tab/>
        <w:t>Interpretation</w:t>
      </w:r>
      <w:bookmarkEnd w:id="640"/>
      <w:r>
        <w:rPr>
          <w:snapToGrid w:val="0"/>
        </w:rPr>
        <w:t xml:space="preserve"> </w:t>
      </w:r>
    </w:p>
    <w:p>
      <w:pPr>
        <w:pStyle w:val="ySubsection"/>
        <w:rPr>
          <w:snapToGrid w:val="0"/>
        </w:rPr>
      </w:pPr>
      <w:r>
        <w:rPr>
          <w:snapToGrid w:val="0"/>
        </w:rPr>
        <w:tab/>
        <w:t>(1)</w:t>
      </w:r>
      <w:r>
        <w:rPr>
          <w:snapToGrid w:val="0"/>
        </w:rPr>
        <w:tab/>
        <w:t>In this Schedule, unless the contrary intention appears — </w:t>
      </w:r>
    </w:p>
    <w:p>
      <w:pPr>
        <w:pStyle w:val="yDefstart"/>
      </w:pPr>
      <w:r>
        <w:rPr>
          <w:b/>
        </w:rPr>
        <w:tab/>
      </w:r>
      <w:r>
        <w:rPr>
          <w:rStyle w:val="CharDefText"/>
        </w:rPr>
        <w:t>Mining Act</w:t>
      </w:r>
      <w:r>
        <w:t xml:space="preserve"> means the </w:t>
      </w:r>
      <w:r>
        <w:rPr>
          <w:i/>
        </w:rPr>
        <w:t>Mining Act 1978</w:t>
      </w:r>
      <w:r>
        <w:t>;</w:t>
      </w:r>
    </w:p>
    <w:p>
      <w:pPr>
        <w:pStyle w:val="yDefstart"/>
      </w:pPr>
      <w:r>
        <w:rPr>
          <w:b/>
        </w:rPr>
        <w:tab/>
      </w:r>
      <w:r>
        <w:rPr>
          <w:rStyle w:val="CharDefText"/>
        </w:rPr>
        <w:t>commencement</w:t>
      </w:r>
      <w:r>
        <w:t xml:space="preserve"> means the day on which this Act comes into operation.</w:t>
      </w:r>
    </w:p>
    <w:p>
      <w:pPr>
        <w:pStyle w:val="ySubsection"/>
        <w:rPr>
          <w:snapToGrid w:val="0"/>
        </w:rPr>
      </w:pPr>
      <w:r>
        <w:rPr>
          <w:snapToGrid w:val="0"/>
        </w:rPr>
        <w:tab/>
        <w:t>(2)</w:t>
      </w:r>
      <w:r>
        <w:rPr>
          <w:snapToGrid w:val="0"/>
        </w:rPr>
        <w:tab/>
        <w:t>References in this Schedule to the limits of the State are to land and waters to which the Mining Act applies.</w:t>
      </w:r>
    </w:p>
    <w:p>
      <w:pPr>
        <w:pStyle w:val="yHeading5"/>
        <w:outlineLvl w:val="9"/>
        <w:rPr>
          <w:snapToGrid w:val="0"/>
        </w:rPr>
      </w:pPr>
      <w:bookmarkStart w:id="641" w:name="_Toc166676135"/>
      <w:r>
        <w:rPr>
          <w:rStyle w:val="CharSClsNo"/>
        </w:rPr>
        <w:t>2</w:t>
      </w:r>
      <w:r>
        <w:rPr>
          <w:snapToGrid w:val="0"/>
        </w:rPr>
        <w:t>.</w:t>
      </w:r>
      <w:r>
        <w:rPr>
          <w:snapToGrid w:val="0"/>
        </w:rPr>
        <w:tab/>
        <w:t>Existing exploration licences under Mining Act for coastal waters</w:t>
      </w:r>
      <w:bookmarkEnd w:id="641"/>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licence concerned.</w:t>
      </w:r>
    </w:p>
    <w:p>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ySubsection"/>
        <w:rPr>
          <w:snapToGrid w:val="0"/>
        </w:rPr>
      </w:pPr>
      <w:r>
        <w:rPr>
          <w:snapToGrid w:val="0"/>
        </w:rPr>
        <w:tab/>
        <w:t>(6)</w:t>
      </w:r>
      <w:r>
        <w:rPr>
          <w:snapToGrid w:val="0"/>
        </w:rPr>
        <w:tab/>
        <w:t xml:space="preserve">The term of an exploration licence under this Act referred to in subclause (3) that has been in force for more than 3 years but less than </w:t>
      </w:r>
      <w:r>
        <w:rPr>
          <w:snapToGrid w:val="0"/>
        </w:rPr>
        <w:lastRenderedPageBreak/>
        <w:t>4 years ends 4 years after the day on which it was granted, and may be renewed in accordance with section 89.</w:t>
      </w:r>
    </w:p>
    <w:p>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yIndenta"/>
        <w:rPr>
          <w:snapToGrid w:val="0"/>
          <w:spacing w:val="-4"/>
        </w:rPr>
      </w:pPr>
      <w:r>
        <w:rPr>
          <w:snapToGrid w:val="0"/>
          <w:spacing w:val="-4"/>
        </w:rPr>
        <w:tab/>
        <w:t>(a)</w:t>
      </w:r>
      <w:r>
        <w:rPr>
          <w:snapToGrid w:val="0"/>
          <w:spacing w:val="-4"/>
        </w:rPr>
        <w:tab/>
        <w:t>for a term of one year after the day on which that 5 years ends;</w:t>
      </w:r>
    </w:p>
    <w:p>
      <w:pPr>
        <w:pStyle w:val="yIndenta"/>
        <w:rPr>
          <w:snapToGrid w:val="0"/>
        </w:rPr>
      </w:pPr>
      <w:r>
        <w:rPr>
          <w:snapToGrid w:val="0"/>
        </w:rPr>
        <w:tab/>
        <w:t>(b)</w:t>
      </w:r>
      <w:r>
        <w:rPr>
          <w:snapToGrid w:val="0"/>
        </w:rPr>
        <w:tab/>
        <w:t>for a term of 2 years after the day on which that one year ends; and</w:t>
      </w:r>
    </w:p>
    <w:p>
      <w:pPr>
        <w:pStyle w:val="yIndenta"/>
        <w:rPr>
          <w:snapToGrid w:val="0"/>
        </w:rPr>
      </w:pPr>
      <w:r>
        <w:rPr>
          <w:snapToGrid w:val="0"/>
        </w:rPr>
        <w:tab/>
        <w:t>(c)</w:t>
      </w:r>
      <w:r>
        <w:rPr>
          <w:snapToGrid w:val="0"/>
        </w:rPr>
        <w:tab/>
        <w:t>for a term of 2 years after the day on which that 2 years ends,</w:t>
      </w:r>
    </w:p>
    <w:p>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pPr>
        <w:pStyle w:val="yIndenta"/>
        <w:rPr>
          <w:snapToGrid w:val="0"/>
        </w:rPr>
      </w:pPr>
      <w:r>
        <w:rPr>
          <w:snapToGrid w:val="0"/>
        </w:rPr>
        <w:tab/>
        <w:t>(a)</w:t>
      </w:r>
      <w:r>
        <w:rPr>
          <w:snapToGrid w:val="0"/>
        </w:rPr>
        <w:tab/>
        <w:t xml:space="preserve">has been made; but </w:t>
      </w:r>
    </w:p>
    <w:p>
      <w:pPr>
        <w:pStyle w:val="yIndenta"/>
        <w:rPr>
          <w:snapToGrid w:val="0"/>
        </w:rPr>
      </w:pPr>
      <w:r>
        <w:rPr>
          <w:snapToGrid w:val="0"/>
        </w:rPr>
        <w:tab/>
        <w:t>(b)</w:t>
      </w:r>
      <w:r>
        <w:rPr>
          <w:snapToGrid w:val="0"/>
        </w:rPr>
        <w:tab/>
        <w:t>has not been determined by the Minister before the commencement,</w:t>
      </w:r>
    </w:p>
    <w:p>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yHeading5"/>
        <w:outlineLvl w:val="9"/>
        <w:rPr>
          <w:snapToGrid w:val="0"/>
        </w:rPr>
      </w:pPr>
      <w:bookmarkStart w:id="642" w:name="_Toc166676136"/>
      <w:r>
        <w:rPr>
          <w:rStyle w:val="CharSClsNo"/>
        </w:rPr>
        <w:t>3</w:t>
      </w:r>
      <w:r>
        <w:rPr>
          <w:snapToGrid w:val="0"/>
        </w:rPr>
        <w:t>.</w:t>
      </w:r>
      <w:r>
        <w:rPr>
          <w:snapToGrid w:val="0"/>
        </w:rPr>
        <w:tab/>
        <w:t>Existing mining leases under Mining Act for coastal waters</w:t>
      </w:r>
      <w:bookmarkEnd w:id="642"/>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lastRenderedPageBreak/>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lease concerned.</w:t>
      </w:r>
    </w:p>
    <w:p>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yHeading5"/>
        <w:outlineLvl w:val="9"/>
        <w:rPr>
          <w:snapToGrid w:val="0"/>
        </w:rPr>
      </w:pPr>
      <w:bookmarkStart w:id="643" w:name="_Toc166676137"/>
      <w:r>
        <w:rPr>
          <w:rStyle w:val="CharSClsNo"/>
        </w:rPr>
        <w:t>4</w:t>
      </w:r>
      <w:r>
        <w:rPr>
          <w:snapToGrid w:val="0"/>
        </w:rPr>
        <w:t>.</w:t>
      </w:r>
      <w:r>
        <w:rPr>
          <w:snapToGrid w:val="0"/>
        </w:rPr>
        <w:tab/>
        <w:t>Existing exploration licences under Mining Act that relate both to coastal waters and to other areas</w:t>
      </w:r>
      <w:bookmarkEnd w:id="643"/>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ySubsection"/>
        <w:rPr>
          <w:snapToGrid w:val="0"/>
        </w:rPr>
      </w:pPr>
      <w:r>
        <w:rPr>
          <w:snapToGrid w:val="0"/>
        </w:rPr>
        <w:lastRenderedPageBreak/>
        <w:tab/>
        <w:t>(4)</w:t>
      </w:r>
      <w:r>
        <w:rPr>
          <w:snapToGrid w:val="0"/>
        </w:rPr>
        <w:tab/>
        <w:t>Despite subclause (3) — </w:t>
      </w:r>
    </w:p>
    <w:p>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2(4),</w:t>
      </w:r>
    </w:p>
    <w:p>
      <w:pPr>
        <w:pStyle w:val="yIndenta"/>
        <w:rPr>
          <w:snapToGrid w:val="0"/>
        </w:rPr>
      </w:pPr>
      <w:r>
        <w:rPr>
          <w:snapToGrid w:val="0"/>
        </w:rPr>
        <w:tab/>
      </w:r>
      <w:r>
        <w:rPr>
          <w:snapToGrid w:val="0"/>
        </w:rPr>
        <w:tab/>
        <w:t>so long as the licence created by subclause (2)(b) is also held by that person.</w:t>
      </w:r>
    </w:p>
    <w:p>
      <w:pPr>
        <w:pStyle w:val="ySubsection"/>
        <w:rPr>
          <w:snapToGrid w:val="0"/>
        </w:rPr>
      </w:pPr>
      <w:r>
        <w:rPr>
          <w:snapToGrid w:val="0"/>
        </w:rPr>
        <w:tab/>
        <w:t>(5)</w:t>
      </w:r>
      <w:r>
        <w:rPr>
          <w:snapToGrid w:val="0"/>
        </w:rPr>
        <w:tab/>
        <w:t>The Minister must, on production under subclause (6) of a licence to which this clause applies — </w:t>
      </w:r>
    </w:p>
    <w:p>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yIndenta"/>
        <w:rPr>
          <w:snapToGrid w:val="0"/>
        </w:rPr>
      </w:pPr>
      <w:r>
        <w:rPr>
          <w:snapToGrid w:val="0"/>
        </w:rPr>
        <w:tab/>
        <w:t>(b)</w:t>
      </w:r>
      <w:r>
        <w:rPr>
          <w:snapToGrid w:val="0"/>
        </w:rPr>
        <w:tab/>
        <w:t>issue a separate exploration licence for the coastal waters concerned.</w:t>
      </w:r>
    </w:p>
    <w:p>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yHeading5"/>
        <w:outlineLvl w:val="9"/>
        <w:rPr>
          <w:snapToGrid w:val="0"/>
        </w:rPr>
      </w:pPr>
      <w:bookmarkStart w:id="644" w:name="_Toc166676138"/>
      <w:r>
        <w:rPr>
          <w:rStyle w:val="CharSClsNo"/>
        </w:rPr>
        <w:t>5</w:t>
      </w:r>
      <w:r>
        <w:rPr>
          <w:snapToGrid w:val="0"/>
        </w:rPr>
        <w:t>.</w:t>
      </w:r>
      <w:r>
        <w:rPr>
          <w:snapToGrid w:val="0"/>
        </w:rPr>
        <w:tab/>
        <w:t>Existing mining leases under Mining Act that relate both to coastal waters and to other areas</w:t>
      </w:r>
      <w:bookmarkEnd w:id="644"/>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lastRenderedPageBreak/>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3(4),</w:t>
      </w:r>
    </w:p>
    <w:p>
      <w:pPr>
        <w:pStyle w:val="yIndenta"/>
        <w:rPr>
          <w:snapToGrid w:val="0"/>
        </w:rPr>
      </w:pPr>
      <w:r>
        <w:rPr>
          <w:snapToGrid w:val="0"/>
        </w:rPr>
        <w:tab/>
      </w:r>
      <w:r>
        <w:rPr>
          <w:snapToGrid w:val="0"/>
        </w:rPr>
        <w:tab/>
        <w:t>so long as the separate mining lease created by subclause (2)(b) is also held by that person.</w:t>
      </w:r>
    </w:p>
    <w:p>
      <w:pPr>
        <w:pStyle w:val="ySubsection"/>
        <w:keepNext/>
        <w:keepLines/>
        <w:rPr>
          <w:snapToGrid w:val="0"/>
        </w:rPr>
      </w:pPr>
      <w:r>
        <w:rPr>
          <w:snapToGrid w:val="0"/>
        </w:rPr>
        <w:tab/>
        <w:t>(5)</w:t>
      </w:r>
      <w:r>
        <w:rPr>
          <w:snapToGrid w:val="0"/>
        </w:rPr>
        <w:tab/>
        <w:t>The Minister must, on production under subclause (6) of a mining lease to which this clause applies — </w:t>
      </w:r>
    </w:p>
    <w:p>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yIndenta"/>
        <w:rPr>
          <w:snapToGrid w:val="0"/>
        </w:rPr>
      </w:pPr>
      <w:r>
        <w:rPr>
          <w:snapToGrid w:val="0"/>
        </w:rPr>
        <w:tab/>
        <w:t>(b)</w:t>
      </w:r>
      <w:r>
        <w:rPr>
          <w:snapToGrid w:val="0"/>
        </w:rPr>
        <w:tab/>
        <w:t>issue a separate mining licence for the coastal waters concerned.</w:t>
      </w:r>
    </w:p>
    <w:p>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yHeading5"/>
        <w:outlineLvl w:val="9"/>
        <w:rPr>
          <w:snapToGrid w:val="0"/>
        </w:rPr>
      </w:pPr>
      <w:bookmarkStart w:id="645" w:name="_Toc166676139"/>
      <w:r>
        <w:rPr>
          <w:rStyle w:val="CharSClsNo"/>
        </w:rPr>
        <w:t>6</w:t>
      </w:r>
      <w:r>
        <w:rPr>
          <w:snapToGrid w:val="0"/>
        </w:rPr>
        <w:t>.</w:t>
      </w:r>
      <w:r>
        <w:rPr>
          <w:snapToGrid w:val="0"/>
        </w:rPr>
        <w:tab/>
        <w:t>Registration</w:t>
      </w:r>
      <w:bookmarkEnd w:id="645"/>
      <w:r>
        <w:rPr>
          <w:snapToGrid w:val="0"/>
        </w:rPr>
        <w:t xml:space="preserve"> </w:t>
      </w:r>
    </w:p>
    <w:p>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yIndenta"/>
        <w:rPr>
          <w:snapToGrid w:val="0"/>
        </w:rPr>
      </w:pPr>
      <w:r>
        <w:rPr>
          <w:snapToGrid w:val="0"/>
        </w:rPr>
        <w:tab/>
        <w:t>(a)</w:t>
      </w:r>
      <w:r>
        <w:rPr>
          <w:snapToGrid w:val="0"/>
        </w:rPr>
        <w:tab/>
        <w:t>the particulars specified in section 333(1); and</w:t>
      </w:r>
    </w:p>
    <w:p>
      <w:pPr>
        <w:pStyle w:val="yIndenta"/>
        <w:rPr>
          <w:snapToGrid w:val="0"/>
        </w:rPr>
      </w:pPr>
      <w:r>
        <w:rPr>
          <w:snapToGrid w:val="0"/>
        </w:rPr>
        <w:lastRenderedPageBreak/>
        <w:tab/>
        <w:t>(b)</w:t>
      </w:r>
      <w:r>
        <w:rPr>
          <w:snapToGrid w:val="0"/>
        </w:rPr>
        <w:tab/>
        <w:t>particulars of any instrument or document (including a caveat) registered under the Mining Act,</w:t>
      </w:r>
    </w:p>
    <w:p>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ySubsection"/>
        <w:rPr>
          <w:snapToGrid w:val="0"/>
        </w:rPr>
      </w:pPr>
      <w:r>
        <w:rPr>
          <w:snapToGrid w:val="0"/>
        </w:rPr>
        <w:tab/>
        <w:t>(2)</w:t>
      </w:r>
      <w:r>
        <w:rPr>
          <w:snapToGrid w:val="0"/>
        </w:rPr>
        <w:tab/>
        <w:t>Section 333(2) to (7) apply for the purposes of registration under this clause.</w:t>
      </w:r>
    </w:p>
    <w:p>
      <w:pPr>
        <w:pStyle w:val="ySubsection"/>
        <w:rPr>
          <w:snapToGrid w:val="0"/>
        </w:rPr>
      </w:pPr>
      <w:r>
        <w:rPr>
          <w:snapToGrid w:val="0"/>
        </w:rPr>
        <w:tab/>
        <w:t>(3)</w:t>
      </w:r>
      <w:r>
        <w:rPr>
          <w:snapToGrid w:val="0"/>
        </w:rPr>
        <w:tab/>
        <w:t>Section 88 does not apply to an exploration licence or a mining licence referred to in subclause (1).</w:t>
      </w:r>
    </w:p>
    <w:p>
      <w:pPr>
        <w:pStyle w:val="yHeading5"/>
        <w:outlineLvl w:val="9"/>
        <w:rPr>
          <w:snapToGrid w:val="0"/>
        </w:rPr>
      </w:pPr>
      <w:bookmarkStart w:id="646" w:name="_Toc166676140"/>
      <w:r>
        <w:rPr>
          <w:rStyle w:val="CharSClsNo"/>
        </w:rPr>
        <w:t>7</w:t>
      </w:r>
      <w:r>
        <w:rPr>
          <w:snapToGrid w:val="0"/>
        </w:rPr>
        <w:t>.</w:t>
      </w:r>
      <w:r>
        <w:rPr>
          <w:snapToGrid w:val="0"/>
        </w:rPr>
        <w:tab/>
        <w:t>Document file</w:t>
      </w:r>
      <w:bookmarkEnd w:id="646"/>
      <w:r>
        <w:rPr>
          <w:snapToGrid w:val="0"/>
        </w:rPr>
        <w:t xml:space="preserve"> </w:t>
      </w:r>
    </w:p>
    <w:p>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yHeading5"/>
        <w:outlineLvl w:val="9"/>
        <w:rPr>
          <w:snapToGrid w:val="0"/>
        </w:rPr>
      </w:pPr>
      <w:bookmarkStart w:id="647" w:name="_Toc166676141"/>
      <w:r>
        <w:rPr>
          <w:rStyle w:val="CharSClsNo"/>
        </w:rPr>
        <w:t>8</w:t>
      </w:r>
      <w:r>
        <w:rPr>
          <w:snapToGrid w:val="0"/>
        </w:rPr>
        <w:t>.</w:t>
      </w:r>
      <w:r>
        <w:rPr>
          <w:snapToGrid w:val="0"/>
        </w:rPr>
        <w:tab/>
        <w:t>Securities</w:t>
      </w:r>
      <w:bookmarkEnd w:id="647"/>
      <w:r>
        <w:rPr>
          <w:snapToGrid w:val="0"/>
        </w:rPr>
        <w:t xml:space="preserve"> </w:t>
      </w:r>
    </w:p>
    <w:p>
      <w:pPr>
        <w:pStyle w:val="ySubsection"/>
        <w:rPr>
          <w:snapToGrid w:val="0"/>
        </w:rPr>
      </w:pPr>
      <w:r>
        <w:rPr>
          <w:snapToGrid w:val="0"/>
        </w:rPr>
        <w:tab/>
        <w:t>(1)</w:t>
      </w:r>
      <w:r>
        <w:rPr>
          <w:snapToGrid w:val="0"/>
        </w:rPr>
        <w:tab/>
        <w:t>The Minister may in writing determine that a licensee is to lodge with the Minister a new security in respect of — </w:t>
      </w:r>
    </w:p>
    <w:p>
      <w:pPr>
        <w:pStyle w:val="yIndenta"/>
        <w:rPr>
          <w:snapToGrid w:val="0"/>
        </w:rPr>
      </w:pPr>
      <w:r>
        <w:rPr>
          <w:snapToGrid w:val="0"/>
        </w:rPr>
        <w:tab/>
        <w:t>(a)</w:t>
      </w:r>
      <w:r>
        <w:rPr>
          <w:snapToGrid w:val="0"/>
        </w:rPr>
        <w:tab/>
        <w:t>an exploration licence referred to in clause 4(3); and</w:t>
      </w:r>
    </w:p>
    <w:p>
      <w:pPr>
        <w:pStyle w:val="yIndenta"/>
        <w:rPr>
          <w:snapToGrid w:val="0"/>
        </w:rPr>
      </w:pPr>
      <w:r>
        <w:rPr>
          <w:snapToGrid w:val="0"/>
        </w:rPr>
        <w:tab/>
        <w:t>(b)</w:t>
      </w:r>
      <w:r>
        <w:rPr>
          <w:snapToGrid w:val="0"/>
        </w:rPr>
        <w:tab/>
        <w:t>a mining licence that by operation of clause 3 represents the separate mining lease referred to in clause 5(3).</w:t>
      </w:r>
    </w:p>
    <w:p>
      <w:pPr>
        <w:pStyle w:val="ySubsection"/>
        <w:rPr>
          <w:snapToGrid w:val="0"/>
        </w:rPr>
      </w:pPr>
      <w:r>
        <w:rPr>
          <w:snapToGrid w:val="0"/>
        </w:rPr>
        <w:tab/>
        <w:t>(2)</w:t>
      </w:r>
      <w:r>
        <w:rPr>
          <w:snapToGrid w:val="0"/>
        </w:rPr>
        <w:tab/>
        <w:t>A determination under subclause (1) is to specify — </w:t>
      </w:r>
    </w:p>
    <w:p>
      <w:pPr>
        <w:pStyle w:val="yIndenta"/>
        <w:rPr>
          <w:snapToGrid w:val="0"/>
        </w:rPr>
      </w:pPr>
      <w:r>
        <w:rPr>
          <w:snapToGrid w:val="0"/>
        </w:rPr>
        <w:tab/>
        <w:t>(a)</w:t>
      </w:r>
      <w:r>
        <w:rPr>
          <w:snapToGrid w:val="0"/>
        </w:rPr>
        <w:tab/>
        <w:t>the amount of the security required;</w:t>
      </w:r>
    </w:p>
    <w:p>
      <w:pPr>
        <w:pStyle w:val="yIndenta"/>
        <w:rPr>
          <w:snapToGrid w:val="0"/>
        </w:rPr>
      </w:pPr>
      <w:r>
        <w:rPr>
          <w:snapToGrid w:val="0"/>
        </w:rPr>
        <w:tab/>
        <w:t>(b)</w:t>
      </w:r>
      <w:r>
        <w:rPr>
          <w:snapToGrid w:val="0"/>
        </w:rPr>
        <w:tab/>
        <w:t>the kind of security required; and</w:t>
      </w:r>
    </w:p>
    <w:p>
      <w:pPr>
        <w:pStyle w:val="yIndenta"/>
        <w:rPr>
          <w:snapToGrid w:val="0"/>
        </w:rPr>
      </w:pPr>
      <w:r>
        <w:rPr>
          <w:snapToGrid w:val="0"/>
        </w:rPr>
        <w:tab/>
        <w:t>(c)</w:t>
      </w:r>
      <w:r>
        <w:rPr>
          <w:snapToGrid w:val="0"/>
        </w:rPr>
        <w:tab/>
        <w:t>the manner and form in which and the time within which the security is to be lodged.</w:t>
      </w:r>
    </w:p>
    <w:p>
      <w:pPr>
        <w:pStyle w:val="ySubsection"/>
        <w:rPr>
          <w:snapToGrid w:val="0"/>
        </w:rPr>
      </w:pPr>
      <w:r>
        <w:rPr>
          <w:snapToGrid w:val="0"/>
        </w:rPr>
        <w:tab/>
        <w:t>(3)</w:t>
      </w:r>
      <w:r>
        <w:rPr>
          <w:snapToGrid w:val="0"/>
        </w:rPr>
        <w:tab/>
        <w:t>Sections 399(4) and 400 apply to a security lodged under this clause.</w:t>
      </w:r>
    </w:p>
    <w:p>
      <w:pPr>
        <w:pStyle w:val="yHeading5"/>
        <w:outlineLvl w:val="9"/>
        <w:rPr>
          <w:snapToGrid w:val="0"/>
        </w:rPr>
      </w:pPr>
      <w:bookmarkStart w:id="648" w:name="_Toc166676142"/>
      <w:r>
        <w:rPr>
          <w:rStyle w:val="CharSClsNo"/>
        </w:rPr>
        <w:t>9</w:t>
      </w:r>
      <w:r>
        <w:rPr>
          <w:snapToGrid w:val="0"/>
        </w:rPr>
        <w:t>.</w:t>
      </w:r>
      <w:r>
        <w:rPr>
          <w:snapToGrid w:val="0"/>
        </w:rPr>
        <w:tab/>
        <w:t>Licence fees</w:t>
      </w:r>
      <w:bookmarkEnd w:id="648"/>
      <w:r>
        <w:rPr>
          <w:snapToGrid w:val="0"/>
        </w:rPr>
        <w:t xml:space="preserve"> </w:t>
      </w:r>
    </w:p>
    <w:p>
      <w:pPr>
        <w:pStyle w:val="ySubsection"/>
        <w:rPr>
          <w:snapToGrid w:val="0"/>
        </w:rPr>
      </w:pPr>
      <w:r>
        <w:rPr>
          <w:snapToGrid w:val="0"/>
        </w:rPr>
        <w:tab/>
        <w:t>(1)</w:t>
      </w:r>
      <w:r>
        <w:rPr>
          <w:snapToGrid w:val="0"/>
        </w:rPr>
        <w:tab/>
        <w:t xml:space="preserve">Despite clause 2 or 3, Part 4.4 does not apply to an exploration licence or a mining licence that comes under this Act by virtue of clause 2 or 3 (including a licence to which clause 2 or 3 applies by operation of </w:t>
      </w:r>
      <w:r>
        <w:rPr>
          <w:snapToGrid w:val="0"/>
        </w:rPr>
        <w:lastRenderedPageBreak/>
        <w:t>clause 4 or 5) until the next anniversary, after the commencement, of the day on which the term of the licence began.</w:t>
      </w:r>
    </w:p>
    <w:p>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pPr>
        <w:pStyle w:val="yHeading5"/>
        <w:outlineLvl w:val="9"/>
        <w:rPr>
          <w:snapToGrid w:val="0"/>
        </w:rPr>
      </w:pPr>
      <w:bookmarkStart w:id="649" w:name="_Toc166676143"/>
      <w:r>
        <w:rPr>
          <w:rStyle w:val="CharSClsNo"/>
        </w:rPr>
        <w:t>10</w:t>
      </w:r>
      <w:r>
        <w:rPr>
          <w:snapToGrid w:val="0"/>
        </w:rPr>
        <w:t>.</w:t>
      </w:r>
      <w:r>
        <w:rPr>
          <w:snapToGrid w:val="0"/>
        </w:rPr>
        <w:tab/>
        <w:t>Pending applications under Mining Act that relate only to coastal waters</w:t>
      </w:r>
      <w:bookmarkEnd w:id="649"/>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only to an area that is within the coastal waters.</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yHeading5"/>
        <w:outlineLvl w:val="9"/>
        <w:rPr>
          <w:snapToGrid w:val="0"/>
        </w:rPr>
      </w:pPr>
      <w:bookmarkStart w:id="650" w:name="_Toc166676144"/>
      <w:r>
        <w:rPr>
          <w:rStyle w:val="CharSClsNo"/>
        </w:rPr>
        <w:t>11</w:t>
      </w:r>
      <w:r>
        <w:rPr>
          <w:snapToGrid w:val="0"/>
        </w:rPr>
        <w:t>.</w:t>
      </w:r>
      <w:r>
        <w:rPr>
          <w:snapToGrid w:val="0"/>
        </w:rPr>
        <w:tab/>
        <w:t>Pending applications under Mining Act that relate both to coastal waters and other areas</w:t>
      </w:r>
      <w:bookmarkEnd w:id="650"/>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to an area that is partly within the coastal waters and partly within the limits of the State.</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 xml:space="preserve">Offshore </w:t>
      </w:r>
      <w:r>
        <w:rPr>
          <w:i/>
          <w:snapToGrid w:val="0"/>
        </w:rPr>
        <w:lastRenderedPageBreak/>
        <w:t>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yHeading5"/>
        <w:outlineLvl w:val="9"/>
        <w:rPr>
          <w:snapToGrid w:val="0"/>
        </w:rPr>
      </w:pPr>
      <w:bookmarkStart w:id="651" w:name="_Toc166676145"/>
      <w:r>
        <w:rPr>
          <w:rStyle w:val="CharSClsNo"/>
        </w:rPr>
        <w:t>12</w:t>
      </w:r>
      <w:r>
        <w:rPr>
          <w:snapToGrid w:val="0"/>
        </w:rPr>
        <w:t>.</w:t>
      </w:r>
      <w:r>
        <w:rPr>
          <w:snapToGrid w:val="0"/>
        </w:rPr>
        <w:tab/>
        <w:t>Powers in relation to transitional provisions</w:t>
      </w:r>
      <w:bookmarkEnd w:id="651"/>
      <w:r>
        <w:rPr>
          <w:snapToGrid w:val="0"/>
        </w:rP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yIndenta"/>
        <w:rPr>
          <w:snapToGrid w:val="0"/>
        </w:rPr>
      </w:pPr>
      <w:r>
        <w:rPr>
          <w:snapToGrid w:val="0"/>
        </w:rPr>
        <w:tab/>
        <w:t>(a)</w:t>
      </w:r>
      <w:r>
        <w:rPr>
          <w:snapToGrid w:val="0"/>
        </w:rPr>
        <w:tab/>
        <w:t>modify those provisions to remove the anomaly; and</w:t>
      </w:r>
    </w:p>
    <w:p>
      <w:pPr>
        <w:pStyle w:val="yIndenta"/>
        <w:rPr>
          <w:snapToGrid w:val="0"/>
        </w:rPr>
      </w:pPr>
      <w:r>
        <w:rPr>
          <w:snapToGrid w:val="0"/>
        </w:rPr>
        <w:tab/>
        <w:t>(b)</w:t>
      </w:r>
      <w:r>
        <w:rPr>
          <w:snapToGrid w:val="0"/>
        </w:rPr>
        <w:tab/>
        <w:t>make such provision as is necessary or expedient to carry out the intention of those provisions.</w:t>
      </w:r>
    </w:p>
    <w:p>
      <w:pPr>
        <w:pStyle w:val="ySubsection"/>
        <w:rPr>
          <w:snapToGrid w:val="0"/>
        </w:rPr>
      </w:pPr>
      <w:r>
        <w:rPr>
          <w:snapToGrid w:val="0"/>
        </w:rPr>
        <w:tab/>
        <w:t>(3)</w:t>
      </w:r>
      <w:r>
        <w:rPr>
          <w:snapToGrid w:val="0"/>
        </w:rPr>
        <w:tab/>
        <w:t>An order under this clause may be made so as to have effect from the commencement.</w:t>
      </w:r>
    </w:p>
    <w:p>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yIndenta"/>
        <w:rPr>
          <w:snapToGrid w:val="0"/>
        </w:rPr>
      </w:pPr>
      <w:r>
        <w:rPr>
          <w:snapToGrid w:val="0"/>
        </w:rPr>
        <w:lastRenderedPageBreak/>
        <w:tab/>
        <w:t>(a)</w:t>
      </w:r>
      <w:r>
        <w:rPr>
          <w:snapToGrid w:val="0"/>
        </w:rPr>
        <w:tab/>
        <w:t>to 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ySubsection"/>
        <w:sectPr>
          <w:headerReference w:type="even" r:id="rId28"/>
          <w:headerReference w:type="default" r:id="rId29"/>
          <w:pgSz w:w="11907" w:h="16840" w:code="9"/>
          <w:pgMar w:top="2376" w:right="2404" w:bottom="3544" w:left="2404" w:header="720" w:footer="3544" w:gutter="0"/>
          <w:cols w:space="720"/>
          <w:noEndnote/>
          <w:docGrid w:linePitch="326"/>
        </w:sect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p>
    <w:p>
      <w:pPr>
        <w:pStyle w:val="nHeading2"/>
      </w:pPr>
      <w:bookmarkStart w:id="652" w:name="_Toc166675326"/>
      <w:bookmarkStart w:id="653" w:name="_Toc166675841"/>
      <w:bookmarkStart w:id="654" w:name="_Toc166676146"/>
      <w:r>
        <w:lastRenderedPageBreak/>
        <w:t>Notes</w:t>
      </w:r>
      <w:bookmarkEnd w:id="652"/>
      <w:bookmarkEnd w:id="653"/>
      <w:bookmarkEnd w:id="654"/>
    </w:p>
    <w:p>
      <w:pPr>
        <w:pStyle w:val="nStatement"/>
      </w:pPr>
      <w:r>
        <w:t xml:space="preserve">This is a compilation of the </w:t>
      </w:r>
      <w:r>
        <w:rPr>
          <w:i/>
          <w:noProof/>
        </w:rPr>
        <w:t>Offshore Minerals Act 2003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55" w:name="_Toc166676147"/>
      <w:r>
        <w:t>Compilation table</w:t>
      </w:r>
      <w:bookmarkEnd w:id="6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snapToGrid w:val="0"/>
                <w:vertAlign w:val="superscript"/>
              </w:rPr>
            </w:pPr>
            <w:r>
              <w:rPr>
                <w:i/>
                <w:snapToGrid w:val="0"/>
              </w:rPr>
              <w:t>Offshore Minerals Act 2003</w:t>
            </w:r>
            <w:r>
              <w:rPr>
                <w:snapToGrid w:val="0"/>
              </w:rPr>
              <w:t xml:space="preserve"> </w:t>
            </w:r>
          </w:p>
        </w:tc>
        <w:tc>
          <w:tcPr>
            <w:tcW w:w="1134" w:type="dxa"/>
            <w:tcBorders>
              <w:top w:val="single" w:sz="8" w:space="0" w:color="auto"/>
            </w:tcBorders>
          </w:tcPr>
          <w:p>
            <w:pPr>
              <w:pStyle w:val="nTable"/>
              <w:spacing w:after="40"/>
              <w:rPr>
                <w:snapToGrid w:val="0"/>
              </w:rPr>
            </w:pPr>
            <w:r>
              <w:t xml:space="preserve">10 of 2003 </w:t>
            </w:r>
          </w:p>
        </w:tc>
        <w:tc>
          <w:tcPr>
            <w:tcW w:w="1134" w:type="dxa"/>
            <w:tcBorders>
              <w:top w:val="single" w:sz="8" w:space="0" w:color="auto"/>
            </w:tcBorders>
          </w:tcPr>
          <w:p>
            <w:pPr>
              <w:pStyle w:val="nTable"/>
              <w:spacing w:after="40"/>
              <w:rPr>
                <w:snapToGrid w:val="0"/>
              </w:rPr>
            </w:pPr>
            <w:r>
              <w:t>17 Apr 2003</w:t>
            </w:r>
          </w:p>
        </w:tc>
        <w:tc>
          <w:tcPr>
            <w:tcW w:w="2552" w:type="dxa"/>
            <w:tcBorders>
              <w:top w:val="single" w:sz="8" w:space="0" w:color="auto"/>
            </w:tcBorders>
          </w:tcPr>
          <w:p>
            <w:pPr>
              <w:pStyle w:val="nTable"/>
              <w:spacing w:after="40"/>
              <w:rPr>
                <w:snapToGrid w:val="0"/>
              </w:rPr>
            </w:pPr>
            <w:r>
              <w:rPr>
                <w:snapToGrid w:val="0"/>
                <w:spacing w:val="-2"/>
              </w:rPr>
              <w:t xml:space="preserve">1 Jan 2011 (see s. 2 and </w:t>
            </w:r>
            <w:r>
              <w:rPr>
                <w:i/>
                <w:iCs/>
                <w:snapToGrid w:val="0"/>
                <w:spacing w:val="-2"/>
              </w:rPr>
              <w:t>Gazette</w:t>
            </w:r>
            <w:r>
              <w:rPr>
                <w:snapToGrid w:val="0"/>
                <w:spacing w:val="-2"/>
              </w:rPr>
              <w:t xml:space="preserve"> 17 Dec 2010 p. 6350)</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rPr>
              <w:t>Duties Legislation Amendment Act 2008</w:t>
            </w:r>
            <w:r>
              <w:rPr>
                <w:iCs/>
              </w:rPr>
              <w:t xml:space="preserve"> Sch. 1 cl. 25</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snapToGrid w:val="0"/>
              </w:rPr>
              <w:t>Personal Property Securities (Consequential Repeals and Amendments) Act 2011</w:t>
            </w:r>
            <w:r>
              <w:rPr>
                <w:snapToGrid w:val="0"/>
              </w:rPr>
              <w:t xml:space="preserve"> Pt. 9 Div. 2</w:t>
            </w:r>
          </w:p>
        </w:tc>
        <w:tc>
          <w:tcPr>
            <w:tcW w:w="1134" w:type="dxa"/>
            <w:tcBorders>
              <w:bottom w:val="single" w:sz="4" w:space="0" w:color="auto"/>
            </w:tcBorders>
          </w:tcPr>
          <w:p>
            <w:pPr>
              <w:pStyle w:val="nTable"/>
              <w:spacing w:after="40"/>
            </w:pPr>
            <w:r>
              <w:rPr>
                <w:snapToGrid w:val="0"/>
              </w:rPr>
              <w:t>42 of 2011</w:t>
            </w:r>
          </w:p>
        </w:tc>
        <w:tc>
          <w:tcPr>
            <w:tcW w:w="1134" w:type="dxa"/>
            <w:tcBorders>
              <w:bottom w:val="single" w:sz="4" w:space="0" w:color="auto"/>
            </w:tcBorders>
          </w:tcPr>
          <w:p>
            <w:pPr>
              <w:pStyle w:val="nTable"/>
              <w:spacing w:after="40"/>
            </w:pPr>
            <w:r>
              <w:t>4 Oct 2011</w:t>
            </w:r>
          </w:p>
        </w:tc>
        <w:tc>
          <w:tcPr>
            <w:tcW w:w="2552" w:type="dxa"/>
            <w:tcBorders>
              <w:bottom w:val="single" w:sz="4" w:space="0" w:color="auto"/>
            </w:tcBorders>
          </w:tcPr>
          <w:p>
            <w:pPr>
              <w:pStyle w:val="nTable"/>
              <w:spacing w:after="40"/>
            </w:pPr>
            <w:r>
              <w:rPr>
                <w:snapToGrid w:val="0"/>
              </w:rPr>
              <w:t>30 Jan 2012 (see s. 2(c) and Cwlth Legislative Instrument No. F2011L02397 cl. 5 registered 21 Nov 2011)</w:t>
            </w:r>
          </w:p>
        </w:tc>
      </w:tr>
    </w:tbl>
    <w:p>
      <w:pPr>
        <w:pStyle w:val="nHeading3"/>
      </w:pPr>
      <w:bookmarkStart w:id="656" w:name="_Toc166676148"/>
      <w:r>
        <w:t>Uncommenced provisions table</w:t>
      </w:r>
      <w:bookmarkEnd w:id="65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Note"/>
              <w:spacing w:before="40" w:after="40"/>
              <w:ind w:left="0" w:firstLine="0"/>
              <w:rPr>
                <w:i/>
                <w:noProof/>
              </w:rPr>
            </w:pPr>
            <w:r>
              <w:rPr>
                <w:i/>
                <w:snapToGrid w:val="0"/>
              </w:rPr>
              <w:t>Aquatic Resources Management Act 2016</w:t>
            </w:r>
            <w:r>
              <w:rPr>
                <w:snapToGrid w:val="0"/>
              </w:rPr>
              <w:t xml:space="preserve"> Pt. 19 Div. 8</w:t>
            </w:r>
          </w:p>
        </w:tc>
        <w:tc>
          <w:tcPr>
            <w:tcW w:w="1134" w:type="dxa"/>
            <w:tcBorders>
              <w:top w:val="nil"/>
              <w:bottom w:val="nil"/>
            </w:tcBorders>
          </w:tcPr>
          <w:p>
            <w:pPr>
              <w:pStyle w:val="nTable"/>
              <w:spacing w:after="40"/>
            </w:pPr>
            <w:r>
              <w:t>53 of 2016</w:t>
            </w:r>
          </w:p>
        </w:tc>
        <w:tc>
          <w:tcPr>
            <w:tcW w:w="1134" w:type="dxa"/>
            <w:tcBorders>
              <w:top w:val="nil"/>
              <w:bottom w:val="nil"/>
            </w:tcBorders>
          </w:tcPr>
          <w:p>
            <w:pPr>
              <w:pStyle w:val="nTable"/>
              <w:spacing w:after="40"/>
            </w:pPr>
            <w:r>
              <w:t>29 Nov 2016</w:t>
            </w:r>
          </w:p>
        </w:tc>
        <w:tc>
          <w:tcPr>
            <w:tcW w:w="2552" w:type="dxa"/>
            <w:tcBorders>
              <w:top w:val="nil"/>
              <w:bottom w:val="nil"/>
            </w:tcBorders>
          </w:tcPr>
          <w:p>
            <w:pPr>
              <w:pStyle w:val="nTable"/>
              <w:spacing w:after="40"/>
            </w:pPr>
            <w:r>
              <w:rPr>
                <w:snapToGrid w:val="0"/>
              </w:rPr>
              <w:t>To be proclaimed (see s. 2(b))</w:t>
            </w:r>
          </w:p>
        </w:tc>
      </w:tr>
      <w:tr>
        <w:tc>
          <w:tcPr>
            <w:tcW w:w="2268" w:type="dxa"/>
            <w:tcBorders>
              <w:top w:val="nil"/>
            </w:tcBorders>
          </w:tcPr>
          <w:p>
            <w:pPr>
              <w:pStyle w:val="nNote"/>
              <w:spacing w:before="40" w:after="40"/>
              <w:ind w:left="0" w:firstLine="0"/>
              <w:rPr>
                <w:iCs/>
                <w:snapToGrid w:val="0"/>
              </w:rPr>
            </w:pPr>
            <w:r>
              <w:rPr>
                <w:i/>
                <w:snapToGrid w:val="0"/>
              </w:rPr>
              <w:t xml:space="preserve">Petroleum Legislation Amendment Act 2024 </w:t>
            </w:r>
            <w:r>
              <w:rPr>
                <w:iCs/>
                <w:snapToGrid w:val="0"/>
              </w:rPr>
              <w:t>s. 435(2)</w:t>
            </w:r>
          </w:p>
        </w:tc>
        <w:tc>
          <w:tcPr>
            <w:tcW w:w="1134" w:type="dxa"/>
            <w:tcBorders>
              <w:top w:val="nil"/>
            </w:tcBorders>
          </w:tcPr>
          <w:p>
            <w:pPr>
              <w:pStyle w:val="nTable"/>
              <w:spacing w:after="40"/>
            </w:pPr>
            <w:r>
              <w:t>17 of 2024</w:t>
            </w:r>
          </w:p>
        </w:tc>
        <w:tc>
          <w:tcPr>
            <w:tcW w:w="1134" w:type="dxa"/>
            <w:tcBorders>
              <w:top w:val="nil"/>
            </w:tcBorders>
          </w:tcPr>
          <w:p>
            <w:pPr>
              <w:pStyle w:val="nTable"/>
              <w:spacing w:after="40"/>
            </w:pPr>
            <w:r>
              <w:t>14 May 2024</w:t>
            </w:r>
          </w:p>
        </w:tc>
        <w:tc>
          <w:tcPr>
            <w:tcW w:w="2552" w:type="dxa"/>
            <w:tcBorders>
              <w:top w:val="nil"/>
            </w:tcBorders>
          </w:tcPr>
          <w:p>
            <w:pPr>
              <w:pStyle w:val="nTable"/>
              <w:spacing w:after="40"/>
              <w:rPr>
                <w:snapToGrid w:val="0"/>
              </w:rPr>
            </w:pPr>
            <w:r>
              <w:rPr>
                <w:snapToGrid w:val="0"/>
              </w:rPr>
              <w:t>To be proclaimed (see s. 2(b))</w:t>
            </w:r>
          </w:p>
        </w:tc>
      </w:tr>
    </w:tbl>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658" w:name="_Toc166675329"/>
      <w:bookmarkStart w:id="659" w:name="_Toc166675844"/>
      <w:bookmarkStart w:id="660" w:name="_Toc166676149"/>
      <w:r>
        <w:rPr>
          <w:sz w:val="28"/>
        </w:rPr>
        <w:lastRenderedPageBreak/>
        <w:t>Defined terms</w:t>
      </w:r>
      <w:bookmarkEnd w:id="658"/>
      <w:bookmarkEnd w:id="659"/>
      <w:bookmarkEnd w:id="6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acquisition of property</w:t>
      </w:r>
      <w:r>
        <w:tab/>
        <w:t>49(3), 136(3), 196(3)</w:t>
      </w:r>
    </w:p>
    <w:p>
      <w:pPr>
        <w:pStyle w:val="DefinedTerms"/>
      </w:pPr>
      <w:r>
        <w:t>approved</w:t>
      </w:r>
      <w:r>
        <w:tab/>
        <w:t>5</w:t>
      </w:r>
    </w:p>
    <w:p>
      <w:pPr>
        <w:pStyle w:val="DefinedTerms"/>
      </w:pPr>
      <w:r>
        <w:t>associate</w:t>
      </w:r>
      <w:r>
        <w:tab/>
        <w:t>5</w:t>
      </w:r>
    </w:p>
    <w:p>
      <w:pPr>
        <w:pStyle w:val="DefinedTerms"/>
      </w:pPr>
      <w:r>
        <w:t>associated agent of an associated contractor</w:t>
      </w:r>
      <w:r>
        <w:tab/>
        <w:t>5</w:t>
      </w:r>
    </w:p>
    <w:p>
      <w:pPr>
        <w:pStyle w:val="DefinedTerms"/>
      </w:pPr>
      <w:r>
        <w:t>associated agent of the holder</w:t>
      </w:r>
      <w:r>
        <w:tab/>
        <w:t>5</w:t>
      </w:r>
    </w:p>
    <w:p>
      <w:pPr>
        <w:pStyle w:val="DefinedTerms"/>
      </w:pPr>
      <w:r>
        <w:t>associated contractor of the holder</w:t>
      </w:r>
      <w:r>
        <w:tab/>
        <w:t>5</w:t>
      </w:r>
    </w:p>
    <w:p>
      <w:pPr>
        <w:pStyle w:val="DefinedTerms"/>
      </w:pPr>
      <w:r>
        <w:t>associated employee of an associated contractor</w:t>
      </w:r>
      <w:r>
        <w:tab/>
        <w:t>5</w:t>
      </w:r>
    </w:p>
    <w:p>
      <w:pPr>
        <w:pStyle w:val="DefinedTerms"/>
      </w:pPr>
      <w:r>
        <w:t>associated employee of the holder</w:t>
      </w:r>
      <w:r>
        <w:tab/>
        <w:t>5</w:t>
      </w:r>
    </w:p>
    <w:p>
      <w:pPr>
        <w:pStyle w:val="DefinedTerms"/>
      </w:pPr>
      <w:r>
        <w:t>associated revenue Act</w:t>
      </w:r>
      <w:r>
        <w:tab/>
        <w:t>29</w:t>
      </w:r>
    </w:p>
    <w:p>
      <w:pPr>
        <w:pStyle w:val="DefinedTerms"/>
      </w:pPr>
      <w:r>
        <w:t>baseline</w:t>
      </w:r>
      <w:r>
        <w:tab/>
        <w:t>16(8)</w:t>
      </w:r>
    </w:p>
    <w:p>
      <w:pPr>
        <w:pStyle w:val="DefinedTerms"/>
      </w:pPr>
      <w:r>
        <w:t>block</w:t>
      </w:r>
      <w:r>
        <w:tab/>
        <w:t>5</w:t>
      </w:r>
    </w:p>
    <w:p>
      <w:pPr>
        <w:pStyle w:val="DefinedTerms"/>
      </w:pPr>
      <w:r>
        <w:t>caveat</w:t>
      </w:r>
      <w:r>
        <w:tab/>
        <w:t>5</w:t>
      </w:r>
    </w:p>
    <w:p>
      <w:pPr>
        <w:pStyle w:val="DefinedTerms"/>
      </w:pPr>
      <w:r>
        <w:t>coastal waters</w:t>
      </w:r>
      <w:r>
        <w:tab/>
        <w:t>5</w:t>
      </w:r>
    </w:p>
    <w:p>
      <w:pPr>
        <w:pStyle w:val="DefinedTerms"/>
      </w:pPr>
      <w:r>
        <w:t>commencement</w:t>
      </w:r>
      <w:r>
        <w:tab/>
        <w:t>Sch. 2 cl. 1(1)</w:t>
      </w:r>
    </w:p>
    <w:p>
      <w:pPr>
        <w:pStyle w:val="DefinedTerms"/>
      </w:pPr>
      <w:r>
        <w:t>Commonwealth Act</w:t>
      </w:r>
      <w:r>
        <w:tab/>
        <w:t>5</w:t>
      </w:r>
    </w:p>
    <w:p>
      <w:pPr>
        <w:pStyle w:val="DefinedTerms"/>
      </w:pPr>
      <w:r>
        <w:t>Commonwealth Minister</w:t>
      </w:r>
      <w:r>
        <w:tab/>
        <w:t>5</w:t>
      </w:r>
    </w:p>
    <w:p>
      <w:pPr>
        <w:pStyle w:val="DefinedTerms"/>
      </w:pPr>
      <w:r>
        <w:t>Commonwealth</w:t>
      </w:r>
      <w:r>
        <w:noBreakHyphen/>
        <w:t>State offshore area</w:t>
      </w:r>
      <w:r>
        <w:tab/>
        <w:t>29</w:t>
      </w:r>
    </w:p>
    <w:p>
      <w:pPr>
        <w:pStyle w:val="DefinedTerms"/>
      </w:pPr>
      <w:r>
        <w:t>compliance inspection</w:t>
      </w:r>
      <w:r>
        <w:tab/>
        <w:t>5</w:t>
      </w:r>
    </w:p>
    <w:p>
      <w:pPr>
        <w:pStyle w:val="DefinedTerms"/>
      </w:pPr>
      <w:r>
        <w:t>confidential information</w:t>
      </w:r>
      <w:r>
        <w:tab/>
        <w:t>5</w:t>
      </w:r>
    </w:p>
    <w:p>
      <w:pPr>
        <w:pStyle w:val="DefinedTerms"/>
      </w:pPr>
      <w:r>
        <w:t>confidential sample</w:t>
      </w:r>
      <w:r>
        <w:tab/>
        <w:t>5</w:t>
      </w:r>
    </w:p>
    <w:p>
      <w:pPr>
        <w:pStyle w:val="DefinedTerms"/>
      </w:pPr>
      <w:r>
        <w:t>consent area</w:t>
      </w:r>
      <w:r>
        <w:tab/>
        <w:t>5</w:t>
      </w:r>
    </w:p>
    <w:p>
      <w:pPr>
        <w:pStyle w:val="DefinedTerms"/>
      </w:pPr>
      <w:r>
        <w:t>conservation Minister</w:t>
      </w:r>
      <w:r>
        <w:tab/>
        <w:t>38A(11)</w:t>
      </w:r>
    </w:p>
    <w:p>
      <w:pPr>
        <w:pStyle w:val="DefinedTerms"/>
      </w:pPr>
      <w:r>
        <w:t>control</w:t>
      </w:r>
      <w:r>
        <w:tab/>
        <w:t>443(7)</w:t>
      </w:r>
    </w:p>
    <w:p>
      <w:pPr>
        <w:pStyle w:val="DefinedTerms"/>
      </w:pPr>
      <w:r>
        <w:t>dealing</w:t>
      </w:r>
      <w:r>
        <w:tab/>
        <w:t>5</w:t>
      </w:r>
    </w:p>
    <w:p>
      <w:pPr>
        <w:pStyle w:val="DefinedTerms"/>
      </w:pPr>
      <w:r>
        <w:t>discrete area</w:t>
      </w:r>
      <w:r>
        <w:tab/>
        <w:t>5</w:t>
      </w:r>
    </w:p>
    <w:p>
      <w:pPr>
        <w:pStyle w:val="DefinedTerms"/>
      </w:pPr>
      <w:r>
        <w:t>disruption period</w:t>
      </w:r>
      <w:r>
        <w:tab/>
        <w:t>95(4)</w:t>
      </w:r>
    </w:p>
    <w:p>
      <w:pPr>
        <w:pStyle w:val="DefinedTerms"/>
      </w:pPr>
      <w:r>
        <w:t>document file</w:t>
      </w:r>
      <w:r>
        <w:tab/>
        <w:t>5</w:t>
      </w:r>
    </w:p>
    <w:p>
      <w:pPr>
        <w:pStyle w:val="DefinedTerms"/>
      </w:pPr>
      <w:r>
        <w:t>excluded time</w:t>
      </w:r>
      <w:r>
        <w:tab/>
        <w:t>95(4)</w:t>
      </w:r>
    </w:p>
    <w:p>
      <w:pPr>
        <w:pStyle w:val="DefinedTerms"/>
      </w:pPr>
      <w:r>
        <w:t>exploration</w:t>
      </w:r>
      <w:r>
        <w:tab/>
        <w:t>5</w:t>
      </w:r>
    </w:p>
    <w:p>
      <w:pPr>
        <w:pStyle w:val="DefinedTerms"/>
      </w:pPr>
      <w:r>
        <w:t>first applicant</w:t>
      </w:r>
      <w:r>
        <w:tab/>
        <w:t>53(1)</w:t>
      </w:r>
    </w:p>
    <w:p>
      <w:pPr>
        <w:pStyle w:val="DefinedTerms"/>
      </w:pPr>
      <w:r>
        <w:t>fish habitat protection area</w:t>
      </w:r>
      <w:r>
        <w:tab/>
        <w:t>38A(11)</w:t>
      </w:r>
    </w:p>
    <w:p>
      <w:pPr>
        <w:pStyle w:val="DefinedTerms"/>
      </w:pPr>
      <w:r>
        <w:t>fisheries Minister</w:t>
      </w:r>
      <w:r>
        <w:tab/>
        <w:t>38A(11)</w:t>
      </w:r>
    </w:p>
    <w:p>
      <w:pPr>
        <w:pStyle w:val="DefinedTerms"/>
      </w:pPr>
      <w:r>
        <w:t>grant</w:t>
      </w:r>
      <w:r>
        <w:tab/>
        <w:t>43(5)</w:t>
      </w:r>
    </w:p>
    <w:p>
      <w:pPr>
        <w:pStyle w:val="DefinedTerms"/>
      </w:pPr>
      <w:r>
        <w:t>holder of a licence</w:t>
      </w:r>
      <w:r>
        <w:tab/>
        <w:t>5</w:t>
      </w:r>
    </w:p>
    <w:p>
      <w:pPr>
        <w:pStyle w:val="DefinedTerms"/>
      </w:pPr>
      <w:r>
        <w:t>hydrocarbon</w:t>
      </w:r>
      <w:r>
        <w:tab/>
        <w:t>5</w:t>
      </w:r>
    </w:p>
    <w:p>
      <w:pPr>
        <w:pStyle w:val="DefinedTerms"/>
      </w:pPr>
      <w:r>
        <w:t>inspector</w:t>
      </w:r>
      <w:r>
        <w:tab/>
        <w:t>5</w:t>
      </w:r>
    </w:p>
    <w:p>
      <w:pPr>
        <w:pStyle w:val="DefinedTerms"/>
      </w:pPr>
      <w:r>
        <w:t>interest</w:t>
      </w:r>
      <w:r>
        <w:tab/>
        <w:t>5</w:t>
      </w:r>
    </w:p>
    <w:p>
      <w:pPr>
        <w:pStyle w:val="DefinedTerms"/>
      </w:pPr>
      <w:r>
        <w:t>licence</w:t>
      </w:r>
      <w:r>
        <w:tab/>
        <w:t>5</w:t>
      </w:r>
    </w:p>
    <w:p>
      <w:pPr>
        <w:pStyle w:val="DefinedTerms"/>
      </w:pPr>
      <w:r>
        <w:t>licence area</w:t>
      </w:r>
      <w:r>
        <w:tab/>
        <w:t>5</w:t>
      </w:r>
    </w:p>
    <w:p>
      <w:pPr>
        <w:pStyle w:val="DefinedTerms"/>
      </w:pPr>
      <w:r>
        <w:lastRenderedPageBreak/>
        <w:t>licence holder</w:t>
      </w:r>
      <w:r>
        <w:tab/>
        <w:t>5</w:t>
      </w:r>
    </w:p>
    <w:p>
      <w:pPr>
        <w:pStyle w:val="DefinedTerms"/>
      </w:pPr>
      <w:r>
        <w:t>marine management area</w:t>
      </w:r>
      <w:r>
        <w:tab/>
        <w:t>38A(11)</w:t>
      </w:r>
    </w:p>
    <w:p>
      <w:pPr>
        <w:pStyle w:val="DefinedTerms"/>
      </w:pPr>
      <w:r>
        <w:t>marine Minister</w:t>
      </w:r>
      <w:r>
        <w:tab/>
        <w:t>38A(11)</w:t>
      </w:r>
    </w:p>
    <w:p>
      <w:pPr>
        <w:pStyle w:val="DefinedTerms"/>
      </w:pPr>
      <w:r>
        <w:t>marine nature reserve</w:t>
      </w:r>
      <w:r>
        <w:tab/>
        <w:t>38A(11)</w:t>
      </w:r>
    </w:p>
    <w:p>
      <w:pPr>
        <w:pStyle w:val="DefinedTerms"/>
      </w:pPr>
      <w:r>
        <w:t>marine park</w:t>
      </w:r>
      <w:r>
        <w:tab/>
        <w:t>38A(11)</w:t>
      </w:r>
    </w:p>
    <w:p>
      <w:pPr>
        <w:pStyle w:val="DefinedTerms"/>
      </w:pPr>
      <w:r>
        <w:t>mineral</w:t>
      </w:r>
      <w:r>
        <w:tab/>
        <w:t>5</w:t>
      </w:r>
    </w:p>
    <w:p>
      <w:pPr>
        <w:pStyle w:val="DefinedTerms"/>
      </w:pPr>
      <w:r>
        <w:t>Mining Act</w:t>
      </w:r>
      <w:r>
        <w:tab/>
        <w:t>Sch. 2 cl. 1(1)</w:t>
      </w:r>
    </w:p>
    <w:p>
      <w:pPr>
        <w:pStyle w:val="DefinedTerms"/>
      </w:pPr>
      <w:r>
        <w:t>offshore exploration or mining activities</w:t>
      </w:r>
      <w:r>
        <w:tab/>
        <w:t>5</w:t>
      </w:r>
    </w:p>
    <w:p>
      <w:pPr>
        <w:pStyle w:val="DefinedTerms"/>
      </w:pPr>
      <w:r>
        <w:t>offshore mining register</w:t>
      </w:r>
      <w:r>
        <w:tab/>
        <w:t>5</w:t>
      </w:r>
    </w:p>
    <w:p>
      <w:pPr>
        <w:pStyle w:val="DefinedTerms"/>
      </w:pPr>
      <w:r>
        <w:t>petroleum</w:t>
      </w:r>
      <w:r>
        <w:tab/>
        <w:t>5</w:t>
      </w:r>
    </w:p>
    <w:p>
      <w:pPr>
        <w:pStyle w:val="DefinedTerms"/>
      </w:pPr>
      <w:r>
        <w:t>primary payment period</w:t>
      </w:r>
      <w:r>
        <w:tab/>
        <w:t>5</w:t>
      </w:r>
    </w:p>
    <w:p>
      <w:pPr>
        <w:pStyle w:val="DefinedTerms"/>
      </w:pPr>
      <w:r>
        <w:t>property</w:t>
      </w:r>
      <w:r>
        <w:tab/>
        <w:t>401(5)</w:t>
      </w:r>
    </w:p>
    <w:p>
      <w:pPr>
        <w:pStyle w:val="DefinedTerms"/>
      </w:pPr>
      <w:r>
        <w:t>provisional holder</w:t>
      </w:r>
      <w:r>
        <w:tab/>
        <w:t>5</w:t>
      </w:r>
    </w:p>
    <w:p>
      <w:pPr>
        <w:pStyle w:val="DefinedTerms"/>
      </w:pPr>
      <w:r>
        <w:t>recovery</w:t>
      </w:r>
      <w:r>
        <w:tab/>
        <w:t>5</w:t>
      </w:r>
    </w:p>
    <w:p>
      <w:pPr>
        <w:pStyle w:val="DefinedTerms"/>
      </w:pPr>
      <w:r>
        <w:t>registered</w:t>
      </w:r>
      <w:r>
        <w:tab/>
        <w:t>5</w:t>
      </w:r>
    </w:p>
    <w:p>
      <w:pPr>
        <w:pStyle w:val="DefinedTerms"/>
      </w:pPr>
      <w:r>
        <w:t>Registration Fees Act</w:t>
      </w:r>
      <w:r>
        <w:tab/>
        <w:t>5</w:t>
      </w:r>
    </w:p>
    <w:p>
      <w:pPr>
        <w:pStyle w:val="DefinedTerms"/>
      </w:pPr>
      <w:r>
        <w:t>reserved block</w:t>
      </w:r>
      <w:r>
        <w:tab/>
        <w:t>5</w:t>
      </w:r>
    </w:p>
    <w:p>
      <w:pPr>
        <w:pStyle w:val="DefinedTerms"/>
      </w:pPr>
      <w:r>
        <w:t>responsible Commonwealth Minister</w:t>
      </w:r>
      <w:r>
        <w:tab/>
        <w:t>5</w:t>
      </w:r>
    </w:p>
    <w:p>
      <w:pPr>
        <w:pStyle w:val="DefinedTerms"/>
      </w:pPr>
      <w:r>
        <w:t>restricted area</w:t>
      </w:r>
      <w:r>
        <w:tab/>
        <w:t>38A(11)</w:t>
      </w:r>
    </w:p>
    <w:p>
      <w:pPr>
        <w:pStyle w:val="DefinedTerms"/>
      </w:pPr>
      <w:r>
        <w:t>royalty</w:t>
      </w:r>
      <w:r>
        <w:tab/>
        <w:t>435(3)</w:t>
      </w:r>
    </w:p>
    <w:p>
      <w:pPr>
        <w:pStyle w:val="DefinedTerms"/>
      </w:pPr>
      <w:r>
        <w:t>royalty period</w:t>
      </w:r>
      <w:r>
        <w:tab/>
        <w:t>428</w:t>
      </w:r>
    </w:p>
    <w:p>
      <w:pPr>
        <w:pStyle w:val="DefinedTerms"/>
      </w:pPr>
      <w:r>
        <w:t>sample</w:t>
      </w:r>
      <w:r>
        <w:tab/>
        <w:t>5</w:t>
      </w:r>
    </w:p>
    <w:p>
      <w:pPr>
        <w:pStyle w:val="DefinedTerms"/>
      </w:pPr>
      <w:r>
        <w:t>second applicant</w:t>
      </w:r>
      <w:r>
        <w:tab/>
        <w:t>53(1)</w:t>
      </w:r>
    </w:p>
    <w:p>
      <w:pPr>
        <w:pStyle w:val="DefinedTerms"/>
      </w:pPr>
      <w:r>
        <w:t>secondary payment period</w:t>
      </w:r>
      <w:r>
        <w:tab/>
        <w:t>5</w:t>
      </w:r>
    </w:p>
    <w:p>
      <w:pPr>
        <w:pStyle w:val="DefinedTerms"/>
      </w:pPr>
      <w:r>
        <w:t>share</w:t>
      </w:r>
      <w:r>
        <w:tab/>
        <w:t>5</w:t>
      </w:r>
    </w:p>
    <w:p>
      <w:pPr>
        <w:pStyle w:val="DefinedTerms"/>
      </w:pPr>
      <w:r>
        <w:t>special purpose consent</w:t>
      </w:r>
      <w:r>
        <w:tab/>
        <w:t>5</w:t>
      </w:r>
    </w:p>
    <w:p>
      <w:pPr>
        <w:pStyle w:val="DefinedTerms"/>
      </w:pPr>
      <w:r>
        <w:t>standard block</w:t>
      </w:r>
      <w:r>
        <w:tab/>
        <w:t>5</w:t>
      </w:r>
    </w:p>
    <w:p>
      <w:pPr>
        <w:pStyle w:val="DefinedTerms"/>
      </w:pPr>
      <w:r>
        <w:t>State authority</w:t>
      </w:r>
      <w:r>
        <w:tab/>
        <w:t>438(3)</w:t>
      </w:r>
    </w:p>
    <w:p>
      <w:pPr>
        <w:pStyle w:val="DefinedTerms"/>
      </w:pPr>
      <w:r>
        <w:t>State court</w:t>
      </w:r>
      <w:r>
        <w:tab/>
        <w:t>438(3)</w:t>
      </w:r>
    </w:p>
    <w:p>
      <w:pPr>
        <w:pStyle w:val="DefinedTerms"/>
      </w:pPr>
      <w:r>
        <w:t>State Minister</w:t>
      </w:r>
      <w:r>
        <w:tab/>
        <w:t>5</w:t>
      </w:r>
    </w:p>
    <w:p>
      <w:pPr>
        <w:pStyle w:val="DefinedTerms"/>
      </w:pPr>
      <w:r>
        <w:t>subordinate instrument</w:t>
      </w:r>
      <w:r>
        <w:tab/>
        <w:t>10(2)</w:t>
      </w:r>
    </w:p>
    <w:p>
      <w:pPr>
        <w:pStyle w:val="DefinedTerms"/>
      </w:pPr>
      <w:r>
        <w:t>successor licence</w:t>
      </w:r>
      <w:r>
        <w:tab/>
        <w:t>5</w:t>
      </w:r>
    </w:p>
    <w:p>
      <w:pPr>
        <w:pStyle w:val="DefinedTerms"/>
      </w:pPr>
      <w:r>
        <w:t>surrender day</w:t>
      </w:r>
      <w:r>
        <w:tab/>
        <w:t>5</w:t>
      </w:r>
    </w:p>
    <w:p>
      <w:pPr>
        <w:pStyle w:val="DefinedTerms"/>
      </w:pPr>
      <w:r>
        <w:t>tender block</w:t>
      </w:r>
      <w:r>
        <w:tab/>
        <w:t>5</w:t>
      </w:r>
    </w:p>
    <w:p>
      <w:pPr>
        <w:pStyle w:val="DefinedTerms"/>
      </w:pPr>
      <w:r>
        <w:t xml:space="preserve">transfer </w:t>
      </w:r>
      <w:r>
        <w:tab/>
        <w:t>5</w:t>
      </w:r>
    </w:p>
    <w:p>
      <w:pPr>
        <w:pStyle w:val="DefinedTerms"/>
      </w:pPr>
      <w:r>
        <w:t>vary</w:t>
      </w:r>
      <w:r>
        <w:tab/>
        <w:t>5</w:t>
      </w:r>
    </w:p>
    <w:p>
      <w:pPr>
        <w:pStyle w:val="DefinedTerms"/>
      </w:pPr>
      <w:r>
        <w:t>year</w:t>
      </w:r>
      <w:r>
        <w:tab/>
        <w:t>424</w:t>
      </w:r>
    </w:p>
    <w:p>
      <w:pPr>
        <w:pStyle w:val="DefinedTerms"/>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3FDBE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6CE857DA" w14:textId="2384B23C" w:rsidR="00C20CCD" w:rsidRDefault="00C20CC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87F36AA" w14:textId="77777777" w:rsidR="00C20CCD" w:rsidRDefault="00C20CC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60EF80" w14:textId="0672BEE0" w:rsidR="00C20CCD" w:rsidRDefault="00C20CC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8D0CFE0" w14:textId="77777777" w:rsidR="00C20CCD" w:rsidRDefault="00C20CC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6" w:name="Schedule"/>
    <w:bookmarkEnd w:id="6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Area in which coastal waters are situated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in which coastal waters are situated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57" w:name="Compilation"/>
    <w:bookmarkEnd w:id="6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1" w:name="DefinedTerms"/>
    <w:bookmarkEnd w:id="66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2" w:name="Coversheet"/>
    <w:bookmarkEnd w:id="6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2C2B41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BCDB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3B42F5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8D612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258DA9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9162D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39693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D8812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D672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B23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BA0B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E5D69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C2808C0"/>
    <w:multiLevelType w:val="singleLevel"/>
    <w:tmpl w:val="9B56DFB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0565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E335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B470C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CD777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64D39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6F557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7777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C53C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FB47AF2"/>
    <w:multiLevelType w:val="singleLevel"/>
    <w:tmpl w:val="04090001"/>
    <w:lvl w:ilvl="0">
      <w:start w:val="1"/>
      <w:numFmt w:val="bullet"/>
      <w:lvlText w:val=""/>
      <w:lvlJc w:val="left"/>
      <w:pPr>
        <w:tabs>
          <w:tab w:val="num" w:pos="360"/>
        </w:tabs>
        <w:ind w:left="360" w:hanging="360"/>
      </w:pPr>
      <w:rPr>
        <w:rFonts w:ascii="Symbol" w:hAnsi="Symbol" w:hint="default"/>
      </w:r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o:colormenu v:ext="edit" fillcolor="#969696"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35016"/>
    <w:docVar w:name="WAFER_20131219135255" w:val="RemoveTocBookmarks,RemoveUnusedBookmarks,RemoveLanguageTags,UsedStyles,ResetPageSize,UpdateArrangement"/>
    <w:docVar w:name="WAFER_20131219135255_GUID" w:val="6c7d84d1-99b2-437e-8765-4ef4b6329b1c"/>
    <w:docVar w:name="WAFER_20150709123206" w:val="ResetPageSize,UpdateArrangement,UpdateNTable"/>
    <w:docVar w:name="WAFER_20150709123206_GUID" w:val="1a465b01-b32b-4dfb-9d68-fb912778ac61"/>
    <w:docVar w:name="WAFER_20151102140200" w:val="UpdateStyles"/>
    <w:docVar w:name="WAFER_20151102140200_GUID" w:val="a88ff207-1399-473e-b974-fc9bfbb9b353"/>
    <w:docVar w:name="WAFER_20151103172013" w:val="UpdateStyles"/>
    <w:docVar w:name="WAFER_20151103172013_GUID" w:val="f1dcaa88-db66-4a80-b5b2-2b732169f06d"/>
    <w:docVar w:name="WAFER_20151110120229" w:val="UsedStyles"/>
    <w:docVar w:name="WAFER_20151110120229_GUID" w:val="3059ebfc-0558-40b5-ad6a-dad372a9d02e"/>
    <w:docVar w:name="WAFER_20151130174950" w:val="RemoveTrackChanges"/>
    <w:docVar w:name="WAFER_20151130174950_GUID" w:val="5e149540-6cb7-42a6-a802-2191751f594b"/>
    <w:docVar w:name="WAFER_20170213144526" w:val="UpdateStyles"/>
    <w:docVar w:name="WAFER_20170213144526_GUID" w:val="3cc70dd6-6e38-4f8a-803d-916ab3c6b230"/>
    <w:docVar w:name="WAFER_20170213144841" w:val="UsedStyles"/>
    <w:docVar w:name="WAFER_20170213144841_GUID" w:val="883b1bb8-a8fa-4b88-b4f1-980dc232f686"/>
    <w:docVar w:name="WAFER_202002101424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2450_GUID" w:val="7698c123-0921-4b77-b6f5-95c4858fbec6"/>
    <w:docVar w:name="WAFER_20240515135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35016_GUID" w:val="3d9fdb33-8c14-46d6-93fe-4f1f65b322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colormenu v:ext="edit" fillcolor="#969696" strokecolor="none"/>
    </o:shapedefaults>
    <o:shapelayout v:ext="edit">
      <o:idmap v:ext="edit" data="1"/>
      <o:regrouptable v:ext="edit">
        <o:entry new="1" old="0"/>
      </o:regrouptable>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image" Target="media/image3.jpeg"/><Relationship Id="rId34" Type="http://schemas.openxmlformats.org/officeDocument/2006/relationships/header" Target="header1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60437</Words>
  <Characters>295537</Characters>
  <Application>Microsoft Office Word</Application>
  <DocSecurity>0</DocSecurity>
  <Lines>8209</Lines>
  <Paragraphs>5932</Paragraphs>
  <ScaleCrop>false</ScaleCrop>
  <HeadingPairs>
    <vt:vector size="2" baseType="variant">
      <vt:variant>
        <vt:lpstr>Title</vt:lpstr>
      </vt:variant>
      <vt:variant>
        <vt:i4>1</vt:i4>
      </vt:variant>
    </vt:vector>
  </HeadingPairs>
  <TitlesOfParts>
    <vt:vector size="1" baseType="lpstr">
      <vt:lpstr>Offshore Minerals Act 2003</vt:lpstr>
    </vt:vector>
  </TitlesOfParts>
  <Manager/>
  <Company/>
  <LinksUpToDate>false</LinksUpToDate>
  <CharactersWithSpaces>350042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2003 - 00-h0-00</dc:title>
  <dc:subject/>
  <dc:creator/>
  <cp:keywords/>
  <dc:description/>
  <cp:lastModifiedBy>Master Repository Process</cp:lastModifiedBy>
  <cp:revision>4</cp:revision>
  <cp:lastPrinted>2011-01-12T02:54:00Z</cp:lastPrinted>
  <dcterms:created xsi:type="dcterms:W3CDTF">2025-06-19T02:22:00Z</dcterms:created>
  <dcterms:modified xsi:type="dcterms:W3CDTF">2025-06-19T02:23:00Z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DocumentType">
    <vt:lpwstr>Act</vt:lpwstr>
  </property>
  <property fmtid="{D5CDD505-2E9C-101B-9397-08002B2CF9AE}" pid="4" name="OwlsUID">
    <vt:i4>6352</vt:i4>
  </property>
  <property fmtid="{D5CDD505-2E9C-101B-9397-08002B2CF9AE}" pid="5" name="ThisVersion">
    <vt:lpwstr>00-d0-02</vt:lpwstr>
  </property>
  <property fmtid="{D5CDD505-2E9C-101B-9397-08002B2CF9AE}" pid="6" name="CommencementDate">
    <vt:lpwstr>20240514</vt:lpwstr>
  </property>
  <property fmtid="{D5CDD505-2E9C-101B-9397-08002B2CF9AE}" pid="7" name="CommencementAsAt">
    <vt:filetime>2024-05-13T16:00:00Z</vt:filetime>
  </property>
  <property fmtid="{D5CDD505-2E9C-101B-9397-08002B2CF9AE}" pid="8" name="CommencementYear">
    <vt:lpwstr>2024</vt:lpwstr>
  </property>
  <property fmtid="{D5CDD505-2E9C-101B-9397-08002B2CF9AE}" pid="9" name="AsAtDate">
    <vt:lpwstr>14 May 2024</vt:lpwstr>
  </property>
  <property fmtid="{D5CDD505-2E9C-101B-9397-08002B2CF9AE}" pid="10" name="Suffix">
    <vt:lpwstr>00-h0-00</vt:lpwstr>
  </property>
  <property fmtid="{D5CDD505-2E9C-101B-9397-08002B2CF9AE}" pid="11" name="Official">
    <vt:lpwstr/>
  </property>
</Properties>
</file>