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(Registration Fees) Act 1967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(Registration Fees)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_Toc166680174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_Toc166680175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Act read with </w:t>
      </w:r>
      <w:r>
        <w:rPr>
          <w:i/>
          <w:iCs/>
        </w:rPr>
        <w:t>Petroleum and Geothermal Energy Resources Act 1967</w:t>
      </w:r>
      <w:r>
        <w:tab/>
      </w:r>
      <w:r>
        <w:fldChar w:fldCharType="begin"/>
      </w:r>
      <w:r>
        <w:instrText xml:space="preserve"> PAGEREF _Toc166680176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Imposition of registration fees</w:t>
      </w:r>
      <w:r>
        <w:tab/>
      </w:r>
      <w:r>
        <w:fldChar w:fldCharType="begin"/>
      </w:r>
      <w:r>
        <w:instrText xml:space="preserve"> PAGEREF _Toc166680177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w:t>
      </w:r>
      <w:r>
        <w:tab/>
      </w:r>
      <w:r>
        <w:fldChar w:fldCharType="begin"/>
      </w:r>
      <w:r>
        <w:instrText xml:space="preserve"> PAGEREF _Toc166680178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_Toc166680180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_Toc166680181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_Toc166680182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Petroleum</w:t>
      </w:r>
      <w:r>
        <w:rPr>
          <w:i/>
          <w:iCs/>
        </w:rPr>
        <w:t xml:space="preserve"> </w:t>
      </w:r>
      <w:r>
        <w:t xml:space="preserve">and Geothermal Energy Resources (Registration Fees) Act 1967 </w:t>
      </w:r>
    </w:p>
    <w:p>
      <w:pPr>
        <w:pStyle w:val="LongTitle"/>
      </w:pPr>
      <w:r>
        <w:rPr>
          <w:snapToGrid w:val="0"/>
        </w:rPr>
        <w:t xml:space="preserve">An Act to provide for the payment of fees in respect of the registration of certain instruments under the </w:t>
      </w:r>
      <w:r>
        <w:rPr>
          <w:i/>
          <w:iCs/>
        </w:rPr>
        <w:t>Petroleum and Geothermal Energy Resources Act 1967</w:t>
      </w:r>
      <w:r>
        <w:t>.</w:t>
      </w:r>
    </w:p>
    <w:p>
      <w:pPr>
        <w:pStyle w:val="Footnotelongtitle"/>
      </w:pPr>
      <w:r>
        <w:tab/>
        <w:t>[Long title amended: No. 35 of 2007 s. 103(2).]</w:t>
      </w:r>
    </w:p>
    <w:p>
      <w:pPr>
        <w:pStyle w:val="Heading5"/>
        <w:rPr>
          <w:snapToGrid w:val="0"/>
        </w:rPr>
      </w:pPr>
      <w:bookmarkStart w:id="2" w:name="_Toc16668017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w:t>
      </w:r>
      <w:r>
        <w:rPr>
          <w:i/>
          <w:iCs/>
        </w:rPr>
        <w:t xml:space="preserve"> and Geothermal Energy Resources</w:t>
      </w:r>
      <w:r>
        <w:rPr>
          <w:i/>
          <w:snapToGrid w:val="0"/>
        </w:rPr>
        <w:t xml:space="preserve"> (Registration Fees) Act 1967</w:t>
      </w:r>
      <w:r>
        <w:rPr>
          <w:snapToGrid w:val="0"/>
        </w:rPr>
        <w:t>.</w:t>
      </w:r>
    </w:p>
    <w:p>
      <w:pPr>
        <w:pStyle w:val="Footnotesection"/>
      </w:pPr>
      <w:r>
        <w:tab/>
        <w:t>[Section 1 amended: No. 35 of 2007 s. 103(3).]</w:t>
      </w:r>
    </w:p>
    <w:p>
      <w:pPr>
        <w:pStyle w:val="Heading5"/>
        <w:rPr>
          <w:snapToGrid w:val="0"/>
        </w:rPr>
      </w:pPr>
      <w:bookmarkStart w:id="3" w:name="_Toc16668017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4" w:name="_Toc166680176"/>
      <w:r>
        <w:rPr>
          <w:rStyle w:val="CharSectno"/>
        </w:rPr>
        <w:t>3</w:t>
      </w:r>
      <w:r>
        <w:rPr>
          <w:snapToGrid w:val="0"/>
        </w:rPr>
        <w:t>.</w:t>
      </w:r>
      <w:r>
        <w:rPr>
          <w:snapToGrid w:val="0"/>
        </w:rPr>
        <w:tab/>
        <w:t xml:space="preserve">Act read with </w:t>
      </w:r>
      <w:r>
        <w:rPr>
          <w:i/>
          <w:iCs/>
        </w:rPr>
        <w:t>Petroleum and Geothermal Energy Resources Act 1967</w:t>
      </w:r>
      <w:bookmarkEnd w:id="4"/>
    </w:p>
    <w:p>
      <w:pPr>
        <w:pStyle w:val="Subsection"/>
        <w:rPr>
          <w:snapToGrid w:val="0"/>
        </w:rPr>
      </w:pPr>
      <w:r>
        <w:rPr>
          <w:snapToGrid w:val="0"/>
        </w:rPr>
        <w:tab/>
      </w:r>
      <w:r>
        <w:rPr>
          <w:snapToGrid w:val="0"/>
        </w:rPr>
        <w:tab/>
        <w:t xml:space="preserve">The </w:t>
      </w:r>
      <w:r>
        <w:rPr>
          <w:i/>
          <w:iCs/>
        </w:rPr>
        <w:t>Petroleum and Geothermal Energy Resources Act 1967</w:t>
      </w:r>
      <w:r>
        <w:t xml:space="preserve"> </w:t>
      </w:r>
      <w:r>
        <w:rPr>
          <w:snapToGrid w:val="0"/>
        </w:rPr>
        <w:t>is incorporated and shall be read as one with this Act.</w:t>
      </w:r>
    </w:p>
    <w:p>
      <w:pPr>
        <w:pStyle w:val="Footnotesection"/>
      </w:pPr>
      <w:r>
        <w:tab/>
        <w:t>[Section 3 amended: No. 35 of 2007 s. 103(4).]</w:t>
      </w:r>
    </w:p>
    <w:p>
      <w:pPr>
        <w:pStyle w:val="Heading5"/>
        <w:rPr>
          <w:snapToGrid w:val="0"/>
        </w:rPr>
      </w:pPr>
      <w:bookmarkStart w:id="5" w:name="_Toc166680177"/>
      <w:r>
        <w:rPr>
          <w:rStyle w:val="CharSectno"/>
        </w:rPr>
        <w:t>4</w:t>
      </w:r>
      <w:r>
        <w:rPr>
          <w:snapToGrid w:val="0"/>
        </w:rPr>
        <w:t>.</w:t>
      </w:r>
      <w:r>
        <w:rPr>
          <w:snapToGrid w:val="0"/>
        </w:rPr>
        <w:tab/>
        <w:t>Imposition of registration fees</w:t>
      </w:r>
      <w:bookmarkEnd w:id="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drilling reservation, lease, licence or access authority.</w:t>
      </w:r>
    </w:p>
    <w:p>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w:t>
      </w:r>
      <w:r>
        <w:rPr>
          <w:snapToGrid w:val="0"/>
        </w:rPr>
        <w:lastRenderedPageBreak/>
        <w:t xml:space="preserve">title under section 72 of the </w:t>
      </w:r>
      <w:r>
        <w:rPr>
          <w:i/>
          <w:iCs/>
        </w:rPr>
        <w:t>Petroleum and Geothermal Energy Resources 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transfer; or</w:t>
      </w:r>
    </w:p>
    <w:p>
      <w:pPr>
        <w:pStyle w:val="Indenta"/>
        <w:rPr>
          <w:snapToGrid w:val="0"/>
        </w:rPr>
      </w:pPr>
      <w:r>
        <w:rPr>
          <w:snapToGrid w:val="0"/>
        </w:rPr>
        <w:tab/>
        <w:t>(b)</w:t>
      </w:r>
      <w:r>
        <w:rPr>
          <w:snapToGrid w:val="0"/>
        </w:rPr>
        <w:tab/>
        <w:t>the value of the title transferred,</w:t>
      </w:r>
    </w:p>
    <w:p>
      <w:pPr>
        <w:pStyle w:val="Subsection"/>
        <w:rPr>
          <w:snapToGrid w:val="0"/>
        </w:rPr>
      </w:pPr>
      <w:r>
        <w:rPr>
          <w:snapToGrid w:val="0"/>
        </w:rPr>
        <w:tab/>
      </w:r>
      <w:r>
        <w:rPr>
          <w:snapToGrid w:val="0"/>
        </w:rPr>
        <w:tab/>
        <w:t>whichever is the greater or, if the amount of that fee is less than the prescribed amount, a fee of the prescribed amount.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the parties to a transfer of a title lodged for approval under section 72 of the </w:t>
      </w:r>
      <w:r>
        <w:rPr>
          <w:i/>
          <w:iCs/>
        </w:rPr>
        <w:t>Petroleum and Geothermal Energy Resources Act 1967</w:t>
      </w:r>
      <w:r>
        <w:t xml:space="preserve"> </w:t>
      </w:r>
      <w:r>
        <w:rPr>
          <w:snapToGrid w:val="0"/>
        </w:rPr>
        <w:t>satisfy the Minister that —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pPr>
        <w:pStyle w:val="Indenti"/>
        <w:rPr>
          <w:snapToGrid w:val="0"/>
        </w:rPr>
      </w:pPr>
      <w:r>
        <w:rPr>
          <w:snapToGrid w:val="0"/>
        </w:rPr>
        <w:lastRenderedPageBreak/>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iCs/>
        </w:rPr>
        <w:t>Petroleum and Geothermal Energy Resources 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pPr>
        <w:pStyle w:val="Indenta"/>
        <w:rPr>
          <w:snapToGrid w:val="0"/>
        </w:rPr>
      </w:pPr>
      <w:r>
        <w:rPr>
          <w:snapToGrid w:val="0"/>
        </w:rPr>
        <w:tab/>
        <w:t>(b)</w:t>
      </w:r>
      <w:r>
        <w:rPr>
          <w:snapToGrid w:val="0"/>
        </w:rPr>
        <w:tab/>
        <w:t>in a case where — </w:t>
      </w:r>
    </w:p>
    <w:p>
      <w:pPr>
        <w:pStyle w:val="Indenti"/>
        <w:rPr>
          <w:snapToGrid w:val="0"/>
        </w:rPr>
      </w:pPr>
      <w:r>
        <w:rPr>
          <w:snapToGrid w:val="0"/>
        </w:rPr>
        <w:tab/>
        <w:t>(i)</w:t>
      </w:r>
      <w:r>
        <w:rPr>
          <w:snapToGrid w:val="0"/>
        </w:rPr>
        <w:tab/>
        <w:t>the value of the interest in a title is greater than the amount applicable under paragraph (a);</w:t>
      </w:r>
    </w:p>
    <w:p>
      <w:pPr>
        <w:pStyle w:val="Indenti"/>
        <w:rPr>
          <w:snapToGrid w:val="0"/>
        </w:rPr>
      </w:pPr>
      <w:r>
        <w:rPr>
          <w:snapToGrid w:val="0"/>
        </w:rPr>
        <w:tab/>
        <w:t>(ii)</w:t>
      </w:r>
      <w:r>
        <w:rPr>
          <w:snapToGrid w:val="0"/>
        </w:rPr>
        <w:tab/>
        <w:t>the dealing has an effect of the kind referred to in section 75(1)(a), (b) or (d) of the</w:t>
      </w:r>
      <w:r>
        <w:rPr>
          <w:i/>
          <w:iCs/>
        </w:rPr>
        <w:t xml:space="preserve"> Petroleum and Geothermal Energy Resources Act 1967</w:t>
      </w:r>
      <w:r>
        <w:rPr>
          <w:snapToGrid w:val="0"/>
        </w:rPr>
        <w:t>; and</w:t>
      </w:r>
    </w:p>
    <w:p>
      <w:pPr>
        <w:pStyle w:val="Indenti"/>
        <w:rPr>
          <w:snapToGrid w:val="0"/>
        </w:rPr>
      </w:pPr>
      <w:r>
        <w:rPr>
          <w:snapToGrid w:val="0"/>
        </w:rPr>
        <w:tab/>
        <w:t>(iii)</w:t>
      </w:r>
      <w:r>
        <w:rPr>
          <w:snapToGrid w:val="0"/>
        </w:rPr>
        <w:tab/>
        <w:t xml:space="preserve">the Minister is satisfied that the dealing was not made pursuant to another dealing or an instrument, being a dealing or instrument that relates to that title and in respect of an entry of </w:t>
      </w:r>
      <w:r>
        <w:rPr>
          <w:snapToGrid w:val="0"/>
        </w:rPr>
        <w:lastRenderedPageBreak/>
        <w:t>approval of which a fee has been paid under this Act, as in force at any time,</w:t>
      </w:r>
    </w:p>
    <w:p>
      <w:pPr>
        <w:pStyle w:val="Indenta"/>
        <w:rPr>
          <w:snapToGrid w:val="0"/>
        </w:rPr>
      </w:pPr>
      <w:r>
        <w:rPr>
          <w:snapToGrid w:val="0"/>
        </w:rPr>
        <w:tab/>
      </w:r>
      <w:r>
        <w:rPr>
          <w:snapToGrid w:val="0"/>
        </w:rPr>
        <w:tab/>
        <w:t>the value of the interest.</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pPr>
        <w:pStyle w:val="Indenta"/>
        <w:rPr>
          <w:snapToGrid w:val="0"/>
        </w:rPr>
      </w:pPr>
      <w:r>
        <w:rPr>
          <w:snapToGrid w:val="0"/>
        </w:rPr>
        <w:tab/>
        <w:t>(b)</w:t>
      </w:r>
      <w:r>
        <w:rPr>
          <w:snapToGrid w:val="0"/>
        </w:rPr>
        <w:tab/>
        <w:t xml:space="preserve">an approval under section 75 of the </w:t>
      </w:r>
      <w:r>
        <w:rPr>
          <w:i/>
          <w:iCs/>
        </w:rPr>
        <w:t>Petroleum and Geothermal Energy Resources Act 1967</w:t>
      </w:r>
      <w:r>
        <w:t xml:space="preserve"> </w:t>
      </w:r>
      <w:r>
        <w:rPr>
          <w:snapToGrid w:val="0"/>
        </w:rPr>
        <w:t>is given in respect of a dealing that is a dealing to which that section of that Act applies by reason only that the dealing creates, varies or terminates a charge over some or all of the assets of a body corporate,</w:t>
      </w:r>
    </w:p>
    <w:p>
      <w:pPr>
        <w:pStyle w:val="Subsection"/>
        <w:rPr>
          <w:snapToGrid w:val="0"/>
        </w:rPr>
      </w:pPr>
      <w:r>
        <w:rPr>
          <w:snapToGrid w:val="0"/>
        </w:rPr>
        <w:tab/>
      </w:r>
      <w:r>
        <w:rPr>
          <w:snapToGrid w:val="0"/>
        </w:rPr>
        <w:tab/>
        <w:t>the amount of the fee imposed by subsection (5) in respect of the entry of that approval is the prescribed amount.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the parties to a dealing lodged for approval under section 75 of the </w:t>
      </w:r>
      <w:r>
        <w:rPr>
          <w:i/>
          <w:iCs/>
        </w:rPr>
        <w:t>Petroleum and Geothermal Energy Resources Act 1967</w:t>
      </w:r>
      <w:r>
        <w:t xml:space="preserve"> </w:t>
      </w:r>
      <w:r>
        <w:rPr>
          <w:snapToGrid w:val="0"/>
        </w:rPr>
        <w:t>satisfy the Minister that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pPr>
        <w:pStyle w:val="Subsection"/>
        <w:rPr>
          <w:snapToGrid w:val="0"/>
        </w:rPr>
      </w:pPr>
      <w:r>
        <w:rPr>
          <w:snapToGrid w:val="0"/>
        </w:rPr>
        <w:tab/>
      </w:r>
      <w:r>
        <w:rPr>
          <w:snapToGrid w:val="0"/>
        </w:rPr>
        <w:tab/>
        <w:t>the amount of the fee imposed by subsection (5) in respect of the entry of approval of that dealing is the prescribed amount.</w:t>
      </w:r>
    </w:p>
    <w:p>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pPr>
        <w:pStyle w:val="Footnotesection"/>
      </w:pPr>
      <w:r>
        <w:tab/>
        <w:t xml:space="preserve">[Section 4 inserted: No. 14 of 1990 s. 4; amended: No. 28 of 1994 s. 78; No. 20 of 2003 s. 37(2); No. 35 of 2007 s. 103(5).] </w:t>
      </w:r>
    </w:p>
    <w:p>
      <w:pPr>
        <w:pStyle w:val="Heading5"/>
        <w:rPr>
          <w:snapToGrid w:val="0"/>
        </w:rPr>
      </w:pPr>
      <w:bookmarkStart w:id="6" w:name="_Toc166680178"/>
      <w:r>
        <w:rPr>
          <w:rStyle w:val="CharSectno"/>
        </w:rPr>
        <w:t>5</w:t>
      </w:r>
      <w:r>
        <w:rPr>
          <w:snapToGrid w:val="0"/>
        </w:rPr>
        <w:t>.</w:t>
      </w:r>
      <w:r>
        <w:rPr>
          <w:snapToGrid w:val="0"/>
        </w:rPr>
        <w:tab/>
        <w:t>Regulations</w:t>
      </w:r>
      <w:bookmarkEnd w:id="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5 inserted: No. 14 of 1990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 w:name="_Toc166677601"/>
      <w:bookmarkStart w:id="8" w:name="_Toc166679660"/>
      <w:bookmarkStart w:id="9" w:name="_Toc166680179"/>
      <w:bookmarkStart w:id="10" w:name="_Toc166676712"/>
      <w:r>
        <w:lastRenderedPageBreak/>
        <w:t>Notes</w:t>
      </w:r>
      <w:bookmarkEnd w:id="7"/>
      <w:bookmarkEnd w:id="8"/>
      <w:bookmarkEnd w:id="9"/>
    </w:p>
    <w:p>
      <w:pPr>
        <w:pStyle w:val="nStatement"/>
      </w:pPr>
      <w:r>
        <w:t xml:space="preserve">This is a compilation of the </w:t>
      </w:r>
      <w:r>
        <w:rPr>
          <w:i/>
          <w:noProof/>
        </w:rPr>
        <w:t>Petroleum and Geothermal Energy Resources (Registration Fees) Act 1967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11" w:name="_Toc166680180"/>
      <w:r>
        <w:rPr>
          <w:snapToGrid w:val="0"/>
        </w:rPr>
        <w:t>Compilation table</w:t>
      </w:r>
      <w:bookmarkEnd w:id="11"/>
    </w:p>
    <w:tbl>
      <w:tblPr>
        <w:tblW w:w="0" w:type="auto"/>
        <w:tblInd w:w="56" w:type="dxa"/>
        <w:tblLayout w:type="fixed"/>
        <w:tblCellMar>
          <w:left w:w="28" w:type="dxa"/>
          <w:right w:w="28" w:type="dxa"/>
        </w:tblCellMar>
        <w:tblLook w:val="0000" w:firstRow="0" w:lastRow="0" w:firstColumn="0" w:lastColumn="0" w:noHBand="0" w:noVBand="0"/>
      </w:tblPr>
      <w:tblGrid>
        <w:gridCol w:w="2245"/>
        <w:gridCol w:w="23"/>
        <w:gridCol w:w="1111"/>
        <w:gridCol w:w="23"/>
        <w:gridCol w:w="1111"/>
        <w:gridCol w:w="23"/>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rPr>
                <w:vertAlign w:val="superscript"/>
              </w:rPr>
            </w:pPr>
            <w:r>
              <w:rPr>
                <w:i/>
              </w:rPr>
              <w:t>Petroleum (Registration Fees) Act 1967 </w:t>
            </w:r>
            <w:r>
              <w:rPr>
                <w:iCs/>
                <w:vertAlign w:val="superscript"/>
              </w:rPr>
              <w:t>2</w:t>
            </w:r>
          </w:p>
        </w:tc>
        <w:tc>
          <w:tcPr>
            <w:tcW w:w="1134" w:type="dxa"/>
            <w:gridSpan w:val="2"/>
          </w:tcPr>
          <w:p>
            <w:pPr>
              <w:pStyle w:val="nTable"/>
              <w:spacing w:after="40"/>
            </w:pPr>
            <w:r>
              <w:t>77 of 1967</w:t>
            </w:r>
          </w:p>
        </w:tc>
        <w:tc>
          <w:tcPr>
            <w:tcW w:w="1134" w:type="dxa"/>
            <w:gridSpan w:val="2"/>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c>
          <w:tcPr>
            <w:tcW w:w="2268" w:type="dxa"/>
            <w:gridSpan w:val="2"/>
          </w:tcPr>
          <w:p>
            <w:pPr>
              <w:pStyle w:val="nTable"/>
              <w:spacing w:after="40"/>
            </w:pPr>
            <w:r>
              <w:rPr>
                <w:i/>
              </w:rPr>
              <w:t>Acts Amendment (Mining) Act 1981</w:t>
            </w:r>
            <w:r>
              <w:t xml:space="preserve"> Pt. IV</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tcPr>
          <w:p>
            <w:pPr>
              <w:pStyle w:val="nTable"/>
              <w:spacing w:after="40"/>
            </w:pPr>
            <w:r>
              <w:t>30 Oct 1981</w:t>
            </w:r>
          </w:p>
        </w:tc>
      </w:tr>
      <w:t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7087" w:type="dxa"/>
            <w:gridSpan w:val="7"/>
          </w:tcPr>
          <w:p>
            <w:pPr>
              <w:pStyle w:val="nTable"/>
              <w:spacing w:after="40"/>
            </w:pPr>
            <w:r>
              <w:rPr>
                <w:b/>
              </w:rPr>
              <w:t xml:space="preserve">Reprint of the </w:t>
            </w:r>
            <w:r>
              <w:rPr>
                <w:b/>
                <w:i/>
              </w:rPr>
              <w:t>Petroleum (Registration Fees) Act 1967</w:t>
            </w:r>
            <w:r>
              <w:rPr>
                <w:b/>
              </w:rPr>
              <w:t xml:space="preserve"> approved 3 Aug 1983</w:t>
            </w:r>
            <w:r>
              <w:t xml:space="preserve"> (includes amendments listed above)</w:t>
            </w:r>
          </w:p>
        </w:tc>
      </w:tr>
      <w:tr>
        <w:tc>
          <w:tcPr>
            <w:tcW w:w="2268" w:type="dxa"/>
            <w:gridSpan w:val="2"/>
          </w:tcPr>
          <w:p>
            <w:pPr>
              <w:pStyle w:val="nTable"/>
              <w:spacing w:after="40"/>
              <w:rPr>
                <w:vertAlign w:val="superscript"/>
              </w:rPr>
            </w:pPr>
            <w:r>
              <w:rPr>
                <w:i/>
              </w:rPr>
              <w:t>Petroleum (Registration Fees) Amendment Act 1990</w:t>
            </w:r>
            <w:r>
              <w:rPr>
                <w:vertAlign w:val="superscript"/>
              </w:rPr>
              <w:t> 1</w:t>
            </w:r>
          </w:p>
        </w:tc>
        <w:tc>
          <w:tcPr>
            <w:tcW w:w="1134" w:type="dxa"/>
            <w:gridSpan w:val="2"/>
          </w:tcPr>
          <w:p>
            <w:pPr>
              <w:pStyle w:val="nTable"/>
              <w:spacing w:after="40"/>
            </w:pPr>
            <w:r>
              <w:t>14 of 1990</w:t>
            </w:r>
          </w:p>
        </w:tc>
        <w:tc>
          <w:tcPr>
            <w:tcW w:w="1134" w:type="dxa"/>
            <w:gridSpan w:val="2"/>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7"/>
          </w:tcPr>
          <w:p>
            <w:pPr>
              <w:pStyle w:val="nTable"/>
              <w:spacing w:after="40"/>
            </w:pPr>
            <w:r>
              <w:rPr>
                <w:b/>
              </w:rPr>
              <w:t xml:space="preserve">Reprint of the </w:t>
            </w:r>
            <w:r>
              <w:rPr>
                <w:b/>
                <w:i/>
              </w:rPr>
              <w:t>Petroleum (Registration Fees) Act 1967</w:t>
            </w:r>
            <w:r>
              <w:rPr>
                <w:b/>
              </w:rPr>
              <w:t xml:space="preserve"> as at 16 Jan 1992</w:t>
            </w:r>
            <w:r>
              <w:t xml:space="preserve"> (includes amendments listed above)</w:t>
            </w:r>
          </w:p>
        </w:tc>
      </w:tr>
      <w:tr>
        <w:tc>
          <w:tcPr>
            <w:tcW w:w="2268" w:type="dxa"/>
            <w:gridSpan w:val="2"/>
          </w:tcPr>
          <w:p>
            <w:pPr>
              <w:pStyle w:val="nTable"/>
              <w:spacing w:after="40"/>
            </w:pPr>
            <w:r>
              <w:rPr>
                <w:i/>
              </w:rPr>
              <w:t>Acts Amendment (Petroleum) Act 1994</w:t>
            </w:r>
            <w:r>
              <w:t xml:space="preserve"> Pt. 5</w:t>
            </w:r>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c>
          <w:tcPr>
            <w:tcW w:w="2268" w:type="dxa"/>
            <w:gridSpan w:val="2"/>
          </w:tcPr>
          <w:p>
            <w:pPr>
              <w:pStyle w:val="nTable"/>
              <w:spacing w:after="40"/>
              <w:rPr>
                <w:i/>
              </w:rPr>
            </w:pPr>
            <w:r>
              <w:rPr>
                <w:i/>
              </w:rPr>
              <w:t>Corporations (Consequential Amendments) Act (No. 2) 2003</w:t>
            </w:r>
            <w:r>
              <w:t xml:space="preserve"> Pt. 17</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7087" w:type="dxa"/>
            <w:gridSpan w:val="7"/>
          </w:tcPr>
          <w:p>
            <w:pPr>
              <w:pStyle w:val="nTable"/>
              <w:spacing w:after="40"/>
            </w:pPr>
            <w:r>
              <w:rPr>
                <w:b/>
              </w:rPr>
              <w:t xml:space="preserve">Reprint 3: The </w:t>
            </w:r>
            <w:r>
              <w:rPr>
                <w:b/>
                <w:i/>
              </w:rPr>
              <w:t>Petroleum (Registration Fees) Act 1967</w:t>
            </w:r>
            <w:r>
              <w:rPr>
                <w:b/>
              </w:rPr>
              <w:t xml:space="preserve"> as at 19 Sep 2003</w:t>
            </w:r>
            <w:r>
              <w:t xml:space="preserve"> (includes amendments listed above)</w:t>
            </w:r>
          </w:p>
        </w:tc>
      </w:tr>
      <w:tr>
        <w:tblPrEx>
          <w:tblCellMar>
            <w:left w:w="56" w:type="dxa"/>
            <w:right w:w="56" w:type="dxa"/>
          </w:tblCellMar>
        </w:tblPrEx>
        <w:trPr>
          <w:cantSplit/>
        </w:trPr>
        <w:tc>
          <w:tcPr>
            <w:tcW w:w="2245" w:type="dxa"/>
            <w:tcBorders>
              <w:bottom w:val="single" w:sz="4" w:space="0" w:color="auto"/>
            </w:tcBorders>
          </w:tcPr>
          <w:p>
            <w:pPr>
              <w:pStyle w:val="nTable"/>
              <w:spacing w:after="40"/>
              <w:rPr>
                <w:i/>
                <w:snapToGrid w:val="0"/>
              </w:rPr>
            </w:pPr>
            <w:r>
              <w:rPr>
                <w:i/>
                <w:snapToGrid w:val="0"/>
              </w:rPr>
              <w:t>Petroleum Amendment Act 2007</w:t>
            </w:r>
            <w:r>
              <w:rPr>
                <w:iCs/>
                <w:snapToGrid w:val="0"/>
              </w:rPr>
              <w:t xml:space="preserve"> s. 103</w:t>
            </w:r>
          </w:p>
        </w:tc>
        <w:tc>
          <w:tcPr>
            <w:tcW w:w="1134" w:type="dxa"/>
            <w:gridSpan w:val="2"/>
            <w:tcBorders>
              <w:bottom w:val="single" w:sz="4" w:space="0" w:color="auto"/>
            </w:tcBorders>
          </w:tcPr>
          <w:p>
            <w:pPr>
              <w:pStyle w:val="nTable"/>
              <w:keepNext/>
              <w:spacing w:after="40"/>
              <w:rPr>
                <w:snapToGrid w:val="0"/>
              </w:rPr>
            </w:pPr>
            <w:r>
              <w:t>35 of 2007</w:t>
            </w:r>
          </w:p>
        </w:tc>
        <w:tc>
          <w:tcPr>
            <w:tcW w:w="1134" w:type="dxa"/>
            <w:gridSpan w:val="2"/>
            <w:tcBorders>
              <w:bottom w:val="single" w:sz="4" w:space="0" w:color="auto"/>
            </w:tcBorders>
          </w:tcPr>
          <w:p>
            <w:pPr>
              <w:pStyle w:val="nTable"/>
              <w:spacing w:after="40"/>
              <w:rPr>
                <w:snapToGrid w:val="0"/>
              </w:rPr>
            </w:pPr>
            <w:r>
              <w:t>21 Dec 2007</w:t>
            </w:r>
          </w:p>
        </w:tc>
        <w:tc>
          <w:tcPr>
            <w:tcW w:w="2570" w:type="dxa"/>
            <w:gridSpan w:val="2"/>
            <w:tcBorders>
              <w:bottom w:val="single" w:sz="4" w:space="0" w:color="auto"/>
            </w:tcBorders>
          </w:tcPr>
          <w:p>
            <w:pPr>
              <w:pStyle w:val="nTable"/>
              <w:spacing w:after="40"/>
              <w:rPr>
                <w:snapToGrid w:val="0"/>
              </w:rPr>
            </w:pPr>
            <w:r>
              <w:t xml:space="preserve">19 Jan 2008 (see s. 2(b) and </w:t>
            </w:r>
            <w:r>
              <w:rPr>
                <w:i/>
                <w:iCs/>
              </w:rPr>
              <w:t>Gazette</w:t>
            </w:r>
            <w:r>
              <w:t xml:space="preserve"> 18 Jan 2008 p. 147)</w:t>
            </w:r>
          </w:p>
        </w:tc>
      </w:tr>
    </w:tbl>
    <w:p>
      <w:pPr>
        <w:pStyle w:val="nHeading3"/>
      </w:pPr>
      <w:bookmarkStart w:id="12" w:name="_Toc166680181"/>
      <w:r>
        <w:lastRenderedPageBreak/>
        <w:t>Uncommenced provisions table</w:t>
      </w:r>
      <w:bookmarkEnd w:id="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Pt. 5 Div. 9</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3" w:name="_Toc166680182"/>
      <w:r>
        <w:t>Other notes</w:t>
      </w:r>
      <w:bookmarkEnd w:id="13"/>
    </w:p>
    <w:p>
      <w:pPr>
        <w:pStyle w:val="nNote"/>
        <w:keepNext/>
        <w:rPr>
          <w:snapToGrid w:val="0"/>
        </w:rPr>
      </w:pPr>
      <w:r>
        <w:rPr>
          <w:snapToGrid w:val="0"/>
          <w:vertAlign w:val="superscript"/>
        </w:rPr>
        <w:t>1</w:t>
      </w:r>
      <w:r>
        <w:rPr>
          <w:snapToGrid w:val="0"/>
        </w:rPr>
        <w:tab/>
        <w:t xml:space="preserve">The </w:t>
      </w:r>
      <w:r>
        <w:rPr>
          <w:i/>
        </w:rPr>
        <w:t xml:space="preserve">Petroleum (Registration Fees) Amendment Act 1990 </w:t>
      </w:r>
      <w:r>
        <w:rPr>
          <w:snapToGrid w:val="0"/>
        </w:rPr>
        <w:t>s. 6 reads as follows:</w:t>
      </w:r>
    </w:p>
    <w:p>
      <w:pPr>
        <w:pStyle w:val="MiscOpen"/>
        <w:rPr>
          <w:snapToGrid w:val="0"/>
        </w:rPr>
      </w:pPr>
      <w:r>
        <w:rPr>
          <w:snapToGrid w:val="0"/>
        </w:rPr>
        <w:t>“</w:t>
      </w:r>
    </w:p>
    <w:p>
      <w:pPr>
        <w:pStyle w:val="nzHeading5"/>
        <w:rPr>
          <w:snapToGrid w:val="0"/>
        </w:rPr>
      </w:pPr>
      <w:r>
        <w:rPr>
          <w:snapToGrid w:val="0"/>
        </w:rPr>
        <w:t>6.</w:t>
      </w:r>
      <w:r>
        <w:rPr>
          <w:snapToGrid w:val="0"/>
        </w:rPr>
        <w:tab/>
        <w:t xml:space="preserve">Application of principal Act </w:t>
      </w:r>
    </w:p>
    <w:p>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pPr>
        <w:pStyle w:val="MiscClose"/>
        <w:rPr>
          <w:snapToGrid w:val="0"/>
        </w:rPr>
      </w:pPr>
      <w:r>
        <w:rPr>
          <w:snapToGrid w:val="0"/>
        </w:rPr>
        <w:t>”.</w:t>
      </w:r>
    </w:p>
    <w:p>
      <w:pPr>
        <w:pStyle w:val="nNote"/>
        <w:rPr>
          <w:snapToGrid w:val="0"/>
        </w:rPr>
      </w:pPr>
      <w:r>
        <w:rPr>
          <w:snapToGrid w:val="0"/>
          <w:vertAlign w:val="superscript"/>
        </w:rPr>
        <w:t>2</w:t>
      </w:r>
      <w:r>
        <w:rPr>
          <w:snapToGrid w:val="0"/>
        </w:rPr>
        <w:tab/>
      </w:r>
      <w:r>
        <w:t xml:space="preserve">Now known as the </w:t>
      </w:r>
      <w:r>
        <w:rPr>
          <w:i/>
          <w:noProof/>
          <w:snapToGrid w:val="0"/>
        </w:rPr>
        <w:t>Petroleum and Geothermal Energy Resources (Registration Fees) Act 1967</w:t>
      </w:r>
      <w:r>
        <w:rPr>
          <w:iCs/>
          <w:noProof/>
          <w:snapToGrid w:val="0"/>
        </w:rPr>
        <w:t>; short title changed (see note under s. 1)</w:t>
      </w:r>
    </w:p>
    <w:p>
      <w:pPr>
        <w:pStyle w:val="nHeading3"/>
      </w:pPr>
    </w:p>
    <w:bookmarkEnd w:id="10"/>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5" w:name="_Toc166680183"/>
      <w:r>
        <w:rPr>
          <w:sz w:val="28"/>
        </w:rPr>
        <w:lastRenderedPageBreak/>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title</w:t>
      </w:r>
      <w:r>
        <w:tab/>
        <w:t>4(1)</w:t>
      </w:r>
    </w:p>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2219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E58A6F" w14:textId="6B3BBF13" w:rsidR="00B470C5" w:rsidRDefault="00B470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438A">
                        <w:rPr>
                          <w:sz w:val="16"/>
                        </w:rPr>
                        <w:t>2024</w:t>
                      </w:r>
                      <w:r>
                        <w:rPr>
                          <w:sz w:val="16"/>
                        </w:rPr>
                        <w:fldChar w:fldCharType="end"/>
                      </w:r>
                      <w:r>
                        <w:rPr>
                          <w:sz w:val="16"/>
                        </w:rPr>
                        <w:t>.</w:t>
                      </w:r>
                    </w:p>
                    <w:p w14:paraId="04FC9793" w14:textId="77777777" w:rsidR="00B470C5" w:rsidRDefault="00B470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4F8E4F" w14:textId="5C82D672" w:rsidR="00B470C5" w:rsidRDefault="00B470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438A">
                        <w:rPr>
                          <w:sz w:val="16"/>
                        </w:rPr>
                        <w:t>2024</w:t>
                      </w:r>
                      <w:r>
                        <w:rPr>
                          <w:sz w:val="16"/>
                        </w:rPr>
                        <w:fldChar w:fldCharType="end"/>
                      </w:r>
                      <w:r>
                        <w:rPr>
                          <w:sz w:val="16"/>
                        </w:rPr>
                        <w:t>.</w:t>
                      </w:r>
                    </w:p>
                    <w:p w14:paraId="2C135779" w14:textId="77777777" w:rsidR="00B470C5" w:rsidRDefault="00B470C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44321"/>
    <w:docVar w:name="WAFER_20140123103034" w:val="RemoveTocBookmarks,RemoveUnusedBookmarks,RemoveLanguageTags,UsedStyles,ResetPageSize,UpdateArrangement"/>
    <w:docVar w:name="WAFER_20140123103034_GUID" w:val="513fe1a0-346a-449f-b005-7515f58c988a"/>
    <w:docVar w:name="WAFER_20140123110844" w:val="RemoveTocBookmarks,RunningHeaders"/>
    <w:docVar w:name="WAFER_20140123110844_GUID" w:val="f9b768f8-2d52-4539-a1c0-167368058ebd"/>
    <w:docVar w:name="WAFER_20150709161143" w:val="ResetPageSize,UpdateArrangement,UpdateNTable"/>
    <w:docVar w:name="WAFER_20150709161143_GUID" w:val="ec212eca-24c0-4615-b088-e5eb6cedef77"/>
    <w:docVar w:name="WAFER_20151109112357" w:val="UpdateStyles,UsedStyles"/>
    <w:docVar w:name="WAFER_20151109112357_GUID" w:val="814c77a0-0e57-4bf9-aad6-65d32f2bc4e7"/>
    <w:docVar w:name="WAFER_2024051514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4321_GUID" w:val="7990cbe7-4ad8-4665-ae45-06bd78d2e5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1856</Words>
  <Characters>8654</Characters>
  <Application>Microsoft Office Word</Application>
  <DocSecurity>0</DocSecurity>
  <Lines>288</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Act 1967 - 03-d0-00</dc:title>
  <dc:subject/>
  <dc:creator/>
  <cp:keywords/>
  <dc:description/>
  <cp:lastModifiedBy>Master Repository Process</cp:lastModifiedBy>
  <cp:revision>4</cp:revision>
  <cp:lastPrinted>2003-10-03T02:48:00Z</cp:lastPrinted>
  <dcterms:created xsi:type="dcterms:W3CDTF">2025-06-19T02:28:00Z</dcterms:created>
  <dcterms:modified xsi:type="dcterms:W3CDTF">2025-06-19T02:28:00Z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DocumentType">
    <vt:lpwstr>Act</vt:lpwstr>
  </property>
  <property fmtid="{D5CDD505-2E9C-101B-9397-08002B2CF9AE}" pid="4" name="OwlsUID">
    <vt:i4>600</vt:i4>
  </property>
  <property fmtid="{D5CDD505-2E9C-101B-9397-08002B2CF9AE}" pid="5" name="CommencementDate">
    <vt:lpwstr>20240514</vt:lpwstr>
  </property>
  <property fmtid="{D5CDD505-2E9C-101B-9397-08002B2CF9AE}" pid="6" name="CommencementAsAt">
    <vt:filetime>2024-05-13T16:00:00Z</vt:filetime>
  </property>
  <property fmtid="{D5CDD505-2E9C-101B-9397-08002B2CF9AE}" pid="7" name="CommencementYear">
    <vt:lpwstr>2024</vt:lpwstr>
  </property>
  <property fmtid="{D5CDD505-2E9C-101B-9397-08002B2CF9AE}" pid="8" name="AsAtDate">
    <vt:lpwstr>14 May 2024</vt:lpwstr>
  </property>
  <property fmtid="{D5CDD505-2E9C-101B-9397-08002B2CF9AE}" pid="9" name="Suffix">
    <vt:lpwstr>03-d0-00</vt:lpwstr>
  </property>
  <property fmtid="{D5CDD505-2E9C-101B-9397-08002B2CF9AE}" pid="10" name="Official">
    <vt:lpwstr/>
  </property>
</Properties>
</file>