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_Toc166680627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_Toc166680628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_Toc166680629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_Toc166680630 \h </w:instrText>
      </w:r>
      <w:r>
        <w:fldChar w:fldCharType="separate"/>
      </w:r>
      <w:r>
        <w:t>2</w:t>
      </w:r>
      <w:r>
        <w:fldChar w:fldCharType="end"/>
      </w:r>
    </w:p>
    <w:p>
      <w:pPr>
        <w:pStyle w:val="TOC8"/>
        <w:rPr>
          <w:rFonts w:asciiTheme="minorHAnsi" w:eastAsiaTheme="minorEastAsia" w:hAnsiTheme="minorHAnsi" w:cstheme="minorBidi"/>
          <w:szCs w:val="22"/>
        </w:rPr>
      </w:pPr>
      <w:r>
        <w:t>6A.</w:t>
      </w:r>
      <w:r>
        <w:tab/>
        <w:t>Effect of alteration of inshore area</w:t>
      </w:r>
      <w:r>
        <w:tab/>
      </w:r>
      <w:r>
        <w:fldChar w:fldCharType="begin"/>
      </w:r>
      <w:r>
        <w:instrText xml:space="preserve"> PAGEREF _Toc166680631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General</w:t>
      </w:r>
    </w:p>
    <w:p>
      <w:pPr>
        <w:pStyle w:val="TOC8"/>
        <w:rPr>
          <w:rFonts w:asciiTheme="minorHAnsi" w:eastAsiaTheme="minorEastAsia" w:hAnsiTheme="minorHAnsi" w:cstheme="minorBidi"/>
          <w:szCs w:val="22"/>
        </w:rPr>
      </w:pPr>
      <w:r>
        <w:t>6</w:t>
      </w:r>
      <w:r>
        <w:rPr>
          <w:snapToGrid w:val="0"/>
        </w:rPr>
        <w:t>.</w:t>
      </w:r>
      <w:r>
        <w:rPr>
          <w:snapToGrid w:val="0"/>
        </w:rPr>
        <w:tab/>
        <w:t>Act to be construed subject to State’s legislative powers</w:t>
      </w:r>
      <w:r>
        <w:tab/>
      </w:r>
      <w:r>
        <w:fldChar w:fldCharType="begin"/>
      </w:r>
      <w:r>
        <w:instrText xml:space="preserve"> PAGEREF _Toc166680633 \h </w:instrText>
      </w:r>
      <w:r>
        <w:fldChar w:fldCharType="separate"/>
      </w:r>
      <w:r>
        <w:t>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w:t>
      </w:r>
      <w:r>
        <w:tab/>
      </w:r>
      <w:r>
        <w:fldChar w:fldCharType="begin"/>
      </w:r>
      <w:r>
        <w:instrText xml:space="preserve"> PAGEREF _Toc166680634 \h </w:instrText>
      </w:r>
      <w:r>
        <w:fldChar w:fldCharType="separate"/>
      </w:r>
      <w:r>
        <w:t>18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Geothermal resources area in, or extending into, other areas</w:t>
      </w:r>
      <w:r>
        <w:tab/>
      </w:r>
      <w:r>
        <w:fldChar w:fldCharType="begin"/>
      </w:r>
      <w:r>
        <w:instrText xml:space="preserve"> PAGEREF _Toc166680635 \h </w:instrText>
      </w:r>
      <w:r>
        <w:fldChar w:fldCharType="separate"/>
      </w:r>
      <w:r>
        <w:t>19</w:t>
      </w:r>
      <w:r>
        <w:fldChar w:fldCharType="end"/>
      </w:r>
    </w:p>
    <w:p>
      <w:pPr>
        <w:pStyle w:val="TOC8"/>
        <w:rPr>
          <w:rFonts w:asciiTheme="minorHAnsi" w:eastAsiaTheme="minorEastAsia" w:hAnsiTheme="minorHAnsi" w:cstheme="minorBidi"/>
          <w:szCs w:val="22"/>
        </w:rPr>
      </w:pPr>
      <w:r>
        <w:t>7B.</w:t>
      </w:r>
      <w:r>
        <w:tab/>
        <w:t>Petroleum pool in, or extending into, other areas</w:t>
      </w:r>
      <w:r>
        <w:tab/>
      </w:r>
      <w:r>
        <w:fldChar w:fldCharType="begin"/>
      </w:r>
      <w:r>
        <w:instrText xml:space="preserve"> PAGEREF _Toc166680636 \h </w:instrText>
      </w:r>
      <w:r>
        <w:fldChar w:fldCharType="separate"/>
      </w:r>
      <w:r>
        <w:t>22</w:t>
      </w:r>
      <w:r>
        <w:fldChar w:fldCharType="end"/>
      </w:r>
    </w:p>
    <w:p>
      <w:pPr>
        <w:pStyle w:val="TOC8"/>
        <w:rPr>
          <w:rFonts w:asciiTheme="minorHAnsi" w:eastAsiaTheme="minorEastAsia" w:hAnsiTheme="minorHAnsi" w:cstheme="minorBidi"/>
          <w:szCs w:val="22"/>
        </w:rPr>
      </w:pPr>
      <w:r>
        <w:t>8.</w:t>
      </w:r>
      <w:r>
        <w:tab/>
        <w:t>Position on Earth’s surface</w:t>
      </w:r>
      <w:r>
        <w:tab/>
      </w:r>
      <w:r>
        <w:fldChar w:fldCharType="begin"/>
      </w:r>
      <w:r>
        <w:instrText xml:space="preserve"> PAGEREF _Toc166680637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_Toc166680638 \h </w:instrText>
      </w:r>
      <w:r>
        <w:fldChar w:fldCharType="separate"/>
      </w:r>
      <w:r>
        <w:t>30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Reservations in Crown grants and leases</w:t>
      </w:r>
      <w:r>
        <w:tab/>
      </w:r>
      <w:r>
        <w:fldChar w:fldCharType="begin"/>
      </w:r>
      <w:r>
        <w:instrText xml:space="preserve"> PAGEREF _Toc166680639 \h </w:instrText>
      </w:r>
      <w:r>
        <w:fldChar w:fldCharType="separate"/>
      </w:r>
      <w:r>
        <w:t>31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_Toc166680640 \h </w:instrText>
      </w:r>
      <w:r>
        <w:fldChar w:fldCharType="separate"/>
      </w:r>
      <w:r>
        <w:t>31</w:t>
      </w:r>
      <w:r>
        <w:fldChar w:fldCharType="end"/>
      </w:r>
    </w:p>
    <w:p>
      <w:pPr>
        <w:pStyle w:val="TOC8"/>
        <w:rPr>
          <w:rFonts w:asciiTheme="minorHAnsi" w:eastAsiaTheme="minorEastAsia" w:hAnsiTheme="minorHAnsi" w:cstheme="minorBidi"/>
          <w:szCs w:val="22"/>
        </w:rPr>
      </w:pPr>
      <w:r>
        <w:t>11A.</w:t>
      </w:r>
      <w:r>
        <w:tab/>
        <w:t>Property rights in recovered petroleum and geothermal energy</w:t>
      </w:r>
      <w:r>
        <w:tab/>
      </w:r>
      <w:r>
        <w:fldChar w:fldCharType="begin"/>
      </w:r>
      <w:r>
        <w:instrText xml:space="preserve"> PAGEREF _Toc166680641 \h </w:instrText>
      </w:r>
      <w:r>
        <w:fldChar w:fldCharType="separate"/>
      </w:r>
      <w:r>
        <w:t>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 may be resumed</w:t>
      </w:r>
      <w:r>
        <w:tab/>
      </w:r>
      <w:r>
        <w:fldChar w:fldCharType="begin"/>
      </w:r>
      <w:r>
        <w:instrText xml:space="preserve"> PAGEREF _Toc166680642 \h </w:instrText>
      </w:r>
      <w:r>
        <w:fldChar w:fldCharType="separate"/>
      </w:r>
      <w:r>
        <w:t>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_Toc166680643 \h </w:instrText>
      </w:r>
      <w:r>
        <w:fldChar w:fldCharType="separate"/>
      </w:r>
      <w:r>
        <w:t>34</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Land comprised in permit, drilling reservation, lease or licence may be entered for certain purposes</w:t>
      </w:r>
      <w:r>
        <w:tab/>
      </w:r>
      <w:r>
        <w:fldChar w:fldCharType="begin"/>
      </w:r>
      <w:r>
        <w:instrText xml:space="preserve"> PAGEREF _Toc166680644 \h </w:instrText>
      </w:r>
      <w:r>
        <w:fldChar w:fldCharType="separate"/>
      </w:r>
      <w:r>
        <w:t>34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Authority conferred by permit, drilling reservation, lease or licence</w:t>
      </w:r>
      <w:r>
        <w:tab/>
      </w:r>
      <w:r>
        <w:fldChar w:fldCharType="begin"/>
      </w:r>
      <w:r>
        <w:instrText xml:space="preserve"> PAGEREF _Toc166680645 \h </w:instrText>
      </w:r>
      <w:r>
        <w:fldChar w:fldCharType="separate"/>
      </w:r>
      <w:r>
        <w:t>35</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Consent of Minister required for entry on reserves for purposes of exploration etc.</w:t>
      </w:r>
      <w:r>
        <w:tab/>
      </w:r>
      <w:r>
        <w:fldChar w:fldCharType="begin"/>
      </w:r>
      <w:r>
        <w:instrText xml:space="preserve"> PAGEREF _Toc166680646 \h </w:instrText>
      </w:r>
      <w:r>
        <w:fldChar w:fldCharType="separate"/>
      </w:r>
      <w:r>
        <w:t>36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of owner or trustees required in certain cases for exploration etc.</w:t>
      </w:r>
      <w:r>
        <w:tab/>
      </w:r>
      <w:r>
        <w:fldChar w:fldCharType="begin"/>
      </w:r>
      <w:r>
        <w:instrText xml:space="preserve"> PAGEREF _Toc166680647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Compensation to owners and occupiers of private land</w:t>
      </w:r>
      <w:r>
        <w:tab/>
      </w:r>
      <w:r>
        <w:fldChar w:fldCharType="begin"/>
      </w:r>
      <w:r>
        <w:instrText xml:space="preserve"> PAGEREF _Toc166680648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_Toc166680649 \h </w:instrText>
      </w:r>
      <w:r>
        <w:fldChar w:fldCharType="separate"/>
      </w:r>
      <w:r>
        <w:t>39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Compensation for further damage</w:t>
      </w:r>
      <w:r>
        <w:tab/>
      </w:r>
      <w:r>
        <w:fldChar w:fldCharType="begin"/>
      </w:r>
      <w:r>
        <w:instrText xml:space="preserve"> PAGEREF _Toc166680650 \h </w:instrText>
      </w:r>
      <w:r>
        <w:fldChar w:fldCharType="separate"/>
      </w:r>
      <w:r>
        <w:t>40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_Toc166680651 \h </w:instrText>
      </w:r>
      <w:r>
        <w:fldChar w:fldCharType="separate"/>
      </w:r>
      <w:r>
        <w:t>40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r>
      <w:r>
        <w:t>Compensation payable to certain lessees for damage to improvements and consequential damage</w:t>
      </w:r>
      <w:r>
        <w:tab/>
      </w:r>
      <w:r>
        <w:fldChar w:fldCharType="begin"/>
      </w:r>
      <w:r>
        <w:instrText xml:space="preserve"> PAGEREF _Toc166680652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Determination of partial compensation</w:t>
      </w:r>
      <w:r>
        <w:tab/>
      </w:r>
      <w:r>
        <w:fldChar w:fldCharType="begin"/>
      </w:r>
      <w:r>
        <w:instrText xml:space="preserve"> PAGEREF _Toc166680653 \h </w:instrText>
      </w:r>
      <w:r>
        <w:fldChar w:fldCharType="separate"/>
      </w:r>
      <w:r>
        <w:t>42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Security for compensation</w:t>
      </w:r>
      <w:r>
        <w:tab/>
      </w:r>
      <w:r>
        <w:fldChar w:fldCharType="begin"/>
      </w:r>
      <w:r>
        <w:instrText xml:space="preserve"> PAGEREF _Toc166680654 \h </w:instrText>
      </w:r>
      <w:r>
        <w:fldChar w:fldCharType="separate"/>
      </w:r>
      <w:r>
        <w:t>42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Matters for which compensation not payable</w:t>
      </w:r>
      <w:r>
        <w:tab/>
      </w:r>
      <w:r>
        <w:fldChar w:fldCharType="begin"/>
      </w:r>
      <w:r>
        <w:instrText xml:space="preserve"> PAGEREF _Toc166680655 \h </w:instrText>
      </w:r>
      <w:r>
        <w:fldChar w:fldCharType="separate"/>
      </w:r>
      <w:r>
        <w:t>42</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Liability for payment of compensation to native title holders</w:t>
      </w:r>
      <w:r>
        <w:tab/>
      </w:r>
      <w:r>
        <w:fldChar w:fldCharType="begin"/>
      </w:r>
      <w:r>
        <w:instrText xml:space="preserve"> PAGEREF _Toc166680656 \h </w:instrText>
      </w:r>
      <w:r>
        <w:fldChar w:fldCharType="separate"/>
      </w:r>
      <w:r>
        <w:t>43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Delegation</w:t>
      </w:r>
      <w:r>
        <w:tab/>
      </w:r>
      <w:r>
        <w:fldChar w:fldCharType="begin"/>
      </w:r>
      <w:r>
        <w:instrText xml:space="preserve"> PAGEREF _Toc166680657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Mining for petroleum, geothermal energy resources and geothermal energy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26</w:t>
      </w:r>
      <w:r>
        <w:rPr>
          <w:snapToGrid w:val="0"/>
        </w:rPr>
        <w:t>.</w:t>
      </w:r>
      <w:r>
        <w:rPr>
          <w:snapToGrid w:val="0"/>
        </w:rPr>
        <w:tab/>
        <w:t>Term used: State</w:t>
      </w:r>
      <w:r>
        <w:tab/>
      </w:r>
      <w:r>
        <w:fldChar w:fldCharType="begin"/>
      </w:r>
      <w:r>
        <w:instrText xml:space="preserve"> PAGEREF _Toc166680660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Graticulation of Earth’s surface and constitution of blocks</w:t>
      </w:r>
      <w:r>
        <w:tab/>
      </w:r>
      <w:r>
        <w:fldChar w:fldCharType="begin"/>
      </w:r>
      <w:r>
        <w:instrText xml:space="preserve"> PAGEREF _Toc166680661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Reservation of blocks</w:t>
      </w:r>
      <w:r>
        <w:tab/>
      </w:r>
      <w:r>
        <w:fldChar w:fldCharType="begin"/>
      </w:r>
      <w:r>
        <w:instrText xml:space="preserve"> PAGEREF _Toc166680662 \h </w:instrText>
      </w:r>
      <w:r>
        <w:fldChar w:fldCharType="separate"/>
      </w:r>
      <w:r>
        <w:t>46</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Issue of permits etc. in marine reserves</w:t>
      </w:r>
      <w:r>
        <w:tab/>
      </w:r>
      <w:r>
        <w:fldChar w:fldCharType="begin"/>
      </w:r>
      <w:r>
        <w:instrText xml:space="preserve"> PAGEREF _Toc166680663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Permits and drilling reservations</w:t>
      </w:r>
    </w:p>
    <w:p>
      <w:pPr>
        <w:pStyle w:val="TOC8"/>
        <w:rPr>
          <w:rFonts w:asciiTheme="minorHAnsi" w:eastAsiaTheme="minorEastAsia" w:hAnsiTheme="minorHAnsi" w:cstheme="minorBidi"/>
          <w:szCs w:val="22"/>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_Toc166680665 \h </w:instrText>
      </w:r>
      <w:r>
        <w:fldChar w:fldCharType="separate"/>
      </w:r>
      <w:r>
        <w:t>48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 of blocks</w:t>
      </w:r>
      <w:r>
        <w:tab/>
      </w:r>
      <w:r>
        <w:fldChar w:fldCharType="begin"/>
      </w:r>
      <w:r>
        <w:instrText xml:space="preserve"> PAGEREF _Toc166680666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permit</w:t>
      </w:r>
      <w:r>
        <w:tab/>
      </w:r>
      <w:r>
        <w:fldChar w:fldCharType="begin"/>
      </w:r>
      <w:r>
        <w:instrText xml:space="preserve"> PAGEREF _Toc166680667 \h </w:instrText>
      </w:r>
      <w:r>
        <w:fldChar w:fldCharType="separate"/>
      </w:r>
      <w:r>
        <w:t>49</w:t>
      </w:r>
      <w:r>
        <w:fldChar w:fldCharType="end"/>
      </w:r>
    </w:p>
    <w:p>
      <w:pPr>
        <w:pStyle w:val="TOC8"/>
        <w:rPr>
          <w:rFonts w:asciiTheme="minorHAnsi" w:eastAsiaTheme="minorEastAsia" w:hAnsiTheme="minorHAnsi" w:cstheme="minorBidi"/>
          <w:szCs w:val="22"/>
        </w:rPr>
      </w:pPr>
      <w:r>
        <w:t>32A.</w:t>
      </w:r>
      <w:r>
        <w:tab/>
        <w:t>More than one permit application for same block or blocks</w:t>
      </w:r>
      <w:r>
        <w:tab/>
      </w:r>
      <w:r>
        <w:fldChar w:fldCharType="begin"/>
      </w:r>
      <w:r>
        <w:instrText xml:space="preserve"> PAGEREF _Toc166680668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permit in relation to application</w:t>
      </w:r>
      <w:r>
        <w:tab/>
      </w:r>
      <w:r>
        <w:fldChar w:fldCharType="begin"/>
      </w:r>
      <w:r>
        <w:instrText xml:space="preserve"> PAGEREF _Toc166680669 \h </w:instrText>
      </w:r>
      <w:r>
        <w:fldChar w:fldCharType="separate"/>
      </w:r>
      <w:r>
        <w:t>51</w:t>
      </w:r>
      <w:r>
        <w:fldChar w:fldCharType="end"/>
      </w:r>
    </w:p>
    <w:p>
      <w:pPr>
        <w:pStyle w:val="TOC8"/>
        <w:rPr>
          <w:rFonts w:asciiTheme="minorHAnsi" w:eastAsiaTheme="minorEastAsia" w:hAnsiTheme="minorHAnsi" w:cstheme="minorBidi"/>
          <w:szCs w:val="22"/>
        </w:rPr>
      </w:pPr>
      <w:r>
        <w:t>33A.</w:t>
      </w:r>
      <w:r>
        <w:tab/>
        <w:t>Withdrawal of application</w:t>
      </w:r>
      <w:r>
        <w:tab/>
      </w:r>
      <w:r>
        <w:fldChar w:fldCharType="begin"/>
      </w:r>
      <w:r>
        <w:instrText xml:space="preserve"> PAGEREF _Toc166680670 \h </w:instrText>
      </w:r>
      <w:r>
        <w:fldChar w:fldCharType="separate"/>
      </w:r>
      <w:r>
        <w:t>52</w:t>
      </w:r>
      <w:r>
        <w:fldChar w:fldCharType="end"/>
      </w:r>
    </w:p>
    <w:p>
      <w:pPr>
        <w:pStyle w:val="TOC8"/>
        <w:rPr>
          <w:rFonts w:asciiTheme="minorHAnsi" w:eastAsiaTheme="minorEastAsia" w:hAnsiTheme="minorHAnsi" w:cstheme="minorBidi"/>
          <w:szCs w:val="22"/>
        </w:rPr>
      </w:pPr>
      <w:r>
        <w:t>33B.</w:t>
      </w:r>
      <w:r>
        <w:tab/>
        <w:t>Application continued after withdrawal of joint applicant</w:t>
      </w:r>
      <w:r>
        <w:tab/>
      </w:r>
      <w:r>
        <w:fldChar w:fldCharType="begin"/>
      </w:r>
      <w:r>
        <w:instrText xml:space="preserve"> PAGEREF _Toc166680671 \h </w:instrText>
      </w:r>
      <w:r>
        <w:fldChar w:fldCharType="separate"/>
      </w:r>
      <w:r>
        <w:t>53</w:t>
      </w:r>
      <w:r>
        <w:fldChar w:fldCharType="end"/>
      </w:r>
    </w:p>
    <w:p>
      <w:pPr>
        <w:pStyle w:val="TOC8"/>
        <w:rPr>
          <w:rFonts w:asciiTheme="minorHAnsi" w:eastAsiaTheme="minorEastAsia" w:hAnsiTheme="minorHAnsi" w:cstheme="minorBidi"/>
          <w:szCs w:val="22"/>
        </w:rPr>
      </w:pPr>
      <w:r>
        <w:t>33C.</w:t>
      </w:r>
      <w:r>
        <w:tab/>
        <w:t>Effect of withdrawal or lapse of s. 30 application</w:t>
      </w:r>
      <w:r>
        <w:tab/>
      </w:r>
      <w:r>
        <w:fldChar w:fldCharType="begin"/>
      </w:r>
      <w:r>
        <w:instrText xml:space="preserve"> PAGEREF _Toc166680672 \h </w:instrText>
      </w:r>
      <w:r>
        <w:fldChar w:fldCharType="separate"/>
      </w:r>
      <w:r>
        <w:t>53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permit in respect of surrendered etc. blocks</w:t>
      </w:r>
      <w:r>
        <w:tab/>
      </w:r>
      <w:r>
        <w:fldChar w:fldCharType="begin"/>
      </w:r>
      <w:r>
        <w:instrText xml:space="preserve"> PAGEREF _Toc166680673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fee etc.</w:t>
      </w:r>
      <w:r>
        <w:tab/>
      </w:r>
      <w:r>
        <w:fldChar w:fldCharType="begin"/>
      </w:r>
      <w:r>
        <w:instrText xml:space="preserve"> PAGEREF _Toc166680674 \h </w:instrText>
      </w:r>
      <w:r>
        <w:fldChar w:fldCharType="separate"/>
      </w:r>
      <w:r>
        <w:t>56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Consideration of application</w:t>
      </w:r>
      <w:r>
        <w:tab/>
      </w:r>
      <w:r>
        <w:fldChar w:fldCharType="begin"/>
      </w:r>
      <w:r>
        <w:instrText xml:space="preserve"> PAGEREF _Toc166680675 \h </w:instrText>
      </w:r>
      <w:r>
        <w:fldChar w:fldCharType="separate"/>
      </w:r>
      <w:r>
        <w:t>56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Request by applicant for grant of permit in respect of advertised block</w:t>
      </w:r>
      <w:r>
        <w:tab/>
      </w:r>
      <w:r>
        <w:fldChar w:fldCharType="begin"/>
      </w:r>
      <w:r>
        <w:instrText xml:space="preserve"> PAGEREF _Toc166680676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Grant of permit on request</w:t>
      </w:r>
      <w:r>
        <w:tab/>
      </w:r>
      <w:r>
        <w:fldChar w:fldCharType="begin"/>
      </w:r>
      <w:r>
        <w:instrText xml:space="preserve"> PAGEREF _Toc166680677 \h </w:instrText>
      </w:r>
      <w:r>
        <w:fldChar w:fldCharType="separate"/>
      </w:r>
      <w:r>
        <w:t>58</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Permit for 2 or more blocks may be divided into 2 or more permits</w:t>
      </w:r>
      <w:r>
        <w:tab/>
      </w:r>
      <w:r>
        <w:fldChar w:fldCharType="begin"/>
      </w:r>
      <w:r>
        <w:instrText xml:space="preserve"> PAGEREF _Toc166680678 \h </w:instrText>
      </w:r>
      <w:r>
        <w:fldChar w:fldCharType="separate"/>
      </w:r>
      <w:r>
        <w:t>60</w:t>
      </w:r>
      <w:r>
        <w:fldChar w:fldCharType="end"/>
      </w:r>
    </w:p>
    <w:p>
      <w:pPr>
        <w:pStyle w:val="TOC8"/>
        <w:rPr>
          <w:rFonts w:asciiTheme="minorHAnsi" w:eastAsiaTheme="minorEastAsia" w:hAnsiTheme="minorHAnsi" w:cstheme="minorBidi"/>
          <w:szCs w:val="22"/>
        </w:rPr>
      </w:pPr>
      <w:r>
        <w:t>37B.</w:t>
      </w:r>
      <w:r>
        <w:tab/>
        <w:t>Grant of boundary-change permit</w:t>
      </w:r>
      <w:r>
        <w:tab/>
      </w:r>
      <w:r>
        <w:fldChar w:fldCharType="begin"/>
      </w:r>
      <w:r>
        <w:instrText xml:space="preserve"> PAGEREF _Toc166680679 \h </w:instrText>
      </w:r>
      <w:r>
        <w:fldChar w:fldCharType="separate"/>
      </w:r>
      <w:r>
        <w:t>61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Rights conferred by permit</w:t>
      </w:r>
      <w:r>
        <w:tab/>
      </w:r>
      <w:r>
        <w:fldChar w:fldCharType="begin"/>
      </w:r>
      <w:r>
        <w:instrText xml:space="preserve"> PAGEREF _Toc166680680 \h </w:instrText>
      </w:r>
      <w:r>
        <w:fldChar w:fldCharType="separate"/>
      </w:r>
      <w:r>
        <w:t>66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Term of permit</w:t>
      </w:r>
      <w:r>
        <w:tab/>
      </w:r>
      <w:r>
        <w:fldChar w:fldCharType="begin"/>
      </w:r>
      <w:r>
        <w:instrText xml:space="preserve"> PAGEREF _Toc166680681 \h </w:instrText>
      </w:r>
      <w:r>
        <w:fldChar w:fldCharType="separate"/>
      </w:r>
      <w:r>
        <w:t>66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renewal of permit</w:t>
      </w:r>
      <w:r>
        <w:tab/>
      </w:r>
      <w:r>
        <w:fldChar w:fldCharType="begin"/>
      </w:r>
      <w:r>
        <w:instrText xml:space="preserve"> PAGEREF _Toc166680682 \h </w:instrText>
      </w:r>
      <w:r>
        <w:fldChar w:fldCharType="separate"/>
      </w:r>
      <w:r>
        <w:t>68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renewal of permit to be in respect of reduced area</w:t>
      </w:r>
      <w:r>
        <w:tab/>
      </w:r>
      <w:r>
        <w:fldChar w:fldCharType="begin"/>
      </w:r>
      <w:r>
        <w:instrText xml:space="preserve"> PAGEREF _Toc166680683 \h </w:instrText>
      </w:r>
      <w:r>
        <w:fldChar w:fldCharType="separate"/>
      </w:r>
      <w:r>
        <w:t>68</w:t>
      </w:r>
      <w:r>
        <w:fldChar w:fldCharType="end"/>
      </w:r>
    </w:p>
    <w:p>
      <w:pPr>
        <w:pStyle w:val="TOC8"/>
        <w:rPr>
          <w:rFonts w:asciiTheme="minorHAnsi" w:eastAsiaTheme="minorEastAsia" w:hAnsiTheme="minorHAnsi" w:cstheme="minorBidi"/>
          <w:szCs w:val="22"/>
        </w:rPr>
      </w:pPr>
      <w:r>
        <w:t>42A.</w:t>
      </w:r>
      <w:r>
        <w:tab/>
        <w:t>Certain permits cannot be renewed more than twice</w:t>
      </w:r>
      <w:r>
        <w:tab/>
      </w:r>
      <w:r>
        <w:fldChar w:fldCharType="begin"/>
      </w:r>
      <w:r>
        <w:instrText xml:space="preserve"> PAGEREF _Toc166680684 \h </w:instrText>
      </w:r>
      <w:r>
        <w:fldChar w:fldCharType="separate"/>
      </w:r>
      <w:r>
        <w:t>70</w:t>
      </w:r>
      <w:r>
        <w:fldChar w:fldCharType="end"/>
      </w:r>
    </w:p>
    <w:p>
      <w:pPr>
        <w:pStyle w:val="TOC8"/>
        <w:rPr>
          <w:rFonts w:asciiTheme="minorHAnsi" w:eastAsiaTheme="minorEastAsia" w:hAnsiTheme="minorHAnsi" w:cstheme="minorBidi"/>
          <w:szCs w:val="22"/>
        </w:rPr>
      </w:pPr>
      <w:r>
        <w:t>42B.</w:t>
      </w:r>
      <w:r>
        <w:tab/>
        <w:t>Limits on renewal of boundary-change permits</w:t>
      </w:r>
      <w:r>
        <w:tab/>
      </w:r>
      <w:r>
        <w:fldChar w:fldCharType="begin"/>
      </w:r>
      <w:r>
        <w:instrText xml:space="preserve"> PAGEREF _Toc166680685 \h </w:instrText>
      </w:r>
      <w:r>
        <w:fldChar w:fldCharType="separate"/>
      </w:r>
      <w:r>
        <w:t>71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Grant or refusal of renewal of permit</w:t>
      </w:r>
      <w:r>
        <w:tab/>
      </w:r>
      <w:r>
        <w:fldChar w:fldCharType="begin"/>
      </w:r>
      <w:r>
        <w:instrText xml:space="preserve"> PAGEREF _Toc166680686 \h </w:instrText>
      </w:r>
      <w:r>
        <w:fldChar w:fldCharType="separate"/>
      </w:r>
      <w:r>
        <w:t>72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Conditions of permit</w:t>
      </w:r>
      <w:r>
        <w:tab/>
      </w:r>
      <w:r>
        <w:fldChar w:fldCharType="begin"/>
      </w:r>
      <w:r>
        <w:instrText xml:space="preserve"> PAGEREF _Toc166680687 \h </w:instrText>
      </w:r>
      <w:r>
        <w:fldChar w:fldCharType="separate"/>
      </w:r>
      <w:r>
        <w:t>74</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Advertisement of blocks for drilling reservations</w:t>
      </w:r>
      <w:r>
        <w:tab/>
      </w:r>
      <w:r>
        <w:fldChar w:fldCharType="begin"/>
      </w:r>
      <w:r>
        <w:instrText xml:space="preserve"> PAGEREF _Toc166680688 \h </w:instrText>
      </w:r>
      <w:r>
        <w:fldChar w:fldCharType="separate"/>
      </w:r>
      <w:r>
        <w:t>77</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Application for drilling reservation</w:t>
      </w:r>
      <w:r>
        <w:tab/>
      </w:r>
      <w:r>
        <w:fldChar w:fldCharType="begin"/>
      </w:r>
      <w:r>
        <w:instrText xml:space="preserve"> PAGEREF _Toc166680689 \h </w:instrText>
      </w:r>
      <w:r>
        <w:fldChar w:fldCharType="separate"/>
      </w:r>
      <w:r>
        <w:t>77</w:t>
      </w:r>
      <w:r>
        <w:fldChar w:fldCharType="end"/>
      </w:r>
    </w:p>
    <w:p>
      <w:pPr>
        <w:pStyle w:val="TOC8"/>
        <w:rPr>
          <w:rFonts w:asciiTheme="minorHAnsi" w:eastAsiaTheme="minorEastAsia" w:hAnsiTheme="minorHAnsi" w:cstheme="minorBidi"/>
          <w:szCs w:val="22"/>
        </w:rPr>
      </w:pPr>
      <w:r>
        <w:t>43CA.</w:t>
      </w:r>
      <w:r>
        <w:tab/>
        <w:t>More than one drilling reservation application for same block or blocks</w:t>
      </w:r>
      <w:r>
        <w:tab/>
      </w:r>
      <w:r>
        <w:fldChar w:fldCharType="begin"/>
      </w:r>
      <w:r>
        <w:instrText xml:space="preserve"> PAGEREF _Toc166680690 \h </w:instrText>
      </w:r>
      <w:r>
        <w:fldChar w:fldCharType="separate"/>
      </w:r>
      <w:r>
        <w:t>79</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Grant or refusal in relation to applications for drilling reservations</w:t>
      </w:r>
      <w:r>
        <w:tab/>
      </w:r>
      <w:r>
        <w:fldChar w:fldCharType="begin"/>
      </w:r>
      <w:r>
        <w:instrText xml:space="preserve"> PAGEREF _Toc166680691 \h </w:instrText>
      </w:r>
      <w:r>
        <w:fldChar w:fldCharType="separate"/>
      </w:r>
      <w:r>
        <w:t>80</w:t>
      </w:r>
      <w:r>
        <w:fldChar w:fldCharType="end"/>
      </w:r>
    </w:p>
    <w:p>
      <w:pPr>
        <w:pStyle w:val="TOC8"/>
        <w:rPr>
          <w:rFonts w:asciiTheme="minorHAnsi" w:eastAsiaTheme="minorEastAsia" w:hAnsiTheme="minorHAnsi" w:cstheme="minorBidi"/>
          <w:szCs w:val="22"/>
        </w:rPr>
      </w:pPr>
      <w:r>
        <w:t>43DA.</w:t>
      </w:r>
      <w:r>
        <w:tab/>
        <w:t>Withdrawal of application</w:t>
      </w:r>
      <w:r>
        <w:tab/>
      </w:r>
      <w:r>
        <w:fldChar w:fldCharType="begin"/>
      </w:r>
      <w:r>
        <w:instrText xml:space="preserve"> PAGEREF _Toc166680692 \h </w:instrText>
      </w:r>
      <w:r>
        <w:fldChar w:fldCharType="separate"/>
      </w:r>
      <w:r>
        <w:t>81</w:t>
      </w:r>
      <w:r>
        <w:fldChar w:fldCharType="end"/>
      </w:r>
    </w:p>
    <w:p>
      <w:pPr>
        <w:pStyle w:val="TOC8"/>
        <w:rPr>
          <w:rFonts w:asciiTheme="minorHAnsi" w:eastAsiaTheme="minorEastAsia" w:hAnsiTheme="minorHAnsi" w:cstheme="minorBidi"/>
          <w:szCs w:val="22"/>
        </w:rPr>
      </w:pPr>
      <w:r>
        <w:lastRenderedPageBreak/>
        <w:t>43DB.</w:t>
      </w:r>
      <w:r>
        <w:tab/>
        <w:t>Application continued after withdrawal of joint applicant</w:t>
      </w:r>
      <w:r>
        <w:tab/>
      </w:r>
      <w:r>
        <w:fldChar w:fldCharType="begin"/>
      </w:r>
      <w:r>
        <w:instrText xml:space="preserve"> PAGEREF _Toc166680693 \h </w:instrText>
      </w:r>
      <w:r>
        <w:fldChar w:fldCharType="separate"/>
      </w:r>
      <w:r>
        <w:t>81</w:t>
      </w:r>
      <w:r>
        <w:fldChar w:fldCharType="end"/>
      </w:r>
    </w:p>
    <w:p>
      <w:pPr>
        <w:pStyle w:val="TOC8"/>
        <w:rPr>
          <w:rFonts w:asciiTheme="minorHAnsi" w:eastAsiaTheme="minorEastAsia" w:hAnsiTheme="minorHAnsi" w:cstheme="minorBidi"/>
          <w:szCs w:val="22"/>
        </w:rPr>
      </w:pPr>
      <w:r>
        <w:t>43DC.</w:t>
      </w:r>
      <w:r>
        <w:tab/>
        <w:t>Effect of withdrawal or lapse of s. 43A application</w:t>
      </w:r>
      <w:r>
        <w:tab/>
      </w:r>
      <w:r>
        <w:fldChar w:fldCharType="begin"/>
      </w:r>
      <w:r>
        <w:instrText xml:space="preserve"> PAGEREF _Toc166680694 \h </w:instrText>
      </w:r>
      <w:r>
        <w:fldChar w:fldCharType="separate"/>
      </w:r>
      <w:r>
        <w:t>82</w:t>
      </w:r>
      <w:r>
        <w:fldChar w:fldCharType="end"/>
      </w:r>
    </w:p>
    <w:p>
      <w:pPr>
        <w:pStyle w:val="TOC8"/>
        <w:rPr>
          <w:rFonts w:asciiTheme="minorHAnsi" w:eastAsiaTheme="minorEastAsia" w:hAnsiTheme="minorHAnsi" w:cstheme="minorBidi"/>
          <w:szCs w:val="22"/>
        </w:rPr>
      </w:pPr>
      <w:r>
        <w:t>43D</w:t>
      </w:r>
      <w:r>
        <w:rPr>
          <w:snapToGrid w:val="0"/>
        </w:rPr>
        <w:t>.</w:t>
      </w:r>
      <w:r>
        <w:rPr>
          <w:snapToGrid w:val="0"/>
        </w:rPr>
        <w:tab/>
        <w:t>Rights conferred by drilling reservation</w:t>
      </w:r>
      <w:r>
        <w:tab/>
      </w:r>
      <w:r>
        <w:fldChar w:fldCharType="begin"/>
      </w:r>
      <w:r>
        <w:instrText xml:space="preserve"> PAGEREF _Toc166680695 \h </w:instrText>
      </w:r>
      <w:r>
        <w:fldChar w:fldCharType="separate"/>
      </w:r>
      <w:r>
        <w:t>83</w:t>
      </w:r>
      <w:r>
        <w:fldChar w:fldCharType="end"/>
      </w:r>
    </w:p>
    <w:p>
      <w:pPr>
        <w:pStyle w:val="TOC8"/>
        <w:rPr>
          <w:rFonts w:asciiTheme="minorHAnsi" w:eastAsiaTheme="minorEastAsia" w:hAnsiTheme="minorHAnsi" w:cstheme="minorBidi"/>
          <w:szCs w:val="22"/>
        </w:rPr>
      </w:pPr>
      <w:r>
        <w:t>43E</w:t>
      </w:r>
      <w:r>
        <w:rPr>
          <w:snapToGrid w:val="0"/>
        </w:rPr>
        <w:t>.</w:t>
      </w:r>
      <w:r>
        <w:rPr>
          <w:snapToGrid w:val="0"/>
        </w:rPr>
        <w:tab/>
        <w:t>Term of drilling reservation</w:t>
      </w:r>
      <w:r>
        <w:tab/>
      </w:r>
      <w:r>
        <w:fldChar w:fldCharType="begin"/>
      </w:r>
      <w:r>
        <w:instrText xml:space="preserve"> PAGEREF _Toc166680696 \h </w:instrText>
      </w:r>
      <w:r>
        <w:fldChar w:fldCharType="separate"/>
      </w:r>
      <w:r>
        <w:t>84</w:t>
      </w:r>
      <w:r>
        <w:fldChar w:fldCharType="end"/>
      </w:r>
    </w:p>
    <w:p>
      <w:pPr>
        <w:pStyle w:val="TOC8"/>
        <w:rPr>
          <w:rFonts w:asciiTheme="minorHAnsi" w:eastAsiaTheme="minorEastAsia" w:hAnsiTheme="minorHAnsi" w:cstheme="minorBidi"/>
          <w:szCs w:val="22"/>
        </w:rPr>
      </w:pPr>
      <w:r>
        <w:t>43F</w:t>
      </w:r>
      <w:r>
        <w:rPr>
          <w:snapToGrid w:val="0"/>
        </w:rPr>
        <w:t>.</w:t>
      </w:r>
      <w:r>
        <w:rPr>
          <w:snapToGrid w:val="0"/>
        </w:rPr>
        <w:tab/>
        <w:t>Extension of term of drilling reservation</w:t>
      </w:r>
      <w:r>
        <w:tab/>
      </w:r>
      <w:r>
        <w:fldChar w:fldCharType="begin"/>
      </w:r>
      <w:r>
        <w:instrText xml:space="preserve"> PAGEREF _Toc166680697 \h </w:instrText>
      </w:r>
      <w:r>
        <w:fldChar w:fldCharType="separate"/>
      </w:r>
      <w:r>
        <w:t>84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_Toc166680698 \h </w:instrText>
      </w:r>
      <w:r>
        <w:fldChar w:fldCharType="separate"/>
      </w:r>
      <w:r>
        <w:t>85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Nomination of blocks as location</w:t>
      </w:r>
      <w:r>
        <w:tab/>
      </w:r>
      <w:r>
        <w:fldChar w:fldCharType="begin"/>
      </w:r>
      <w:r>
        <w:instrText xml:space="preserve"> PAGEREF _Toc166680699 \h </w:instrText>
      </w:r>
      <w:r>
        <w:fldChar w:fldCharType="separate"/>
      </w:r>
      <w:r>
        <w:t>86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Declaration of location</w:t>
      </w:r>
      <w:r>
        <w:tab/>
      </w:r>
      <w:r>
        <w:fldChar w:fldCharType="begin"/>
      </w:r>
      <w:r>
        <w:instrText xml:space="preserve"> PAGEREF _Toc166680700 \h </w:instrText>
      </w:r>
      <w:r>
        <w:fldChar w:fldCharType="separate"/>
      </w:r>
      <w:r>
        <w:t>89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Immediately adjoining blocks</w:t>
      </w:r>
      <w:r>
        <w:tab/>
      </w:r>
      <w:r>
        <w:fldChar w:fldCharType="begin"/>
      </w:r>
      <w:r>
        <w:instrText xml:space="preserve"> PAGEREF _Toc166680701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w:t>
      </w:r>
    </w:p>
    <w:p>
      <w:pPr>
        <w:pStyle w:val="TOC8"/>
        <w:rPr>
          <w:rFonts w:asciiTheme="minorHAnsi" w:eastAsiaTheme="minorEastAsia" w:hAnsiTheme="minorHAnsi" w:cstheme="minorBidi"/>
          <w:szCs w:val="22"/>
        </w:rPr>
      </w:pPr>
      <w:r>
        <w:t>48A</w:t>
      </w:r>
      <w:r>
        <w:rPr>
          <w:snapToGrid w:val="0"/>
        </w:rPr>
        <w:t>.</w:t>
      </w:r>
      <w:r>
        <w:rPr>
          <w:snapToGrid w:val="0"/>
        </w:rPr>
        <w:tab/>
        <w:t>Application by permittee or holder of drilling reservation for lease</w:t>
      </w:r>
      <w:r>
        <w:tab/>
      </w:r>
      <w:r>
        <w:fldChar w:fldCharType="begin"/>
      </w:r>
      <w:r>
        <w:instrText xml:space="preserve"> PAGEREF _Toc166680703 \h </w:instrText>
      </w:r>
      <w:r>
        <w:fldChar w:fldCharType="separate"/>
      </w:r>
      <w:r>
        <w:t>92</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Grant or refusal of lease in relation to application</w:t>
      </w:r>
      <w:r>
        <w:tab/>
      </w:r>
      <w:r>
        <w:fldChar w:fldCharType="begin"/>
      </w:r>
      <w:r>
        <w:instrText xml:space="preserve"> PAGEREF _Toc166680704 \h </w:instrText>
      </w:r>
      <w:r>
        <w:fldChar w:fldCharType="separate"/>
      </w:r>
      <w:r>
        <w:t>94</w:t>
      </w:r>
      <w:r>
        <w:fldChar w:fldCharType="end"/>
      </w:r>
    </w:p>
    <w:p>
      <w:pPr>
        <w:pStyle w:val="TOC8"/>
        <w:rPr>
          <w:rFonts w:asciiTheme="minorHAnsi" w:eastAsiaTheme="minorEastAsia" w:hAnsiTheme="minorHAnsi" w:cstheme="minorBidi"/>
          <w:szCs w:val="22"/>
        </w:rPr>
      </w:pPr>
      <w:r>
        <w:t>48BA</w:t>
      </w:r>
      <w:r>
        <w:rPr>
          <w:snapToGrid w:val="0"/>
        </w:rPr>
        <w:t>.</w:t>
      </w:r>
      <w:r>
        <w:rPr>
          <w:snapToGrid w:val="0"/>
        </w:rPr>
        <w:tab/>
        <w:t>Application of s. 48A and 48B where permit is transferred</w:t>
      </w:r>
      <w:r>
        <w:tab/>
      </w:r>
      <w:r>
        <w:fldChar w:fldCharType="begin"/>
      </w:r>
      <w:r>
        <w:instrText xml:space="preserve"> PAGEREF _Toc166680705 \h </w:instrText>
      </w:r>
      <w:r>
        <w:fldChar w:fldCharType="separate"/>
      </w:r>
      <w:r>
        <w:t>97</w:t>
      </w:r>
      <w:r>
        <w:fldChar w:fldCharType="end"/>
      </w:r>
    </w:p>
    <w:p>
      <w:pPr>
        <w:pStyle w:val="TOC8"/>
        <w:rPr>
          <w:rFonts w:asciiTheme="minorHAnsi" w:eastAsiaTheme="minorEastAsia" w:hAnsiTheme="minorHAnsi" w:cstheme="minorBidi"/>
          <w:szCs w:val="22"/>
        </w:rPr>
      </w:pPr>
      <w:r>
        <w:t>48CA.</w:t>
      </w:r>
      <w:r>
        <w:tab/>
        <w:t>Application by licensee for lease</w:t>
      </w:r>
      <w:r>
        <w:tab/>
      </w:r>
      <w:r>
        <w:fldChar w:fldCharType="begin"/>
      </w:r>
      <w:r>
        <w:instrText xml:space="preserve"> PAGEREF _Toc166680706 \h </w:instrText>
      </w:r>
      <w:r>
        <w:fldChar w:fldCharType="separate"/>
      </w:r>
      <w:r>
        <w:t>97</w:t>
      </w:r>
      <w:r>
        <w:fldChar w:fldCharType="end"/>
      </w:r>
    </w:p>
    <w:p>
      <w:pPr>
        <w:pStyle w:val="TOC8"/>
        <w:rPr>
          <w:rFonts w:asciiTheme="minorHAnsi" w:eastAsiaTheme="minorEastAsia" w:hAnsiTheme="minorHAnsi" w:cstheme="minorBidi"/>
          <w:szCs w:val="22"/>
        </w:rPr>
      </w:pPr>
      <w:r>
        <w:t>48CB.</w:t>
      </w:r>
      <w:r>
        <w:tab/>
        <w:t>Grant or refusal of lease in relation to application by licensee</w:t>
      </w:r>
      <w:r>
        <w:tab/>
      </w:r>
      <w:r>
        <w:fldChar w:fldCharType="begin"/>
      </w:r>
      <w:r>
        <w:instrText xml:space="preserve"> PAGEREF _Toc166680707 \h </w:instrText>
      </w:r>
      <w:r>
        <w:fldChar w:fldCharType="separate"/>
      </w:r>
      <w:r>
        <w:t>99</w:t>
      </w:r>
      <w:r>
        <w:fldChar w:fldCharType="end"/>
      </w:r>
    </w:p>
    <w:p>
      <w:pPr>
        <w:pStyle w:val="TOC8"/>
        <w:rPr>
          <w:rFonts w:asciiTheme="minorHAnsi" w:eastAsiaTheme="minorEastAsia" w:hAnsiTheme="minorHAnsi" w:cstheme="minorBidi"/>
          <w:szCs w:val="22"/>
        </w:rPr>
      </w:pPr>
      <w:r>
        <w:t>48CC.</w:t>
      </w:r>
      <w:r>
        <w:tab/>
        <w:t>Application of s. 48CA and 48CB if licence is transferred</w:t>
      </w:r>
      <w:r>
        <w:tab/>
      </w:r>
      <w:r>
        <w:fldChar w:fldCharType="begin"/>
      </w:r>
      <w:r>
        <w:instrText xml:space="preserve"> PAGEREF _Toc166680708 \h </w:instrText>
      </w:r>
      <w:r>
        <w:fldChar w:fldCharType="separate"/>
      </w:r>
      <w:r>
        <w:t>102</w:t>
      </w:r>
      <w:r>
        <w:fldChar w:fldCharType="end"/>
      </w:r>
    </w:p>
    <w:p>
      <w:pPr>
        <w:pStyle w:val="TOC8"/>
        <w:rPr>
          <w:rFonts w:asciiTheme="minorHAnsi" w:eastAsiaTheme="minorEastAsia" w:hAnsiTheme="minorHAnsi" w:cstheme="minorBidi"/>
          <w:szCs w:val="22"/>
        </w:rPr>
      </w:pPr>
      <w:r>
        <w:t>48CD.</w:t>
      </w:r>
      <w:r>
        <w:tab/>
        <w:t>Grant of petroleum retention lease as result of change to boundary of offshore area</w:t>
      </w:r>
      <w:r>
        <w:tab/>
      </w:r>
      <w:r>
        <w:fldChar w:fldCharType="begin"/>
      </w:r>
      <w:r>
        <w:instrText xml:space="preserve"> PAGEREF _Toc166680709 \h </w:instrText>
      </w:r>
      <w:r>
        <w:fldChar w:fldCharType="separate"/>
      </w:r>
      <w:r>
        <w:t>102</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Rights conferred by lease</w:t>
      </w:r>
      <w:r>
        <w:tab/>
      </w:r>
      <w:r>
        <w:fldChar w:fldCharType="begin"/>
      </w:r>
      <w:r>
        <w:instrText xml:space="preserve"> PAGEREF _Toc166680710 \h </w:instrText>
      </w:r>
      <w:r>
        <w:fldChar w:fldCharType="separate"/>
      </w:r>
      <w:r>
        <w:t>105</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Term of lease</w:t>
      </w:r>
      <w:r>
        <w:tab/>
      </w:r>
      <w:r>
        <w:fldChar w:fldCharType="begin"/>
      </w:r>
      <w:r>
        <w:instrText xml:space="preserve"> PAGEREF _Toc166680711 \h </w:instrText>
      </w:r>
      <w:r>
        <w:fldChar w:fldCharType="separate"/>
      </w:r>
      <w:r>
        <w:t>106</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Notice of intention to cancel lease</w:t>
      </w:r>
      <w:r>
        <w:tab/>
      </w:r>
      <w:r>
        <w:fldChar w:fldCharType="begin"/>
      </w:r>
      <w:r>
        <w:instrText xml:space="preserve"> PAGEREF _Toc166680712 \h </w:instrText>
      </w:r>
      <w:r>
        <w:fldChar w:fldCharType="separate"/>
      </w:r>
      <w:r>
        <w:t>106</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Application for renewal of lease</w:t>
      </w:r>
      <w:r>
        <w:tab/>
      </w:r>
      <w:r>
        <w:fldChar w:fldCharType="begin"/>
      </w:r>
      <w:r>
        <w:instrText xml:space="preserve"> PAGEREF _Toc166680713 \h </w:instrText>
      </w:r>
      <w:r>
        <w:fldChar w:fldCharType="separate"/>
      </w:r>
      <w:r>
        <w:t>108</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Grant or refusal of renewal of lease</w:t>
      </w:r>
      <w:r>
        <w:tab/>
      </w:r>
      <w:r>
        <w:fldChar w:fldCharType="begin"/>
      </w:r>
      <w:r>
        <w:instrText xml:space="preserve"> PAGEREF _Toc166680714 \h </w:instrText>
      </w:r>
      <w:r>
        <w:fldChar w:fldCharType="separate"/>
      </w:r>
      <w:r>
        <w:t>109</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Conditions of lease</w:t>
      </w:r>
      <w:r>
        <w:tab/>
      </w:r>
      <w:r>
        <w:fldChar w:fldCharType="begin"/>
      </w:r>
      <w:r>
        <w:instrText xml:space="preserve"> PAGEREF _Toc166680715 \h </w:instrText>
      </w:r>
      <w:r>
        <w:fldChar w:fldCharType="separate"/>
      </w:r>
      <w:r>
        <w:t>113</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_Toc166680716 \h </w:instrText>
      </w:r>
      <w:r>
        <w:fldChar w:fldCharType="separate"/>
      </w:r>
      <w:r>
        <w:t>114</w:t>
      </w:r>
      <w:r>
        <w:fldChar w:fldCharType="end"/>
      </w:r>
    </w:p>
    <w:p>
      <w:pPr>
        <w:pStyle w:val="TOC8"/>
        <w:rPr>
          <w:rFonts w:asciiTheme="minorHAnsi" w:eastAsiaTheme="minorEastAsia" w:hAnsiTheme="minorHAnsi" w:cstheme="minorBidi"/>
          <w:szCs w:val="22"/>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_Toc166680717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w:t>
      </w:r>
    </w:p>
    <w:p>
      <w:pPr>
        <w:pStyle w:val="TOC8"/>
        <w:rPr>
          <w:rFonts w:asciiTheme="minorHAnsi" w:eastAsiaTheme="minorEastAsia" w:hAnsiTheme="minorHAnsi" w:cstheme="minorBidi"/>
          <w:szCs w:val="22"/>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_Toc166680719 \h </w:instrText>
      </w:r>
      <w:r>
        <w:fldChar w:fldCharType="separate"/>
      </w:r>
      <w:r>
        <w:t>115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Application by permittee for licence</w:t>
      </w:r>
      <w:r>
        <w:tab/>
      </w:r>
      <w:r>
        <w:fldChar w:fldCharType="begin"/>
      </w:r>
      <w:r>
        <w:instrText xml:space="preserve"> PAGEREF _Toc166680720 \h </w:instrText>
      </w:r>
      <w:r>
        <w:fldChar w:fldCharType="separate"/>
      </w:r>
      <w:r>
        <w:t>116</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Application by lessee for licence</w:t>
      </w:r>
      <w:r>
        <w:tab/>
      </w:r>
      <w:r>
        <w:fldChar w:fldCharType="begin"/>
      </w:r>
      <w:r>
        <w:instrText xml:space="preserve"> PAGEREF _Toc166680721 \h </w:instrText>
      </w:r>
      <w:r>
        <w:fldChar w:fldCharType="separate"/>
      </w:r>
      <w:r>
        <w:t>118</w:t>
      </w:r>
      <w:r>
        <w:fldChar w:fldCharType="end"/>
      </w:r>
    </w:p>
    <w:p>
      <w:pPr>
        <w:pStyle w:val="TOC8"/>
        <w:rPr>
          <w:rFonts w:asciiTheme="minorHAnsi" w:eastAsiaTheme="minorEastAsia" w:hAnsiTheme="minorHAnsi" w:cstheme="minorBidi"/>
          <w:szCs w:val="22"/>
        </w:rPr>
      </w:pPr>
      <w:r>
        <w:lastRenderedPageBreak/>
        <w:t>51</w:t>
      </w:r>
      <w:r>
        <w:rPr>
          <w:snapToGrid w:val="0"/>
        </w:rPr>
        <w:t>.</w:t>
      </w:r>
      <w:r>
        <w:rPr>
          <w:snapToGrid w:val="0"/>
        </w:rPr>
        <w:tab/>
        <w:t>Application for licence under s. 50 or 50A, requirements for</w:t>
      </w:r>
      <w:r>
        <w:tab/>
      </w:r>
      <w:r>
        <w:fldChar w:fldCharType="begin"/>
      </w:r>
      <w:r>
        <w:instrText xml:space="preserve"> PAGEREF _Toc166680722 \h </w:instrText>
      </w:r>
      <w:r>
        <w:fldChar w:fldCharType="separate"/>
      </w:r>
      <w:r>
        <w:t>119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Determination of rate of royalty</w:t>
      </w:r>
      <w:r>
        <w:tab/>
      </w:r>
      <w:r>
        <w:fldChar w:fldCharType="begin"/>
      </w:r>
      <w:r>
        <w:instrText xml:space="preserve"> PAGEREF _Toc166680723 \h </w:instrText>
      </w:r>
      <w:r>
        <w:fldChar w:fldCharType="separate"/>
      </w:r>
      <w:r>
        <w:t>120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Notification as to grant of licence</w:t>
      </w:r>
      <w:r>
        <w:tab/>
      </w:r>
      <w:r>
        <w:fldChar w:fldCharType="begin"/>
      </w:r>
      <w:r>
        <w:instrText xml:space="preserve"> PAGEREF _Toc166680724 \h </w:instrText>
      </w:r>
      <w:r>
        <w:fldChar w:fldCharType="separate"/>
      </w:r>
      <w:r>
        <w:t>121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Grant of licence</w:t>
      </w:r>
      <w:r>
        <w:tab/>
      </w:r>
      <w:r>
        <w:fldChar w:fldCharType="begin"/>
      </w:r>
      <w:r>
        <w:instrText xml:space="preserve"> PAGEREF _Toc166680725 \h </w:instrText>
      </w:r>
      <w:r>
        <w:fldChar w:fldCharType="separate"/>
      </w:r>
      <w:r>
        <w:t>123</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Application of s. 51 to 54 where permit etc. transferred</w:t>
      </w:r>
      <w:r>
        <w:tab/>
      </w:r>
      <w:r>
        <w:fldChar w:fldCharType="begin"/>
      </w:r>
      <w:r>
        <w:instrText xml:space="preserve"> PAGEREF _Toc166680726 \h </w:instrText>
      </w:r>
      <w:r>
        <w:fldChar w:fldCharType="separate"/>
      </w:r>
      <w:r>
        <w:t>124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Variation of licence area</w:t>
      </w:r>
      <w:r>
        <w:tab/>
      </w:r>
      <w:r>
        <w:fldChar w:fldCharType="begin"/>
      </w:r>
      <w:r>
        <w:instrText xml:space="preserve"> PAGEREF _Toc166680727 \h </w:instrText>
      </w:r>
      <w:r>
        <w:fldChar w:fldCharType="separate"/>
      </w:r>
      <w:r>
        <w:t>125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_Toc166680728 \h </w:instrText>
      </w:r>
      <w:r>
        <w:fldChar w:fldCharType="separate"/>
      </w:r>
      <w:r>
        <w:t>125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for licence in respect of surrendered etc. blocks</w:t>
      </w:r>
      <w:r>
        <w:tab/>
      </w:r>
      <w:r>
        <w:fldChar w:fldCharType="begin"/>
      </w:r>
      <w:r>
        <w:instrText xml:space="preserve"> PAGEREF _Toc166680729 \h </w:instrText>
      </w:r>
      <w:r>
        <w:fldChar w:fldCharType="separate"/>
      </w:r>
      <w:r>
        <w:t>128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fee etc. for s. 57 applications</w:t>
      </w:r>
      <w:r>
        <w:tab/>
      </w:r>
      <w:r>
        <w:fldChar w:fldCharType="begin"/>
      </w:r>
      <w:r>
        <w:instrText xml:space="preserve"> PAGEREF _Toc166680730 \h </w:instrText>
      </w:r>
      <w:r>
        <w:fldChar w:fldCharType="separate"/>
      </w:r>
      <w:r>
        <w:t>131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Request by applicant for grant of licence</w:t>
      </w:r>
      <w:r>
        <w:tab/>
      </w:r>
      <w:r>
        <w:fldChar w:fldCharType="begin"/>
      </w:r>
      <w:r>
        <w:instrText xml:space="preserve"> PAGEREF _Toc166680731 \h </w:instrText>
      </w:r>
      <w:r>
        <w:fldChar w:fldCharType="separate"/>
      </w:r>
      <w:r>
        <w:t>131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Grant of licence on request</w:t>
      </w:r>
      <w:r>
        <w:tab/>
      </w:r>
      <w:r>
        <w:fldChar w:fldCharType="begin"/>
      </w:r>
      <w:r>
        <w:instrText xml:space="preserve"> PAGEREF _Toc166680732 \h </w:instrText>
      </w:r>
      <w:r>
        <w:fldChar w:fldCharType="separate"/>
      </w:r>
      <w:r>
        <w:t>134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for 2 or more blocks may be divided into 2 or more licences</w:t>
      </w:r>
      <w:r>
        <w:tab/>
      </w:r>
      <w:r>
        <w:fldChar w:fldCharType="begin"/>
      </w:r>
      <w:r>
        <w:instrText xml:space="preserve"> PAGEREF _Toc166680733 \h </w:instrText>
      </w:r>
      <w:r>
        <w:fldChar w:fldCharType="separate"/>
      </w:r>
      <w:r>
        <w:t>134</w:t>
      </w:r>
      <w:r>
        <w:fldChar w:fldCharType="end"/>
      </w:r>
    </w:p>
    <w:p>
      <w:pPr>
        <w:pStyle w:val="TOC8"/>
        <w:rPr>
          <w:rFonts w:asciiTheme="minorHAnsi" w:eastAsiaTheme="minorEastAsia" w:hAnsiTheme="minorHAnsi" w:cstheme="minorBidi"/>
          <w:szCs w:val="22"/>
        </w:rPr>
      </w:pPr>
      <w:r>
        <w:t>61A.</w:t>
      </w:r>
      <w:r>
        <w:tab/>
        <w:t>Grant of petroleum production licence as result of change to boundary of offshore area</w:t>
      </w:r>
      <w:r>
        <w:tab/>
      </w:r>
      <w:r>
        <w:fldChar w:fldCharType="begin"/>
      </w:r>
      <w:r>
        <w:instrText xml:space="preserve"> PAGEREF _Toc166680734 \h </w:instrText>
      </w:r>
      <w:r>
        <w:fldChar w:fldCharType="separate"/>
      </w:r>
      <w:r>
        <w:t>136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Rights conferred by licence</w:t>
      </w:r>
      <w:r>
        <w:tab/>
      </w:r>
      <w:r>
        <w:fldChar w:fldCharType="begin"/>
      </w:r>
      <w:r>
        <w:instrText xml:space="preserve"> PAGEREF _Toc166680735 \h </w:instrText>
      </w:r>
      <w:r>
        <w:fldChar w:fldCharType="separate"/>
      </w:r>
      <w:r>
        <w:t>139</w:t>
      </w:r>
      <w:r>
        <w:fldChar w:fldCharType="end"/>
      </w:r>
    </w:p>
    <w:p>
      <w:pPr>
        <w:pStyle w:val="TOC8"/>
        <w:rPr>
          <w:rFonts w:asciiTheme="minorHAnsi" w:eastAsiaTheme="minorEastAsia" w:hAnsiTheme="minorHAnsi" w:cstheme="minorBidi"/>
          <w:szCs w:val="22"/>
        </w:rPr>
      </w:pPr>
      <w:r>
        <w:t>62A.</w:t>
      </w:r>
      <w:r>
        <w:tab/>
        <w:t>Geothermal energy recovery development plans</w:t>
      </w:r>
      <w:r>
        <w:tab/>
      </w:r>
      <w:r>
        <w:fldChar w:fldCharType="begin"/>
      </w:r>
      <w:r>
        <w:instrText xml:space="preserve"> PAGEREF _Toc166680736 \h </w:instrText>
      </w:r>
      <w:r>
        <w:fldChar w:fldCharType="separate"/>
      </w:r>
      <w:r>
        <w:t>139</w:t>
      </w:r>
      <w:r>
        <w:fldChar w:fldCharType="end"/>
      </w:r>
    </w:p>
    <w:p>
      <w:pPr>
        <w:pStyle w:val="TOC8"/>
        <w:rPr>
          <w:rFonts w:asciiTheme="minorHAnsi" w:eastAsiaTheme="minorEastAsia" w:hAnsiTheme="minorHAnsi" w:cstheme="minorBidi"/>
          <w:szCs w:val="22"/>
        </w:rPr>
      </w:pPr>
      <w:r>
        <w:t>62B.</w:t>
      </w:r>
      <w:r>
        <w:tab/>
        <w:t>Variation of approved development plans</w:t>
      </w:r>
      <w:r>
        <w:tab/>
      </w:r>
      <w:r>
        <w:fldChar w:fldCharType="begin"/>
      </w:r>
      <w:r>
        <w:instrText xml:space="preserve"> PAGEREF _Toc166680737 \h </w:instrText>
      </w:r>
      <w:r>
        <w:fldChar w:fldCharType="separate"/>
      </w:r>
      <w:r>
        <w:t>140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 of licence</w:t>
      </w:r>
      <w:r>
        <w:tab/>
      </w:r>
      <w:r>
        <w:fldChar w:fldCharType="begin"/>
      </w:r>
      <w:r>
        <w:instrText xml:space="preserve"> PAGEREF _Toc166680738 \h </w:instrText>
      </w:r>
      <w:r>
        <w:fldChar w:fldCharType="separate"/>
      </w:r>
      <w:r>
        <w:t>141</w:t>
      </w:r>
      <w:r>
        <w:fldChar w:fldCharType="end"/>
      </w:r>
    </w:p>
    <w:p>
      <w:pPr>
        <w:pStyle w:val="TOC8"/>
        <w:rPr>
          <w:rFonts w:asciiTheme="minorHAnsi" w:eastAsiaTheme="minorEastAsia" w:hAnsiTheme="minorHAnsi" w:cstheme="minorBidi"/>
          <w:szCs w:val="22"/>
        </w:rPr>
      </w:pPr>
      <w:r>
        <w:t>64A.</w:t>
      </w:r>
      <w:r>
        <w:tab/>
        <w:t>Termination of licence if no operations for 5 years</w:t>
      </w:r>
      <w:r>
        <w:tab/>
      </w:r>
      <w:r>
        <w:fldChar w:fldCharType="begin"/>
      </w:r>
      <w:r>
        <w:instrText xml:space="preserve"> PAGEREF _Toc166680739 \h </w:instrText>
      </w:r>
      <w:r>
        <w:fldChar w:fldCharType="separate"/>
      </w:r>
      <w:r>
        <w:t>141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 for renewal of licence</w:t>
      </w:r>
      <w:r>
        <w:tab/>
      </w:r>
      <w:r>
        <w:fldChar w:fldCharType="begin"/>
      </w:r>
      <w:r>
        <w:instrText xml:space="preserve"> PAGEREF _Toc166680740 \h </w:instrText>
      </w:r>
      <w:r>
        <w:fldChar w:fldCharType="separate"/>
      </w:r>
      <w:r>
        <w:t>143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renewal of licence</w:t>
      </w:r>
      <w:r>
        <w:tab/>
      </w:r>
      <w:r>
        <w:fldChar w:fldCharType="begin"/>
      </w:r>
      <w:r>
        <w:instrText xml:space="preserve"> PAGEREF _Toc166680741 \h </w:instrText>
      </w:r>
      <w:r>
        <w:fldChar w:fldCharType="separate"/>
      </w:r>
      <w:r>
        <w:t>144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Conditions of licence</w:t>
      </w:r>
      <w:r>
        <w:tab/>
      </w:r>
      <w:r>
        <w:fldChar w:fldCharType="begin"/>
      </w:r>
      <w:r>
        <w:instrText xml:space="preserve"> PAGEREF _Toc166680742 \h </w:instrText>
      </w:r>
      <w:r>
        <w:fldChar w:fldCharType="separate"/>
      </w:r>
      <w:r>
        <w:t>147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Storage of petroleum underground</w:t>
      </w:r>
      <w:r>
        <w:tab/>
      </w:r>
      <w:r>
        <w:fldChar w:fldCharType="begin"/>
      </w:r>
      <w:r>
        <w:instrText xml:space="preserve"> PAGEREF _Toc166680743 \h </w:instrText>
      </w:r>
      <w:r>
        <w:fldChar w:fldCharType="separate"/>
      </w:r>
      <w:r>
        <w:t>148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Directions as to recovery of petroleum</w:t>
      </w:r>
      <w:r>
        <w:tab/>
      </w:r>
      <w:r>
        <w:fldChar w:fldCharType="begin"/>
      </w:r>
      <w:r>
        <w:instrText xml:space="preserve"> PAGEREF _Toc166680744 \h </w:instrText>
      </w:r>
      <w:r>
        <w:fldChar w:fldCharType="separate"/>
      </w:r>
      <w:r>
        <w:t>149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Unit development</w:t>
      </w:r>
      <w:r>
        <w:tab/>
      </w:r>
      <w:r>
        <w:fldChar w:fldCharType="begin"/>
      </w:r>
      <w:r>
        <w:instrText xml:space="preserve"> PAGEREF _Toc166680745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3A — Petroleum titles and geothermal titles may subsist in respect of same blocks</w:t>
      </w:r>
    </w:p>
    <w:p>
      <w:pPr>
        <w:pStyle w:val="TOC8"/>
        <w:rPr>
          <w:rFonts w:asciiTheme="minorHAnsi" w:eastAsiaTheme="minorEastAsia" w:hAnsiTheme="minorHAnsi" w:cstheme="minorBidi"/>
          <w:szCs w:val="22"/>
        </w:rPr>
      </w:pPr>
      <w:r>
        <w:t>69A.</w:t>
      </w:r>
      <w:r>
        <w:tab/>
        <w:t>Petroleum titles and geothermal titles may subsist in respect of same blocks</w:t>
      </w:r>
      <w:r>
        <w:tab/>
      </w:r>
      <w:r>
        <w:fldChar w:fldCharType="begin"/>
      </w:r>
      <w:r>
        <w:instrText xml:space="preserve"> PAGEREF _Toc166680747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Registration of instruments</w:t>
      </w:r>
    </w:p>
    <w:p>
      <w:pPr>
        <w:pStyle w:val="TOC8"/>
        <w:rPr>
          <w:rFonts w:asciiTheme="minorHAnsi" w:eastAsiaTheme="minorEastAsia" w:hAnsiTheme="minorHAnsi" w:cstheme="minorBidi"/>
          <w:szCs w:val="22"/>
        </w:rPr>
      </w:pPr>
      <w:r>
        <w:t>69J</w:t>
      </w:r>
      <w:r>
        <w:rPr>
          <w:snapToGrid w:val="0"/>
        </w:rPr>
        <w:t>.</w:t>
      </w:r>
      <w:r>
        <w:rPr>
          <w:snapToGrid w:val="0"/>
        </w:rPr>
        <w:tab/>
        <w:t>Term used: title</w:t>
      </w:r>
      <w:r>
        <w:tab/>
      </w:r>
      <w:r>
        <w:fldChar w:fldCharType="begin"/>
      </w:r>
      <w:r>
        <w:instrText xml:space="preserve"> PAGEREF _Toc166680749 \h </w:instrText>
      </w:r>
      <w:r>
        <w:fldChar w:fldCharType="separate"/>
      </w:r>
      <w:r>
        <w:t>157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Register of certain instruments to be kept</w:t>
      </w:r>
      <w:r>
        <w:tab/>
      </w:r>
      <w:r>
        <w:fldChar w:fldCharType="begin"/>
      </w:r>
      <w:r>
        <w:instrText xml:space="preserve"> PAGEREF _Toc166680750 \h </w:instrText>
      </w:r>
      <w:r>
        <w:fldChar w:fldCharType="separate"/>
      </w:r>
      <w:r>
        <w:t>157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Memorials to be entered of permits determined etc.</w:t>
      </w:r>
      <w:r>
        <w:tab/>
      </w:r>
      <w:r>
        <w:fldChar w:fldCharType="begin"/>
      </w:r>
      <w:r>
        <w:instrText xml:space="preserve"> PAGEREF _Toc166680751 \h </w:instrText>
      </w:r>
      <w:r>
        <w:fldChar w:fldCharType="separate"/>
      </w:r>
      <w:r>
        <w:t>159</w:t>
      </w:r>
      <w:r>
        <w:fldChar w:fldCharType="end"/>
      </w:r>
    </w:p>
    <w:p>
      <w:pPr>
        <w:pStyle w:val="TOC8"/>
        <w:rPr>
          <w:rFonts w:asciiTheme="minorHAnsi" w:eastAsiaTheme="minorEastAsia" w:hAnsiTheme="minorHAnsi" w:cstheme="minorBidi"/>
          <w:szCs w:val="22"/>
        </w:rPr>
      </w:pPr>
      <w:r>
        <w:lastRenderedPageBreak/>
        <w:t>72</w:t>
      </w:r>
      <w:r>
        <w:rPr>
          <w:snapToGrid w:val="0"/>
        </w:rPr>
        <w:t>.</w:t>
      </w:r>
      <w:r>
        <w:rPr>
          <w:snapToGrid w:val="0"/>
        </w:rPr>
        <w:tab/>
        <w:t>Approval and registration of transfers</w:t>
      </w:r>
      <w:r>
        <w:tab/>
      </w:r>
      <w:r>
        <w:fldChar w:fldCharType="begin"/>
      </w:r>
      <w:r>
        <w:instrText xml:space="preserve"> PAGEREF _Toc166680752 \h </w:instrText>
      </w:r>
      <w:r>
        <w:fldChar w:fldCharType="separate"/>
      </w:r>
      <w:r>
        <w:t>159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Entries in Register on devolution of title</w:t>
      </w:r>
      <w:r>
        <w:tab/>
      </w:r>
      <w:r>
        <w:fldChar w:fldCharType="begin"/>
      </w:r>
      <w:r>
        <w:instrText xml:space="preserve"> PAGEREF _Toc166680753 \h </w:instrText>
      </w:r>
      <w:r>
        <w:fldChar w:fldCharType="separate"/>
      </w:r>
      <w:r>
        <w:t>162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Approval of dealings creating interests etc. in existing titles</w:t>
      </w:r>
      <w:r>
        <w:tab/>
      </w:r>
      <w:r>
        <w:fldChar w:fldCharType="begin"/>
      </w:r>
      <w:r>
        <w:instrText xml:space="preserve"> PAGEREF _Toc166680754 \h </w:instrText>
      </w:r>
      <w:r>
        <w:fldChar w:fldCharType="separate"/>
      </w:r>
      <w:r>
        <w:t>162</w:t>
      </w:r>
      <w:r>
        <w:fldChar w:fldCharType="end"/>
      </w:r>
    </w:p>
    <w:p>
      <w:pPr>
        <w:pStyle w:val="TOC8"/>
        <w:rPr>
          <w:rFonts w:asciiTheme="minorHAnsi" w:eastAsiaTheme="minorEastAsia" w:hAnsiTheme="minorHAnsi" w:cstheme="minorBidi"/>
          <w:szCs w:val="22"/>
        </w:rPr>
      </w:pPr>
      <w:r>
        <w:t>75A</w:t>
      </w:r>
      <w:r>
        <w:rPr>
          <w:snapToGrid w:val="0"/>
        </w:rPr>
        <w:t>.</w:t>
      </w:r>
      <w:r>
        <w:rPr>
          <w:snapToGrid w:val="0"/>
        </w:rPr>
        <w:tab/>
        <w:t>Approval of dealings in future interests etc.</w:t>
      </w:r>
      <w:r>
        <w:tab/>
      </w:r>
      <w:r>
        <w:fldChar w:fldCharType="begin"/>
      </w:r>
      <w:r>
        <w:instrText xml:space="preserve"> PAGEREF _Toc166680755 \h </w:instrText>
      </w:r>
      <w:r>
        <w:fldChar w:fldCharType="separate"/>
      </w:r>
      <w:r>
        <w:t>167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True consideration to be shown in transfer or dealing</w:t>
      </w:r>
      <w:r>
        <w:tab/>
      </w:r>
      <w:r>
        <w:fldChar w:fldCharType="begin"/>
      </w:r>
      <w:r>
        <w:instrText xml:space="preserve"> PAGEREF _Toc166680756 \h </w:instrText>
      </w:r>
      <w:r>
        <w:fldChar w:fldCharType="separate"/>
      </w:r>
      <w:r>
        <w:t>169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Minister not concerned with certain matters</w:t>
      </w:r>
      <w:r>
        <w:tab/>
      </w:r>
      <w:r>
        <w:fldChar w:fldCharType="begin"/>
      </w:r>
      <w:r>
        <w:instrText xml:space="preserve"> PAGEREF _Toc166680757 \h </w:instrText>
      </w:r>
      <w:r>
        <w:fldChar w:fldCharType="separate"/>
      </w:r>
      <w:r>
        <w:t>170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Minister to require information as to transfers or dealings</w:t>
      </w:r>
      <w:r>
        <w:tab/>
      </w:r>
      <w:r>
        <w:fldChar w:fldCharType="begin"/>
      </w:r>
      <w:r>
        <w:instrText xml:space="preserve"> PAGEREF _Toc166680758 \h </w:instrText>
      </w:r>
      <w:r>
        <w:fldChar w:fldCharType="separate"/>
      </w:r>
      <w:r>
        <w:t>170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Production and inspection of documents</w:t>
      </w:r>
      <w:r>
        <w:tab/>
      </w:r>
      <w:r>
        <w:fldChar w:fldCharType="begin"/>
      </w:r>
      <w:r>
        <w:instrText xml:space="preserve"> PAGEREF _Toc166680759 \h </w:instrText>
      </w:r>
      <w:r>
        <w:fldChar w:fldCharType="separate"/>
      </w:r>
      <w:r>
        <w:t>171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Inspection of Register and instruments</w:t>
      </w:r>
      <w:r>
        <w:tab/>
      </w:r>
      <w:r>
        <w:fldChar w:fldCharType="begin"/>
      </w:r>
      <w:r>
        <w:instrText xml:space="preserve"> PAGEREF _Toc166680760 \h </w:instrText>
      </w:r>
      <w:r>
        <w:fldChar w:fldCharType="separate"/>
      </w:r>
      <w:r>
        <w:t>171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Evidentiary provisions</w:t>
      </w:r>
      <w:r>
        <w:tab/>
      </w:r>
      <w:r>
        <w:fldChar w:fldCharType="begin"/>
      </w:r>
      <w:r>
        <w:instrText xml:space="preserve"> PAGEREF _Toc166680761 \h </w:instrText>
      </w:r>
      <w:r>
        <w:fldChar w:fldCharType="separate"/>
      </w:r>
      <w:r>
        <w:t>172</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Minister may make corrections to, and entries in, Register</w:t>
      </w:r>
      <w:r>
        <w:tab/>
      </w:r>
      <w:r>
        <w:fldChar w:fldCharType="begin"/>
      </w:r>
      <w:r>
        <w:instrText xml:space="preserve"> PAGEREF _Toc166680762 \h </w:instrText>
      </w:r>
      <w:r>
        <w:fldChar w:fldCharType="separate"/>
      </w:r>
      <w:r>
        <w:t>172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to State Administrative Tribunal for orders</w:t>
      </w:r>
      <w:r>
        <w:tab/>
      </w:r>
      <w:r>
        <w:fldChar w:fldCharType="begin"/>
      </w:r>
      <w:r>
        <w:instrText xml:space="preserve"> PAGEREF _Toc166680763 \h </w:instrText>
      </w:r>
      <w:r>
        <w:fldChar w:fldCharType="separate"/>
      </w:r>
      <w:r>
        <w:t>173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connected with Register and certain documents</w:t>
      </w:r>
      <w:r>
        <w:tab/>
      </w:r>
      <w:r>
        <w:fldChar w:fldCharType="begin"/>
      </w:r>
      <w:r>
        <w:instrText xml:space="preserve"> PAGEREF _Toc166680764 \h </w:instrText>
      </w:r>
      <w:r>
        <w:fldChar w:fldCharType="separate"/>
      </w:r>
      <w:r>
        <w:t>174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_Toc166680765 \h </w:instrText>
      </w:r>
      <w:r>
        <w:fldChar w:fldCharType="separate"/>
      </w:r>
      <w:r>
        <w:t>174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Exemption from duty</w:t>
      </w:r>
      <w:r>
        <w:tab/>
      </w:r>
      <w:r>
        <w:fldChar w:fldCharType="begin"/>
      </w:r>
      <w:r>
        <w:instrText xml:space="preserve"> PAGEREF _Toc166680766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88</w:t>
      </w:r>
      <w:r>
        <w:rPr>
          <w:snapToGrid w:val="0"/>
        </w:rPr>
        <w:t>.</w:t>
      </w:r>
      <w:r>
        <w:rPr>
          <w:snapToGrid w:val="0"/>
        </w:rPr>
        <w:tab/>
        <w:t>Notice of grants of permits etc. to be published</w:t>
      </w:r>
      <w:r>
        <w:tab/>
      </w:r>
      <w:r>
        <w:fldChar w:fldCharType="begin"/>
      </w:r>
      <w:r>
        <w:instrText xml:space="preserve"> PAGEREF _Toc166680768 \h </w:instrText>
      </w:r>
      <w:r>
        <w:fldChar w:fldCharType="separate"/>
      </w:r>
      <w:r>
        <w:t>175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Date of effect of certain surrenders, cancellations and variations</w:t>
      </w:r>
      <w:r>
        <w:tab/>
      </w:r>
      <w:r>
        <w:fldChar w:fldCharType="begin"/>
      </w:r>
      <w:r>
        <w:instrText xml:space="preserve"> PAGEREF _Toc166680769 \h </w:instrText>
      </w:r>
      <w:r>
        <w:fldChar w:fldCharType="separate"/>
      </w:r>
      <w:r>
        <w:t>176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Commencement of works</w:t>
      </w:r>
      <w:r>
        <w:tab/>
      </w:r>
      <w:r>
        <w:fldChar w:fldCharType="begin"/>
      </w:r>
      <w:r>
        <w:instrText xml:space="preserve"> PAGEREF _Toc166680770 \h </w:instrText>
      </w:r>
      <w:r>
        <w:fldChar w:fldCharType="separate"/>
      </w:r>
      <w:r>
        <w:t>176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Work practices</w:t>
      </w:r>
      <w:r>
        <w:tab/>
      </w:r>
      <w:r>
        <w:fldChar w:fldCharType="begin"/>
      </w:r>
      <w:r>
        <w:instrText xml:space="preserve"> PAGEREF _Toc166680771 \h </w:instrText>
      </w:r>
      <w:r>
        <w:fldChar w:fldCharType="separate"/>
      </w:r>
      <w:r>
        <w:t>177</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Conditions relating to insurance</w:t>
      </w:r>
      <w:r>
        <w:tab/>
      </w:r>
      <w:r>
        <w:fldChar w:fldCharType="begin"/>
      </w:r>
      <w:r>
        <w:instrText xml:space="preserve"> PAGEREF _Toc166680772 \h </w:instrText>
      </w:r>
      <w:r>
        <w:fldChar w:fldCharType="separate"/>
      </w:r>
      <w:r>
        <w:t>180</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Conditions prohibiting entry on certain land</w:t>
      </w:r>
      <w:r>
        <w:tab/>
      </w:r>
      <w:r>
        <w:fldChar w:fldCharType="begin"/>
      </w:r>
      <w:r>
        <w:instrText xml:space="preserve"> PAGEREF _Toc166680773 \h </w:instrText>
      </w:r>
      <w:r>
        <w:fldChar w:fldCharType="separate"/>
      </w:r>
      <w:r>
        <w:t>181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Maintenance etc. of property</w:t>
      </w:r>
      <w:r>
        <w:tab/>
      </w:r>
      <w:r>
        <w:fldChar w:fldCharType="begin"/>
      </w:r>
      <w:r>
        <w:instrText xml:space="preserve"> PAGEREF _Toc166680774 \h </w:instrText>
      </w:r>
      <w:r>
        <w:fldChar w:fldCharType="separate"/>
      </w:r>
      <w:r>
        <w:t>181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Operation of s. 91, 91A and 92 subject to this Act and other laws</w:t>
      </w:r>
      <w:r>
        <w:tab/>
      </w:r>
      <w:r>
        <w:fldChar w:fldCharType="begin"/>
      </w:r>
      <w:r>
        <w:instrText xml:space="preserve"> PAGEREF _Toc166680775 \h </w:instrText>
      </w:r>
      <w:r>
        <w:fldChar w:fldCharType="separate"/>
      </w:r>
      <w:r>
        <w:t>182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Directions by Minister</w:t>
      </w:r>
      <w:r>
        <w:tab/>
      </w:r>
      <w:r>
        <w:fldChar w:fldCharType="begin"/>
      </w:r>
      <w:r>
        <w:instrText xml:space="preserve"> PAGEREF _Toc166680776 \h </w:instrText>
      </w:r>
      <w:r>
        <w:fldChar w:fldCharType="separate"/>
      </w:r>
      <w:r>
        <w:t>183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Compliance with directions</w:t>
      </w:r>
      <w:r>
        <w:tab/>
      </w:r>
      <w:r>
        <w:fldChar w:fldCharType="begin"/>
      </w:r>
      <w:r>
        <w:instrText xml:space="preserve"> PAGEREF _Toc166680777 \h </w:instrText>
      </w:r>
      <w:r>
        <w:fldChar w:fldCharType="separate"/>
      </w:r>
      <w:r>
        <w:t>185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Variation and suspension of, and exemption from compliance with, conditions</w:t>
      </w:r>
      <w:r>
        <w:tab/>
      </w:r>
      <w:r>
        <w:fldChar w:fldCharType="begin"/>
      </w:r>
      <w:r>
        <w:instrText xml:space="preserve"> PAGEREF _Toc166680778 \h </w:instrText>
      </w:r>
      <w:r>
        <w:fldChar w:fldCharType="separate"/>
      </w:r>
      <w:r>
        <w:t>186</w:t>
      </w:r>
      <w:r>
        <w:fldChar w:fldCharType="end"/>
      </w:r>
    </w:p>
    <w:p>
      <w:pPr>
        <w:pStyle w:val="TOC8"/>
        <w:rPr>
          <w:rFonts w:asciiTheme="minorHAnsi" w:eastAsiaTheme="minorEastAsia" w:hAnsiTheme="minorHAnsi" w:cstheme="minorBidi"/>
          <w:szCs w:val="22"/>
        </w:rPr>
      </w:pPr>
      <w:r>
        <w:t>97A.</w:t>
      </w:r>
      <w:r>
        <w:tab/>
        <w:t>Variation of petroleum title by including area as result of change to boundary of offshore area</w:t>
      </w:r>
      <w:r>
        <w:tab/>
      </w:r>
      <w:r>
        <w:fldChar w:fldCharType="begin"/>
      </w:r>
      <w:r>
        <w:instrText xml:space="preserve"> PAGEREF _Toc166680779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98</w:t>
      </w:r>
      <w:r>
        <w:rPr>
          <w:snapToGrid w:val="0"/>
        </w:rPr>
        <w:t>.</w:t>
      </w:r>
      <w:r>
        <w:rPr>
          <w:snapToGrid w:val="0"/>
        </w:rPr>
        <w:tab/>
        <w:t>Surrender of permits etc.</w:t>
      </w:r>
      <w:r>
        <w:tab/>
      </w:r>
      <w:r>
        <w:fldChar w:fldCharType="begin"/>
      </w:r>
      <w:r>
        <w:instrText xml:space="preserve"> PAGEREF _Toc166680780 \h </w:instrText>
      </w:r>
      <w:r>
        <w:fldChar w:fldCharType="separate"/>
      </w:r>
      <w:r>
        <w:t>194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Cancellation of permits etc.</w:t>
      </w:r>
      <w:r>
        <w:tab/>
      </w:r>
      <w:r>
        <w:fldChar w:fldCharType="begin"/>
      </w:r>
      <w:r>
        <w:instrText xml:space="preserve"> PAGEREF _Toc166680781 \h </w:instrText>
      </w:r>
      <w:r>
        <w:fldChar w:fldCharType="separate"/>
      </w:r>
      <w:r>
        <w:t>195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Cancellation of permit etc. not affected by other provisions</w:t>
      </w:r>
      <w:r>
        <w:tab/>
      </w:r>
      <w:r>
        <w:fldChar w:fldCharType="begin"/>
      </w:r>
      <w:r>
        <w:instrText xml:space="preserve"> PAGEREF _Toc166680782 \h </w:instrText>
      </w:r>
      <w:r>
        <w:fldChar w:fldCharType="separate"/>
      </w:r>
      <w:r>
        <w:t>197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Removal of property etc. by permittee etc.</w:t>
      </w:r>
      <w:r>
        <w:tab/>
      </w:r>
      <w:r>
        <w:fldChar w:fldCharType="begin"/>
      </w:r>
      <w:r>
        <w:instrText xml:space="preserve"> PAGEREF _Toc166680783 \h </w:instrText>
      </w:r>
      <w:r>
        <w:fldChar w:fldCharType="separate"/>
      </w:r>
      <w:r>
        <w:t>198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Removal of property etc. by Minister</w:t>
      </w:r>
      <w:r>
        <w:tab/>
      </w:r>
      <w:r>
        <w:fldChar w:fldCharType="begin"/>
      </w:r>
      <w:r>
        <w:instrText xml:space="preserve"> PAGEREF _Toc166680784 \h </w:instrText>
      </w:r>
      <w:r>
        <w:fldChar w:fldCharType="separate"/>
      </w:r>
      <w:r>
        <w:t>200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Special prospecting authorities</w:t>
      </w:r>
      <w:r>
        <w:tab/>
      </w:r>
      <w:r>
        <w:fldChar w:fldCharType="begin"/>
      </w:r>
      <w:r>
        <w:instrText xml:space="preserve"> PAGEREF _Toc166680785 \h </w:instrText>
      </w:r>
      <w:r>
        <w:fldChar w:fldCharType="separate"/>
      </w:r>
      <w:r>
        <w:t>200</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Access authorities</w:t>
      </w:r>
      <w:r>
        <w:tab/>
      </w:r>
      <w:r>
        <w:fldChar w:fldCharType="begin"/>
      </w:r>
      <w:r>
        <w:instrText xml:space="preserve"> PAGEREF _Toc166680786 \h </w:instrText>
      </w:r>
      <w:r>
        <w:fldChar w:fldCharType="separate"/>
      </w:r>
      <w:r>
        <w:t>204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disposal or sale of property</w:t>
      </w:r>
      <w:r>
        <w:tab/>
      </w:r>
      <w:r>
        <w:fldChar w:fldCharType="begin"/>
      </w:r>
      <w:r>
        <w:instrText xml:space="preserve"> PAGEREF _Toc166680787 \h </w:instrText>
      </w:r>
      <w:r>
        <w:fldChar w:fldCharType="separate"/>
      </w:r>
      <w:r>
        <w:t>210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Minister etc. may require information to be furnished etc.</w:t>
      </w:r>
      <w:r>
        <w:tab/>
      </w:r>
      <w:r>
        <w:fldChar w:fldCharType="begin"/>
      </w:r>
      <w:r>
        <w:instrText xml:space="preserve"> PAGEREF _Toc166680788 \h </w:instrText>
      </w:r>
      <w:r>
        <w:fldChar w:fldCharType="separate"/>
      </w:r>
      <w:r>
        <w:t>211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 to examine on oath</w:t>
      </w:r>
      <w:r>
        <w:tab/>
      </w:r>
      <w:r>
        <w:fldChar w:fldCharType="begin"/>
      </w:r>
      <w:r>
        <w:instrText xml:space="preserve"> PAGEREF _Toc166680789 \h </w:instrText>
      </w:r>
      <w:r>
        <w:fldChar w:fldCharType="separate"/>
      </w:r>
      <w:r>
        <w:t>212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Failing to furnish information etc.</w:t>
      </w:r>
      <w:r>
        <w:tab/>
      </w:r>
      <w:r>
        <w:fldChar w:fldCharType="begin"/>
      </w:r>
      <w:r>
        <w:instrText xml:space="preserve"> PAGEREF _Toc166680790 \h </w:instrText>
      </w:r>
      <w:r>
        <w:fldChar w:fldCharType="separate"/>
      </w:r>
      <w:r>
        <w:t>212</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r>
      <w:r>
        <w:t>Exclusion zones</w:t>
      </w:r>
      <w:r>
        <w:tab/>
      </w:r>
      <w:r>
        <w:fldChar w:fldCharType="begin"/>
      </w:r>
      <w:r>
        <w:instrText xml:space="preserve"> PAGEREF _Toc166680791 \h </w:instrText>
      </w:r>
      <w:r>
        <w:fldChar w:fldCharType="separate"/>
      </w:r>
      <w:r>
        <w:t>213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Discovery of water to be notified</w:t>
      </w:r>
      <w:r>
        <w:tab/>
      </w:r>
      <w:r>
        <w:fldChar w:fldCharType="begin"/>
      </w:r>
      <w:r>
        <w:instrText xml:space="preserve"> PAGEREF _Toc166680792 \h </w:instrText>
      </w:r>
      <w:r>
        <w:fldChar w:fldCharType="separate"/>
      </w:r>
      <w:r>
        <w:t>214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Records etc. to be kept</w:t>
      </w:r>
      <w:r>
        <w:tab/>
      </w:r>
      <w:r>
        <w:fldChar w:fldCharType="begin"/>
      </w:r>
      <w:r>
        <w:instrText xml:space="preserve"> PAGEREF _Toc166680793 \h </w:instrText>
      </w:r>
      <w:r>
        <w:fldChar w:fldCharType="separate"/>
      </w:r>
      <w:r>
        <w:t>214</w:t>
      </w:r>
      <w:r>
        <w:fldChar w:fldCharType="end"/>
      </w:r>
    </w:p>
    <w:p>
      <w:pPr>
        <w:pStyle w:val="TOC8"/>
        <w:rPr>
          <w:rFonts w:asciiTheme="minorHAnsi" w:eastAsiaTheme="minorEastAsia" w:hAnsiTheme="minorHAnsi" w:cstheme="minorBidi"/>
          <w:szCs w:val="22"/>
        </w:rPr>
      </w:pPr>
      <w:r>
        <w:t>116A.</w:t>
      </w:r>
      <w:r>
        <w:tab/>
        <w:t>Data management: regulations</w:t>
      </w:r>
      <w:r>
        <w:tab/>
      </w:r>
      <w:r>
        <w:fldChar w:fldCharType="begin"/>
      </w:r>
      <w:r>
        <w:instrText xml:space="preserve"> PAGEREF _Toc166680794 \h </w:instrText>
      </w:r>
      <w:r>
        <w:fldChar w:fldCharType="separate"/>
      </w:r>
      <w:r>
        <w:t>215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Scientific investigations</w:t>
      </w:r>
      <w:r>
        <w:tab/>
      </w:r>
      <w:r>
        <w:fldChar w:fldCharType="begin"/>
      </w:r>
      <w:r>
        <w:instrText xml:space="preserve"> PAGEREF _Toc166680795 \h </w:instrText>
      </w:r>
      <w:r>
        <w:fldChar w:fldCharType="separate"/>
      </w:r>
      <w:r>
        <w:t>216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Interference with other rights etc.</w:t>
      </w:r>
      <w:r>
        <w:tab/>
      </w:r>
      <w:r>
        <w:fldChar w:fldCharType="begin"/>
      </w:r>
      <w:r>
        <w:instrText xml:space="preserve"> PAGEREF _Toc166680796 \h </w:instrText>
      </w:r>
      <w:r>
        <w:fldChar w:fldCharType="separate"/>
      </w:r>
      <w:r>
        <w:t>216</w:t>
      </w:r>
      <w:r>
        <w:fldChar w:fldCharType="end"/>
      </w:r>
    </w:p>
    <w:p>
      <w:pPr>
        <w:pStyle w:val="TOC8"/>
        <w:rPr>
          <w:rFonts w:asciiTheme="minorHAnsi" w:eastAsiaTheme="minorEastAsia" w:hAnsiTheme="minorHAnsi" w:cstheme="minorBidi"/>
          <w:szCs w:val="22"/>
        </w:rPr>
      </w:pPr>
      <w:r>
        <w:t>117A.</w:t>
      </w:r>
      <w:r>
        <w:tab/>
        <w:t>Interfering with petroleum operation or geothermal energy operation</w:t>
      </w:r>
      <w:r>
        <w:tab/>
      </w:r>
      <w:r>
        <w:fldChar w:fldCharType="begin"/>
      </w:r>
      <w:r>
        <w:instrText xml:space="preserve"> PAGEREF _Toc166680797 \h </w:instrText>
      </w:r>
      <w:r>
        <w:fldChar w:fldCharType="separate"/>
      </w:r>
      <w:r>
        <w:t>217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Inspectors</w:t>
      </w:r>
      <w:r>
        <w:tab/>
      </w:r>
      <w:r>
        <w:fldChar w:fldCharType="begin"/>
      </w:r>
      <w:r>
        <w:instrText xml:space="preserve"> PAGEREF _Toc166680798 \h </w:instrText>
      </w:r>
      <w:r>
        <w:fldChar w:fldCharType="separate"/>
      </w:r>
      <w:r>
        <w:t>217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Powers of inspectors</w:t>
      </w:r>
      <w:r>
        <w:tab/>
      </w:r>
      <w:r>
        <w:fldChar w:fldCharType="begin"/>
      </w:r>
      <w:r>
        <w:instrText xml:space="preserve"> PAGEREF _Toc166680799 \h </w:instrText>
      </w:r>
      <w:r>
        <w:fldChar w:fldCharType="separate"/>
      </w:r>
      <w:r>
        <w:t>218</w:t>
      </w:r>
      <w:r>
        <w:fldChar w:fldCharType="end"/>
      </w:r>
    </w:p>
    <w:p>
      <w:pPr>
        <w:pStyle w:val="TOC8"/>
        <w:rPr>
          <w:rFonts w:asciiTheme="minorHAnsi" w:eastAsiaTheme="minorEastAsia" w:hAnsiTheme="minorHAnsi" w:cstheme="minorBidi"/>
          <w:szCs w:val="22"/>
        </w:rPr>
      </w:pPr>
      <w:r>
        <w:t>119A.</w:t>
      </w:r>
      <w:r>
        <w:tab/>
        <w:t>Protection from liability for wrongdoing</w:t>
      </w:r>
      <w:r>
        <w:tab/>
      </w:r>
      <w:r>
        <w:fldChar w:fldCharType="begin"/>
      </w:r>
      <w:r>
        <w:instrText xml:space="preserve"> PAGEREF _Toc166680800 \h </w:instrText>
      </w:r>
      <w:r>
        <w:fldChar w:fldCharType="separate"/>
      </w:r>
      <w:r>
        <w:t>219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Continuing offences</w:t>
      </w:r>
      <w:r>
        <w:tab/>
      </w:r>
      <w:r>
        <w:fldChar w:fldCharType="begin"/>
      </w:r>
      <w:r>
        <w:instrText xml:space="preserve"> PAGEREF _Toc166680801 \h </w:instrText>
      </w:r>
      <w:r>
        <w:fldChar w:fldCharType="separate"/>
      </w:r>
      <w:r>
        <w:t>219</w:t>
      </w:r>
      <w:r>
        <w:fldChar w:fldCharType="end"/>
      </w:r>
    </w:p>
    <w:p>
      <w:pPr>
        <w:pStyle w:val="TOC8"/>
        <w:rPr>
          <w:rFonts w:asciiTheme="minorHAnsi" w:eastAsiaTheme="minorEastAsia" w:hAnsiTheme="minorHAnsi" w:cstheme="minorBidi"/>
          <w:szCs w:val="22"/>
        </w:rPr>
      </w:pPr>
      <w:r>
        <w:t>122.</w:t>
      </w:r>
      <w:r>
        <w:tab/>
        <w:t>Crimes and other offences</w:t>
      </w:r>
      <w:r>
        <w:tab/>
      </w:r>
      <w:r>
        <w:fldChar w:fldCharType="begin"/>
      </w:r>
      <w:r>
        <w:instrText xml:space="preserve"> PAGEREF _Toc166680802 \h </w:instrText>
      </w:r>
      <w:r>
        <w:fldChar w:fldCharType="separate"/>
      </w:r>
      <w:r>
        <w:t>220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Orders for forfeiture etc. in respect of certain offences</w:t>
      </w:r>
      <w:r>
        <w:tab/>
      </w:r>
      <w:r>
        <w:fldChar w:fldCharType="begin"/>
      </w:r>
      <w:r>
        <w:instrText xml:space="preserve"> PAGEREF _Toc166680803 \h </w:instrText>
      </w:r>
      <w:r>
        <w:fldChar w:fldCharType="separate"/>
      </w:r>
      <w:r>
        <w:t>220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Power of Attorney General to direct disposal of goods</w:t>
      </w:r>
      <w:r>
        <w:tab/>
      </w:r>
      <w:r>
        <w:fldChar w:fldCharType="begin"/>
      </w:r>
      <w:r>
        <w:instrText xml:space="preserve"> PAGEREF _Toc166680804 \h </w:instrText>
      </w:r>
      <w:r>
        <w:fldChar w:fldCharType="separate"/>
      </w:r>
      <w:r>
        <w:t>221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Time for bringing proceedings for offences</w:t>
      </w:r>
      <w:r>
        <w:tab/>
      </w:r>
      <w:r>
        <w:fldChar w:fldCharType="begin"/>
      </w:r>
      <w:r>
        <w:instrText xml:space="preserve"> PAGEREF _Toc166680805 \h </w:instrText>
      </w:r>
      <w:r>
        <w:fldChar w:fldCharType="separate"/>
      </w:r>
      <w:r>
        <w:t>222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Judicial notice</w:t>
      </w:r>
      <w:r>
        <w:tab/>
      </w:r>
      <w:r>
        <w:fldChar w:fldCharType="begin"/>
      </w:r>
      <w:r>
        <w:instrText xml:space="preserve"> PAGEREF _Toc166680806 \h </w:instrText>
      </w:r>
      <w:r>
        <w:fldChar w:fldCharType="separate"/>
      </w:r>
      <w:r>
        <w:t>222</w:t>
      </w:r>
      <w:r>
        <w:fldChar w:fldCharType="end"/>
      </w:r>
    </w:p>
    <w:p>
      <w:pPr>
        <w:pStyle w:val="TOC8"/>
        <w:rPr>
          <w:rFonts w:asciiTheme="minorHAnsi" w:eastAsiaTheme="minorEastAsia" w:hAnsiTheme="minorHAnsi" w:cstheme="minorBidi"/>
          <w:szCs w:val="22"/>
        </w:rPr>
      </w:pPr>
      <w:r>
        <w:t>126A.</w:t>
      </w:r>
      <w:r>
        <w:tab/>
        <w:t>Evidentiary matters</w:t>
      </w:r>
      <w:r>
        <w:tab/>
      </w:r>
      <w:r>
        <w:fldChar w:fldCharType="begin"/>
      </w:r>
      <w:r>
        <w:instrText xml:space="preserve"> PAGEREF _Toc166680807 \h </w:instrText>
      </w:r>
      <w:r>
        <w:fldChar w:fldCharType="separate"/>
      </w:r>
      <w:r>
        <w:t>222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documents</w:t>
      </w:r>
      <w:r>
        <w:tab/>
      </w:r>
      <w:r>
        <w:fldChar w:fldCharType="begin"/>
      </w:r>
      <w:r>
        <w:instrText xml:space="preserve"> PAGEREF _Toc166680808 \h </w:instrText>
      </w:r>
      <w:r>
        <w:fldChar w:fldCharType="separate"/>
      </w:r>
      <w:r>
        <w:t>224</w:t>
      </w:r>
      <w:r>
        <w:fldChar w:fldCharType="end"/>
      </w:r>
    </w:p>
    <w:p>
      <w:pPr>
        <w:pStyle w:val="TOC8"/>
        <w:rPr>
          <w:rFonts w:asciiTheme="minorHAnsi" w:eastAsiaTheme="minorEastAsia" w:hAnsiTheme="minorHAnsi" w:cstheme="minorBidi"/>
          <w:szCs w:val="22"/>
        </w:rPr>
      </w:pPr>
      <w:r>
        <w:t>127A</w:t>
      </w:r>
      <w:r>
        <w:rPr>
          <w:snapToGrid w:val="0"/>
        </w:rPr>
        <w:t>.</w:t>
      </w:r>
      <w:r>
        <w:rPr>
          <w:snapToGrid w:val="0"/>
        </w:rPr>
        <w:tab/>
        <w:t>Service of documents on 2 or more permittees etc.</w:t>
      </w:r>
      <w:r>
        <w:tab/>
      </w:r>
      <w:r>
        <w:fldChar w:fldCharType="begin"/>
      </w:r>
      <w:r>
        <w:instrText xml:space="preserve"> PAGEREF _Toc166680809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Transitional provisions</w:t>
      </w:r>
    </w:p>
    <w:p>
      <w:pPr>
        <w:pStyle w:val="TOC8"/>
        <w:rPr>
          <w:rFonts w:asciiTheme="minorHAnsi" w:eastAsiaTheme="minorEastAsia" w:hAnsiTheme="minorHAnsi" w:cstheme="minorBidi"/>
          <w:szCs w:val="22"/>
        </w:rPr>
      </w:pPr>
      <w:r>
        <w:t>128</w:t>
      </w:r>
      <w:r>
        <w:rPr>
          <w:snapToGrid w:val="0"/>
        </w:rPr>
        <w:t>.</w:t>
      </w:r>
      <w:r>
        <w:rPr>
          <w:snapToGrid w:val="0"/>
        </w:rPr>
        <w:tab/>
        <w:t>Terms used</w:t>
      </w:r>
      <w:r>
        <w:tab/>
      </w:r>
      <w:r>
        <w:fldChar w:fldCharType="begin"/>
      </w:r>
      <w:r>
        <w:instrText xml:space="preserve"> PAGEREF _Toc166680811 \h </w:instrText>
      </w:r>
      <w:r>
        <w:fldChar w:fldCharType="separate"/>
      </w:r>
      <w:r>
        <w:t>226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This Division prevails over other provisions</w:t>
      </w:r>
      <w:r>
        <w:tab/>
      </w:r>
      <w:r>
        <w:fldChar w:fldCharType="begin"/>
      </w:r>
      <w:r>
        <w:instrText xml:space="preserve"> PAGEREF _Toc166680812 \h </w:instrText>
      </w:r>
      <w:r>
        <w:fldChar w:fldCharType="separate"/>
      </w:r>
      <w:r>
        <w:t>227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Cessation of operation of former provisions</w:t>
      </w:r>
      <w:r>
        <w:tab/>
      </w:r>
      <w:r>
        <w:fldChar w:fldCharType="begin"/>
      </w:r>
      <w:r>
        <w:instrText xml:space="preserve"> PAGEREF _Toc166680813 \h </w:instrText>
      </w:r>
      <w:r>
        <w:fldChar w:fldCharType="separate"/>
      </w:r>
      <w:r>
        <w:t>227</w:t>
      </w:r>
      <w:r>
        <w:fldChar w:fldCharType="end"/>
      </w:r>
    </w:p>
    <w:p>
      <w:pPr>
        <w:pStyle w:val="TOC8"/>
        <w:rPr>
          <w:rFonts w:asciiTheme="minorHAnsi" w:eastAsiaTheme="minorEastAsia" w:hAnsiTheme="minorHAnsi" w:cstheme="minorBidi"/>
          <w:szCs w:val="22"/>
        </w:rPr>
      </w:pPr>
      <w:r>
        <w:lastRenderedPageBreak/>
        <w:t>131</w:t>
      </w:r>
      <w:r>
        <w:rPr>
          <w:snapToGrid w:val="0"/>
        </w:rPr>
        <w:t>.</w:t>
      </w:r>
      <w:r>
        <w:rPr>
          <w:snapToGrid w:val="0"/>
        </w:rPr>
        <w:tab/>
        <w:t>Prohibition on granting of instruments under former provisions after commencing day</w:t>
      </w:r>
      <w:r>
        <w:tab/>
      </w:r>
      <w:r>
        <w:fldChar w:fldCharType="begin"/>
      </w:r>
      <w:r>
        <w:instrText xml:space="preserve"> PAGEREF _Toc166680814 \h </w:instrText>
      </w:r>
      <w:r>
        <w:fldChar w:fldCharType="separate"/>
      </w:r>
      <w:r>
        <w:t>228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Rights of holders of existing prescribed instruments</w:t>
      </w:r>
      <w:r>
        <w:tab/>
      </w:r>
      <w:r>
        <w:fldChar w:fldCharType="begin"/>
      </w:r>
      <w:r>
        <w:instrText xml:space="preserve"> PAGEREF _Toc166680815 \h </w:instrText>
      </w:r>
      <w:r>
        <w:fldChar w:fldCharType="separate"/>
      </w:r>
      <w:r>
        <w:t>228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Holders of existing instruments may be granted permits under this Part</w:t>
      </w:r>
      <w:r>
        <w:tab/>
      </w:r>
      <w:r>
        <w:fldChar w:fldCharType="begin"/>
      </w:r>
      <w:r>
        <w:instrText xml:space="preserve"> PAGEREF _Toc166680816 \h </w:instrText>
      </w:r>
      <w:r>
        <w:fldChar w:fldCharType="separate"/>
      </w:r>
      <w:r>
        <w:t>229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Transitional provisions relating to Barrow Island lease</w:t>
      </w:r>
      <w:r>
        <w:tab/>
      </w:r>
      <w:r>
        <w:fldChar w:fldCharType="begin"/>
      </w:r>
      <w:r>
        <w:instrText xml:space="preserve"> PAGEREF _Toc166680817 \h </w:instrText>
      </w:r>
      <w:r>
        <w:fldChar w:fldCharType="separate"/>
      </w:r>
      <w:r>
        <w:t>230</w:t>
      </w:r>
      <w:r>
        <w:fldChar w:fldCharType="end"/>
      </w:r>
    </w:p>
    <w:p>
      <w:pPr>
        <w:pStyle w:val="TOC8"/>
        <w:rPr>
          <w:rFonts w:asciiTheme="minorHAnsi" w:eastAsiaTheme="minorEastAsia" w:hAnsiTheme="minorHAnsi" w:cstheme="minorBidi"/>
          <w:szCs w:val="22"/>
        </w:rPr>
      </w:pPr>
      <w:r>
        <w:t>134A</w:t>
      </w:r>
      <w:r>
        <w:rPr>
          <w:snapToGrid w:val="0"/>
        </w:rPr>
        <w:t>.</w:t>
      </w:r>
      <w:r>
        <w:rPr>
          <w:snapToGrid w:val="0"/>
        </w:rPr>
        <w:tab/>
        <w:t>Application of former provisions after coming into operation of variation agreement</w:t>
      </w:r>
      <w:r>
        <w:tab/>
      </w:r>
      <w:r>
        <w:fldChar w:fldCharType="begin"/>
      </w:r>
      <w:r>
        <w:instrText xml:space="preserve"> PAGEREF _Toc166680818 \h </w:instrText>
      </w:r>
      <w:r>
        <w:fldChar w:fldCharType="separate"/>
      </w:r>
      <w:r>
        <w:t>230</w:t>
      </w:r>
      <w:r>
        <w:fldChar w:fldCharType="end"/>
      </w:r>
    </w:p>
    <w:p>
      <w:pPr>
        <w:pStyle w:val="TOC9"/>
        <w:rPr>
          <w:rFonts w:asciiTheme="minorHAnsi" w:eastAsiaTheme="minorEastAsia" w:hAnsiTheme="minorHAnsi" w:cstheme="minorBidi"/>
          <w:noProof/>
          <w:sz w:val="22"/>
          <w:szCs w:val="22"/>
        </w:rPr>
      </w:pPr>
      <w:r>
        <w:rPr>
          <w:noProof/>
          <w:snapToGrid w:val="0"/>
        </w:rPr>
        <w:t>71.</w:t>
      </w:r>
      <w:r>
        <w:rPr>
          <w:noProof/>
          <w:snapToGrid w:val="0"/>
        </w:rPr>
        <w:tab/>
        <w:t>Interpretation</w:t>
      </w:r>
      <w:r>
        <w:rPr>
          <w:noProof/>
        </w:rPr>
        <w:tab/>
      </w:r>
      <w:r>
        <w:rPr>
          <w:noProof/>
        </w:rPr>
        <w:fldChar w:fldCharType="begin"/>
      </w:r>
      <w:r>
        <w:rPr>
          <w:noProof/>
        </w:rPr>
        <w:instrText xml:space="preserve"> PAGEREF _Toc166680819 \h </w:instrText>
      </w:r>
      <w:r>
        <w:rPr>
          <w:noProof/>
        </w:rPr>
      </w:r>
      <w:r>
        <w:rPr>
          <w:noProof/>
        </w:rPr>
        <w:fldChar w:fldCharType="separate"/>
      </w:r>
      <w:r>
        <w:rPr>
          <w:noProof/>
        </w:rPr>
        <w:t>231</w:t>
      </w:r>
      <w:r>
        <w:rPr>
          <w:noProof/>
        </w:rPr>
        <w:fldChar w:fldCharType="end"/>
      </w:r>
    </w:p>
    <w:p>
      <w:pPr>
        <w:pStyle w:val="TOC9"/>
        <w:rPr>
          <w:rFonts w:asciiTheme="minorHAnsi" w:eastAsiaTheme="minorEastAsia" w:hAnsiTheme="minorHAnsi" w:cstheme="minorBidi"/>
          <w:noProof/>
          <w:sz w:val="22"/>
          <w:szCs w:val="22"/>
        </w:rPr>
      </w:pPr>
      <w:r>
        <w:rPr>
          <w:noProof/>
          <w:snapToGrid w:val="0"/>
        </w:rPr>
        <w:t xml:space="preserve">72. </w:t>
      </w:r>
      <w:r>
        <w:rPr>
          <w:noProof/>
          <w:snapToGrid w:val="0"/>
        </w:rPr>
        <w:tab/>
        <w:t>Statements, information and records</w:t>
      </w:r>
      <w:r>
        <w:rPr>
          <w:noProof/>
        </w:rPr>
        <w:tab/>
      </w:r>
      <w:r>
        <w:rPr>
          <w:noProof/>
        </w:rPr>
        <w:fldChar w:fldCharType="begin"/>
      </w:r>
      <w:r>
        <w:rPr>
          <w:noProof/>
        </w:rPr>
        <w:instrText xml:space="preserve"> PAGEREF _Toc166680820 \h </w:instrText>
      </w:r>
      <w:r>
        <w:rPr>
          <w:noProof/>
        </w:rPr>
      </w:r>
      <w:r>
        <w:rPr>
          <w:noProof/>
        </w:rPr>
        <w:fldChar w:fldCharType="separate"/>
      </w:r>
      <w:r>
        <w:rPr>
          <w:noProof/>
        </w:rPr>
        <w:t>231</w:t>
      </w:r>
      <w:r>
        <w:rPr>
          <w:noProof/>
        </w:rPr>
        <w:fldChar w:fldCharType="end"/>
      </w:r>
    </w:p>
    <w:p>
      <w:pPr>
        <w:pStyle w:val="TOC9"/>
        <w:rPr>
          <w:rFonts w:asciiTheme="minorHAnsi" w:eastAsiaTheme="minorEastAsia" w:hAnsiTheme="minorHAnsi" w:cstheme="minorBidi"/>
          <w:noProof/>
          <w:sz w:val="22"/>
          <w:szCs w:val="22"/>
        </w:rPr>
      </w:pPr>
      <w:r>
        <w:rPr>
          <w:noProof/>
          <w:snapToGrid w:val="0"/>
        </w:rPr>
        <w:t>73.</w:t>
      </w:r>
      <w:r>
        <w:rPr>
          <w:noProof/>
          <w:snapToGrid w:val="0"/>
        </w:rPr>
        <w:tab/>
        <w:t>Powers of officers</w:t>
      </w:r>
      <w:r>
        <w:rPr>
          <w:noProof/>
        </w:rPr>
        <w:tab/>
      </w:r>
      <w:r>
        <w:rPr>
          <w:noProof/>
        </w:rPr>
        <w:fldChar w:fldCharType="begin"/>
      </w:r>
      <w:r>
        <w:rPr>
          <w:noProof/>
        </w:rPr>
        <w:instrText xml:space="preserve"> PAGEREF _Toc166680821 \h </w:instrText>
      </w:r>
      <w:r>
        <w:rPr>
          <w:noProof/>
        </w:rPr>
      </w:r>
      <w:r>
        <w:rPr>
          <w:noProof/>
        </w:rPr>
        <w:fldChar w:fldCharType="separate"/>
      </w:r>
      <w:r>
        <w:rPr>
          <w:noProof/>
        </w:rPr>
        <w:t>232</w:t>
      </w:r>
      <w:r>
        <w:rPr>
          <w:noProof/>
        </w:rPr>
        <w:fldChar w:fldCharType="end"/>
      </w:r>
    </w:p>
    <w:p>
      <w:pPr>
        <w:pStyle w:val="TOC9"/>
        <w:rPr>
          <w:rFonts w:asciiTheme="minorHAnsi" w:eastAsiaTheme="minorEastAsia" w:hAnsiTheme="minorHAnsi" w:cstheme="minorBidi"/>
          <w:noProof/>
          <w:sz w:val="22"/>
          <w:szCs w:val="22"/>
        </w:rPr>
      </w:pPr>
      <w:r>
        <w:rPr>
          <w:noProof/>
          <w:snapToGrid w:val="0"/>
        </w:rPr>
        <w:t>74.</w:t>
      </w:r>
      <w:r>
        <w:rPr>
          <w:noProof/>
          <w:snapToGrid w:val="0"/>
        </w:rPr>
        <w:tab/>
        <w:t>Royalty a debt due to the State</w:t>
      </w:r>
      <w:r>
        <w:rPr>
          <w:noProof/>
        </w:rPr>
        <w:tab/>
      </w:r>
      <w:r>
        <w:rPr>
          <w:noProof/>
        </w:rPr>
        <w:fldChar w:fldCharType="begin"/>
      </w:r>
      <w:r>
        <w:rPr>
          <w:noProof/>
        </w:rPr>
        <w:instrText xml:space="preserve"> PAGEREF _Toc166680822 \h </w:instrText>
      </w:r>
      <w:r>
        <w:rPr>
          <w:noProof/>
        </w:rPr>
      </w:r>
      <w:r>
        <w:rPr>
          <w:noProof/>
        </w:rPr>
        <w:fldChar w:fldCharType="separate"/>
      </w:r>
      <w:r>
        <w:rPr>
          <w:noProof/>
        </w:rPr>
        <w:t>232</w:t>
      </w:r>
      <w:r>
        <w:rPr>
          <w:noProof/>
        </w:rPr>
        <w:fldChar w:fldCharType="end"/>
      </w:r>
    </w:p>
    <w:p>
      <w:pPr>
        <w:pStyle w:val="TOC9"/>
        <w:rPr>
          <w:rFonts w:asciiTheme="minorHAnsi" w:eastAsiaTheme="minorEastAsia" w:hAnsiTheme="minorHAnsi" w:cstheme="minorBidi"/>
          <w:noProof/>
          <w:sz w:val="22"/>
          <w:szCs w:val="22"/>
        </w:rPr>
      </w:pPr>
      <w:r>
        <w:rPr>
          <w:noProof/>
          <w:snapToGrid w:val="0"/>
        </w:rPr>
        <w:t>75.</w:t>
      </w:r>
      <w:r>
        <w:rPr>
          <w:noProof/>
          <w:snapToGrid w:val="0"/>
        </w:rPr>
        <w:tab/>
        <w:t>Offences</w:t>
      </w:r>
      <w:r>
        <w:rPr>
          <w:noProof/>
        </w:rPr>
        <w:tab/>
      </w:r>
      <w:r>
        <w:rPr>
          <w:noProof/>
        </w:rPr>
        <w:fldChar w:fldCharType="begin"/>
      </w:r>
      <w:r>
        <w:rPr>
          <w:noProof/>
        </w:rPr>
        <w:instrText xml:space="preserve"> PAGEREF _Toc166680823 \h </w:instrText>
      </w:r>
      <w:r>
        <w:rPr>
          <w:noProof/>
        </w:rPr>
      </w:r>
      <w:r>
        <w:rPr>
          <w:noProof/>
        </w:rPr>
        <w:fldChar w:fldCharType="separate"/>
      </w:r>
      <w:r>
        <w:rPr>
          <w:noProof/>
        </w:rPr>
        <w:t>232</w:t>
      </w:r>
      <w:r>
        <w:rPr>
          <w:noProof/>
        </w:rPr>
        <w:fldChar w:fldCharType="end"/>
      </w:r>
    </w:p>
    <w:p>
      <w:pPr>
        <w:pStyle w:val="TOC9"/>
        <w:rPr>
          <w:rFonts w:asciiTheme="minorHAnsi" w:eastAsiaTheme="minorEastAsia" w:hAnsiTheme="minorHAnsi" w:cstheme="minorBidi"/>
          <w:noProof/>
          <w:sz w:val="22"/>
          <w:szCs w:val="22"/>
        </w:rPr>
      </w:pPr>
      <w:r>
        <w:rPr>
          <w:noProof/>
          <w:snapToGrid w:val="0"/>
        </w:rPr>
        <w:t>117.</w:t>
      </w:r>
      <w:r>
        <w:rPr>
          <w:noProof/>
          <w:snapToGrid w:val="0"/>
        </w:rPr>
        <w:tab/>
        <w:t>Application of regulations to Barrow Island lease</w:t>
      </w:r>
      <w:r>
        <w:rPr>
          <w:noProof/>
        </w:rPr>
        <w:tab/>
      </w:r>
      <w:r>
        <w:rPr>
          <w:noProof/>
        </w:rPr>
        <w:fldChar w:fldCharType="begin"/>
      </w:r>
      <w:r>
        <w:rPr>
          <w:noProof/>
        </w:rPr>
        <w:instrText xml:space="preserve"> PAGEREF _Toc166680824 \h </w:instrText>
      </w:r>
      <w:r>
        <w:rPr>
          <w:noProof/>
        </w:rPr>
      </w:r>
      <w:r>
        <w:rPr>
          <w:noProof/>
        </w:rPr>
        <w:fldChar w:fldCharType="separate"/>
      </w:r>
      <w:r>
        <w:rPr>
          <w:noProof/>
        </w:rPr>
        <w:t>232</w:t>
      </w:r>
      <w:r>
        <w:rPr>
          <w:noProof/>
        </w:rPr>
        <w:fldChar w:fldCharType="end"/>
      </w:r>
    </w:p>
    <w:p>
      <w:pPr>
        <w:pStyle w:val="TOC8"/>
        <w:rPr>
          <w:rFonts w:asciiTheme="minorHAnsi" w:eastAsiaTheme="minorEastAsia" w:hAnsiTheme="minorHAnsi" w:cstheme="minorBidi"/>
          <w:szCs w:val="22"/>
        </w:rPr>
      </w:pPr>
      <w:r>
        <w:t>135</w:t>
      </w:r>
      <w:r>
        <w:rPr>
          <w:snapToGrid w:val="0"/>
        </w:rPr>
        <w:t>.</w:t>
      </w:r>
      <w:r>
        <w:rPr>
          <w:snapToGrid w:val="0"/>
        </w:rPr>
        <w:tab/>
        <w:t>Certain portions of blocks to be blocks</w:t>
      </w:r>
      <w:r>
        <w:tab/>
      </w:r>
      <w:r>
        <w:fldChar w:fldCharType="begin"/>
      </w:r>
      <w:r>
        <w:instrText xml:space="preserve"> PAGEREF _Toc166680825 \h </w:instrText>
      </w:r>
      <w:r>
        <w:fldChar w:fldCharType="separate"/>
      </w:r>
      <w:r>
        <w:t>234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Certain petroleum exploration or recovery activities not prohibited by s. 29 or 49</w:t>
      </w:r>
      <w:r>
        <w:tab/>
      </w:r>
      <w:r>
        <w:fldChar w:fldCharType="begin"/>
      </w:r>
      <w:r>
        <w:instrText xml:space="preserve"> PAGEREF _Toc166680826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137</w:t>
      </w:r>
      <w:r>
        <w:rPr>
          <w:snapToGrid w:val="0"/>
        </w:rPr>
        <w:t>.</w:t>
      </w:r>
      <w:r>
        <w:rPr>
          <w:snapToGrid w:val="0"/>
        </w:rPr>
        <w:tab/>
        <w:t>Permit and drilling reservation fees</w:t>
      </w:r>
      <w:r>
        <w:tab/>
      </w:r>
      <w:r>
        <w:fldChar w:fldCharType="begin"/>
      </w:r>
      <w:r>
        <w:instrText xml:space="preserve"> PAGEREF _Toc166680828 \h </w:instrText>
      </w:r>
      <w:r>
        <w:fldChar w:fldCharType="separate"/>
      </w:r>
      <w:r>
        <w:t>235</w:t>
      </w:r>
      <w:r>
        <w:fldChar w:fldCharType="end"/>
      </w:r>
    </w:p>
    <w:p>
      <w:pPr>
        <w:pStyle w:val="TOC8"/>
        <w:rPr>
          <w:rFonts w:asciiTheme="minorHAnsi" w:eastAsiaTheme="minorEastAsia" w:hAnsiTheme="minorHAnsi" w:cstheme="minorBidi"/>
          <w:szCs w:val="22"/>
        </w:rPr>
      </w:pPr>
      <w:r>
        <w:t>137A</w:t>
      </w:r>
      <w:r>
        <w:rPr>
          <w:snapToGrid w:val="0"/>
        </w:rPr>
        <w:t>.</w:t>
      </w:r>
      <w:r>
        <w:rPr>
          <w:snapToGrid w:val="0"/>
        </w:rPr>
        <w:tab/>
        <w:t>Lease fees</w:t>
      </w:r>
      <w:r>
        <w:tab/>
      </w:r>
      <w:r>
        <w:fldChar w:fldCharType="begin"/>
      </w:r>
      <w:r>
        <w:instrText xml:space="preserve"> PAGEREF _Toc166680829 \h </w:instrText>
      </w:r>
      <w:r>
        <w:fldChar w:fldCharType="separate"/>
      </w:r>
      <w:r>
        <w:t>236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Licence fees</w:t>
      </w:r>
      <w:r>
        <w:tab/>
      </w:r>
      <w:r>
        <w:fldChar w:fldCharType="begin"/>
      </w:r>
      <w:r>
        <w:instrText xml:space="preserve"> PAGEREF _Toc166680830 \h </w:instrText>
      </w:r>
      <w:r>
        <w:fldChar w:fldCharType="separate"/>
      </w:r>
      <w:r>
        <w:t>236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Time of payment of fees</w:t>
      </w:r>
      <w:r>
        <w:tab/>
      </w:r>
      <w:r>
        <w:fldChar w:fldCharType="begin"/>
      </w:r>
      <w:r>
        <w:instrText xml:space="preserve"> PAGEREF _Toc166680831 \h </w:instrText>
      </w:r>
      <w:r>
        <w:fldChar w:fldCharType="separate"/>
      </w:r>
      <w:r>
        <w:t>237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Penalty for late payment of fees</w:t>
      </w:r>
      <w:r>
        <w:tab/>
      </w:r>
      <w:r>
        <w:fldChar w:fldCharType="begin"/>
      </w:r>
      <w:r>
        <w:instrText xml:space="preserve"> PAGEREF _Toc166680832 \h </w:instrText>
      </w:r>
      <w:r>
        <w:fldChar w:fldCharType="separate"/>
      </w:r>
      <w:r>
        <w:t>237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Fees and penalties debts due to Crown</w:t>
      </w:r>
      <w:r>
        <w:tab/>
      </w:r>
      <w:r>
        <w:fldChar w:fldCharType="begin"/>
      </w:r>
      <w:r>
        <w:instrText xml:space="preserve"> PAGEREF _Toc166680833 \h </w:instrText>
      </w:r>
      <w:r>
        <w:fldChar w:fldCharType="separate"/>
      </w:r>
      <w:r>
        <w:t>237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Royalty</w:t>
      </w:r>
      <w:r>
        <w:tab/>
      </w:r>
      <w:r>
        <w:fldChar w:fldCharType="begin"/>
      </w:r>
      <w:r>
        <w:instrText xml:space="preserve"> PAGEREF _Toc166680834 \h </w:instrText>
      </w:r>
      <w:r>
        <w:fldChar w:fldCharType="separate"/>
      </w:r>
      <w:r>
        <w:t>238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Reduction of royalty in certain cases</w:t>
      </w:r>
      <w:r>
        <w:tab/>
      </w:r>
      <w:r>
        <w:fldChar w:fldCharType="begin"/>
      </w:r>
      <w:r>
        <w:instrText xml:space="preserve"> PAGEREF _Toc166680835 \h </w:instrText>
      </w:r>
      <w:r>
        <w:fldChar w:fldCharType="separate"/>
      </w:r>
      <w:r>
        <w:t>240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Royalty not payable in certain cases</w:t>
      </w:r>
      <w:r>
        <w:tab/>
      </w:r>
      <w:r>
        <w:fldChar w:fldCharType="begin"/>
      </w:r>
      <w:r>
        <w:instrText xml:space="preserve"> PAGEREF _Toc166680836 \h </w:instrText>
      </w:r>
      <w:r>
        <w:fldChar w:fldCharType="separate"/>
      </w:r>
      <w:r>
        <w:t>241</w:t>
      </w:r>
      <w:r>
        <w:fldChar w:fldCharType="end"/>
      </w:r>
    </w:p>
    <w:p>
      <w:pPr>
        <w:pStyle w:val="TOC8"/>
        <w:rPr>
          <w:rFonts w:asciiTheme="minorHAnsi" w:eastAsiaTheme="minorEastAsia" w:hAnsiTheme="minorHAnsi" w:cstheme="minorBidi"/>
          <w:szCs w:val="22"/>
        </w:rPr>
      </w:pPr>
      <w:r>
        <w:t>144A</w:t>
      </w:r>
      <w:r>
        <w:rPr>
          <w:snapToGrid w:val="0"/>
        </w:rPr>
        <w:t>.</w:t>
      </w:r>
      <w:r>
        <w:rPr>
          <w:snapToGrid w:val="0"/>
        </w:rPr>
        <w:tab/>
        <w:t>Royalty value</w:t>
      </w:r>
      <w:r>
        <w:tab/>
      </w:r>
      <w:r>
        <w:fldChar w:fldCharType="begin"/>
      </w:r>
      <w:r>
        <w:instrText xml:space="preserve"> PAGEREF _Toc166680837 \h </w:instrText>
      </w:r>
      <w:r>
        <w:fldChar w:fldCharType="separate"/>
      </w:r>
      <w:r>
        <w:t>242</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Ascertainment of value of petroleum or geothermal energy</w:t>
      </w:r>
      <w:r>
        <w:tab/>
      </w:r>
      <w:r>
        <w:fldChar w:fldCharType="begin"/>
      </w:r>
      <w:r>
        <w:instrText xml:space="preserve"> PAGEREF _Toc166680838 \h </w:instrText>
      </w:r>
      <w:r>
        <w:fldChar w:fldCharType="separate"/>
      </w:r>
      <w:r>
        <w:t>243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_Toc166680839 \h </w:instrText>
      </w:r>
      <w:r>
        <w:fldChar w:fldCharType="separate"/>
      </w:r>
      <w:r>
        <w:t>243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_Toc166680840 \h </w:instrText>
      </w:r>
      <w:r>
        <w:fldChar w:fldCharType="separate"/>
      </w:r>
      <w:r>
        <w:t>243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Payment of royalty and penalty for late payment</w:t>
      </w:r>
      <w:r>
        <w:tab/>
      </w:r>
      <w:r>
        <w:fldChar w:fldCharType="begin"/>
      </w:r>
      <w:r>
        <w:instrText xml:space="preserve"> PAGEREF _Toc166680841 \h </w:instrText>
      </w:r>
      <w:r>
        <w:fldChar w:fldCharType="separate"/>
      </w:r>
      <w:r>
        <w:t>244</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Royalty or late payment amount is debt due to Crown</w:t>
      </w:r>
      <w:r>
        <w:tab/>
      </w:r>
      <w:r>
        <w:fldChar w:fldCharType="begin"/>
      </w:r>
      <w:r>
        <w:instrText xml:space="preserve"> PAGEREF _Toc166680842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IVA</w:t>
      </w:r>
      <w:r>
        <w:rPr>
          <w:b w:val="0"/>
        </w:rPr>
        <w:t> </w:t>
      </w:r>
      <w:r>
        <w:t>—</w:t>
      </w:r>
      <w:r>
        <w:rPr>
          <w:b w:val="0"/>
        </w:rPr>
        <w:t> </w:t>
      </w:r>
      <w:r>
        <w:t>Release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150A.</w:t>
      </w:r>
      <w:r>
        <w:tab/>
        <w:t>Terms used</w:t>
      </w:r>
      <w:r>
        <w:tab/>
      </w:r>
      <w:r>
        <w:fldChar w:fldCharType="begin"/>
      </w:r>
      <w:r>
        <w:instrText xml:space="preserve"> PAGEREF _Toc166680845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2 — Protection of confidentiality of information and samples</w:t>
      </w:r>
    </w:p>
    <w:p>
      <w:pPr>
        <w:pStyle w:val="TOC6"/>
        <w:tabs>
          <w:tab w:val="right" w:leader="dot" w:pos="7077"/>
        </w:tabs>
        <w:rPr>
          <w:rFonts w:asciiTheme="minorHAnsi" w:eastAsiaTheme="minorEastAsia" w:hAnsiTheme="minorHAnsi" w:cstheme="minorBidi"/>
          <w:b w:val="0"/>
          <w:sz w:val="22"/>
          <w:szCs w:val="22"/>
        </w:rPr>
      </w:pPr>
      <w:r>
        <w:t>Subdivision 1 — Information and samples obtained by the Minister</w:t>
      </w:r>
    </w:p>
    <w:p>
      <w:pPr>
        <w:pStyle w:val="TOC8"/>
        <w:rPr>
          <w:rFonts w:asciiTheme="minorHAnsi" w:eastAsiaTheme="minorEastAsia" w:hAnsiTheme="minorHAnsi" w:cstheme="minorBidi"/>
          <w:szCs w:val="22"/>
        </w:rPr>
      </w:pPr>
      <w:r>
        <w:t>150B.</w:t>
      </w:r>
      <w:r>
        <w:tab/>
        <w:t>Protection of confidentiality of information obtained by Minister</w:t>
      </w:r>
      <w:r>
        <w:tab/>
      </w:r>
      <w:r>
        <w:fldChar w:fldCharType="begin"/>
      </w:r>
      <w:r>
        <w:instrText xml:space="preserve"> PAGEREF _Toc166680848 \h </w:instrText>
      </w:r>
      <w:r>
        <w:fldChar w:fldCharType="separate"/>
      </w:r>
      <w:r>
        <w:t>246</w:t>
      </w:r>
      <w:r>
        <w:fldChar w:fldCharType="end"/>
      </w:r>
    </w:p>
    <w:p>
      <w:pPr>
        <w:pStyle w:val="TOC8"/>
        <w:rPr>
          <w:rFonts w:asciiTheme="minorHAnsi" w:eastAsiaTheme="minorEastAsia" w:hAnsiTheme="minorHAnsi" w:cstheme="minorBidi"/>
          <w:szCs w:val="22"/>
        </w:rPr>
      </w:pPr>
      <w:r>
        <w:t>150C.</w:t>
      </w:r>
      <w:r>
        <w:tab/>
        <w:t>Protection of confidentiality of samples obtained by Minister</w:t>
      </w:r>
      <w:r>
        <w:tab/>
      </w:r>
      <w:r>
        <w:fldChar w:fldCharType="begin"/>
      </w:r>
      <w:r>
        <w:instrText xml:space="preserve"> PAGEREF _Toc166680849 \h </w:instrText>
      </w:r>
      <w:r>
        <w:fldChar w:fldCharType="separate"/>
      </w:r>
      <w:r>
        <w:t>246</w:t>
      </w:r>
      <w:r>
        <w:fldChar w:fldCharType="end"/>
      </w:r>
    </w:p>
    <w:p>
      <w:pPr>
        <w:pStyle w:val="TOC8"/>
        <w:rPr>
          <w:rFonts w:asciiTheme="minorHAnsi" w:eastAsiaTheme="minorEastAsia" w:hAnsiTheme="minorHAnsi" w:cstheme="minorBidi"/>
          <w:szCs w:val="22"/>
        </w:rPr>
      </w:pPr>
      <w:r>
        <w:t>150D.</w:t>
      </w:r>
      <w:r>
        <w:tab/>
        <w:t>Information or samples obtained by Minister can be made available to certain persons</w:t>
      </w:r>
      <w:r>
        <w:tab/>
      </w:r>
      <w:r>
        <w:fldChar w:fldCharType="begin"/>
      </w:r>
      <w:r>
        <w:instrText xml:space="preserve"> PAGEREF _Toc166680850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and samples obtained by another Minister</w:t>
      </w:r>
    </w:p>
    <w:p>
      <w:pPr>
        <w:pStyle w:val="TOC8"/>
        <w:rPr>
          <w:rFonts w:asciiTheme="minorHAnsi" w:eastAsiaTheme="minorEastAsia" w:hAnsiTheme="minorHAnsi" w:cstheme="minorBidi"/>
          <w:szCs w:val="22"/>
        </w:rPr>
      </w:pPr>
      <w:r>
        <w:t>150E.</w:t>
      </w:r>
      <w:r>
        <w:tab/>
        <w:t>Protection of confidentiality of information obtained by another Minister</w:t>
      </w:r>
      <w:r>
        <w:tab/>
      </w:r>
      <w:r>
        <w:fldChar w:fldCharType="begin"/>
      </w:r>
      <w:r>
        <w:instrText xml:space="preserve"> PAGEREF _Toc166680852 \h </w:instrText>
      </w:r>
      <w:r>
        <w:fldChar w:fldCharType="separate"/>
      </w:r>
      <w:r>
        <w:t>247</w:t>
      </w:r>
      <w:r>
        <w:fldChar w:fldCharType="end"/>
      </w:r>
    </w:p>
    <w:p>
      <w:pPr>
        <w:pStyle w:val="TOC8"/>
        <w:rPr>
          <w:rFonts w:asciiTheme="minorHAnsi" w:eastAsiaTheme="minorEastAsia" w:hAnsiTheme="minorHAnsi" w:cstheme="minorBidi"/>
          <w:szCs w:val="22"/>
        </w:rPr>
      </w:pPr>
      <w:r>
        <w:t>150F.</w:t>
      </w:r>
      <w:r>
        <w:tab/>
        <w:t>Protection of confidentiality of samples obtained by another Minister</w:t>
      </w:r>
      <w:r>
        <w:tab/>
      </w:r>
      <w:r>
        <w:fldChar w:fldCharType="begin"/>
      </w:r>
      <w:r>
        <w:instrText xml:space="preserve"> PAGEREF _Toc166680853 \h </w:instrText>
      </w:r>
      <w:r>
        <w:fldChar w:fldCharType="separate"/>
      </w:r>
      <w:r>
        <w:t>248</w:t>
      </w:r>
      <w:r>
        <w:fldChar w:fldCharType="end"/>
      </w:r>
    </w:p>
    <w:p>
      <w:pPr>
        <w:pStyle w:val="TOC8"/>
        <w:rPr>
          <w:rFonts w:asciiTheme="minorHAnsi" w:eastAsiaTheme="minorEastAsia" w:hAnsiTheme="minorHAnsi" w:cstheme="minorBidi"/>
          <w:szCs w:val="22"/>
        </w:rPr>
      </w:pPr>
      <w:r>
        <w:t>150G.</w:t>
      </w:r>
      <w:r>
        <w:tab/>
        <w:t>Information or samples obtained by another Minister can be made available to certain persons</w:t>
      </w:r>
      <w:r>
        <w:tab/>
      </w:r>
      <w:r>
        <w:fldChar w:fldCharType="begin"/>
      </w:r>
      <w:r>
        <w:instrText xml:space="preserve"> PAGEREF _Toc166680854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150H.</w:t>
      </w:r>
      <w:r>
        <w:tab/>
        <w:t>Fees</w:t>
      </w:r>
      <w:r>
        <w:tab/>
      </w:r>
      <w:r>
        <w:fldChar w:fldCharType="begin"/>
      </w:r>
      <w:r>
        <w:instrText xml:space="preserve"> PAGEREF _Toc166680856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150</w:t>
      </w:r>
      <w:r>
        <w:rPr>
          <w:snapToGrid w:val="0"/>
        </w:rPr>
        <w:t>.</w:t>
      </w:r>
      <w:r>
        <w:rPr>
          <w:snapToGrid w:val="0"/>
        </w:rPr>
        <w:tab/>
        <w:t>Jurisdiction of Magistrates Court</w:t>
      </w:r>
      <w:r>
        <w:tab/>
      </w:r>
      <w:r>
        <w:fldChar w:fldCharType="begin"/>
      </w:r>
      <w:r>
        <w:instrText xml:space="preserve"> PAGEREF _Toc166680858 \h </w:instrText>
      </w:r>
      <w:r>
        <w:fldChar w:fldCharType="separate"/>
      </w:r>
      <w:r>
        <w:t>250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Special case may be reserved for Supreme Court</w:t>
      </w:r>
      <w:r>
        <w:tab/>
      </w:r>
      <w:r>
        <w:fldChar w:fldCharType="begin"/>
      </w:r>
      <w:r>
        <w:instrText xml:space="preserve"> PAGEREF _Toc166680859 \h </w:instrText>
      </w:r>
      <w:r>
        <w:fldChar w:fldCharType="separate"/>
      </w:r>
      <w:r>
        <w:t>250</w:t>
      </w:r>
      <w:r>
        <w:fldChar w:fldCharType="end"/>
      </w:r>
    </w:p>
    <w:p>
      <w:pPr>
        <w:pStyle w:val="TOC8"/>
        <w:rPr>
          <w:rFonts w:asciiTheme="minorHAnsi" w:eastAsiaTheme="minorEastAsia" w:hAnsiTheme="minorHAnsi" w:cstheme="minorBidi"/>
          <w:szCs w:val="22"/>
        </w:rPr>
      </w:pPr>
      <w:r>
        <w:t>152.</w:t>
      </w:r>
      <w:r>
        <w:tab/>
        <w:t xml:space="preserve">Certain things are not personal property for purposes of </w:t>
      </w:r>
      <w:r>
        <w:rPr>
          <w:i/>
          <w:iCs/>
        </w:rPr>
        <w:t>Personal Property Securities Act 2009</w:t>
      </w:r>
      <w:r>
        <w:t xml:space="preserve"> (Commonwealth)</w:t>
      </w:r>
      <w:r>
        <w:tab/>
      </w:r>
      <w:r>
        <w:fldChar w:fldCharType="begin"/>
      </w:r>
      <w:r>
        <w:instrText xml:space="preserve"> PAGEREF _Toc166680860 \h </w:instrText>
      </w:r>
      <w:r>
        <w:fldChar w:fldCharType="separate"/>
      </w:r>
      <w:r>
        <w:t>251</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Regulations</w:t>
      </w:r>
      <w:r>
        <w:tab/>
      </w:r>
      <w:r>
        <w:fldChar w:fldCharType="begin"/>
      </w:r>
      <w:r>
        <w:instrText xml:space="preserve"> PAGEREF _Toc166680861 \h </w:instrText>
      </w:r>
      <w:r>
        <w:fldChar w:fldCharType="separate"/>
      </w:r>
      <w:r>
        <w:t>251</w:t>
      </w:r>
      <w:r>
        <w:fldChar w:fldCharType="end"/>
      </w:r>
    </w:p>
    <w:p>
      <w:pPr>
        <w:pStyle w:val="TOC8"/>
        <w:rPr>
          <w:rFonts w:asciiTheme="minorHAnsi" w:eastAsiaTheme="minorEastAsia" w:hAnsiTheme="minorHAnsi" w:cstheme="minorBidi"/>
          <w:szCs w:val="22"/>
        </w:rPr>
      </w:pPr>
      <w:r>
        <w:t>154.</w:t>
      </w:r>
      <w:r>
        <w:tab/>
        <w:t>Further transitional provisions</w:t>
      </w:r>
      <w:r>
        <w:tab/>
      </w:r>
      <w:r>
        <w:fldChar w:fldCharType="begin"/>
      </w:r>
      <w:r>
        <w:instrText xml:space="preserve"> PAGEREF _Toc166680862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Schedule 2 — Further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_Toc166680865 \h </w:instrText>
      </w:r>
      <w:r>
        <w:fldChar w:fldCharType="separate"/>
      </w:r>
      <w:r>
        <w:t>256</w:t>
      </w:r>
      <w:r>
        <w:fldChar w:fldCharType="end"/>
      </w:r>
    </w:p>
    <w:p>
      <w:pPr>
        <w:pStyle w:val="TOC8"/>
        <w:rPr>
          <w:rFonts w:asciiTheme="minorHAnsi" w:eastAsiaTheme="minorEastAsia" w:hAnsiTheme="minorHAnsi" w:cstheme="minorBidi"/>
          <w:szCs w:val="22"/>
        </w:rPr>
      </w:pPr>
      <w:r>
        <w:lastRenderedPageBreak/>
        <w:t>2.</w:t>
      </w:r>
      <w:r>
        <w:tab/>
        <w:t>Section 41(5) (permit renewals)</w:t>
      </w:r>
      <w:r>
        <w:tab/>
      </w:r>
      <w:r>
        <w:fldChar w:fldCharType="begin"/>
      </w:r>
      <w:r>
        <w:instrText xml:space="preserve"> PAGEREF _Toc166680866 \h </w:instrText>
      </w:r>
      <w:r>
        <w:fldChar w:fldCharType="separate"/>
      </w:r>
      <w:r>
        <w:t>256</w:t>
      </w:r>
      <w:r>
        <w:fldChar w:fldCharType="end"/>
      </w:r>
    </w:p>
    <w:p>
      <w:pPr>
        <w:pStyle w:val="TOC8"/>
        <w:rPr>
          <w:rFonts w:asciiTheme="minorHAnsi" w:eastAsiaTheme="minorEastAsia" w:hAnsiTheme="minorHAnsi" w:cstheme="minorBidi"/>
          <w:szCs w:val="22"/>
        </w:rPr>
      </w:pPr>
      <w:r>
        <w:t>3.</w:t>
      </w:r>
      <w:r>
        <w:tab/>
        <w:t>Section 112 (release of information)</w:t>
      </w:r>
      <w:r>
        <w:tab/>
      </w:r>
      <w:r>
        <w:fldChar w:fldCharType="begin"/>
      </w:r>
      <w:r>
        <w:instrText xml:space="preserve"> PAGEREF _Toc166680867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_Toc166680869 \h </w:instrText>
      </w:r>
      <w:r>
        <w:fldChar w:fldCharType="separate"/>
      </w:r>
      <w:r>
        <w:t>258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_Toc166680870 \h </w:instrText>
      </w:r>
      <w:r>
        <w:fldChar w:fldCharType="separate"/>
      </w:r>
      <w:r>
        <w:t>262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_Toc166680871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No. 35 of 2007 s. 4.]</w:t>
      </w:r>
    </w:p>
    <w:p>
      <w:pPr>
        <w:pStyle w:val="Heading2"/>
      </w:pPr>
      <w:bookmarkStart w:id="2" w:name="_Toc166678659"/>
      <w:bookmarkStart w:id="3" w:name="_Toc166679063"/>
      <w:bookmarkStart w:id="4" w:name="_Toc16668062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66680627"/>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w:t>
      </w:r>
    </w:p>
    <w:p>
      <w:pPr>
        <w:pStyle w:val="Footnotesection"/>
      </w:pPr>
      <w:r>
        <w:tab/>
        <w:t>[Section 1 amended: No. 35 of 2007 s. 5.]</w:t>
      </w:r>
    </w:p>
    <w:p>
      <w:pPr>
        <w:pStyle w:val="Heading5"/>
        <w:rPr>
          <w:snapToGrid w:val="0"/>
        </w:rPr>
      </w:pPr>
      <w:bookmarkStart w:id="6" w:name="_Toc166680628"/>
      <w:r>
        <w:rPr>
          <w:rStyle w:val="CharSectno"/>
        </w:rPr>
        <w:t>2</w:t>
      </w:r>
      <w:r>
        <w:rPr>
          <w:snapToGrid w:val="0"/>
        </w:rPr>
        <w:t>.</w:t>
      </w:r>
      <w:r>
        <w:rPr>
          <w:snapToGrid w:val="0"/>
        </w:rPr>
        <w:tab/>
        <w:t>Commencement</w:t>
      </w:r>
      <w:bookmarkEnd w:id="6"/>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p>
    <w:p>
      <w:pPr>
        <w:pStyle w:val="Heading5"/>
        <w:rPr>
          <w:snapToGrid w:val="0"/>
        </w:rPr>
      </w:pPr>
      <w:bookmarkStart w:id="7" w:name="_Toc166680629"/>
      <w:r>
        <w:rPr>
          <w:rStyle w:val="CharSectno"/>
        </w:rPr>
        <w:t>3</w:t>
      </w:r>
      <w:r>
        <w:rPr>
          <w:snapToGrid w:val="0"/>
        </w:rPr>
        <w:t>.</w:t>
      </w:r>
      <w:r>
        <w:rPr>
          <w:snapToGrid w:val="0"/>
        </w:rPr>
        <w:tab/>
        <w:t>Repeal</w:t>
      </w:r>
      <w:bookmarkEnd w:id="7"/>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No. 12 of 1990 s. 4.]</w:t>
      </w:r>
    </w:p>
    <w:p>
      <w:pPr>
        <w:pStyle w:val="Heading5"/>
        <w:rPr>
          <w:snapToGrid w:val="0"/>
        </w:rPr>
      </w:pPr>
      <w:bookmarkStart w:id="8" w:name="_Toc166680630"/>
      <w:r>
        <w:rPr>
          <w:rStyle w:val="CharSectno"/>
        </w:rPr>
        <w:t>5</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r>
        <w:rPr>
          <w:rStyle w:val="CharDefText"/>
        </w:rPr>
        <w:t>Barrow Island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tab/>
      </w:r>
      <w:r>
        <w:rPr>
          <w:rStyle w:val="CharDefText"/>
        </w:rPr>
        <w:t>boundary-change permit</w:t>
      </w:r>
      <w:r>
        <w:t xml:space="preserve"> means a petroleum exploration permit granted under section 37B;</w:t>
      </w:r>
    </w:p>
    <w:p>
      <w:pPr>
        <w:pStyle w:val="Defstart"/>
      </w:pPr>
      <w:r>
        <w:rPr>
          <w:b/>
          <w:i/>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a pastoral lease or a lease otherwise granted for grazing purposes only; or</w:t>
      </w:r>
    </w:p>
    <w:p>
      <w:pPr>
        <w:pStyle w:val="Defsubpara"/>
      </w:pPr>
      <w:r>
        <w:tab/>
        <w:t>(ia)</w:t>
      </w:r>
      <w:r>
        <w:tab/>
        <w:t>a diversification lease; or</w:t>
      </w:r>
    </w:p>
    <w:p>
      <w:pPr>
        <w:pStyle w:val="Defsubpara"/>
      </w:pPr>
      <w:r>
        <w:tab/>
        <w:t>(ii)</w:t>
      </w:r>
      <w:r>
        <w:tab/>
        <w:t>a lease for timber purposes; or</w:t>
      </w:r>
    </w:p>
    <w:p>
      <w:pPr>
        <w:pStyle w:val="Defsubpara"/>
      </w:pPr>
      <w:r>
        <w:tab/>
        <w:t>(iii)</w:t>
      </w:r>
      <w:r>
        <w:tab/>
        <w:t>a lease for the use and benefit of the Aboriginal inhabitants,</w:t>
      </w:r>
    </w:p>
    <w:p>
      <w:pPr>
        <w:pStyle w:val="Defstart"/>
      </w:pPr>
      <w:r>
        <w:tab/>
      </w: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lastRenderedPageBreak/>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water mark referred to in subparagraph (i) and the inner limit of the territorial sea of Australia;</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lastRenderedPageBreak/>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that confers the authority referred to in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lastRenderedPageBreak/>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tab/>
      </w:r>
      <w:r>
        <w:rPr>
          <w:rStyle w:val="CharDefText"/>
        </w:rPr>
        <w:t>granted</w:t>
      </w:r>
      <w:r>
        <w:t>, in relation to a boundary-change permit, a petroleum retention lease under section 48CD or a petroleum production licence under section 61A, means taken to have been granted;</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location</w:t>
      </w:r>
      <w:r>
        <w:t xml:space="preserve"> means a block or blocks in respect of which a declaration under section 47 is in force;</w:t>
      </w:r>
    </w:p>
    <w:p>
      <w:pPr>
        <w:pStyle w:val="Defstart"/>
      </w:pPr>
      <w:r>
        <w:tab/>
      </w:r>
      <w:r>
        <w:rPr>
          <w:rStyle w:val="CharDefText"/>
        </w:rPr>
        <w:t>offshore area</w:t>
      </w:r>
      <w:r>
        <w:t xml:space="preserve"> has the meaning given in the </w:t>
      </w:r>
      <w:r>
        <w:rPr>
          <w:i/>
        </w:rPr>
        <w:t>Petroleum (Submerged Lands) Act 1982</w:t>
      </w:r>
      <w:r>
        <w:t xml:space="preserve"> section 4;</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lastRenderedPageBreak/>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in relation to an operation for the mining, obtaining or production of petroleum under the Barrow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w:t>
      </w:r>
      <w:r>
        <w:lastRenderedPageBreak/>
        <w:t>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lastRenderedPageBreak/>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tab/>
      </w:r>
      <w:r>
        <w:rPr>
          <w:rStyle w:val="CharDefText"/>
        </w:rPr>
        <w:t>pastoral lease</w:t>
      </w:r>
      <w:r>
        <w:t xml:space="preserve"> has the meaning given in the </w:t>
      </w:r>
      <w:r>
        <w:rPr>
          <w:i/>
        </w:rPr>
        <w:t xml:space="preserve">Land Administration Act 1997 </w:t>
      </w:r>
      <w:r>
        <w:t>section 3(1);</w:t>
      </w:r>
    </w:p>
    <w:p>
      <w:pPr>
        <w:pStyle w:val="Defstart"/>
        <w:keepNex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that confers the authority referred to in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lastRenderedPageBreak/>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keepNex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rPr>
      </w:pPr>
      <w:r>
        <w:tab/>
        <w:t>(d)</w:t>
      </w:r>
      <w:r>
        <w:tab/>
        <w:t>an operation for the mining, obtaining or production of petroleum under the Barrow Island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lastRenderedPageBreak/>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a pastoral lease or a lease otherwise granted for grazing purposes only; or</w:t>
      </w:r>
    </w:p>
    <w:p>
      <w:pPr>
        <w:pStyle w:val="Defpara"/>
      </w:pPr>
      <w:r>
        <w:tab/>
        <w:t>(aa)</w:t>
      </w:r>
      <w:r>
        <w:tab/>
        <w:t>a diversification lease;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lastRenderedPageBreak/>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pPr>
      <w:r>
        <w:rPr>
          <w:b/>
          <w:bCs/>
          <w:i/>
          <w:iCs/>
        </w:rPr>
        <w:tab/>
      </w:r>
      <w:r>
        <w:rPr>
          <w:rStyle w:val="CharDefText"/>
        </w:rPr>
        <w:t>relinquished area</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pPr>
      <w:r>
        <w:tab/>
        <w:t>(ca)</w:t>
      </w:r>
      <w:r>
        <w:tab/>
        <w:t>in relation to a lease that has been wholly cancelled — the area constituted by the blocks in respect of which the lease was in force; and</w:t>
      </w:r>
    </w:p>
    <w:p>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keepNext/>
      </w:pPr>
      <w:r>
        <w:lastRenderedPageBreak/>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pPr>
      <w:r>
        <w:rPr>
          <w:b/>
        </w:rPr>
        <w:tab/>
      </w:r>
      <w:r>
        <w:rPr>
          <w:rStyle w:val="CharDefText"/>
        </w:rPr>
        <w:t>vessel</w:t>
      </w:r>
      <w:r>
        <w:t xml:space="preserve"> means a vessel used in navigation, other than air navigation, and includes a barge or other vessel;</w:t>
      </w:r>
    </w:p>
    <w:p>
      <w:pPr>
        <w:pStyle w:val="Defstart"/>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 xml:space="preserve">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w:t>
      </w:r>
      <w:r>
        <w:rPr>
          <w:snapToGrid w:val="0"/>
        </w:rPr>
        <w:lastRenderedPageBreak/>
        <w:t>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 xml:space="preserve">In this Act a reference to the extension of a drilling reservation in relation to the blocks specified in the drilling reservation is a reference to the grant of a drilling reservation in respect of those </w:t>
      </w:r>
      <w:r>
        <w:rPr>
          <w:snapToGrid w:val="0"/>
        </w:rPr>
        <w:lastRenderedPageBreak/>
        <w:t>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pPr>
      <w:r>
        <w:tab/>
        <w:t>(6A)</w:t>
      </w:r>
      <w:r>
        <w:tab/>
        <w:t>In this Act, a reference to a lease for the use and benefit of the Aboriginal inhabitants includes a reference to a lease for the social, cultural or economic benefit of Aboriginal persons.</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Subsection"/>
      </w:pPr>
      <w:r>
        <w:tab/>
        <w:t>(9)</w:t>
      </w:r>
      <w:r>
        <w:tab/>
        <w:t>Notes in this Act are provided to assist understanding and do not form part of the Act.</w:t>
      </w:r>
    </w:p>
    <w:p>
      <w:pPr>
        <w:pStyle w:val="Footnotesection"/>
      </w:pPr>
      <w:r>
        <w:tab/>
        <w:t>[Section 5 amended: No. 69 of 1981 s. 31; No. 12 of 1990 s. 5; No. 78 of 1990 s. 4; No. 11 of 1994 s. 4; No. 28 of 1994 s. 5; No. 31 of 1997 s. 141; No. 17 of 1999 s. 21; No. 13 of 2005 s. 4; No. 35 of 2007 s. 6 and 85; No. 42 of 2010 s. 4; No. 7 of 2017 s. 4; No. 36 of 2020 s. 300; No. 4 of 2023 s. 139.]</w:t>
      </w:r>
    </w:p>
    <w:p>
      <w:pPr>
        <w:pStyle w:val="Heading5"/>
      </w:pPr>
      <w:bookmarkStart w:id="9" w:name="_Toc166680631"/>
      <w:r>
        <w:rPr>
          <w:rStyle w:val="CharSectno"/>
        </w:rPr>
        <w:lastRenderedPageBreak/>
        <w:t>6A</w:t>
      </w:r>
      <w:r>
        <w:t>.</w:t>
      </w:r>
      <w:r>
        <w:tab/>
        <w:t>Effect of alteration of inshore area</w:t>
      </w:r>
      <w:bookmarkEnd w:id="9"/>
    </w:p>
    <w:p>
      <w:pPr>
        <w:pStyle w:val="Subsection"/>
        <w:keepNext/>
      </w:pPr>
      <w:r>
        <w:tab/>
        <w:t>(1)</w:t>
      </w:r>
      <w:r>
        <w:tab/>
        <w:t xml:space="preserve">In this section — </w:t>
      </w:r>
    </w:p>
    <w:p>
      <w:pPr>
        <w:pStyle w:val="Defstart"/>
      </w:pPr>
      <w:r>
        <w:tab/>
      </w:r>
      <w:r>
        <w:rPr>
          <w:rStyle w:val="CharDefText"/>
        </w:rPr>
        <w:t>Commonwealth instrument</w:t>
      </w:r>
      <w:r>
        <w:t xml:space="preserve"> means an instrument under the Commonwealth Act that confers, in relation to the offshore area, some or all of the rights that a permit, lease or licence confers in relation to the inshore area;</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affected area</w:t>
      </w:r>
      <w:r>
        <w:t>) is within the offshore area; and</w:t>
      </w:r>
    </w:p>
    <w:p>
      <w:pPr>
        <w:pStyle w:val="Indenta"/>
      </w:pPr>
      <w:r>
        <w:tab/>
        <w:t>(b)</w:t>
      </w:r>
      <w:r>
        <w:tab/>
        <w:t xml:space="preserve">as a result of a change to the boundary of the inshore area the second affected area — </w:t>
      </w:r>
    </w:p>
    <w:p>
      <w:pPr>
        <w:pStyle w:val="Indenti"/>
      </w:pPr>
      <w:r>
        <w:tab/>
        <w:t>(i)</w:t>
      </w:r>
      <w:r>
        <w:tab/>
        <w:t>ceases to be within the offshore area; and</w:t>
      </w:r>
    </w:p>
    <w:p>
      <w:pPr>
        <w:pStyle w:val="Indenti"/>
      </w:pPr>
      <w:r>
        <w:tab/>
        <w:t>(ii)</w:t>
      </w:r>
      <w:r>
        <w:tab/>
        <w:t>falls within the inshore area,</w:t>
      </w:r>
    </w:p>
    <w:p>
      <w:pPr>
        <w:pStyle w:val="Subsection"/>
      </w:pPr>
      <w:r>
        <w:lastRenderedPageBreak/>
        <w:tab/>
      </w:r>
      <w:r>
        <w:tab/>
        <w:t>then this Act does not apply to the second affected area.</w:t>
      </w:r>
    </w:p>
    <w:p>
      <w:pPr>
        <w:pStyle w:val="Subsection"/>
      </w:pPr>
      <w:r>
        <w:tab/>
        <w:t>(6)</w:t>
      </w:r>
      <w:r>
        <w:tab/>
        <w:t>Subsection (5) continues to apply in relation to the second affected area only while the Commonwealth instrument remains in force.</w:t>
      </w:r>
    </w:p>
    <w:p>
      <w:pPr>
        <w:pStyle w:val="Footnotesection"/>
      </w:pPr>
      <w:r>
        <w:tab/>
        <w:t>[Section 6A inserted: No. 42 of 2010 s. 5; amended: No. 7 of 2017 s. 5.]</w:t>
      </w:r>
    </w:p>
    <w:p>
      <w:pPr>
        <w:pStyle w:val="Heading2"/>
      </w:pPr>
      <w:bookmarkStart w:id="10" w:name="_Toc166678665"/>
      <w:bookmarkStart w:id="11" w:name="_Toc166679069"/>
      <w:bookmarkStart w:id="12" w:name="_Toc166680632"/>
      <w:r>
        <w:rPr>
          <w:rStyle w:val="CharPartNo"/>
        </w:rPr>
        <w:lastRenderedPageBreak/>
        <w:t>Part II</w:t>
      </w:r>
      <w:r>
        <w:rPr>
          <w:rStyle w:val="CharDivNo"/>
        </w:rPr>
        <w:t> </w:t>
      </w:r>
      <w:r>
        <w:t>—</w:t>
      </w:r>
      <w:r>
        <w:rPr>
          <w:rStyle w:val="CharDivText"/>
        </w:rPr>
        <w:t> </w:t>
      </w:r>
      <w:r>
        <w:rPr>
          <w:rStyle w:val="CharPartText"/>
        </w:rPr>
        <w:t>General</w:t>
      </w:r>
      <w:bookmarkEnd w:id="10"/>
      <w:bookmarkEnd w:id="11"/>
      <w:bookmarkEnd w:id="12"/>
    </w:p>
    <w:p>
      <w:pPr>
        <w:pStyle w:val="Heading5"/>
        <w:rPr>
          <w:snapToGrid w:val="0"/>
        </w:rPr>
      </w:pPr>
      <w:bookmarkStart w:id="13" w:name="_Toc166680633"/>
      <w:r>
        <w:rPr>
          <w:rStyle w:val="CharSectno"/>
        </w:rPr>
        <w:t>6</w:t>
      </w:r>
      <w:r>
        <w:rPr>
          <w:snapToGrid w:val="0"/>
        </w:rPr>
        <w:t>.</w:t>
      </w:r>
      <w:r>
        <w:rPr>
          <w:snapToGrid w:val="0"/>
        </w:rPr>
        <w:tab/>
        <w:t>Act to be construed subject to State’s legislative powers</w:t>
      </w:r>
      <w:bookmarkEnd w:id="13"/>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4" w:name="_Toc166680634"/>
      <w:r>
        <w:rPr>
          <w:rStyle w:val="CharSectno"/>
        </w:rPr>
        <w:t>7</w:t>
      </w:r>
      <w:r>
        <w:rPr>
          <w:snapToGrid w:val="0"/>
        </w:rPr>
        <w:t>.</w:t>
      </w:r>
      <w:r>
        <w:rPr>
          <w:snapToGrid w:val="0"/>
        </w:rPr>
        <w:tab/>
        <w:t>Application of Act</w:t>
      </w:r>
      <w:bookmarkEnd w:id="14"/>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lastRenderedPageBreak/>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No. 107 of 1982 s. 6; No. 12 of 1990 s. 6; No. 78 of 1990 s. 7; No. 35 of 2007 s. 7.]</w:t>
      </w:r>
    </w:p>
    <w:p>
      <w:pPr>
        <w:pStyle w:val="Ednotesection"/>
        <w:spacing w:before="180"/>
      </w:pPr>
      <w:r>
        <w:t>[</w:t>
      </w:r>
      <w:r>
        <w:rPr>
          <w:b/>
        </w:rPr>
        <w:t>7AA.</w:t>
      </w:r>
      <w:r>
        <w:tab/>
        <w:t>Deleted: No. 36 of 2020 s. 301.]</w:t>
      </w:r>
    </w:p>
    <w:p>
      <w:pPr>
        <w:pStyle w:val="Heading5"/>
        <w:rPr>
          <w:snapToGrid w:val="0"/>
        </w:rPr>
      </w:pPr>
      <w:bookmarkStart w:id="15" w:name="_Toc166680635"/>
      <w:r>
        <w:rPr>
          <w:rStyle w:val="CharSectno"/>
        </w:rPr>
        <w:t>7A</w:t>
      </w:r>
      <w:r>
        <w:rPr>
          <w:snapToGrid w:val="0"/>
        </w:rPr>
        <w:t>.</w:t>
      </w:r>
      <w:r>
        <w:rPr>
          <w:snapToGrid w:val="0"/>
        </w:rPr>
        <w:tab/>
        <w:t>Geothermal resources area in, or extending into, other areas</w:t>
      </w:r>
      <w:bookmarkEnd w:id="15"/>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t>
      </w:r>
      <w:r>
        <w:t>which a geothermal access</w:t>
      </w:r>
      <w:r>
        <w:rPr>
          <w:snapToGrid w:val="0"/>
        </w:rPr>
        <w:t xml:space="preserve"> authority is in force (in this subsection called an </w:t>
      </w:r>
      <w:r>
        <w:rPr>
          <w:rStyle w:val="CharDefText"/>
        </w:rPr>
        <w:t>access authority area</w:t>
      </w:r>
      <w:r>
        <w:rPr>
          <w:snapToGrid w:val="0"/>
        </w:rPr>
        <w:t>) and the well from that well</w:t>
      </w:r>
      <w:r>
        <w:rPr>
          <w:snapToGrid w:val="0"/>
        </w:rPr>
        <w:noBreakHyphen/>
        <w:t xml:space="preserve">head is inclined so as to enter a </w:t>
      </w:r>
      <w:r>
        <w:t>geothermal resources area, being an</w:t>
      </w:r>
      <w:r>
        <w:rPr>
          <w:snapToGrid w:val="0"/>
        </w:rPr>
        <w:t xml:space="preserve"> </w:t>
      </w:r>
      <w:r>
        <w:t>area</w:t>
      </w:r>
      <w:r>
        <w:rPr>
          <w:snapToGrid w:val="0"/>
        </w:rPr>
        <w:t xml:space="preserve"> that does not extend to that licence area or access authority area, at a place within an adjoining licence area of the same licensee or registered holder of the </w:t>
      </w:r>
      <w:r>
        <w:t>geothermal access authority, any</w:t>
      </w:r>
      <w:r>
        <w:rPr>
          <w:snapToGrid w:val="0"/>
        </w:rPr>
        <w:t xml:space="preserve"> </w:t>
      </w:r>
      <w:r>
        <w:t>geothermal energy</w:t>
      </w:r>
      <w:r>
        <w:rPr>
          <w:snapToGrid w:val="0"/>
        </w:rPr>
        <w:t xml:space="preserve"> recovered through that well shall be deemed to have been recovered in that adjoining licence area </w:t>
      </w:r>
      <w:r>
        <w:t>under the geothermal production licence</w:t>
      </w:r>
      <w:r>
        <w:rPr>
          <w:snapToGrid w:val="0"/>
        </w:rPr>
        <w:t xml:space="preserve"> in respect of that area.</w:t>
      </w:r>
    </w:p>
    <w:p>
      <w:pPr>
        <w:pStyle w:val="Subsection"/>
        <w:rPr>
          <w:snapToGrid w:val="0"/>
        </w:rPr>
      </w:pPr>
      <w:r>
        <w:rPr>
          <w:snapToGrid w:val="0"/>
        </w:rPr>
        <w:tab/>
        <w:t>(3)</w:t>
      </w:r>
      <w:r>
        <w:rPr>
          <w:snapToGrid w:val="0"/>
        </w:rPr>
        <w:tab/>
        <w:t xml:space="preserve">Where a </w:t>
      </w:r>
      <w:r>
        <w:t>geothermal resources area</w:t>
      </w:r>
      <w:r>
        <w:rPr>
          <w:snapToGrid w:val="0"/>
        </w:rPr>
        <w:t xml:space="preserve"> is partly in one licence area and partly in an adjoining licence area of the same licensee and </w:t>
      </w:r>
      <w:r>
        <w:t>geothermal energy</w:t>
      </w:r>
      <w:r>
        <w:rPr>
          <w:snapToGrid w:val="0"/>
        </w:rPr>
        <w:t xml:space="preserve"> is recovered from that </w:t>
      </w:r>
      <w:r>
        <w:t>geothermal resources area</w:t>
      </w:r>
      <w:r>
        <w:rPr>
          <w:snapToGrid w:val="0"/>
        </w:rPr>
        <w:t xml:space="preserve"> through a well or wells in one or both of the licence areas, there shall be deemed to have been recovered in each of the licence areas, </w:t>
      </w:r>
      <w:r>
        <w:t>under the geothermal production licence</w:t>
      </w:r>
      <w:r>
        <w:rPr>
          <w:snapToGrid w:val="0"/>
        </w:rPr>
        <w:t xml:space="preserve"> in respect of that area, such proportion of all </w:t>
      </w:r>
      <w:r>
        <w:t>geothermal energy</w:t>
      </w:r>
      <w:r>
        <w:rPr>
          <w:snapToGrid w:val="0"/>
        </w:rPr>
        <w:t xml:space="preserve"> so recovered as may reasonably be treated as being derived from </w:t>
      </w:r>
      <w:r>
        <w:rPr>
          <w:snapToGrid w:val="0"/>
        </w:rPr>
        <w:lastRenderedPageBreak/>
        <w:t xml:space="preserve">that area, having regard to the nature and probable extent of the </w:t>
      </w:r>
      <w:r>
        <w:t>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 xml:space="preserve">Where a </w:t>
      </w:r>
      <w:r>
        <w:t>geothermal resources area</w:t>
      </w:r>
      <w:r>
        <w:rPr>
          <w:snapToGrid w:val="0"/>
        </w:rPr>
        <w:t xml:space="preserve"> is partly in a licence area and partly in another area in which the licensee has authority under another written law or a law of another State to explore for geothermal energy resources or recover geothermal energy, and geothermal energy is recovered from that </w:t>
      </w:r>
      <w:r>
        <w:t>geothermal resources area</w:t>
      </w:r>
      <w:r>
        <w:rPr>
          <w:snapToGrid w:val="0"/>
        </w:rPr>
        <w:t xml:space="preserve"> through a well or wells in the licence area, the other area or both, there shall be deemed to have been recovered in the licence area such proportion of all </w:t>
      </w:r>
      <w:r>
        <w:t>geothermal energy</w:t>
      </w:r>
      <w:r>
        <w:rPr>
          <w:snapToGrid w:val="0"/>
        </w:rPr>
        <w:t xml:space="preserve"> so recovered as may reasonably be treated as being derived from the licence area, having regard to the nature and probable extent of the </w:t>
      </w:r>
      <w:r>
        <w:t>geothermal resources area</w:t>
      </w:r>
      <w:r>
        <w:rPr>
          <w:snapToGrid w:val="0"/>
        </w:rPr>
        <w:t>, and that proportion shall be determined in accordance with subsection (6).</w:t>
      </w:r>
    </w:p>
    <w:p>
      <w:pPr>
        <w:pStyle w:val="Subsection"/>
        <w:keepNext/>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lastRenderedPageBreak/>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a </w:t>
      </w:r>
      <w:r>
        <w:t>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r>
      <w:r>
        <w:t>geothermal energy</w:t>
      </w:r>
      <w:r>
        <w:rPr>
          <w:snapToGrid w:val="0"/>
        </w:rPr>
        <w:t xml:space="preserve"> is recovered from that </w:t>
      </w:r>
      <w:r>
        <w:t>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 xml:space="preserve">there shall be deemed to have been recovered in the licence area such proportion of </w:t>
      </w:r>
      <w:r>
        <w:t>all</w:t>
      </w:r>
      <w:r>
        <w:rPr>
          <w:snapToGrid w:val="0"/>
        </w:rPr>
        <w:t xml:space="preserve"> </w:t>
      </w:r>
      <w:r>
        <w:t>geothermal energy</w:t>
      </w:r>
      <w:r>
        <w:rPr>
          <w:snapToGrid w:val="0"/>
        </w:rPr>
        <w:t xml:space="preserve"> so recovered as is specified in, or determined in accordance with, the agreement referred to in paragraph (b).</w:t>
      </w:r>
    </w:p>
    <w:p>
      <w:pPr>
        <w:pStyle w:val="Subsection"/>
      </w:pPr>
      <w:r>
        <w:tab/>
        <w:t>(8)</w:t>
      </w:r>
      <w:r>
        <w:tab/>
        <w:t>In this section —</w:t>
      </w:r>
    </w:p>
    <w:p>
      <w:pPr>
        <w:pStyle w:val="Indenta"/>
      </w:pPr>
      <w:r>
        <w:tab/>
        <w:t>(a)</w:t>
      </w:r>
      <w:r>
        <w:tab/>
        <w:t>a reference to a geothermal production licence includes a reference to a geothermal exploration permit and a geothermal retention lease; and</w:t>
      </w:r>
    </w:p>
    <w:p>
      <w:pPr>
        <w:pStyle w:val="Indenta"/>
      </w:pPr>
      <w:r>
        <w:lastRenderedPageBreak/>
        <w:tab/>
        <w:t>(b)</w:t>
      </w:r>
      <w:r>
        <w:tab/>
        <w:t>a reference to a licensee is a reference to the registered holder of a geothermal production licence and includes a reference to a geothermal permittee and a geothermal lessee; and</w:t>
      </w:r>
    </w:p>
    <w:p>
      <w:pPr>
        <w:pStyle w:val="Indenta"/>
      </w:pPr>
      <w:r>
        <w:tab/>
        <w:t>(c)</w:t>
      </w:r>
      <w:r>
        <w:tab/>
        <w:t>a reference to a licence area is a reference to the area constituted by the blocks that are the subject of a geothermal production licence and includes a reference to a geothermal permit area and a geothermal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7A inserted: No. 12 of 1990 s. 7; amended: No. 35 of 2007 s. 8; No. 7 of 2017 s. 6.]</w:t>
      </w:r>
    </w:p>
    <w:p>
      <w:pPr>
        <w:pStyle w:val="Heading5"/>
      </w:pPr>
      <w:bookmarkStart w:id="16" w:name="_Toc166680636"/>
      <w:r>
        <w:rPr>
          <w:rStyle w:val="CharSectno"/>
        </w:rPr>
        <w:t>7B</w:t>
      </w:r>
      <w:r>
        <w:t>.</w:t>
      </w:r>
      <w:r>
        <w:tab/>
        <w:t>Petroleum pool in, or extending into, other areas</w:t>
      </w:r>
      <w:bookmarkEnd w:id="16"/>
    </w:p>
    <w:p>
      <w:pPr>
        <w:pStyle w:val="Subsection"/>
      </w:pPr>
      <w:r>
        <w:tab/>
        <w:t>(1)</w:t>
      </w:r>
      <w:r>
        <w:tab/>
        <w:t>The provisions of this section have effect for the purposes of this Act (including any Act with which this Act is incorporated) and of licences (whether granted before or after the commencement of this section).</w:t>
      </w:r>
    </w:p>
    <w:p>
      <w:pPr>
        <w:pStyle w:val="Subsection"/>
      </w:pPr>
      <w:r>
        <w:tab/>
        <w:t>(2)</w:t>
      </w:r>
      <w:r>
        <w:tab/>
        <w:t>If a well</w:t>
      </w:r>
      <w:r>
        <w:noBreakHyphen/>
        <w:t xml:space="preserve">head is situated in a licence area or in an area in respect of which a petroleum access authority is in force (in this subsection called an </w:t>
      </w:r>
      <w:r>
        <w:rPr>
          <w:rStyle w:val="CharDefText"/>
        </w:rPr>
        <w:t>access authority area</w:t>
      </w:r>
      <w:r>
        <w:t>) and the well from that well</w:t>
      </w:r>
      <w:r>
        <w:noBreakHyphen/>
        <w:t>head is inclined so as to enter a petroleum pool, being a pool that does not extend to that licence area or access authority area, at a place within an adjoining licence area of the same licensee or registered holder of the petroleum access authority, any petroleum recovered through that well is taken to have been recovered in that adjoining licence area under the petroleum production licence in respect of that area.</w:t>
      </w:r>
    </w:p>
    <w:p>
      <w:pPr>
        <w:pStyle w:val="Subsection"/>
      </w:pPr>
      <w:r>
        <w:tab/>
        <w:t>(3)</w:t>
      </w:r>
      <w:r>
        <w:tab/>
        <w:t xml:space="preserve">If a petroleum pool is partly in one licence area and partly in an adjoining licence area of the same licensee and petroleum is </w:t>
      </w:r>
      <w:r>
        <w:lastRenderedPageBreak/>
        <w:t>recovered from that pool through a well or wells in one or both of the licence areas, there is taken to have been recovered in each of the licence areas, under the petroleum production licence in respect of that area, such proportion of all petroleum so recovered as may reasonably be treated as being derived from that area, having regard to the nature and probable extent of the pool, and the respective proportions are to be determined in accordance with subsection (4).</w:t>
      </w:r>
    </w:p>
    <w:p>
      <w:pPr>
        <w:pStyle w:val="Subsection"/>
      </w:pPr>
      <w:r>
        <w:tab/>
        <w:t>(4)</w:t>
      </w:r>
      <w: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pPr>
      <w:r>
        <w:tab/>
        <w:t>(5)</w:t>
      </w:r>
      <w:r>
        <w:tab/>
        <w:t>If a petroleum pool is partly in a licence area and partly in another area in which the licensee has authority under another written law or a law of another State or the Commonwealth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the licence area, having regard to the nature and probable extent of the pool, and that proportion is to be determined in accordance with subsection (6).</w:t>
      </w:r>
    </w:p>
    <w:p>
      <w:pPr>
        <w:pStyle w:val="Subsection"/>
      </w:pPr>
      <w:r>
        <w:tab/>
        <w:t>(6)</w:t>
      </w:r>
      <w:r>
        <w:tab/>
        <w:t>The proportion to be determined for the purposes of subsection (5) may be determined —</w:t>
      </w:r>
    </w:p>
    <w:p>
      <w:pPr>
        <w:pStyle w:val="Indenta"/>
      </w:pPr>
      <w:r>
        <w:tab/>
        <w:t>(a)</w:t>
      </w:r>
      <w:r>
        <w:tab/>
        <w:t>in the case of a licensee having authority under another written law, by agreement between —</w:t>
      </w:r>
    </w:p>
    <w:p>
      <w:pPr>
        <w:pStyle w:val="Indenti"/>
      </w:pPr>
      <w:r>
        <w:tab/>
        <w:t>(i)</w:t>
      </w:r>
      <w:r>
        <w:tab/>
        <w:t>that licensee; and</w:t>
      </w:r>
    </w:p>
    <w:p>
      <w:pPr>
        <w:pStyle w:val="Indenti"/>
      </w:pPr>
      <w:r>
        <w:tab/>
        <w:t>(ii)</w:t>
      </w:r>
      <w:r>
        <w:tab/>
        <w:t>the Minister; and</w:t>
      </w:r>
    </w:p>
    <w:p>
      <w:pPr>
        <w:pStyle w:val="Indenti"/>
      </w:pPr>
      <w:r>
        <w:tab/>
        <w:t>(iii)</w:t>
      </w:r>
      <w:r>
        <w:tab/>
        <w:t>if the other written law is administered by a Minister of the Crown other than the Minister, that Minister of the Crown,</w:t>
      </w:r>
    </w:p>
    <w:p>
      <w:pPr>
        <w:pStyle w:val="Indenta"/>
      </w:pPr>
      <w:r>
        <w:lastRenderedPageBreak/>
        <w:tab/>
      </w:r>
      <w:r>
        <w:tab/>
        <w:t>or, in the absence of agreement, may be determined by the Supreme Court on the application of that licensee, the Minister, or the Minister of the Crown (if applicable) referred to in subparagraph (iii); or</w:t>
      </w:r>
    </w:p>
    <w:p>
      <w:pPr>
        <w:pStyle w:val="Indenta"/>
      </w:pPr>
      <w:r>
        <w:tab/>
        <w:t>(b)</w:t>
      </w:r>
      <w:r>
        <w:tab/>
        <w:t>in the case of a licensee having authority under a law of another State, by agreement between —</w:t>
      </w:r>
    </w:p>
    <w:p>
      <w:pPr>
        <w:pStyle w:val="Indenti"/>
      </w:pPr>
      <w:r>
        <w:tab/>
        <w:t>(i)</w:t>
      </w:r>
      <w:r>
        <w:tab/>
        <w:t>that licensee; and</w:t>
      </w:r>
    </w:p>
    <w:p>
      <w:pPr>
        <w:pStyle w:val="Indenti"/>
      </w:pPr>
      <w:r>
        <w:tab/>
        <w:t>(ii)</w:t>
      </w:r>
      <w:r>
        <w:tab/>
        <w:t>the Minister; and</w:t>
      </w:r>
    </w:p>
    <w:p>
      <w:pPr>
        <w:pStyle w:val="Indenti"/>
      </w:pPr>
      <w:r>
        <w:tab/>
        <w:t>(iii)</w:t>
      </w:r>
      <w:r>
        <w:tab/>
        <w:t>the State Minister administering the law of the other State,</w:t>
      </w:r>
    </w:p>
    <w:p>
      <w:pPr>
        <w:pStyle w:val="Indenta"/>
      </w:pPr>
      <w:r>
        <w:tab/>
      </w:r>
      <w:r>
        <w:tab/>
        <w:t>or, in the absence of agreement, may be determined by the Supreme Court on the application of that licensee, the Minister or the State Minister referred to in subparagraph (iii); or</w:t>
      </w:r>
    </w:p>
    <w:p>
      <w:pPr>
        <w:pStyle w:val="Indenta"/>
      </w:pPr>
      <w:r>
        <w:tab/>
        <w:t>(c)</w:t>
      </w:r>
      <w:r>
        <w:tab/>
        <w:t xml:space="preserve">in the case of a licensee having authority under a law of the Commonwealth, by agreement between — </w:t>
      </w:r>
    </w:p>
    <w:p>
      <w:pPr>
        <w:pStyle w:val="Indenti"/>
      </w:pPr>
      <w:r>
        <w:tab/>
        <w:t>(i)</w:t>
      </w:r>
      <w:r>
        <w:tab/>
        <w:t>that licensee; and</w:t>
      </w:r>
    </w:p>
    <w:p>
      <w:pPr>
        <w:pStyle w:val="Indenti"/>
      </w:pPr>
      <w:r>
        <w:tab/>
        <w:t>(ii)</w:t>
      </w:r>
      <w:r>
        <w:tab/>
        <w:t>the Minister; and</w:t>
      </w:r>
    </w:p>
    <w:p>
      <w:pPr>
        <w:pStyle w:val="Indenti"/>
      </w:pPr>
      <w:r>
        <w:tab/>
        <w:t>(iii)</w:t>
      </w:r>
      <w:r>
        <w:tab/>
        <w:t>the Joint Authority,</w:t>
      </w:r>
    </w:p>
    <w:p>
      <w:pPr>
        <w:pStyle w:val="Indenta"/>
      </w:pPr>
      <w:r>
        <w:tab/>
      </w:r>
      <w:r>
        <w:tab/>
        <w:t>or, in the absence of agreement, may be determined by the Supreme Court on the application of that licensee, the Minister or the Joint Authority.</w:t>
      </w:r>
    </w:p>
    <w:p>
      <w:pPr>
        <w:pStyle w:val="Subsection"/>
      </w:pPr>
      <w:r>
        <w:tab/>
        <w:t>(7)</w:t>
      </w:r>
      <w:r>
        <w:tab/>
        <w:t xml:space="preserve">In subsection (6) — </w:t>
      </w:r>
    </w:p>
    <w:p>
      <w:pPr>
        <w:pStyle w:val="Defstart"/>
      </w:pPr>
      <w:r>
        <w:tab/>
      </w:r>
      <w:r>
        <w:rPr>
          <w:rStyle w:val="CharDefText"/>
        </w:rPr>
        <w:t>Joint Authority</w:t>
      </w:r>
      <w:r>
        <w:t xml:space="preserve"> has the meaning given in the Commonwealth Act section 7.</w:t>
      </w:r>
    </w:p>
    <w:p>
      <w:pPr>
        <w:pStyle w:val="Subsection"/>
      </w:pPr>
      <w:r>
        <w:tab/>
        <w:t>(8)</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Minister and, if the other written law mentioned in this subparagraph is administered by a Minister of the Crown other than the Minister, that Minister of the Crown in </w:t>
      </w:r>
      <w:r>
        <w:lastRenderedPageBreak/>
        <w:t xml:space="preserve">relation to a petroleum pool that is partly in the licence area and partly in another area (the </w:t>
      </w:r>
      <w:r>
        <w:rPr>
          <w:rStyle w:val="CharDefText"/>
        </w:rPr>
        <w:t>other area</w:t>
      </w:r>
      <w:r>
        <w:t>) in which the licensee has authority under another written law; or</w:t>
      </w:r>
    </w:p>
    <w:p>
      <w:pPr>
        <w:pStyle w:val="Indenti"/>
      </w:pPr>
      <w:r>
        <w:tab/>
        <w:t>(ii)</w:t>
      </w:r>
      <w:r>
        <w:tab/>
        <w:t xml:space="preserve">a licensee, the Minister and the State Minister administering a law of another State in relation to a petroleum pool that is partly in the licence area and partly in another area (the </w:t>
      </w:r>
      <w:r>
        <w:rPr>
          <w:rStyle w:val="CharDefText"/>
        </w:rPr>
        <w:t>other area</w:t>
      </w:r>
      <w:r>
        <w:t>) in which the licensee has authority under the law of the other State; or</w:t>
      </w:r>
    </w:p>
    <w:p>
      <w:pPr>
        <w:pStyle w:val="Indenti"/>
      </w:pPr>
      <w:r>
        <w:tab/>
        <w:t>(iii)</w:t>
      </w:r>
      <w:r>
        <w:tab/>
        <w:t xml:space="preserve">a licensee, the Minister and the Joint Authority in relation to a petroleum pool that is partly in the licence area and partly in another area (the </w:t>
      </w:r>
      <w:r>
        <w:rPr>
          <w:rStyle w:val="CharDefText"/>
        </w:rPr>
        <w:t>other area</w:t>
      </w:r>
      <w:r>
        <w:t>) in which the licensee has authority under a law of the Commonwealth;</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 xml:space="preserve">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w:t>
      </w:r>
      <w:r>
        <w:lastRenderedPageBreak/>
        <w:t>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(5) does not apply to any of those petroleum pools.</w:t>
      </w:r>
    </w:p>
    <w:p>
      <w:pPr>
        <w:pStyle w:val="Subsection"/>
        <w:keepNext/>
        <w:keepLines/>
      </w:pPr>
      <w:r>
        <w:tab/>
        <w:t>(9)</w:t>
      </w:r>
      <w:r>
        <w:tab/>
        <w:t>The question of whether there is or was a petroleum pool covered by subsection (8)(a) is to be determined on the basis of information known at the time of the making of the relevant agreement referred to in that provision.</w:t>
      </w:r>
    </w:p>
    <w:p>
      <w:pPr>
        <w:pStyle w:val="Subsection"/>
      </w:pPr>
      <w:r>
        <w:tab/>
        <w:t>(10)</w:t>
      </w:r>
      <w:r>
        <w:tab/>
        <w:t>The question of whether subsection (8)(c) applies is to be determined on the basis of information known at the time of the commencement of the apportionment provision.</w:t>
      </w:r>
    </w:p>
    <w:p>
      <w:pPr>
        <w:pStyle w:val="Subsection"/>
      </w:pPr>
      <w:r>
        <w:tab/>
        <w:t>(11)</w:t>
      </w:r>
      <w:r>
        <w:tab/>
        <w:t>The location of any of the 2 or more petroleum pools mentioned in subsection (8)(e) is immaterial.</w:t>
      </w:r>
    </w:p>
    <w:p>
      <w:pPr>
        <w:pStyle w:val="Subsection"/>
      </w:pPr>
      <w:r>
        <w:tab/>
        <w:t>(12)</w:t>
      </w:r>
      <w:r>
        <w:tab/>
        <w:t xml:space="preserve">If  — </w:t>
      </w:r>
    </w:p>
    <w:p>
      <w:pPr>
        <w:pStyle w:val="Indenta"/>
      </w:pPr>
      <w:r>
        <w:tab/>
        <w:t>(a)</w:t>
      </w:r>
      <w:r>
        <w:tab/>
        <w:t xml:space="preserve">at a particular time after the commencement of this section, a petroleum pool is partly in a licence area and partly in another area (the </w:t>
      </w:r>
      <w:r>
        <w:rPr>
          <w:rStyle w:val="CharDefText"/>
        </w:rPr>
        <w:t>other area</w:t>
      </w:r>
      <w:r>
        <w:t xml:space="preserve">) in which the licensee has authority under another written law or a law </w:t>
      </w:r>
      <w:r>
        <w:lastRenderedPageBreak/>
        <w:t>of another State or the Commonwealth to explore for, or recover, petroleum; and</w:t>
      </w:r>
    </w:p>
    <w:p>
      <w:pPr>
        <w:pStyle w:val="Indenta"/>
      </w:pPr>
      <w:r>
        <w:tab/>
        <w:t>(b)</w:t>
      </w:r>
      <w:r>
        <w:tab/>
        <w:t xml:space="preserve">at that time, an agreement is made between — </w:t>
      </w:r>
    </w:p>
    <w:p>
      <w:pPr>
        <w:pStyle w:val="Indenti"/>
      </w:pPr>
      <w:r>
        <w:tab/>
        <w:t>(i)</w:t>
      </w:r>
      <w:r>
        <w:tab/>
        <w:t>if the licensee has authority under another written law — the licensee, the Minister and, if the other written law is administered by a Minister of the Crown other than the Minister, that Minister of the Crown; or</w:t>
      </w:r>
    </w:p>
    <w:p>
      <w:pPr>
        <w:pStyle w:val="Indenti"/>
      </w:pPr>
      <w:r>
        <w:tab/>
        <w:t>(ii)</w:t>
      </w:r>
      <w:r>
        <w:tab/>
        <w:t>if the licensee has authority under a law of another State — the licensee, the Minister and the State Minister administering the law of the other State; or</w:t>
      </w:r>
    </w:p>
    <w:p>
      <w:pPr>
        <w:pStyle w:val="Indenti"/>
      </w:pPr>
      <w:r>
        <w:tab/>
        <w:t>(iii)</w:t>
      </w:r>
      <w:r>
        <w:tab/>
        <w:t>if the licensee has authority under a law of the Commonwealth — the licensee, the Minister and the Joint Authority;</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 xml:space="preserve">assuming that petroleum were recovered from the specified part, the specified proportion would be consistent with such proportion of all petroleum so </w:t>
      </w:r>
      <w:r>
        <w:lastRenderedPageBreak/>
        <w:t>recovered as may reasonably be treated as being derived from the licence area, having regard to the nature and probable extent of the petroleum in the specified part; and</w:t>
      </w:r>
    </w:p>
    <w:p>
      <w:pPr>
        <w:pStyle w:val="Indenta"/>
      </w:pPr>
      <w:r>
        <w:tab/>
        <w:t>(h)</w:t>
      </w:r>
      <w:r>
        <w:tab/>
        <w:t>petroleum is recovered from the specified part through a well or wells in the licence area, the other area or both,</w:t>
      </w:r>
    </w:p>
    <w:p>
      <w:pPr>
        <w:pStyle w:val="Subsection"/>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(5) does not apply to a petroleum pool located in the specified part.</w:t>
      </w:r>
    </w:p>
    <w:p>
      <w:pPr>
        <w:pStyle w:val="Subsection"/>
      </w:pPr>
      <w:r>
        <w:tab/>
        <w:t>(13)</w:t>
      </w:r>
      <w:r>
        <w:tab/>
        <w:t>The question of whether there is or was a petroleum pool covered by subsection (12)(a) at a particular time is to be determined on the basis of information known at that time.</w:t>
      </w:r>
    </w:p>
    <w:p>
      <w:pPr>
        <w:pStyle w:val="Subsection"/>
      </w:pPr>
      <w:r>
        <w:tab/>
        <w:t>(14)</w:t>
      </w:r>
      <w:r>
        <w:tab/>
        <w:t>The question of whether subsection (12)(g) applies is to be determined on the basis of information known at the time of the commencement of the apportionment provision.</w:t>
      </w:r>
    </w:p>
    <w:p>
      <w:pPr>
        <w:pStyle w:val="Subsection"/>
        <w:keepNext/>
      </w:pPr>
      <w:r>
        <w:tab/>
        <w:t>(15)</w:t>
      </w:r>
      <w:r>
        <w:tab/>
        <w:t xml:space="preserve">If — </w:t>
      </w:r>
    </w:p>
    <w:p>
      <w:pPr>
        <w:pStyle w:val="Indenta"/>
      </w:pPr>
      <w:r>
        <w:tab/>
        <w:t>(a)</w:t>
      </w:r>
      <w:r>
        <w:tab/>
        <w:t>a petroleum pool is partly in a licence area and partly in another area, whether in the State or not, in respect of which another person has authority, whether under this Act or another written law or under the law of another State or the Commonwealth, to explore for or recover petroleum; and</w:t>
      </w:r>
    </w:p>
    <w:p>
      <w:pPr>
        <w:pStyle w:val="Indenta"/>
      </w:pPr>
      <w:r>
        <w:tab/>
        <w:t>(b)</w:t>
      </w:r>
      <w:r>
        <w:tab/>
        <w:t>a unit development agreement in accordance with section 69 is in force between the licensee and that other person; and</w:t>
      </w:r>
    </w:p>
    <w:p>
      <w:pPr>
        <w:pStyle w:val="Indenta"/>
      </w:pPr>
      <w:r>
        <w:tab/>
        <w:t>(c)</w:t>
      </w:r>
      <w:r>
        <w:tab/>
        <w:t>petroleum is recovered from that pool through a well or wells in the licence area, the other area or both,</w:t>
      </w:r>
    </w:p>
    <w:p>
      <w:pPr>
        <w:pStyle w:val="Subsection"/>
      </w:pPr>
      <w:r>
        <w:lastRenderedPageBreak/>
        <w:tab/>
      </w:r>
      <w:r>
        <w:tab/>
        <w:t>there is taken to have been recovered in the licence area such proportion of all petroleum so recovered as is specified in, or determined in accordance with, the agreement referred to in paragraph (b).</w:t>
      </w:r>
    </w:p>
    <w:p>
      <w:pPr>
        <w:pStyle w:val="Subsection"/>
      </w:pPr>
      <w:r>
        <w:tab/>
        <w:t>(16)</w:t>
      </w:r>
      <w:r>
        <w:tab/>
        <w:t xml:space="preserve">In this section — </w:t>
      </w:r>
    </w:p>
    <w:p>
      <w:pPr>
        <w:pStyle w:val="Indenta"/>
      </w:pPr>
      <w:r>
        <w:tab/>
        <w:t>(a)</w:t>
      </w:r>
      <w:r>
        <w:tab/>
        <w:t>a reference to a petroleum production licence includes a reference to a petroleum exploration permit and a petroleum retention lease; and</w:t>
      </w:r>
    </w:p>
    <w:p>
      <w:pPr>
        <w:pStyle w:val="Indenta"/>
      </w:pPr>
      <w:r>
        <w:tab/>
        <w:t>(b)</w:t>
      </w:r>
      <w:r>
        <w:tab/>
        <w:t>a reference to a licensee is a reference to the registered holder of a petroleum production licence and includes a reference to a petroleum permittee and a petroleum lessee; and</w:t>
      </w:r>
    </w:p>
    <w:p>
      <w:pPr>
        <w:pStyle w:val="Indenta"/>
      </w:pPr>
      <w:r>
        <w:tab/>
        <w:t>(c)</w:t>
      </w:r>
      <w:r>
        <w:tab/>
        <w:t>a reference to a licence area is a reference to the area constituted by the blocks that are the subject of a petroleum production licence and includes a reference to a petroleum permit area and a petroleum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7B inserted: No. 7 of 2017 s. 7.]</w:t>
      </w:r>
    </w:p>
    <w:p>
      <w:pPr>
        <w:pStyle w:val="Heading5"/>
        <w:spacing w:before="180"/>
      </w:pPr>
      <w:bookmarkStart w:id="17" w:name="_Toc166680637"/>
      <w:r>
        <w:rPr>
          <w:rStyle w:val="CharSectno"/>
        </w:rPr>
        <w:t>8</w:t>
      </w:r>
      <w:r>
        <w:t>.</w:t>
      </w:r>
      <w:r>
        <w:tab/>
        <w:t>Position on Earth’s surface</w:t>
      </w:r>
      <w:bookmarkEnd w:id="17"/>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lastRenderedPageBreak/>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No. 54 of 2000 s. 7(2); amended: No. 13 of 2005 s. 16(1).]</w:t>
      </w:r>
    </w:p>
    <w:p>
      <w:pPr>
        <w:pStyle w:val="Heading5"/>
        <w:rPr>
          <w:snapToGrid w:val="0"/>
        </w:rPr>
      </w:pPr>
      <w:bookmarkStart w:id="18" w:name="_Toc166680638"/>
      <w:r>
        <w:rPr>
          <w:rStyle w:val="CharSectno"/>
        </w:rPr>
        <w:t>9</w:t>
      </w:r>
      <w:r>
        <w:rPr>
          <w:snapToGrid w:val="0"/>
        </w:rPr>
        <w:t>.</w:t>
      </w:r>
      <w:r>
        <w:rPr>
          <w:snapToGrid w:val="0"/>
        </w:rPr>
        <w:tab/>
        <w:t>Petroleum, geothermal energy resources and geothermal energy declared to be property of Crown</w:t>
      </w:r>
      <w:bookmarkEnd w:id="18"/>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No. 35 of 2007 s. 9.]</w:t>
      </w:r>
    </w:p>
    <w:p>
      <w:pPr>
        <w:pStyle w:val="Heading5"/>
        <w:rPr>
          <w:snapToGrid w:val="0"/>
        </w:rPr>
      </w:pPr>
      <w:bookmarkStart w:id="19" w:name="_Toc166680639"/>
      <w:r>
        <w:rPr>
          <w:rStyle w:val="CharSectno"/>
        </w:rPr>
        <w:lastRenderedPageBreak/>
        <w:t>10</w:t>
      </w:r>
      <w:r>
        <w:rPr>
          <w:snapToGrid w:val="0"/>
        </w:rPr>
        <w:t>.</w:t>
      </w:r>
      <w:r>
        <w:rPr>
          <w:snapToGrid w:val="0"/>
        </w:rPr>
        <w:tab/>
        <w:t>Reservations in Crown grants and leases</w:t>
      </w:r>
      <w:bookmarkEnd w:id="19"/>
    </w:p>
    <w:p>
      <w:pPr>
        <w:pStyle w:val="Subsection"/>
        <w:keepNext/>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No. 31 of 1997 s. 76(1); No. 35 of 2007 s. 10.]</w:t>
      </w:r>
    </w:p>
    <w:p>
      <w:pPr>
        <w:pStyle w:val="Heading5"/>
        <w:spacing w:before="180"/>
        <w:rPr>
          <w:snapToGrid w:val="0"/>
        </w:rPr>
      </w:pPr>
      <w:bookmarkStart w:id="20" w:name="_Toc166680640"/>
      <w:r>
        <w:rPr>
          <w:rStyle w:val="CharSectno"/>
        </w:rPr>
        <w:t>11</w:t>
      </w:r>
      <w:r>
        <w:rPr>
          <w:snapToGrid w:val="0"/>
        </w:rPr>
        <w:t>.</w:t>
      </w:r>
      <w:r>
        <w:rPr>
          <w:snapToGrid w:val="0"/>
        </w:rPr>
        <w:tab/>
        <w:t>Minister may search for petroleum</w:t>
      </w:r>
      <w:r>
        <w:t xml:space="preserve"> or geothermal energy resources</w:t>
      </w:r>
      <w:bookmarkEnd w:id="20"/>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 xml:space="preserve">Where any of the powers conferred by subsection (1) has been exercised in relation to land referred to in paragraph (b) of that </w:t>
      </w:r>
      <w:r>
        <w:rPr>
          <w:snapToGrid w:val="0"/>
        </w:rPr>
        <w:lastRenderedPageBreak/>
        <w:t>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No. 31 of 1997 s. 76(2); No. 35 of 2007 s. 11.]</w:t>
      </w:r>
    </w:p>
    <w:p>
      <w:pPr>
        <w:pStyle w:val="Heading5"/>
      </w:pPr>
      <w:bookmarkStart w:id="21" w:name="_Toc166680641"/>
      <w:r>
        <w:rPr>
          <w:rStyle w:val="CharSectno"/>
        </w:rPr>
        <w:t>11A</w:t>
      </w:r>
      <w:r>
        <w:t>.</w:t>
      </w:r>
      <w:r>
        <w:tab/>
        <w:t>Property rights in recovered petroleum and geothermal energy</w:t>
      </w:r>
      <w:bookmarkEnd w:id="21"/>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No. 35 of 2007 s. 12(1).]</w:t>
      </w:r>
    </w:p>
    <w:p>
      <w:pPr>
        <w:pStyle w:val="Heading5"/>
        <w:rPr>
          <w:snapToGrid w:val="0"/>
        </w:rPr>
      </w:pPr>
      <w:bookmarkStart w:id="22" w:name="_Toc166680642"/>
      <w:r>
        <w:rPr>
          <w:rStyle w:val="CharSectno"/>
        </w:rPr>
        <w:lastRenderedPageBreak/>
        <w:t>12</w:t>
      </w:r>
      <w:r>
        <w:rPr>
          <w:snapToGrid w:val="0"/>
        </w:rPr>
        <w:t>.</w:t>
      </w:r>
      <w:r>
        <w:rPr>
          <w:snapToGrid w:val="0"/>
        </w:rPr>
        <w:tab/>
        <w:t>Land may be resumed</w:t>
      </w:r>
      <w:bookmarkEnd w:id="22"/>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No. 31 of 1997 s. 76(3)</w:t>
      </w:r>
      <w:r>
        <w:noBreakHyphen/>
        <w:t>(5), 142 and 143; No. 55 of 2004 s. 916.]</w:t>
      </w:r>
    </w:p>
    <w:p>
      <w:pPr>
        <w:pStyle w:val="Heading5"/>
        <w:rPr>
          <w:snapToGrid w:val="0"/>
        </w:rPr>
      </w:pPr>
      <w:bookmarkStart w:id="23" w:name="_Toc166680643"/>
      <w:r>
        <w:rPr>
          <w:rStyle w:val="CharSectno"/>
        </w:rPr>
        <w:lastRenderedPageBreak/>
        <w:t>13</w:t>
      </w:r>
      <w:r>
        <w:rPr>
          <w:snapToGrid w:val="0"/>
        </w:rPr>
        <w:t>.</w:t>
      </w:r>
      <w:r>
        <w:rPr>
          <w:snapToGrid w:val="0"/>
        </w:rPr>
        <w:tab/>
        <w:t>Governor to have right of pre</w:t>
      </w:r>
      <w:r>
        <w:rPr>
          <w:snapToGrid w:val="0"/>
        </w:rPr>
        <w:noBreakHyphen/>
        <w:t>emption of petroleum in emergency</w:t>
      </w:r>
      <w:bookmarkEnd w:id="23"/>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No. 12 of 1990 s. 8; No. 42 of 2010 s. 62(15); No. 23 of 2012 s. 45.]</w:t>
      </w:r>
    </w:p>
    <w:p>
      <w:pPr>
        <w:pStyle w:val="Heading5"/>
        <w:rPr>
          <w:snapToGrid w:val="0"/>
        </w:rPr>
      </w:pPr>
      <w:bookmarkStart w:id="24" w:name="_Toc166680644"/>
      <w:r>
        <w:rPr>
          <w:rStyle w:val="CharSectno"/>
        </w:rPr>
        <w:t>14</w:t>
      </w:r>
      <w:r>
        <w:rPr>
          <w:snapToGrid w:val="0"/>
        </w:rPr>
        <w:t>.</w:t>
      </w:r>
      <w:r>
        <w:rPr>
          <w:snapToGrid w:val="0"/>
        </w:rPr>
        <w:tab/>
        <w:t>Land comprised in permit, drilling reservation, lease or licence may be entered for certain purposes</w:t>
      </w:r>
      <w:bookmarkEnd w:id="24"/>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lastRenderedPageBreak/>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No. 12 of 1990 s. 9; No. 78 of 1990 s. 7; No. 59 of 2004 s. 141.]</w:t>
      </w:r>
    </w:p>
    <w:p>
      <w:pPr>
        <w:pStyle w:val="Heading5"/>
        <w:spacing w:before="180"/>
        <w:rPr>
          <w:snapToGrid w:val="0"/>
        </w:rPr>
      </w:pPr>
      <w:bookmarkStart w:id="25" w:name="_Toc166680645"/>
      <w:r>
        <w:rPr>
          <w:rStyle w:val="CharSectno"/>
        </w:rPr>
        <w:t>15</w:t>
      </w:r>
      <w:r>
        <w:rPr>
          <w:snapToGrid w:val="0"/>
        </w:rPr>
        <w:t>.</w:t>
      </w:r>
      <w:r>
        <w:rPr>
          <w:snapToGrid w:val="0"/>
        </w:rPr>
        <w:tab/>
        <w:t>Authority conferred by permit, drilling reservation, lease or licence</w:t>
      </w:r>
      <w:bookmarkEnd w:id="25"/>
    </w:p>
    <w:p>
      <w:pPr>
        <w:pStyle w:val="Subsection"/>
        <w:spacing w:before="120"/>
        <w:rPr>
          <w:snapToGrid w:val="0"/>
        </w:rPr>
      </w:pPr>
      <w:r>
        <w:rPr>
          <w:snapToGrid w:val="0"/>
        </w:rPr>
        <w:tab/>
        <w:t>(1)</w:t>
      </w:r>
      <w:r>
        <w:rPr>
          <w:snapToGrid w:val="0"/>
        </w:rPr>
        <w:tab/>
        <w:t xml:space="preserve">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w:t>
      </w:r>
      <w:r>
        <w:rPr>
          <w:snapToGrid w:val="0"/>
        </w:rPr>
        <w:lastRenderedPageBreak/>
        <w:t>as the case may be, whether Crown land or private land or partly Crown land and partly private.</w:t>
      </w:r>
    </w:p>
    <w:p>
      <w:pPr>
        <w:pStyle w:val="Ednotesubsection"/>
        <w:spacing w:before="80"/>
      </w:pPr>
      <w:r>
        <w:tab/>
        <w:t>[(2)</w:t>
      </w:r>
      <w:r>
        <w:tab/>
        <w:t>deleted]</w:t>
      </w:r>
    </w:p>
    <w:p>
      <w:pPr>
        <w:pStyle w:val="Footnotesection"/>
        <w:spacing w:before="80"/>
        <w:ind w:left="890" w:hanging="890"/>
      </w:pPr>
      <w:r>
        <w:tab/>
        <w:t>[Section 15 amended: No. 12 of 1990 s. 10; No. 78 of 1990 s. 7; No. 31 of 1997 s. 141; No. 17 of 1999 s. 22(1) and (2).]</w:t>
      </w:r>
    </w:p>
    <w:p>
      <w:pPr>
        <w:pStyle w:val="Heading5"/>
        <w:spacing w:before="180"/>
        <w:rPr>
          <w:snapToGrid w:val="0"/>
        </w:rPr>
      </w:pPr>
      <w:bookmarkStart w:id="26" w:name="_Toc166680646"/>
      <w:r>
        <w:rPr>
          <w:rStyle w:val="CharSectno"/>
        </w:rPr>
        <w:t>15A</w:t>
      </w:r>
      <w:r>
        <w:rPr>
          <w:snapToGrid w:val="0"/>
        </w:rPr>
        <w:t>.</w:t>
      </w:r>
      <w:r>
        <w:rPr>
          <w:snapToGrid w:val="0"/>
        </w:rPr>
        <w:tab/>
        <w:t>Consent of Minister required for entry on reserves for purposes of exploration etc.</w:t>
      </w:r>
      <w:bookmarkEnd w:id="26"/>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lastRenderedPageBreak/>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No. 17 of 1999 s. 23(1); amended: No. 35 of 2007 s. 13.]</w:t>
      </w:r>
    </w:p>
    <w:p>
      <w:pPr>
        <w:pStyle w:val="Heading5"/>
        <w:spacing w:before="180"/>
        <w:rPr>
          <w:snapToGrid w:val="0"/>
        </w:rPr>
      </w:pPr>
      <w:bookmarkStart w:id="27" w:name="_Toc166680647"/>
      <w:r>
        <w:rPr>
          <w:rStyle w:val="CharSectno"/>
        </w:rPr>
        <w:t>16</w:t>
      </w:r>
      <w:r>
        <w:rPr>
          <w:snapToGrid w:val="0"/>
        </w:rPr>
        <w:t>.</w:t>
      </w:r>
      <w:r>
        <w:rPr>
          <w:snapToGrid w:val="0"/>
        </w:rPr>
        <w:tab/>
        <w:t>Consent of owner or trustees required in certain cases for exploration etc.</w:t>
      </w:r>
      <w:bookmarkEnd w:id="27"/>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lastRenderedPageBreak/>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No. 94 of 1972 s. 4; No. 12 of 1990 s. 11; No. 78 of 1990 s. 7; No. 73 of 1994 s. 4; No. 14 of 1996 s. 4; No. 17 of 1999 s. 24; No. 35 of 2007 s. 14.]</w:t>
      </w:r>
    </w:p>
    <w:p>
      <w:pPr>
        <w:pStyle w:val="Heading5"/>
        <w:rPr>
          <w:snapToGrid w:val="0"/>
        </w:rPr>
      </w:pPr>
      <w:bookmarkStart w:id="28" w:name="_Toc166680648"/>
      <w:r>
        <w:rPr>
          <w:rStyle w:val="CharSectno"/>
        </w:rPr>
        <w:t>17</w:t>
      </w:r>
      <w:r>
        <w:rPr>
          <w:snapToGrid w:val="0"/>
        </w:rPr>
        <w:t>.</w:t>
      </w:r>
      <w:r>
        <w:rPr>
          <w:snapToGrid w:val="0"/>
        </w:rPr>
        <w:tab/>
        <w:t>Compensation to owners and occupiers of private land</w:t>
      </w:r>
      <w:bookmarkEnd w:id="28"/>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lastRenderedPageBreak/>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No. 12 of 1990 s. 12; No. 78 of 1990 s. 7; No. 59 of 2004 s. 141; No. 35 of 2007 s. 15.]</w:t>
      </w:r>
    </w:p>
    <w:p>
      <w:pPr>
        <w:pStyle w:val="Heading5"/>
        <w:rPr>
          <w:snapToGrid w:val="0"/>
        </w:rPr>
      </w:pPr>
      <w:bookmarkStart w:id="29" w:name="_Toc166680649"/>
      <w:r>
        <w:rPr>
          <w:rStyle w:val="CharSectno"/>
        </w:rPr>
        <w:t>18</w:t>
      </w:r>
      <w:r>
        <w:rPr>
          <w:snapToGrid w:val="0"/>
        </w:rPr>
        <w:t>.</w:t>
      </w:r>
      <w:r>
        <w:rPr>
          <w:snapToGrid w:val="0"/>
        </w:rPr>
        <w:tab/>
        <w:t>Owner of private land in vicinity of permit area, drilling reservation, lease area or licence area may be entitled to compensation</w:t>
      </w:r>
      <w:bookmarkEnd w:id="29"/>
    </w:p>
    <w:p>
      <w:pPr>
        <w:pStyle w:val="Subsection"/>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No. 12 of 1990 s. 13; No. 78 of 1990 s. 7.]</w:t>
      </w:r>
    </w:p>
    <w:p>
      <w:pPr>
        <w:pStyle w:val="Heading5"/>
        <w:rPr>
          <w:snapToGrid w:val="0"/>
        </w:rPr>
      </w:pPr>
      <w:bookmarkStart w:id="30" w:name="_Toc166680650"/>
      <w:r>
        <w:rPr>
          <w:rStyle w:val="CharSectno"/>
        </w:rPr>
        <w:lastRenderedPageBreak/>
        <w:t>19</w:t>
      </w:r>
      <w:r>
        <w:rPr>
          <w:snapToGrid w:val="0"/>
        </w:rPr>
        <w:t>.</w:t>
      </w:r>
      <w:r>
        <w:rPr>
          <w:snapToGrid w:val="0"/>
        </w:rPr>
        <w:tab/>
        <w:t>Compensation for further damage</w:t>
      </w:r>
      <w:bookmarkEnd w:id="30"/>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No. 12 of 1990 s. 14; No. 78 of 1990 s. 7.]</w:t>
      </w:r>
    </w:p>
    <w:p>
      <w:pPr>
        <w:pStyle w:val="Heading5"/>
        <w:rPr>
          <w:snapToGrid w:val="0"/>
        </w:rPr>
      </w:pPr>
      <w:bookmarkStart w:id="31" w:name="_Toc166680651"/>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31"/>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No. 12 of 1990 s. 15; No. 78 of 1990 s. 7.]</w:t>
      </w:r>
    </w:p>
    <w:p>
      <w:pPr>
        <w:pStyle w:val="Heading5"/>
        <w:spacing w:before="180"/>
        <w:rPr>
          <w:snapToGrid w:val="0"/>
        </w:rPr>
      </w:pPr>
      <w:bookmarkStart w:id="32" w:name="_Toc166680652"/>
      <w:r>
        <w:rPr>
          <w:rStyle w:val="CharSectno"/>
        </w:rPr>
        <w:lastRenderedPageBreak/>
        <w:t>21</w:t>
      </w:r>
      <w:r>
        <w:rPr>
          <w:snapToGrid w:val="0"/>
        </w:rPr>
        <w:t>.</w:t>
      </w:r>
      <w:r>
        <w:rPr>
          <w:snapToGrid w:val="0"/>
        </w:rPr>
        <w:tab/>
      </w:r>
      <w:r>
        <w:t>Compensation payable to certain lessees for damage to improvements and consequential damage</w:t>
      </w:r>
      <w:bookmarkEnd w:id="32"/>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a pastoral lease or a lease otherwise granted for grazing purposes only; or</w:t>
      </w:r>
    </w:p>
    <w:p>
      <w:pPr>
        <w:pStyle w:val="Indenta"/>
      </w:pPr>
      <w:r>
        <w:tab/>
        <w:t>(aa)</w:t>
      </w:r>
      <w:r>
        <w:tab/>
        <w:t>a diversification lease;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lastRenderedPageBreak/>
        <w:tab/>
        <w:t>[Section 21 amended: No. 12 of 1990 s. 16; No. 78 of 1990 s. 7; No. 31 of 1997 s. 141; No. 59 of 2004 s. 141; No. 4 of 2023 s. 140.]</w:t>
      </w:r>
    </w:p>
    <w:p>
      <w:pPr>
        <w:pStyle w:val="Heading5"/>
        <w:rPr>
          <w:snapToGrid w:val="0"/>
        </w:rPr>
      </w:pPr>
      <w:bookmarkStart w:id="33" w:name="_Toc166680653"/>
      <w:r>
        <w:rPr>
          <w:rStyle w:val="CharSectno"/>
        </w:rPr>
        <w:t>22</w:t>
      </w:r>
      <w:r>
        <w:rPr>
          <w:snapToGrid w:val="0"/>
        </w:rPr>
        <w:t>.</w:t>
      </w:r>
      <w:r>
        <w:rPr>
          <w:snapToGrid w:val="0"/>
        </w:rPr>
        <w:tab/>
        <w:t>Determination of partial compensation</w:t>
      </w:r>
      <w:bookmarkEnd w:id="33"/>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ind w:left="890" w:hanging="890"/>
      </w:pPr>
      <w:r>
        <w:tab/>
        <w:t>[Section 22 amended: No. 12 of 1990 s. 17.]</w:t>
      </w:r>
    </w:p>
    <w:p>
      <w:pPr>
        <w:pStyle w:val="Heading5"/>
        <w:spacing w:before="200"/>
        <w:rPr>
          <w:snapToGrid w:val="0"/>
        </w:rPr>
      </w:pPr>
      <w:bookmarkStart w:id="34" w:name="_Toc166680654"/>
      <w:r>
        <w:rPr>
          <w:rStyle w:val="CharSectno"/>
        </w:rPr>
        <w:t>23</w:t>
      </w:r>
      <w:r>
        <w:rPr>
          <w:snapToGrid w:val="0"/>
        </w:rPr>
        <w:t>.</w:t>
      </w:r>
      <w:r>
        <w:rPr>
          <w:snapToGrid w:val="0"/>
        </w:rPr>
        <w:tab/>
        <w:t>Security for compensation</w:t>
      </w:r>
      <w:bookmarkEnd w:id="34"/>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35" w:name="_Toc166680655"/>
      <w:r>
        <w:rPr>
          <w:rStyle w:val="CharSectno"/>
        </w:rPr>
        <w:t>24</w:t>
      </w:r>
      <w:r>
        <w:rPr>
          <w:snapToGrid w:val="0"/>
        </w:rPr>
        <w:t>.</w:t>
      </w:r>
      <w:r>
        <w:rPr>
          <w:snapToGrid w:val="0"/>
        </w:rPr>
        <w:tab/>
        <w:t>Matters for which compensation not payable</w:t>
      </w:r>
      <w:bookmarkEnd w:id="35"/>
    </w:p>
    <w:p>
      <w:pPr>
        <w:pStyle w:val="Subsection"/>
        <w:rPr>
          <w:snapToGrid w:val="0"/>
        </w:rPr>
      </w:pPr>
      <w:r>
        <w:rPr>
          <w:snapToGrid w:val="0"/>
        </w:rPr>
        <w:tab/>
        <w:t>(1)</w:t>
      </w:r>
      <w:r>
        <w:rPr>
          <w:snapToGrid w:val="0"/>
        </w:rPr>
        <w:tab/>
        <w:t xml:space="preserve">Except where and then only to the extent agreed to by the parties or authorised by the </w:t>
      </w:r>
      <w:r>
        <w:t xml:space="preserve">Court, </w:t>
      </w:r>
      <w:r>
        <w:rPr>
          <w:snapToGrid w:val="0"/>
        </w:rPr>
        <w:t xml:space="preserve">compensation is not payable under the provisions of this Act to the lessee of land leased by way of a pastoral lease </w:t>
      </w:r>
      <w:r>
        <w:t xml:space="preserve">or a lease otherwise granted for grazing purposes only, a diversification lease, </w:t>
      </w:r>
      <w:r>
        <w:rPr>
          <w:snapToGrid w:val="0"/>
        </w:rPr>
        <w:t xml:space="preserve">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lastRenderedPageBreak/>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ind w:left="890" w:hanging="890"/>
      </w:pPr>
      <w:r>
        <w:tab/>
        <w:t>[Section 24 amended: No. 12 of 1990 s. 18; No. 31 of 1997 s. 141; No. 35 of 2007 s. 16; No. 4 of 2023 s. 141.]</w:t>
      </w:r>
    </w:p>
    <w:p>
      <w:pPr>
        <w:pStyle w:val="Heading5"/>
        <w:rPr>
          <w:snapToGrid w:val="0"/>
        </w:rPr>
      </w:pPr>
      <w:bookmarkStart w:id="36" w:name="_Toc166680656"/>
      <w:r>
        <w:rPr>
          <w:rStyle w:val="CharSectno"/>
        </w:rPr>
        <w:t>24A</w:t>
      </w:r>
      <w:r>
        <w:rPr>
          <w:snapToGrid w:val="0"/>
        </w:rPr>
        <w:t>.</w:t>
      </w:r>
      <w:r>
        <w:rPr>
          <w:snapToGrid w:val="0"/>
        </w:rPr>
        <w:tab/>
        <w:t>Liability for payment of compensation to native title holders</w:t>
      </w:r>
      <w:bookmarkEnd w:id="36"/>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spacing w:before="60"/>
      </w:pPr>
      <w:r>
        <w:tab/>
      </w:r>
      <w:r>
        <w:rPr>
          <w:rStyle w:val="CharDefText"/>
        </w:rPr>
        <w:t>authorisation</w:t>
      </w:r>
      <w:r>
        <w:t xml:space="preserve"> means a permit, drilling reservation, lease, licence, special prospecting authority or access authority;</w:t>
      </w:r>
    </w:p>
    <w:p>
      <w:pPr>
        <w:pStyle w:val="Defstart"/>
        <w:spacing w:before="60"/>
      </w:pPr>
      <w:r>
        <w:tab/>
      </w:r>
      <w:r>
        <w:rPr>
          <w:rStyle w:val="CharDefText"/>
        </w:rPr>
        <w:t>native title holders</w:t>
      </w:r>
      <w:r>
        <w:t xml:space="preserve"> has the same meaning as in the </w:t>
      </w:r>
      <w:r>
        <w:rPr>
          <w:i/>
        </w:rPr>
        <w:t>Native Title Act 1993</w:t>
      </w:r>
      <w:r>
        <w:t xml:space="preserve"> of the Commonwealth.</w:t>
      </w:r>
    </w:p>
    <w:p>
      <w:pPr>
        <w:pStyle w:val="Footnotesection"/>
        <w:spacing w:before="80"/>
        <w:ind w:left="890" w:hanging="890"/>
      </w:pPr>
      <w:r>
        <w:tab/>
        <w:t>[Section 24A inserted: No. 61 of 1998 s. 17.]</w:t>
      </w:r>
    </w:p>
    <w:p>
      <w:pPr>
        <w:pStyle w:val="Heading5"/>
        <w:spacing w:before="180"/>
        <w:rPr>
          <w:snapToGrid w:val="0"/>
        </w:rPr>
      </w:pPr>
      <w:bookmarkStart w:id="37" w:name="_Toc166680657"/>
      <w:r>
        <w:rPr>
          <w:rStyle w:val="CharSectno"/>
        </w:rPr>
        <w:lastRenderedPageBreak/>
        <w:t>25</w:t>
      </w:r>
      <w:r>
        <w:rPr>
          <w:snapToGrid w:val="0"/>
        </w:rPr>
        <w:t>.</w:t>
      </w:r>
      <w:r>
        <w:rPr>
          <w:snapToGrid w:val="0"/>
        </w:rPr>
        <w:tab/>
        <w:t>Delegation</w:t>
      </w:r>
      <w:bookmarkEnd w:id="37"/>
    </w:p>
    <w:p>
      <w:pPr>
        <w:pStyle w:val="Subsection"/>
        <w:spacing w:before="1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spacing w:before="120"/>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spacing w:before="60"/>
        <w:ind w:left="890" w:hanging="890"/>
      </w:pPr>
      <w:r>
        <w:tab/>
        <w:t>[Section 25 amended: No. 13 of 2005 s. 16(1).]</w:t>
      </w:r>
    </w:p>
    <w:p>
      <w:pPr>
        <w:pStyle w:val="Heading2"/>
      </w:pPr>
      <w:bookmarkStart w:id="38" w:name="_Toc166678691"/>
      <w:bookmarkStart w:id="39" w:name="_Toc166679095"/>
      <w:bookmarkStart w:id="40" w:name="_Toc166680658"/>
      <w:r>
        <w:rPr>
          <w:rStyle w:val="CharPartNo"/>
        </w:rPr>
        <w:lastRenderedPageBreak/>
        <w:t>Part III</w:t>
      </w:r>
      <w:r>
        <w:rPr>
          <w:b w:val="0"/>
        </w:rPr>
        <w:t> </w:t>
      </w:r>
      <w:r>
        <w:t>—</w:t>
      </w:r>
      <w:r>
        <w:rPr>
          <w:b w:val="0"/>
        </w:rPr>
        <w:t> </w:t>
      </w:r>
      <w:r>
        <w:rPr>
          <w:rStyle w:val="CharPartText"/>
        </w:rPr>
        <w:t>Mining for petroleum, geothermal energy resources and geothermal energy</w:t>
      </w:r>
      <w:bookmarkEnd w:id="38"/>
      <w:bookmarkEnd w:id="39"/>
      <w:bookmarkEnd w:id="40"/>
    </w:p>
    <w:p>
      <w:pPr>
        <w:pStyle w:val="Footnoteheading"/>
      </w:pPr>
      <w:r>
        <w:tab/>
        <w:t>[Heading inserted: No. 35 of 2007 s. 17.]</w:t>
      </w:r>
    </w:p>
    <w:p>
      <w:pPr>
        <w:pStyle w:val="Heading3"/>
      </w:pPr>
      <w:bookmarkStart w:id="41" w:name="_Toc166678692"/>
      <w:bookmarkStart w:id="42" w:name="_Toc166679096"/>
      <w:bookmarkStart w:id="43" w:name="_Toc166680659"/>
      <w:r>
        <w:rPr>
          <w:rStyle w:val="CharDivNo"/>
        </w:rPr>
        <w:t>Division 1</w:t>
      </w:r>
      <w:r>
        <w:rPr>
          <w:snapToGrid w:val="0"/>
        </w:rPr>
        <w:t> — </w:t>
      </w:r>
      <w:r>
        <w:rPr>
          <w:rStyle w:val="CharDivText"/>
        </w:rPr>
        <w:t>Preliminary</w:t>
      </w:r>
      <w:bookmarkEnd w:id="41"/>
      <w:bookmarkEnd w:id="42"/>
      <w:bookmarkEnd w:id="43"/>
    </w:p>
    <w:p>
      <w:pPr>
        <w:pStyle w:val="Heading5"/>
        <w:spacing w:before="240"/>
        <w:rPr>
          <w:snapToGrid w:val="0"/>
        </w:rPr>
      </w:pPr>
      <w:bookmarkStart w:id="44" w:name="_Toc166680660"/>
      <w:r>
        <w:rPr>
          <w:rStyle w:val="CharSectno"/>
        </w:rPr>
        <w:t>26</w:t>
      </w:r>
      <w:r>
        <w:rPr>
          <w:snapToGrid w:val="0"/>
        </w:rPr>
        <w:t>.</w:t>
      </w:r>
      <w:r>
        <w:rPr>
          <w:snapToGrid w:val="0"/>
        </w:rPr>
        <w:tab/>
        <w:t>Term used: State</w:t>
      </w:r>
      <w:bookmarkEnd w:id="44"/>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Western Australia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No. 90 of 1987 s. 4.]</w:t>
      </w:r>
    </w:p>
    <w:p>
      <w:pPr>
        <w:pStyle w:val="Heading5"/>
        <w:rPr>
          <w:snapToGrid w:val="0"/>
        </w:rPr>
      </w:pPr>
      <w:bookmarkStart w:id="45" w:name="_Toc166680661"/>
      <w:r>
        <w:rPr>
          <w:rStyle w:val="CharSectno"/>
        </w:rPr>
        <w:t>27</w:t>
      </w:r>
      <w:r>
        <w:rPr>
          <w:snapToGrid w:val="0"/>
        </w:rPr>
        <w:t>.</w:t>
      </w:r>
      <w:r>
        <w:rPr>
          <w:snapToGrid w:val="0"/>
        </w:rPr>
        <w:tab/>
        <w:t>Graticulation of Earth’s surface and constitution of blocks</w:t>
      </w:r>
      <w:bookmarkEnd w:id="45"/>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lastRenderedPageBreak/>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No. 54 of 2000 s. 7(3).]</w:t>
      </w:r>
    </w:p>
    <w:p>
      <w:pPr>
        <w:pStyle w:val="Heading5"/>
        <w:spacing w:before="240"/>
        <w:rPr>
          <w:snapToGrid w:val="0"/>
        </w:rPr>
      </w:pPr>
      <w:bookmarkStart w:id="46" w:name="_Toc166680662"/>
      <w:r>
        <w:rPr>
          <w:rStyle w:val="CharSectno"/>
        </w:rPr>
        <w:t>28</w:t>
      </w:r>
      <w:r>
        <w:rPr>
          <w:snapToGrid w:val="0"/>
        </w:rPr>
        <w:t>.</w:t>
      </w:r>
      <w:r>
        <w:rPr>
          <w:snapToGrid w:val="0"/>
        </w:rPr>
        <w:tab/>
        <w:t>Reservation of blocks</w:t>
      </w:r>
      <w:bookmarkEnd w:id="46"/>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xml:space="preserve">,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w:t>
      </w:r>
      <w:r>
        <w:lastRenderedPageBreak/>
        <w:t>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No. 12 of 1990 s. 19; No. 78 of 1990 s. 7; No. 35 of 2007 s. 18.]</w:t>
      </w:r>
    </w:p>
    <w:p>
      <w:pPr>
        <w:pStyle w:val="Heading5"/>
        <w:rPr>
          <w:snapToGrid w:val="0"/>
        </w:rPr>
      </w:pPr>
      <w:bookmarkStart w:id="47" w:name="_Toc166680663"/>
      <w:r>
        <w:rPr>
          <w:rStyle w:val="CharSectno"/>
        </w:rPr>
        <w:t>28A</w:t>
      </w:r>
      <w:r>
        <w:rPr>
          <w:snapToGrid w:val="0"/>
        </w:rPr>
        <w:t>.</w:t>
      </w:r>
      <w:r>
        <w:rPr>
          <w:snapToGrid w:val="0"/>
        </w:rPr>
        <w:tab/>
        <w:t>Issue of permits etc. in marine reserves</w:t>
      </w:r>
      <w:bookmarkEnd w:id="47"/>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No. 5 of 1997 s. 43; amended: No. 17 of 1999 s. 22(3).]</w:t>
      </w:r>
    </w:p>
    <w:p>
      <w:pPr>
        <w:pStyle w:val="Heading3"/>
        <w:pageBreakBefore/>
        <w:spacing w:before="0"/>
      </w:pPr>
      <w:bookmarkStart w:id="48" w:name="_Toc166678697"/>
      <w:bookmarkStart w:id="49" w:name="_Toc166679101"/>
      <w:bookmarkStart w:id="50" w:name="_Toc166680664"/>
      <w:r>
        <w:rPr>
          <w:rStyle w:val="CharDivNo"/>
        </w:rPr>
        <w:lastRenderedPageBreak/>
        <w:t>Division 2</w:t>
      </w:r>
      <w:r>
        <w:rPr>
          <w:snapToGrid w:val="0"/>
        </w:rPr>
        <w:t> — </w:t>
      </w:r>
      <w:r>
        <w:rPr>
          <w:rStyle w:val="CharDivText"/>
        </w:rPr>
        <w:t>Permits and drilling reservations</w:t>
      </w:r>
      <w:bookmarkEnd w:id="48"/>
      <w:bookmarkEnd w:id="49"/>
      <w:bookmarkEnd w:id="50"/>
    </w:p>
    <w:p>
      <w:pPr>
        <w:pStyle w:val="Footnoteheading"/>
        <w:keepNext/>
      </w:pPr>
      <w:r>
        <w:tab/>
        <w:t>[Heading inserted: No. 78 of 1990 s. 5.]</w:t>
      </w:r>
    </w:p>
    <w:p>
      <w:pPr>
        <w:pStyle w:val="Heading5"/>
        <w:spacing w:before="180"/>
        <w:rPr>
          <w:snapToGrid w:val="0"/>
        </w:rPr>
      </w:pPr>
      <w:bookmarkStart w:id="51" w:name="_Toc166680665"/>
      <w:r>
        <w:rPr>
          <w:rStyle w:val="CharSectno"/>
        </w:rPr>
        <w:t>29</w:t>
      </w:r>
      <w:r>
        <w:rPr>
          <w:snapToGrid w:val="0"/>
        </w:rPr>
        <w:t>.</w:t>
      </w:r>
      <w:r>
        <w:rPr>
          <w:snapToGrid w:val="0"/>
        </w:rPr>
        <w:tab/>
        <w:t>Exploration for petroleum and</w:t>
      </w:r>
      <w:r>
        <w:t xml:space="preserve"> geothermal energy resources restricted</w:t>
      </w:r>
      <w:bookmarkEnd w:id="51"/>
    </w:p>
    <w:p>
      <w:pPr>
        <w:pStyle w:val="Subsection"/>
        <w:spacing w:before="12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No. 12 of 1990 s. 20; amended: No. 78 of 1990 s. 7; No. 28 of 1994 s. 6; No. 35 of 2007 s. 19; No. 42 of 2010 s. 62(15).]</w:t>
      </w:r>
    </w:p>
    <w:p>
      <w:pPr>
        <w:pStyle w:val="Heading5"/>
        <w:spacing w:before="180"/>
        <w:rPr>
          <w:snapToGrid w:val="0"/>
        </w:rPr>
      </w:pPr>
      <w:bookmarkStart w:id="52" w:name="_Toc166680666"/>
      <w:r>
        <w:rPr>
          <w:rStyle w:val="CharSectno"/>
        </w:rPr>
        <w:t>30</w:t>
      </w:r>
      <w:r>
        <w:rPr>
          <w:snapToGrid w:val="0"/>
        </w:rPr>
        <w:t>.</w:t>
      </w:r>
      <w:r>
        <w:rPr>
          <w:snapToGrid w:val="0"/>
        </w:rPr>
        <w:tab/>
        <w:t>Advertisement of blocks</w:t>
      </w:r>
      <w:bookmarkEnd w:id="52"/>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lastRenderedPageBreak/>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ind w:left="890" w:hanging="890"/>
      </w:pPr>
      <w:r>
        <w:tab/>
        <w:t>[Section 30 amended: No. 12 of 1990 s. 21.]</w:t>
      </w:r>
    </w:p>
    <w:p>
      <w:pPr>
        <w:pStyle w:val="Heading5"/>
        <w:spacing w:before="180"/>
        <w:rPr>
          <w:snapToGrid w:val="0"/>
        </w:rPr>
      </w:pPr>
      <w:bookmarkStart w:id="53" w:name="_Toc166680667"/>
      <w:r>
        <w:rPr>
          <w:rStyle w:val="CharSectno"/>
        </w:rPr>
        <w:t>31</w:t>
      </w:r>
      <w:r>
        <w:rPr>
          <w:snapToGrid w:val="0"/>
        </w:rPr>
        <w:t>.</w:t>
      </w:r>
      <w:r>
        <w:rPr>
          <w:snapToGrid w:val="0"/>
        </w:rPr>
        <w:tab/>
        <w:t>Application for permit</w:t>
      </w:r>
      <w:bookmarkEnd w:id="53"/>
    </w:p>
    <w:p>
      <w:pPr>
        <w:pStyle w:val="Subsection"/>
        <w:spacing w:before="120"/>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lastRenderedPageBreak/>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No. 69 of 1981 s. 34; No. 12 of 1990 s. 22; No. 28 of 1994 s. 7; No. 35 of 2007 s. 20; No. 42 of 2010 s. 6.]</w:t>
      </w:r>
    </w:p>
    <w:p>
      <w:pPr>
        <w:pStyle w:val="Heading5"/>
      </w:pPr>
      <w:bookmarkStart w:id="54" w:name="_Toc166680668"/>
      <w:r>
        <w:rPr>
          <w:rStyle w:val="CharSectno"/>
        </w:rPr>
        <w:t>32A</w:t>
      </w:r>
      <w:r>
        <w:t>.</w:t>
      </w:r>
      <w:r>
        <w:tab/>
        <w:t>More than one permit application for same block or blocks</w:t>
      </w:r>
      <w:bookmarkEnd w:id="54"/>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lastRenderedPageBreak/>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No. 42 of 2010 s. 7.]</w:t>
      </w:r>
    </w:p>
    <w:p>
      <w:pPr>
        <w:pStyle w:val="Heading5"/>
        <w:rPr>
          <w:snapToGrid w:val="0"/>
        </w:rPr>
      </w:pPr>
      <w:bookmarkStart w:id="55" w:name="_Toc166680669"/>
      <w:r>
        <w:rPr>
          <w:rStyle w:val="CharSectno"/>
        </w:rPr>
        <w:t>32</w:t>
      </w:r>
      <w:r>
        <w:rPr>
          <w:snapToGrid w:val="0"/>
        </w:rPr>
        <w:t>.</w:t>
      </w:r>
      <w:r>
        <w:rPr>
          <w:snapToGrid w:val="0"/>
        </w:rPr>
        <w:tab/>
        <w:t>Grant or refusal of permit in relation to application</w:t>
      </w:r>
      <w:bookmarkEnd w:id="55"/>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keepNext/>
        <w:rPr>
          <w:snapToGrid w:val="0"/>
        </w:rPr>
      </w:pPr>
      <w:r>
        <w:rPr>
          <w:snapToGrid w:val="0"/>
        </w:rPr>
        <w:lastRenderedPageBreak/>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No. 28 of 1994 s. 8; No. 35 of 2007 s. 21; No. 42 of 2010 s. 8.]</w:t>
      </w:r>
    </w:p>
    <w:p>
      <w:pPr>
        <w:pStyle w:val="Heading5"/>
      </w:pPr>
      <w:bookmarkStart w:id="56" w:name="_Toc166680670"/>
      <w:r>
        <w:rPr>
          <w:rStyle w:val="CharSectno"/>
        </w:rPr>
        <w:t>33A</w:t>
      </w:r>
      <w:r>
        <w:t>.</w:t>
      </w:r>
      <w:r>
        <w:tab/>
        <w:t>Withdrawal of application</w:t>
      </w:r>
      <w:bookmarkEnd w:id="56"/>
    </w:p>
    <w:p>
      <w:pPr>
        <w:pStyle w:val="Subsection"/>
      </w:pPr>
      <w:r>
        <w:tab/>
      </w:r>
      <w:r>
        <w:tab/>
        <w:t xml:space="preserve">The person who has made, or all the persons who have jointly made, a permit application may, by written notice served on the </w:t>
      </w:r>
      <w:r>
        <w:lastRenderedPageBreak/>
        <w:t>Minister, withdraw the application at any time before the permit is granted.</w:t>
      </w:r>
    </w:p>
    <w:p>
      <w:pPr>
        <w:pStyle w:val="Footnotesection"/>
      </w:pPr>
      <w:r>
        <w:tab/>
        <w:t>[Section 33A inserted: No. 42 of 2010 s. 9.]</w:t>
      </w:r>
    </w:p>
    <w:p>
      <w:pPr>
        <w:pStyle w:val="Heading5"/>
      </w:pPr>
      <w:bookmarkStart w:id="57" w:name="_Toc166680671"/>
      <w:r>
        <w:rPr>
          <w:rStyle w:val="CharSectno"/>
        </w:rPr>
        <w:t>33B</w:t>
      </w:r>
      <w:r>
        <w:t>.</w:t>
      </w:r>
      <w:r>
        <w:tab/>
        <w:t>Application continued after withdrawal of joint applicant</w:t>
      </w:r>
      <w:bookmarkEnd w:id="57"/>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No. 42 of 2010 s. 9.]</w:t>
      </w:r>
    </w:p>
    <w:p>
      <w:pPr>
        <w:pStyle w:val="Heading5"/>
        <w:spacing w:before="180"/>
      </w:pPr>
      <w:bookmarkStart w:id="58" w:name="_Toc166680672"/>
      <w:r>
        <w:rPr>
          <w:rStyle w:val="CharSectno"/>
        </w:rPr>
        <w:t>33C</w:t>
      </w:r>
      <w:r>
        <w:t>.</w:t>
      </w:r>
      <w:r>
        <w:tab/>
        <w:t>Effect of withdrawal or lapse of s. 30 application</w:t>
      </w:r>
      <w:bookmarkEnd w:id="58"/>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lastRenderedPageBreak/>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No. 42 of 2010 s. 9.]</w:t>
      </w:r>
    </w:p>
    <w:p>
      <w:pPr>
        <w:pStyle w:val="Heading5"/>
        <w:rPr>
          <w:snapToGrid w:val="0"/>
        </w:rPr>
      </w:pPr>
      <w:bookmarkStart w:id="59" w:name="_Toc166680673"/>
      <w:r>
        <w:rPr>
          <w:rStyle w:val="CharSectno"/>
        </w:rPr>
        <w:t>33</w:t>
      </w:r>
      <w:r>
        <w:rPr>
          <w:snapToGrid w:val="0"/>
        </w:rPr>
        <w:t>.</w:t>
      </w:r>
      <w:r>
        <w:rPr>
          <w:snapToGrid w:val="0"/>
        </w:rPr>
        <w:tab/>
        <w:t>Application for permit in respect of surrendered etc. blocks</w:t>
      </w:r>
      <w:bookmarkEnd w:id="5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lastRenderedPageBreak/>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 xml:space="preserve">shall specify an amount that the applicant is prepared to pay to the Minister, in addition to the fee referred to in </w:t>
      </w:r>
      <w:r>
        <w:rPr>
          <w:snapToGrid w:val="0"/>
        </w:rPr>
        <w:lastRenderedPageBreak/>
        <w:t>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No. 12 of 1990 s. 23; No. 28 of 1994 s. 9; No. 35 of 2007 s. 22; No. 42 of 2010 s. 10.]</w:t>
      </w:r>
    </w:p>
    <w:p>
      <w:pPr>
        <w:pStyle w:val="Heading5"/>
        <w:rPr>
          <w:snapToGrid w:val="0"/>
        </w:rPr>
      </w:pPr>
      <w:bookmarkStart w:id="60" w:name="_Toc166680674"/>
      <w:r>
        <w:rPr>
          <w:rStyle w:val="CharSectno"/>
        </w:rPr>
        <w:t>34</w:t>
      </w:r>
      <w:r>
        <w:rPr>
          <w:snapToGrid w:val="0"/>
        </w:rPr>
        <w:t>.</w:t>
      </w:r>
      <w:r>
        <w:rPr>
          <w:snapToGrid w:val="0"/>
        </w:rPr>
        <w:tab/>
        <w:t>Application fee etc.</w:t>
      </w:r>
      <w:bookmarkEnd w:id="60"/>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ind w:left="890" w:hanging="890"/>
      </w:pPr>
      <w:r>
        <w:tab/>
        <w:t>[Section 34 amended: No. 69 of 1981 s. 34; No. 12 of 1990 s. 24; No. 42 of 2010 s. 11.]</w:t>
      </w:r>
    </w:p>
    <w:p>
      <w:pPr>
        <w:pStyle w:val="Heading5"/>
        <w:keepLines w:val="0"/>
        <w:spacing w:before="240"/>
        <w:rPr>
          <w:snapToGrid w:val="0"/>
        </w:rPr>
      </w:pPr>
      <w:bookmarkStart w:id="61" w:name="_Toc166680675"/>
      <w:r>
        <w:rPr>
          <w:rStyle w:val="CharSectno"/>
        </w:rPr>
        <w:t>35</w:t>
      </w:r>
      <w:r>
        <w:rPr>
          <w:snapToGrid w:val="0"/>
        </w:rPr>
        <w:t>.</w:t>
      </w:r>
      <w:r>
        <w:rPr>
          <w:snapToGrid w:val="0"/>
        </w:rPr>
        <w:tab/>
        <w:t>Consideration of application</w:t>
      </w:r>
      <w:bookmarkEnd w:id="61"/>
    </w:p>
    <w:p>
      <w:pPr>
        <w:pStyle w:val="Subsection"/>
        <w:rPr>
          <w:snapToGrid w:val="0"/>
        </w:rPr>
      </w:pPr>
      <w:r>
        <w:rPr>
          <w:snapToGrid w:val="0"/>
        </w:rPr>
        <w:tab/>
        <w:t>(1)</w:t>
      </w:r>
      <w:r>
        <w:rPr>
          <w:snapToGrid w:val="0"/>
        </w:rPr>
        <w:tab/>
        <w:t xml:space="preserve">Where, at the expiration of the period specified in an instrument under section 33(1) or (2), only one application has been made under that subsection in respect of the block or blocks specified in the instrument, the Minister may reject the application or </w:t>
      </w:r>
      <w:r>
        <w:rPr>
          <w:snapToGrid w:val="0"/>
        </w:rPr>
        <w:lastRenderedPageBreak/>
        <w:t>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No. 12 of 1990 s. 25; No. 28 of 1994 s. 10; No. 35 of 2007 s. 23; No. 42 of 2010 s. 12.]</w:t>
      </w:r>
    </w:p>
    <w:p>
      <w:pPr>
        <w:pStyle w:val="Heading5"/>
        <w:rPr>
          <w:snapToGrid w:val="0"/>
        </w:rPr>
      </w:pPr>
      <w:bookmarkStart w:id="62" w:name="_Toc166680676"/>
      <w:r>
        <w:rPr>
          <w:rStyle w:val="CharSectno"/>
        </w:rPr>
        <w:lastRenderedPageBreak/>
        <w:t>36</w:t>
      </w:r>
      <w:r>
        <w:rPr>
          <w:snapToGrid w:val="0"/>
        </w:rPr>
        <w:t>.</w:t>
      </w:r>
      <w:r>
        <w:rPr>
          <w:snapToGrid w:val="0"/>
        </w:rPr>
        <w:tab/>
        <w:t>Request by applicant for grant of permit in respect of advertised block</w:t>
      </w:r>
      <w:bookmarkEnd w:id="62"/>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No. 28 of 1994 s. 11; No. 42 of 2010 s. 13.]</w:t>
      </w:r>
    </w:p>
    <w:p>
      <w:pPr>
        <w:pStyle w:val="Heading5"/>
        <w:rPr>
          <w:snapToGrid w:val="0"/>
        </w:rPr>
      </w:pPr>
      <w:bookmarkStart w:id="63" w:name="_Toc166680677"/>
      <w:r>
        <w:rPr>
          <w:rStyle w:val="CharSectno"/>
        </w:rPr>
        <w:t>37</w:t>
      </w:r>
      <w:r>
        <w:rPr>
          <w:snapToGrid w:val="0"/>
        </w:rPr>
        <w:t>.</w:t>
      </w:r>
      <w:r>
        <w:rPr>
          <w:snapToGrid w:val="0"/>
        </w:rPr>
        <w:tab/>
        <w:t>Grant of permit on request</w:t>
      </w:r>
      <w:bookmarkEnd w:id="63"/>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lastRenderedPageBreak/>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No. 28 of 1994 s. 12; No. 35 of 2007 s. 24; No. 42 of 2010 s. 14.]</w:t>
      </w:r>
    </w:p>
    <w:p>
      <w:pPr>
        <w:pStyle w:val="Heading5"/>
        <w:keepNext w:val="0"/>
        <w:keepLines w:val="0"/>
        <w:pageBreakBefore/>
        <w:spacing w:before="0"/>
        <w:rPr>
          <w:snapToGrid w:val="0"/>
        </w:rPr>
      </w:pPr>
      <w:bookmarkStart w:id="64" w:name="_Toc166680678"/>
      <w:r>
        <w:rPr>
          <w:rStyle w:val="CharSectno"/>
        </w:rPr>
        <w:lastRenderedPageBreak/>
        <w:t>37A</w:t>
      </w:r>
      <w:r>
        <w:rPr>
          <w:snapToGrid w:val="0"/>
        </w:rPr>
        <w:t>.</w:t>
      </w:r>
      <w:r>
        <w:rPr>
          <w:snapToGrid w:val="0"/>
        </w:rPr>
        <w:tab/>
        <w:t>Permit for 2 or more blocks may be divided into 2 or more permits</w:t>
      </w:r>
      <w:bookmarkEnd w:id="64"/>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keepNext/>
        <w:rPr>
          <w:snapToGrid w:val="0"/>
        </w:rPr>
      </w:pPr>
      <w:r>
        <w:rPr>
          <w:snapToGrid w:val="0"/>
        </w:rPr>
        <w:lastRenderedPageBreak/>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No. 28 of 1994 s. 13; amended: No. 35 of 2007 s. 25.]</w:t>
      </w:r>
    </w:p>
    <w:p>
      <w:pPr>
        <w:pStyle w:val="Heading5"/>
      </w:pPr>
      <w:bookmarkStart w:id="65" w:name="_Toc166680679"/>
      <w:r>
        <w:rPr>
          <w:rStyle w:val="CharSectno"/>
        </w:rPr>
        <w:t>37B</w:t>
      </w:r>
      <w:r>
        <w:t>.</w:t>
      </w:r>
      <w:r>
        <w:tab/>
        <w:t>Grant of boundary-change permit</w:t>
      </w:r>
      <w:bookmarkEnd w:id="65"/>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lastRenderedPageBreak/>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 that are in the offshore area; and</w:t>
      </w:r>
    </w:p>
    <w:p>
      <w:pPr>
        <w:pStyle w:val="Indenti"/>
      </w:pPr>
      <w:r>
        <w:lastRenderedPageBreak/>
        <w:tab/>
        <w:t>(ii)</w:t>
      </w:r>
      <w:r>
        <w:tab/>
        <w:t>otherwise than as the result of the cancellation or surrender of the Commonwealth permit.</w:t>
      </w:r>
    </w:p>
    <w:p>
      <w:pPr>
        <w:pStyle w:val="Subsection"/>
      </w:pPr>
      <w:r>
        <w:tab/>
        <w:t>(4)</w:t>
      </w:r>
      <w:r>
        <w:tab/>
        <w:t xml:space="preserve">The conditions mentioned in subsection (2)(c)(ii) are — </w:t>
      </w:r>
    </w:p>
    <w:p>
      <w:pPr>
        <w:pStyle w:val="Indenta"/>
      </w:pPr>
      <w:r>
        <w:tab/>
        <w:t>(a)</w:t>
      </w:r>
      <w:r>
        <w:tab/>
        <w:t>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covered by paragraph (a); and</w:t>
      </w:r>
    </w:p>
    <w:p>
      <w:pPr>
        <w:pStyle w:val="Indenti"/>
      </w:pPr>
      <w:r>
        <w:tab/>
        <w:t>(ii)</w:t>
      </w:r>
      <w:r>
        <w:tab/>
        <w:t>are in the inshore area; and</w:t>
      </w:r>
    </w:p>
    <w:p>
      <w:pPr>
        <w:pStyle w:val="Indenti"/>
      </w:pPr>
      <w:r>
        <w:lastRenderedPageBreak/>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permit immediately before the change; and</w:t>
      </w:r>
    </w:p>
    <w:p>
      <w:pPr>
        <w:pStyle w:val="Indenti"/>
      </w:pPr>
      <w:r>
        <w:tab/>
        <w:t>(ii)</w:t>
      </w:r>
      <w:r>
        <w:tab/>
        <w:t>are in the inshore area; and</w:t>
      </w:r>
    </w:p>
    <w:p>
      <w:pPr>
        <w:pStyle w:val="Indenti"/>
      </w:pPr>
      <w:r>
        <w:lastRenderedPageBreak/>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27 block that was covered by the Commonwealth permit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Subsection"/>
      </w:pPr>
      <w:r>
        <w:tab/>
        <w:t>(9)</w:t>
      </w:r>
      <w:r>
        <w:tab/>
        <w:t>An assumption in subsection (5)(a) or (6)(a) does not affect subsection (8).</w:t>
      </w:r>
    </w:p>
    <w:p>
      <w:pPr>
        <w:pStyle w:val="Footnotesection"/>
      </w:pPr>
      <w:r>
        <w:tab/>
        <w:t>[Section 37B inserted: No. 7 of 2017 s. 8.]</w:t>
      </w:r>
    </w:p>
    <w:p>
      <w:pPr>
        <w:pStyle w:val="Heading5"/>
        <w:pageBreakBefore/>
        <w:spacing w:before="0"/>
        <w:rPr>
          <w:snapToGrid w:val="0"/>
        </w:rPr>
      </w:pPr>
      <w:bookmarkStart w:id="66" w:name="_Toc166680680"/>
      <w:r>
        <w:rPr>
          <w:rStyle w:val="CharSectno"/>
        </w:rPr>
        <w:lastRenderedPageBreak/>
        <w:t>38</w:t>
      </w:r>
      <w:r>
        <w:rPr>
          <w:snapToGrid w:val="0"/>
        </w:rPr>
        <w:t>.</w:t>
      </w:r>
      <w:r>
        <w:rPr>
          <w:snapToGrid w:val="0"/>
        </w:rPr>
        <w:tab/>
        <w:t>Rights conferred by permit</w:t>
      </w:r>
      <w:bookmarkEnd w:id="66"/>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No. 13 of 2005 s. 16(2); No. 35 of 2007 s. 26.]</w:t>
      </w:r>
    </w:p>
    <w:p>
      <w:pPr>
        <w:pStyle w:val="Heading5"/>
        <w:rPr>
          <w:snapToGrid w:val="0"/>
        </w:rPr>
      </w:pPr>
      <w:bookmarkStart w:id="67" w:name="_Toc166680681"/>
      <w:r>
        <w:rPr>
          <w:rStyle w:val="CharSectno"/>
        </w:rPr>
        <w:t>39</w:t>
      </w:r>
      <w:r>
        <w:rPr>
          <w:snapToGrid w:val="0"/>
        </w:rPr>
        <w:t>.</w:t>
      </w:r>
      <w:r>
        <w:rPr>
          <w:snapToGrid w:val="0"/>
        </w:rPr>
        <w:tab/>
        <w:t>Term of permit</w:t>
      </w:r>
      <w:bookmarkEnd w:id="67"/>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pPr>
      <w:r>
        <w:lastRenderedPageBreak/>
        <w:tab/>
        <w:t>(1A)</w:t>
      </w:r>
      <w:r>
        <w:tab/>
        <w:t>Subject to this Part, a boundary-change permit granted under section 37B(5) remains in force for a period of 5 years commencing on the day on which the permit is granted.</w:t>
      </w:r>
    </w:p>
    <w:p>
      <w:pPr>
        <w:pStyle w:val="Subsection"/>
      </w:pPr>
      <w:r>
        <w:tab/>
        <w:t>(1B)</w:t>
      </w:r>
      <w:r>
        <w:tab/>
        <w:t>Subject to this Part, a boundary-change permit granted under section 37B(6) remains in force for a period of 12 months commencing on the day on which the permit is granted.</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No. 12 of 1990 s. 26; No. 28 of 1994 s. 14; No. 42 of 2010 s. 15; No. 7 of 2017 s. 9.]</w:t>
      </w:r>
    </w:p>
    <w:p>
      <w:pPr>
        <w:pStyle w:val="Heading5"/>
        <w:pageBreakBefore/>
        <w:spacing w:before="0"/>
        <w:rPr>
          <w:snapToGrid w:val="0"/>
        </w:rPr>
      </w:pPr>
      <w:bookmarkStart w:id="68" w:name="_Toc166680682"/>
      <w:r>
        <w:rPr>
          <w:rStyle w:val="CharSectno"/>
        </w:rPr>
        <w:lastRenderedPageBreak/>
        <w:t>40</w:t>
      </w:r>
      <w:r>
        <w:rPr>
          <w:snapToGrid w:val="0"/>
        </w:rPr>
        <w:t>.</w:t>
      </w:r>
      <w:r>
        <w:rPr>
          <w:snapToGrid w:val="0"/>
        </w:rPr>
        <w:tab/>
        <w:t>Application for renewal of permit</w:t>
      </w:r>
      <w:bookmarkEnd w:id="68"/>
    </w:p>
    <w:p>
      <w:pPr>
        <w:pStyle w:val="Subsection"/>
        <w:rPr>
          <w:snapToGrid w:val="0"/>
        </w:rPr>
      </w:pPr>
      <w:r>
        <w:rPr>
          <w:snapToGrid w:val="0"/>
        </w:rPr>
        <w:tab/>
        <w:t>(1)</w:t>
      </w:r>
      <w:r>
        <w:rPr>
          <w:snapToGrid w:val="0"/>
        </w:rPr>
        <w:tab/>
        <w:t xml:space="preserve">Subject to </w:t>
      </w:r>
      <w:r>
        <w:t xml:space="preserve">sections 41, 42A and 42B,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ind w:left="890" w:hanging="890"/>
      </w:pPr>
      <w:r>
        <w:tab/>
        <w:t>[Section 40 amended: No. 69 of 1981 s. 34; No. 12 of 1990 s. 27; No. 42 of 2010 s. 16; No. 7 of 2017 s. 10.]</w:t>
      </w:r>
    </w:p>
    <w:p>
      <w:pPr>
        <w:pStyle w:val="Heading5"/>
        <w:spacing w:before="240"/>
        <w:rPr>
          <w:snapToGrid w:val="0"/>
        </w:rPr>
      </w:pPr>
      <w:bookmarkStart w:id="69" w:name="_Toc166680683"/>
      <w:r>
        <w:rPr>
          <w:rStyle w:val="CharSectno"/>
        </w:rPr>
        <w:t>41</w:t>
      </w:r>
      <w:r>
        <w:rPr>
          <w:snapToGrid w:val="0"/>
        </w:rPr>
        <w:t>.</w:t>
      </w:r>
      <w:r>
        <w:rPr>
          <w:snapToGrid w:val="0"/>
        </w:rPr>
        <w:tab/>
        <w:t>Application for renewal of permit to be in respect of reduced area</w:t>
      </w:r>
      <w:bookmarkEnd w:id="69"/>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keepNext/>
        <w:keepLines/>
        <w:rPr>
          <w:snapToGrid w:val="0"/>
        </w:rPr>
      </w:pPr>
      <w:r>
        <w:rPr>
          <w:snapToGrid w:val="0"/>
        </w:rPr>
        <w:lastRenderedPageBreak/>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inshore area; and</w:t>
      </w:r>
    </w:p>
    <w:p>
      <w:pPr>
        <w:pStyle w:val="Indenta"/>
      </w:pPr>
      <w:r>
        <w:lastRenderedPageBreak/>
        <w:tab/>
        <w:t>(b)</w:t>
      </w:r>
      <w:r>
        <w:tab/>
        <w:t xml:space="preserve">as a result of a change to the boundary of the offshore area, the relevant area — </w:t>
      </w:r>
    </w:p>
    <w:p>
      <w:pPr>
        <w:pStyle w:val="Indenti"/>
      </w:pPr>
      <w:r>
        <w:tab/>
        <w:t>(i)</w:t>
      </w:r>
      <w:r>
        <w:tab/>
        <w:t>ceased to be within the inshore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11 comes into operation.</w:t>
      </w:r>
    </w:p>
    <w:p>
      <w:pPr>
        <w:pStyle w:val="Footnotesection"/>
        <w:ind w:left="890" w:hanging="890"/>
      </w:pPr>
      <w:r>
        <w:tab/>
        <w:t>[Section 41 amended: No. 12 of 1990 s. 28; No. 28 of 1994 s. 15; No. 42 of 2010 s. 17; No. 7 of 2017 s. 11.]</w:t>
      </w:r>
    </w:p>
    <w:p>
      <w:pPr>
        <w:pStyle w:val="Heading5"/>
        <w:spacing w:before="240"/>
      </w:pPr>
      <w:bookmarkStart w:id="70" w:name="_Toc166680684"/>
      <w:r>
        <w:rPr>
          <w:rStyle w:val="CharSectno"/>
        </w:rPr>
        <w:t>42A</w:t>
      </w:r>
      <w:r>
        <w:t>.</w:t>
      </w:r>
      <w:r>
        <w:tab/>
        <w:t>Certain permits cannot be renewed more than twice</w:t>
      </w:r>
      <w:bookmarkEnd w:id="70"/>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lastRenderedPageBreak/>
        <w:tab/>
        <w:t>(b)</w:t>
      </w:r>
      <w:r>
        <w:tab/>
        <w:t>the permit was granted under section 37 on or after the commencement day.</w:t>
      </w:r>
    </w:p>
    <w:p>
      <w:pPr>
        <w:pStyle w:val="Subsection"/>
        <w:keepNext/>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No. 42 of 2010 s. 18.]</w:t>
      </w:r>
    </w:p>
    <w:p>
      <w:pPr>
        <w:pStyle w:val="Heading5"/>
      </w:pPr>
      <w:bookmarkStart w:id="71" w:name="_Toc166680685"/>
      <w:r>
        <w:rPr>
          <w:rStyle w:val="CharSectno"/>
        </w:rPr>
        <w:t>42B</w:t>
      </w:r>
      <w:r>
        <w:t>.</w:t>
      </w:r>
      <w:r>
        <w:tab/>
        <w:t>Limits on renewal of boundary-change permits</w:t>
      </w:r>
      <w:bookmarkEnd w:id="71"/>
    </w:p>
    <w:p>
      <w:pPr>
        <w:pStyle w:val="Subsection"/>
      </w:pPr>
      <w:r>
        <w:tab/>
        <w:t>(1)</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otherwise than by way of renewal,</w:t>
      </w:r>
    </w:p>
    <w:p>
      <w:pPr>
        <w:pStyle w:val="Subsection"/>
      </w:pPr>
      <w:r>
        <w:tab/>
      </w:r>
      <w:r>
        <w:tab/>
        <w:t xml:space="preserve">then — </w:t>
      </w:r>
    </w:p>
    <w:p>
      <w:pPr>
        <w:pStyle w:val="Indenta"/>
      </w:pPr>
      <w:r>
        <w:tab/>
        <w:t>(c)</w:t>
      </w:r>
      <w:r>
        <w:tab/>
        <w:t>section 41 applies to an application for the renewal of the boundary-change permit; and</w:t>
      </w:r>
    </w:p>
    <w:p>
      <w:pPr>
        <w:pStyle w:val="Indenta"/>
      </w:pPr>
      <w:r>
        <w:tab/>
        <w:t>(d)</w:t>
      </w:r>
      <w:r>
        <w:tab/>
        <w:t>an application must not be made for the renewal of the boundary-change permit if the Minister has previously granted a renewal of the permit.</w:t>
      </w:r>
    </w:p>
    <w:p>
      <w:pPr>
        <w:pStyle w:val="Subsection"/>
      </w:pPr>
      <w:r>
        <w:tab/>
        <w:t>(2)</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by way of renewal,</w:t>
      </w:r>
    </w:p>
    <w:p>
      <w:pPr>
        <w:pStyle w:val="Subsection"/>
      </w:pPr>
      <w:r>
        <w:tab/>
      </w:r>
      <w:r>
        <w:tab/>
        <w:t>an application must not be made for the renewal of the boundary-change permit.</w:t>
      </w:r>
    </w:p>
    <w:p>
      <w:pPr>
        <w:pStyle w:val="Subsection"/>
      </w:pPr>
      <w:r>
        <w:lastRenderedPageBreak/>
        <w:tab/>
        <w:t>(3)</w:t>
      </w:r>
      <w:r>
        <w:tab/>
        <w:t>If a boundary-change permit is granted under section 37B(6), an application must not be made for the renewal of the permit.</w:t>
      </w:r>
    </w:p>
    <w:p>
      <w:pPr>
        <w:pStyle w:val="Footnotesection"/>
      </w:pPr>
      <w:r>
        <w:tab/>
        <w:t>[Section 42B inserted: No. 7 of 2017 s. 12.]</w:t>
      </w:r>
    </w:p>
    <w:p>
      <w:pPr>
        <w:pStyle w:val="Heading5"/>
        <w:rPr>
          <w:snapToGrid w:val="0"/>
        </w:rPr>
      </w:pPr>
      <w:bookmarkStart w:id="72" w:name="_Toc166680686"/>
      <w:r>
        <w:rPr>
          <w:rStyle w:val="CharSectno"/>
        </w:rPr>
        <w:t>42</w:t>
      </w:r>
      <w:r>
        <w:rPr>
          <w:snapToGrid w:val="0"/>
        </w:rPr>
        <w:t>.</w:t>
      </w:r>
      <w:r>
        <w:rPr>
          <w:snapToGrid w:val="0"/>
        </w:rPr>
        <w:tab/>
        <w:t>Grant or refusal of renewal of permit</w:t>
      </w:r>
      <w:bookmarkEnd w:id="72"/>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lastRenderedPageBreak/>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tabs>
          <w:tab w:val="left" w:pos="2835"/>
        </w:tabs>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keepLines/>
        <w:rPr>
          <w:snapToGrid w:val="0"/>
        </w:rPr>
      </w:pPr>
      <w:r>
        <w:rPr>
          <w:snapToGrid w:val="0"/>
        </w:rPr>
        <w:lastRenderedPageBreak/>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spacing w:before="120"/>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No. 28 of 1994 s. 16.]</w:t>
      </w:r>
    </w:p>
    <w:p>
      <w:pPr>
        <w:pStyle w:val="Heading5"/>
        <w:spacing w:before="180"/>
        <w:rPr>
          <w:snapToGrid w:val="0"/>
        </w:rPr>
      </w:pPr>
      <w:bookmarkStart w:id="73" w:name="_Toc166680687"/>
      <w:r>
        <w:rPr>
          <w:rStyle w:val="CharSectno"/>
        </w:rPr>
        <w:t>43</w:t>
      </w:r>
      <w:r>
        <w:rPr>
          <w:snapToGrid w:val="0"/>
        </w:rPr>
        <w:t>.</w:t>
      </w:r>
      <w:r>
        <w:rPr>
          <w:snapToGrid w:val="0"/>
        </w:rPr>
        <w:tab/>
        <w:t>Conditions of permit</w:t>
      </w:r>
      <w:bookmarkEnd w:id="73"/>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boundary-change permit.</w:t>
      </w:r>
    </w:p>
    <w:p>
      <w:pPr>
        <w:pStyle w:val="Subsection"/>
        <w:rPr>
          <w:snapToGrid w:val="0"/>
        </w:rPr>
      </w:pPr>
      <w:r>
        <w:rPr>
          <w:snapToGrid w:val="0"/>
        </w:rPr>
        <w:tab/>
        <w:t>(2)</w:t>
      </w:r>
      <w:r>
        <w:rPr>
          <w:snapToGrid w:val="0"/>
        </w:rPr>
        <w:tab/>
        <w:t xml:space="preserve">The conditions referred to in subsection (1) may include conditions with respect to work to be carried out by the permittee in or in relation to the permit area during the term of the permit, or amounts to be expended by the permittee in the </w:t>
      </w:r>
      <w:r>
        <w:rPr>
          <w:snapToGrid w:val="0"/>
        </w:rPr>
        <w:lastRenderedPageBreak/>
        <w:t>carrying out of such work, or conditions with respect to both of those matters, including conditions requiring the permittee to comply with directions given in accordance with the permit concerning those matters.</w:t>
      </w:r>
    </w:p>
    <w:p>
      <w:pPr>
        <w:pStyle w:val="Subsection"/>
      </w:pPr>
      <w:r>
        <w:tab/>
        <w:t>(3)</w:t>
      </w:r>
      <w:r>
        <w:tab/>
        <w:t>The Minister may, by written notice given to the permittee, vary a boundary-change permit by imposing one or more conditions to which the permit is subject.</w:t>
      </w:r>
    </w:p>
    <w:p>
      <w:pPr>
        <w:pStyle w:val="Subsection"/>
      </w:pPr>
      <w:r>
        <w:tab/>
        <w:t>(4)</w:t>
      </w:r>
      <w:r>
        <w:tab/>
        <w:t>A notice under subsection (3) may only be given within 14 days after the grant of the boundary-change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when a boundary-change permit is granted, the relevant Commonwealth permit that ceases to be in force, as mentioned in section 37B(3)(b) or (4)(b), is of a kind that corresponds to a petroleum exploration permit granted under section 32(4) or 37, any or all of the conditions mentioned in subsection (7) may be specified in — </w:t>
      </w:r>
    </w:p>
    <w:p>
      <w:pPr>
        <w:pStyle w:val="Indenta"/>
      </w:pPr>
      <w:r>
        <w:tab/>
        <w:t>(a)</w:t>
      </w:r>
      <w:r>
        <w:tab/>
        <w:t>the boundary-change permit; or</w:t>
      </w:r>
    </w:p>
    <w:p>
      <w:pPr>
        <w:pStyle w:val="Indenta"/>
      </w:pPr>
      <w:r>
        <w:tab/>
        <w:t>(b)</w:t>
      </w:r>
      <w:r>
        <w:tab/>
        <w:t>a permit granted by way of the renewal of the boundary-change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keepNext/>
      </w:pPr>
      <w:r>
        <w:lastRenderedPageBreak/>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boundary-change permit is granted; and</w:t>
      </w:r>
    </w:p>
    <w:p>
      <w:pPr>
        <w:pStyle w:val="Indenta"/>
      </w:pPr>
      <w:r>
        <w:tab/>
        <w:t>(b)</w:t>
      </w:r>
      <w:r>
        <w:tab/>
        <w:t>the relevant Commonwealth permit that ceases to be in force, as mentioned in section 37B(3)(b) or (4)(b), is a 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boundary-change permit; or</w:t>
      </w:r>
    </w:p>
    <w:p>
      <w:pPr>
        <w:pStyle w:val="Indenta"/>
      </w:pPr>
      <w:r>
        <w:tab/>
        <w:t>(d)</w:t>
      </w:r>
      <w:r>
        <w:tab/>
        <w:t>a permit granted by way of the renewal of the boundary-change permit.</w:t>
      </w:r>
    </w:p>
    <w:p>
      <w:pPr>
        <w:pStyle w:val="Subsection"/>
      </w:pPr>
      <w:r>
        <w:tab/>
        <w:t>(10)</w:t>
      </w:r>
      <w:r>
        <w:tab/>
        <w:t xml:space="preserve">The following conditions are specified for the purposes of subsection (9) — </w:t>
      </w:r>
    </w:p>
    <w:p>
      <w:pPr>
        <w:pStyle w:val="Indenta"/>
      </w:pPr>
      <w:r>
        <w:tab/>
        <w:t>(a)</w:t>
      </w:r>
      <w:r>
        <w:tab/>
        <w:t xml:space="preserve">conditions requiring the permittee to carry out work in, or in relation to, the permit area; </w:t>
      </w:r>
    </w:p>
    <w:p>
      <w:pPr>
        <w:pStyle w:val="Indenta"/>
      </w:pPr>
      <w:r>
        <w:tab/>
        <w:t>(b)</w:t>
      </w:r>
      <w:r>
        <w:tab/>
        <w:t>conditions requiring the permittee to spend particular amounts on the carrying out of work in, or in relation to, the permit area.</w:t>
      </w:r>
    </w:p>
    <w:p>
      <w:pPr>
        <w:pStyle w:val="Footnotesection"/>
      </w:pPr>
      <w:r>
        <w:tab/>
        <w:t>[Section 43 amended: No. 12 of 1990 s. 29; No. 7 of 2017 s. 13.]</w:t>
      </w:r>
    </w:p>
    <w:p>
      <w:pPr>
        <w:pStyle w:val="Heading5"/>
        <w:rPr>
          <w:snapToGrid w:val="0"/>
        </w:rPr>
      </w:pPr>
      <w:bookmarkStart w:id="74" w:name="_Toc166680688"/>
      <w:r>
        <w:rPr>
          <w:rStyle w:val="CharSectno"/>
        </w:rPr>
        <w:lastRenderedPageBreak/>
        <w:t>43A</w:t>
      </w:r>
      <w:r>
        <w:rPr>
          <w:snapToGrid w:val="0"/>
        </w:rPr>
        <w:t>.</w:t>
      </w:r>
      <w:r>
        <w:rPr>
          <w:snapToGrid w:val="0"/>
        </w:rPr>
        <w:tab/>
        <w:t>Advertisement of blocks for drilling reservations</w:t>
      </w:r>
      <w:bookmarkEnd w:id="74"/>
    </w:p>
    <w:p>
      <w:pPr>
        <w:pStyle w:val="Subsection"/>
        <w:keepNext/>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No. 78 of 1990 s. 6; amended: No. 28 of 1994 s. 17; No. 35 of 2007 s. 27.]</w:t>
      </w:r>
    </w:p>
    <w:p>
      <w:pPr>
        <w:pStyle w:val="Heading5"/>
        <w:rPr>
          <w:snapToGrid w:val="0"/>
        </w:rPr>
      </w:pPr>
      <w:bookmarkStart w:id="75" w:name="_Toc166680689"/>
      <w:r>
        <w:rPr>
          <w:rStyle w:val="CharSectno"/>
        </w:rPr>
        <w:t>43B</w:t>
      </w:r>
      <w:r>
        <w:rPr>
          <w:snapToGrid w:val="0"/>
        </w:rPr>
        <w:t>.</w:t>
      </w:r>
      <w:r>
        <w:rPr>
          <w:snapToGrid w:val="0"/>
        </w:rPr>
        <w:tab/>
        <w:t>Application for drilling reservation</w:t>
      </w:r>
      <w:bookmarkEnd w:id="75"/>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lastRenderedPageBreak/>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lastRenderedPageBreak/>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ind w:left="890" w:hanging="890"/>
      </w:pPr>
      <w:r>
        <w:tab/>
        <w:t>[Section 43B inserted: No. 78 of 1990 s. 6; amended: No. 28 of 1994 s. 18; No. 35 of 2007 s. 28; No. 42 of 2010 s. 19.]</w:t>
      </w:r>
    </w:p>
    <w:p>
      <w:pPr>
        <w:pStyle w:val="Heading5"/>
      </w:pPr>
      <w:bookmarkStart w:id="76" w:name="_Toc166680690"/>
      <w:r>
        <w:rPr>
          <w:rStyle w:val="CharSectno"/>
        </w:rPr>
        <w:t>43CA</w:t>
      </w:r>
      <w:r>
        <w:t>.</w:t>
      </w:r>
      <w:r>
        <w:tab/>
        <w:t>More than one drilling reservation application for same block or blocks</w:t>
      </w:r>
      <w:bookmarkEnd w:id="76"/>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 xml:space="preserve">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w:t>
      </w:r>
      <w:r>
        <w:lastRenderedPageBreak/>
        <w:t>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No. 42 of 2010 s. 20.]</w:t>
      </w:r>
    </w:p>
    <w:p>
      <w:pPr>
        <w:pStyle w:val="Heading5"/>
        <w:rPr>
          <w:snapToGrid w:val="0"/>
        </w:rPr>
      </w:pPr>
      <w:bookmarkStart w:id="77" w:name="_Toc166680691"/>
      <w:r>
        <w:rPr>
          <w:rStyle w:val="CharSectno"/>
        </w:rPr>
        <w:t>43C</w:t>
      </w:r>
      <w:r>
        <w:rPr>
          <w:snapToGrid w:val="0"/>
        </w:rPr>
        <w:t>.</w:t>
      </w:r>
      <w:r>
        <w:rPr>
          <w:snapToGrid w:val="0"/>
        </w:rPr>
        <w:tab/>
        <w:t>Grant or refusal in relation to applications for drilling reservations</w:t>
      </w:r>
      <w:bookmarkEnd w:id="77"/>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 xml:space="preserve">mentioned period of one month, allows, </w:t>
      </w:r>
      <w:r>
        <w:rPr>
          <w:snapToGrid w:val="0"/>
        </w:rPr>
        <w:lastRenderedPageBreak/>
        <w:t>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No. 78 of 1990 s. 6; amended: No. 28 of 1994 s. 19.]</w:t>
      </w:r>
    </w:p>
    <w:p>
      <w:pPr>
        <w:pStyle w:val="Heading5"/>
        <w:spacing w:before="180"/>
      </w:pPr>
      <w:bookmarkStart w:id="78" w:name="_Toc166680692"/>
      <w:r>
        <w:rPr>
          <w:rStyle w:val="CharSectno"/>
        </w:rPr>
        <w:t>43DA</w:t>
      </w:r>
      <w:r>
        <w:t>.</w:t>
      </w:r>
      <w:r>
        <w:tab/>
        <w:t>Withdrawal of application</w:t>
      </w:r>
      <w:bookmarkEnd w:id="78"/>
    </w:p>
    <w:p>
      <w:pPr>
        <w:pStyle w:val="Subsection"/>
        <w:keepNext/>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No. 42 of 2010 s. 21.]</w:t>
      </w:r>
    </w:p>
    <w:p>
      <w:pPr>
        <w:pStyle w:val="Heading5"/>
        <w:spacing w:before="180"/>
      </w:pPr>
      <w:bookmarkStart w:id="79" w:name="_Toc166680693"/>
      <w:r>
        <w:rPr>
          <w:rStyle w:val="CharSectno"/>
        </w:rPr>
        <w:t>43DB</w:t>
      </w:r>
      <w:r>
        <w:t>.</w:t>
      </w:r>
      <w:r>
        <w:tab/>
        <w:t>Application continued after withdrawal of joint applicant</w:t>
      </w:r>
      <w:bookmarkEnd w:id="79"/>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 xml:space="preserve">all of the joint applicants, by written notice served on the Minister, inform the Minister that one or more, but not </w:t>
      </w:r>
      <w:r>
        <w:lastRenderedPageBreak/>
        <w:t>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ind w:left="890" w:hanging="890"/>
      </w:pPr>
      <w:r>
        <w:tab/>
        <w:t>[Section 43DB inserted: No. 42 of 2010 s. 21.]</w:t>
      </w:r>
    </w:p>
    <w:p>
      <w:pPr>
        <w:pStyle w:val="Heading5"/>
      </w:pPr>
      <w:bookmarkStart w:id="80" w:name="_Toc166680694"/>
      <w:r>
        <w:rPr>
          <w:rStyle w:val="CharSectno"/>
        </w:rPr>
        <w:t>43DC</w:t>
      </w:r>
      <w:r>
        <w:t>.</w:t>
      </w:r>
      <w:r>
        <w:tab/>
        <w:t>Effect of withdrawal or lapse of s. 43A application</w:t>
      </w:r>
      <w:bookmarkEnd w:id="80"/>
    </w:p>
    <w:p>
      <w:pPr>
        <w:pStyle w:val="Subsection"/>
        <w:keepNext/>
      </w:pPr>
      <w:r>
        <w:tab/>
      </w:r>
      <w:r>
        <w:tab/>
        <w:t xml:space="preserve">If — </w:t>
      </w:r>
    </w:p>
    <w:p>
      <w:pPr>
        <w:pStyle w:val="Indenta"/>
      </w:pPr>
      <w:r>
        <w:tab/>
        <w:t>(a)</w:t>
      </w:r>
      <w:r>
        <w:tab/>
        <w:t>2 or more applications have been made under section 43A for the grant of a drilling reservation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keepLines/>
      </w:pPr>
      <w:r>
        <w:lastRenderedPageBreak/>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No. 42 of 2010 s. 21.]</w:t>
      </w:r>
    </w:p>
    <w:p>
      <w:pPr>
        <w:pStyle w:val="Heading5"/>
        <w:rPr>
          <w:snapToGrid w:val="0"/>
        </w:rPr>
      </w:pPr>
      <w:bookmarkStart w:id="81" w:name="_Toc166680695"/>
      <w:r>
        <w:rPr>
          <w:rStyle w:val="CharSectno"/>
        </w:rPr>
        <w:t>43D</w:t>
      </w:r>
      <w:r>
        <w:rPr>
          <w:snapToGrid w:val="0"/>
        </w:rPr>
        <w:t>.</w:t>
      </w:r>
      <w:r>
        <w:rPr>
          <w:snapToGrid w:val="0"/>
        </w:rPr>
        <w:tab/>
        <w:t>Rights conferred by drilling reservation</w:t>
      </w:r>
      <w:bookmarkEnd w:id="81"/>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No. 78 of 1990 s. 6; amended: No. 13 of 2005 s. 16(2); No. 35 of 2007 s. 29.]</w:t>
      </w:r>
    </w:p>
    <w:p>
      <w:pPr>
        <w:pStyle w:val="Heading5"/>
        <w:rPr>
          <w:snapToGrid w:val="0"/>
        </w:rPr>
      </w:pPr>
      <w:bookmarkStart w:id="82" w:name="_Toc166680696"/>
      <w:r>
        <w:rPr>
          <w:rStyle w:val="CharSectno"/>
        </w:rPr>
        <w:lastRenderedPageBreak/>
        <w:t>43E</w:t>
      </w:r>
      <w:r>
        <w:rPr>
          <w:snapToGrid w:val="0"/>
        </w:rPr>
        <w:t>.</w:t>
      </w:r>
      <w:r>
        <w:rPr>
          <w:snapToGrid w:val="0"/>
        </w:rPr>
        <w:tab/>
        <w:t>Term of drilling reservation</w:t>
      </w:r>
      <w:bookmarkEnd w:id="82"/>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No. 78 of 1990 s. 6; amended: No. 17 of 1999 s. 25.]</w:t>
      </w:r>
    </w:p>
    <w:p>
      <w:pPr>
        <w:pStyle w:val="Heading5"/>
        <w:rPr>
          <w:snapToGrid w:val="0"/>
        </w:rPr>
      </w:pPr>
      <w:bookmarkStart w:id="83" w:name="_Toc166680697"/>
      <w:r>
        <w:rPr>
          <w:rStyle w:val="CharSectno"/>
        </w:rPr>
        <w:t>43F</w:t>
      </w:r>
      <w:r>
        <w:rPr>
          <w:snapToGrid w:val="0"/>
        </w:rPr>
        <w:t>.</w:t>
      </w:r>
      <w:r>
        <w:rPr>
          <w:snapToGrid w:val="0"/>
        </w:rPr>
        <w:tab/>
        <w:t>Extension of term of drilling reservation</w:t>
      </w:r>
      <w:bookmarkEnd w:id="83"/>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lastRenderedPageBreak/>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No. 78 of 1990 s. 6; amended: No. 28 of 1994 s. 20; No. 17 of 1999 s. 26(1)</w:t>
      </w:r>
      <w:r>
        <w:noBreakHyphen/>
        <w:t>(4).]</w:t>
      </w:r>
    </w:p>
    <w:p>
      <w:pPr>
        <w:pStyle w:val="Heading5"/>
        <w:spacing w:before="180"/>
        <w:rPr>
          <w:snapToGrid w:val="0"/>
        </w:rPr>
      </w:pPr>
      <w:bookmarkStart w:id="84" w:name="_Toc166680698"/>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84"/>
    </w:p>
    <w:p>
      <w:pPr>
        <w:pStyle w:val="Subsection"/>
        <w:spacing w:before="120"/>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lastRenderedPageBreak/>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spacing w:before="120"/>
      </w:pPr>
      <w:r>
        <w:tab/>
        <w:t>[(2)</w:t>
      </w:r>
      <w:r>
        <w:tab/>
        <w:t>deleted]</w:t>
      </w:r>
    </w:p>
    <w:p>
      <w:pPr>
        <w:pStyle w:val="Footnotesection"/>
      </w:pPr>
      <w:r>
        <w:tab/>
        <w:t>[Section 44 amended: No. 12 of 1990 s. 30; No. 78 of 1990 s. 7; No. 35 of 2007 s. 30; No. 42 of 2010 s. 22.]</w:t>
      </w:r>
    </w:p>
    <w:p>
      <w:pPr>
        <w:pStyle w:val="Ednotesection"/>
        <w:spacing w:before="180"/>
      </w:pPr>
      <w:r>
        <w:t>[</w:t>
      </w:r>
      <w:r>
        <w:rPr>
          <w:b/>
        </w:rPr>
        <w:t>45.</w:t>
      </w:r>
      <w:r>
        <w:tab/>
        <w:t>Deleted: No. 42 of 2010 s. 23.]</w:t>
      </w:r>
    </w:p>
    <w:p>
      <w:pPr>
        <w:pStyle w:val="Heading5"/>
        <w:spacing w:before="180"/>
        <w:rPr>
          <w:snapToGrid w:val="0"/>
        </w:rPr>
      </w:pPr>
      <w:bookmarkStart w:id="85" w:name="_Toc166680699"/>
      <w:r>
        <w:rPr>
          <w:rStyle w:val="CharSectno"/>
        </w:rPr>
        <w:t>46</w:t>
      </w:r>
      <w:r>
        <w:rPr>
          <w:snapToGrid w:val="0"/>
        </w:rPr>
        <w:t>.</w:t>
      </w:r>
      <w:r>
        <w:rPr>
          <w:snapToGrid w:val="0"/>
        </w:rPr>
        <w:tab/>
        <w:t>Nomination of blocks as location</w:t>
      </w:r>
      <w:bookmarkEnd w:id="85"/>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 xml:space="preserve">drilling reservation, the permittee or the holder of the drilling reservation, as the case requires, may nominate the block in which the pool is situated, or the blocks (being blocks </w:t>
      </w:r>
      <w:r>
        <w:rPr>
          <w:snapToGrid w:val="0"/>
        </w:rPr>
        <w:lastRenderedPageBreak/>
        <w:t>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lastRenderedPageBreak/>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lastRenderedPageBreak/>
        <w:tab/>
        <w:t>[Section 46 inserted: No. 12 of 1990 s. 32; amended: No. 78 of 1990 s. 7; No. 35 of 2007 s. 32 (correction to reprint: Gazette 23 Jun 2009 p. 2470).]</w:t>
      </w:r>
    </w:p>
    <w:p>
      <w:pPr>
        <w:pStyle w:val="Heading5"/>
        <w:rPr>
          <w:snapToGrid w:val="0"/>
        </w:rPr>
      </w:pPr>
      <w:bookmarkStart w:id="86" w:name="_Toc166680700"/>
      <w:r>
        <w:rPr>
          <w:rStyle w:val="CharSectno"/>
        </w:rPr>
        <w:t>47</w:t>
      </w:r>
      <w:r>
        <w:rPr>
          <w:snapToGrid w:val="0"/>
        </w:rPr>
        <w:t>.</w:t>
      </w:r>
      <w:r>
        <w:rPr>
          <w:snapToGrid w:val="0"/>
        </w:rPr>
        <w:tab/>
        <w:t>Declaration of location</w:t>
      </w:r>
      <w:bookmarkEnd w:id="86"/>
    </w:p>
    <w:p>
      <w:pPr>
        <w:pStyle w:val="Subsection"/>
      </w:pPr>
      <w:r>
        <w:tab/>
        <w:t>(1A)</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pPr>
      <w:r>
        <w:tab/>
        <w:t>(2A)</w:t>
      </w:r>
      <w:r>
        <w:tab/>
        <w:t xml:space="preserve">Subsection (2B) applies if — </w:t>
      </w:r>
    </w:p>
    <w:p>
      <w:pPr>
        <w:pStyle w:val="Indenta"/>
      </w:pPr>
      <w:r>
        <w:tab/>
        <w:t>(a)</w:t>
      </w:r>
      <w:r>
        <w:tab/>
        <w:t>a boundary-change permit is granted over one or more section 27 blocks; and</w:t>
      </w:r>
    </w:p>
    <w:p>
      <w:pPr>
        <w:pStyle w:val="Indenta"/>
      </w:pPr>
      <w:r>
        <w:lastRenderedPageBreak/>
        <w:tab/>
        <w:t>(b)</w:t>
      </w:r>
      <w:r>
        <w:tab/>
        <w:t>immediately before the grant,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(2B)</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grant.</w:t>
      </w:r>
    </w:p>
    <w:p>
      <w:pPr>
        <w:pStyle w:val="Subsection"/>
      </w:pPr>
      <w:r>
        <w:tab/>
        <w:t>(2C)</w:t>
      </w:r>
      <w:r>
        <w:tab/>
        <w:t xml:space="preserve">Subsection (2D) applies if — </w:t>
      </w:r>
    </w:p>
    <w:p>
      <w:pPr>
        <w:pStyle w:val="Indenta"/>
      </w:pPr>
      <w:r>
        <w:tab/>
        <w:t>(a)</w:t>
      </w:r>
      <w:r>
        <w:tab/>
        <w:t>a permit is varied under section 97A so as to include in the permit area one or more section 27 blocks; and</w:t>
      </w:r>
    </w:p>
    <w:p>
      <w:pPr>
        <w:pStyle w:val="Indenta"/>
      </w:pPr>
      <w:r>
        <w:tab/>
        <w:t>(b)</w:t>
      </w:r>
      <w:r>
        <w:tab/>
        <w:t>immediately before the variation,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(2D)</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variation.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 xml:space="preserve">adding to the location a block in the permit area or drilling reservation, as the case requires, to which, in the </w:t>
      </w:r>
      <w:r>
        <w:rPr>
          <w:snapToGrid w:val="0"/>
        </w:rPr>
        <w:lastRenderedPageBreak/>
        <w:t>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spacing w:before="120"/>
      </w:pPr>
      <w:r>
        <w:tab/>
        <w:t>(7)</w:t>
      </w:r>
      <w:r>
        <w:tab/>
        <w:t xml:space="preserve">The Minister may form an opinion for the purposes of this section if the Minister considers that there are reasonable grounds for forming the opinion having regard to any </w:t>
      </w:r>
      <w:r>
        <w:lastRenderedPageBreak/>
        <w:t>information in the Minister’s possession, whether provided by the permittee or otherwise.</w:t>
      </w:r>
    </w:p>
    <w:p>
      <w:pPr>
        <w:pStyle w:val="Footnotesection"/>
        <w:spacing w:before="80"/>
        <w:ind w:left="890" w:hanging="890"/>
      </w:pPr>
      <w:r>
        <w:tab/>
        <w:t>[Section 47 inserted: No. 12 of 1990 s. 32; amended: No. 78 of 1990 s. 7; No. 35 of 2007 s. 33; No. 42 of 2010 s. 24; No. 7 of 2017 s. 14.]</w:t>
      </w:r>
    </w:p>
    <w:p>
      <w:pPr>
        <w:pStyle w:val="Heading5"/>
        <w:spacing w:before="180"/>
        <w:rPr>
          <w:snapToGrid w:val="0"/>
        </w:rPr>
      </w:pPr>
      <w:bookmarkStart w:id="87" w:name="_Toc166680701"/>
      <w:r>
        <w:rPr>
          <w:rStyle w:val="CharSectno"/>
        </w:rPr>
        <w:t>48</w:t>
      </w:r>
      <w:r>
        <w:rPr>
          <w:snapToGrid w:val="0"/>
        </w:rPr>
        <w:t>.</w:t>
      </w:r>
      <w:r>
        <w:rPr>
          <w:snapToGrid w:val="0"/>
        </w:rPr>
        <w:tab/>
        <w:t>Immediately adjoining blocks</w:t>
      </w:r>
      <w:bookmarkEnd w:id="87"/>
    </w:p>
    <w:p>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No. 12 of 1990 s. 33.]</w:t>
      </w:r>
    </w:p>
    <w:p>
      <w:pPr>
        <w:pStyle w:val="Heading3"/>
      </w:pPr>
      <w:bookmarkStart w:id="88" w:name="_Toc166678735"/>
      <w:bookmarkStart w:id="89" w:name="_Toc166679139"/>
      <w:bookmarkStart w:id="90" w:name="_Toc166680702"/>
      <w:r>
        <w:rPr>
          <w:rStyle w:val="CharDivNo"/>
        </w:rPr>
        <w:t>Division 2A</w:t>
      </w:r>
      <w:r>
        <w:rPr>
          <w:snapToGrid w:val="0"/>
        </w:rPr>
        <w:t> — </w:t>
      </w:r>
      <w:r>
        <w:rPr>
          <w:rStyle w:val="CharDivText"/>
        </w:rPr>
        <w:t>Retention leases</w:t>
      </w:r>
      <w:bookmarkEnd w:id="88"/>
      <w:bookmarkEnd w:id="89"/>
      <w:bookmarkEnd w:id="90"/>
    </w:p>
    <w:p>
      <w:pPr>
        <w:pStyle w:val="Footnoteheading"/>
      </w:pPr>
      <w:r>
        <w:tab/>
        <w:t>[Heading inserted: No. 12 of 1990 s. 34; amended: No. 35 of 2007 s. 34.]</w:t>
      </w:r>
    </w:p>
    <w:p>
      <w:pPr>
        <w:pStyle w:val="Heading5"/>
        <w:spacing w:before="240"/>
        <w:rPr>
          <w:snapToGrid w:val="0"/>
        </w:rPr>
      </w:pPr>
      <w:bookmarkStart w:id="91" w:name="_Toc166680703"/>
      <w:r>
        <w:rPr>
          <w:rStyle w:val="CharSectno"/>
        </w:rPr>
        <w:t>48A</w:t>
      </w:r>
      <w:r>
        <w:rPr>
          <w:snapToGrid w:val="0"/>
        </w:rPr>
        <w:t>.</w:t>
      </w:r>
      <w:r>
        <w:rPr>
          <w:snapToGrid w:val="0"/>
        </w:rPr>
        <w:tab/>
        <w:t>Application by permittee or holder of drilling reservation for lease</w:t>
      </w:r>
      <w:bookmarkEnd w:id="91"/>
    </w:p>
    <w:p>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80"/>
      </w:pPr>
      <w:r>
        <w:tab/>
        <w:t>(1a)</w:t>
      </w:r>
      <w:r>
        <w:tab/>
        <w:t xml:space="preserve">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w:t>
      </w:r>
      <w:r>
        <w:lastRenderedPageBreak/>
        <w:t>geothermal retention lease in respect of that block, or in respect of one or more of those blocks, as the case may be.</w:t>
      </w:r>
    </w:p>
    <w:p>
      <w:pPr>
        <w:pStyle w:val="Subsection"/>
        <w:keepNext/>
        <w:spacing w:before="180"/>
        <w:rPr>
          <w:snapToGrid w:val="0"/>
        </w:rPr>
      </w:pPr>
      <w:r>
        <w:rPr>
          <w:snapToGrid w:val="0"/>
        </w:rPr>
        <w:tab/>
        <w:t>(2)</w:t>
      </w:r>
      <w:r>
        <w:rPr>
          <w:snapToGrid w:val="0"/>
        </w:rPr>
        <w:tab/>
        <w:t>An application under subsection (1) or (1a)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lastRenderedPageBreak/>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ind w:left="890" w:hanging="890"/>
      </w:pPr>
      <w:r>
        <w:tab/>
        <w:t>[Section 48A inserted: No. 12 of 1990 s. 34; amended: No. 78 of 1990 s. 7; No. 35 of 2007 s. 35; No. 42 of 2010 s. 25.]</w:t>
      </w:r>
    </w:p>
    <w:p>
      <w:pPr>
        <w:pStyle w:val="Heading5"/>
        <w:rPr>
          <w:snapToGrid w:val="0"/>
        </w:rPr>
      </w:pPr>
      <w:bookmarkStart w:id="92" w:name="_Toc166680704"/>
      <w:r>
        <w:rPr>
          <w:rStyle w:val="CharSectno"/>
        </w:rPr>
        <w:t>48B</w:t>
      </w:r>
      <w:r>
        <w:rPr>
          <w:snapToGrid w:val="0"/>
        </w:rPr>
        <w:t>.</w:t>
      </w:r>
      <w:r>
        <w:rPr>
          <w:snapToGrid w:val="0"/>
        </w:rPr>
        <w:tab/>
        <w:t>Grant or refusal of lease in relation to application</w:t>
      </w:r>
      <w:bookmarkEnd w:id="92"/>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lastRenderedPageBreak/>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keepNext/>
      </w:pPr>
      <w:r>
        <w:lastRenderedPageBreak/>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lastRenderedPageBreak/>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No. 12 of 1990 s. 34; amended: No. 78 of 1990 s. 7; No. 28 of 1994 s. 21; No. 35 of 2007 s. 36; No. 42 of 2010 s. 26.]</w:t>
      </w:r>
    </w:p>
    <w:p>
      <w:pPr>
        <w:pStyle w:val="Heading5"/>
        <w:rPr>
          <w:snapToGrid w:val="0"/>
        </w:rPr>
      </w:pPr>
      <w:bookmarkStart w:id="93" w:name="_Toc166680705"/>
      <w:r>
        <w:rPr>
          <w:rStyle w:val="CharSectno"/>
        </w:rPr>
        <w:t>48BA</w:t>
      </w:r>
      <w:r>
        <w:rPr>
          <w:snapToGrid w:val="0"/>
        </w:rPr>
        <w:t>.</w:t>
      </w:r>
      <w:r>
        <w:rPr>
          <w:snapToGrid w:val="0"/>
        </w:rPr>
        <w:tab/>
        <w:t>Application of s. 48A and 48B where permit is transferred</w:t>
      </w:r>
      <w:bookmarkEnd w:id="93"/>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No. 28 of 1994 s. 22; amended: No. 42 of 2010 s. 27.]</w:t>
      </w:r>
    </w:p>
    <w:p>
      <w:pPr>
        <w:pStyle w:val="Heading5"/>
      </w:pPr>
      <w:bookmarkStart w:id="94" w:name="_Toc166680706"/>
      <w:r>
        <w:rPr>
          <w:rStyle w:val="CharSectno"/>
        </w:rPr>
        <w:t>48CA</w:t>
      </w:r>
      <w:r>
        <w:t>.</w:t>
      </w:r>
      <w:r>
        <w:tab/>
        <w:t>Application by licensee for lease</w:t>
      </w:r>
      <w:bookmarkEnd w:id="94"/>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keepNext/>
      </w:pPr>
      <w:r>
        <w:lastRenderedPageBreak/>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2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20"/>
      </w:pPr>
      <w:r>
        <w:lastRenderedPageBreak/>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2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80"/>
        <w:ind w:left="890" w:hanging="890"/>
      </w:pPr>
      <w:r>
        <w:tab/>
        <w:t>[Section 48CA inserted: No. 42 of 2010 s. 28.]</w:t>
      </w:r>
    </w:p>
    <w:p>
      <w:pPr>
        <w:pStyle w:val="Heading5"/>
        <w:spacing w:before="180"/>
      </w:pPr>
      <w:bookmarkStart w:id="95" w:name="_Toc166680707"/>
      <w:r>
        <w:rPr>
          <w:rStyle w:val="CharSectno"/>
        </w:rPr>
        <w:t>48CB</w:t>
      </w:r>
      <w:r>
        <w:t>.</w:t>
      </w:r>
      <w:r>
        <w:tab/>
        <w:t>Grant or refusal of lease in relation to application by licensee</w:t>
      </w:r>
      <w:bookmarkEnd w:id="95"/>
    </w:p>
    <w:p>
      <w:pPr>
        <w:pStyle w:val="Subsection"/>
        <w:spacing w:before="120"/>
      </w:pPr>
      <w:r>
        <w:tab/>
        <w:t>(1)</w:t>
      </w:r>
      <w:r>
        <w:tab/>
        <w:t xml:space="preserve">If — </w:t>
      </w:r>
    </w:p>
    <w:p>
      <w:pPr>
        <w:pStyle w:val="Indenta"/>
      </w:pPr>
      <w:r>
        <w:tab/>
        <w:t>(a)</w:t>
      </w:r>
      <w:r>
        <w:tab/>
        <w:t>an application has been made under section 48CA(1); and</w:t>
      </w:r>
    </w:p>
    <w:p>
      <w:pPr>
        <w:pStyle w:val="Indenta"/>
      </w:pPr>
      <w:r>
        <w:lastRenderedPageBreak/>
        <w:tab/>
        <w:t>(b)</w:t>
      </w:r>
      <w:r>
        <w:tab/>
        <w:t>the applicant has given any further information as and when required by the Minister under section 48CA(6); and</w:t>
      </w:r>
    </w:p>
    <w:p>
      <w:pPr>
        <w:pStyle w:val="Indenta"/>
        <w:keepNext/>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keepNext/>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2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keepNext/>
      </w:pPr>
      <w:r>
        <w:lastRenderedPageBreak/>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spacing w:before="180"/>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spacing w:before="180"/>
      </w:pPr>
      <w:r>
        <w:lastRenderedPageBreak/>
        <w:tab/>
        <w:t>(8)</w:t>
      </w:r>
      <w:r>
        <w:tab/>
        <w:t>If the applicant does not make the request within the period applicable under subsection (6), the application lapses at the end of that period.</w:t>
      </w:r>
    </w:p>
    <w:p>
      <w:pPr>
        <w:pStyle w:val="Subsection"/>
        <w:spacing w:before="180"/>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No. 42 of 2010 s. 28.]</w:t>
      </w:r>
    </w:p>
    <w:p>
      <w:pPr>
        <w:pStyle w:val="Heading5"/>
        <w:spacing w:before="240"/>
      </w:pPr>
      <w:bookmarkStart w:id="96" w:name="_Toc166680708"/>
      <w:r>
        <w:rPr>
          <w:rStyle w:val="CharSectno"/>
        </w:rPr>
        <w:t>48CC</w:t>
      </w:r>
      <w:r>
        <w:t>.</w:t>
      </w:r>
      <w:r>
        <w:tab/>
        <w:t>Application of s. 48CA and 48CB if licence is transferred</w:t>
      </w:r>
      <w:bookmarkEnd w:id="96"/>
    </w:p>
    <w:p>
      <w:pPr>
        <w:pStyle w:val="Subsection"/>
        <w:spacing w:before="180"/>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spacing w:before="180"/>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No. 42 of 2010 s. 28.]</w:t>
      </w:r>
    </w:p>
    <w:p>
      <w:pPr>
        <w:pStyle w:val="Heading5"/>
      </w:pPr>
      <w:bookmarkStart w:id="97" w:name="_Toc166680709"/>
      <w:r>
        <w:rPr>
          <w:rStyle w:val="CharSectno"/>
        </w:rPr>
        <w:t>48CD</w:t>
      </w:r>
      <w:r>
        <w:t>.</w:t>
      </w:r>
      <w:r>
        <w:tab/>
        <w:t>Grant of petroleum retention lease as result of change to boundary of offshore area</w:t>
      </w:r>
      <w:bookmarkEnd w:id="97"/>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lease concerned — the graticular section; or</w:t>
      </w:r>
    </w:p>
    <w:p>
      <w:pPr>
        <w:pStyle w:val="Defpara"/>
      </w:pPr>
      <w:r>
        <w:lastRenderedPageBreak/>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lease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lastRenderedPageBreak/>
        <w:tab/>
        <w:t>(3)</w:t>
      </w:r>
      <w:r>
        <w:tab/>
        <w:t xml:space="preserve">The conditions mentioned in subsection (2)(c)(i) are — </w:t>
      </w:r>
    </w:p>
    <w:p>
      <w:pPr>
        <w:pStyle w:val="Indenta"/>
      </w:pPr>
      <w:r>
        <w:tab/>
        <w:t>(a)</w:t>
      </w:r>
      <w:r>
        <w:tab/>
        <w:t>one or more, but not 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petroleum retention lease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retention lease, see section 48D(2).</w:t>
      </w:r>
    </w:p>
    <w:p>
      <w:pPr>
        <w:pStyle w:val="Subsection"/>
      </w:pPr>
      <w:r>
        <w:lastRenderedPageBreak/>
        <w:tab/>
        <w:t>(6)</w:t>
      </w:r>
      <w:r>
        <w:tab/>
        <w:t xml:space="preserve">If, after the change to the boundary of the offshore area — </w:t>
      </w:r>
    </w:p>
    <w:p>
      <w:pPr>
        <w:pStyle w:val="Indenta"/>
      </w:pPr>
      <w:r>
        <w:tab/>
        <w:t>(a)</w:t>
      </w:r>
      <w:r>
        <w:tab/>
        <w:t>a part of a section 27 block that was covered by the Commonwealth lease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pPr>
      <w:r>
        <w:tab/>
        <w:t>[Section 48CD inserted: No. 7 of 2017 s. 15.]</w:t>
      </w:r>
    </w:p>
    <w:p>
      <w:pPr>
        <w:pStyle w:val="Heading5"/>
        <w:rPr>
          <w:snapToGrid w:val="0"/>
        </w:rPr>
      </w:pPr>
      <w:bookmarkStart w:id="98" w:name="_Toc166680710"/>
      <w:r>
        <w:rPr>
          <w:rStyle w:val="CharSectno"/>
        </w:rPr>
        <w:t>48C</w:t>
      </w:r>
      <w:r>
        <w:rPr>
          <w:snapToGrid w:val="0"/>
        </w:rPr>
        <w:t>.</w:t>
      </w:r>
      <w:r>
        <w:rPr>
          <w:snapToGrid w:val="0"/>
        </w:rPr>
        <w:tab/>
        <w:t>Rights conferred by lease</w:t>
      </w:r>
      <w:bookmarkEnd w:id="98"/>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keepNext/>
        <w:rPr>
          <w:snapToGrid w:val="0"/>
        </w:rPr>
      </w:pPr>
      <w:r>
        <w:tab/>
        <w:t>(c)</w:t>
      </w:r>
      <w:r>
        <w:tab/>
        <w:t>to carry on such operations and execute such works in the lease area as are necessary for those purposes.</w:t>
      </w:r>
    </w:p>
    <w:p>
      <w:pPr>
        <w:pStyle w:val="Footnotesection"/>
      </w:pPr>
      <w:r>
        <w:tab/>
        <w:t>[Section 48C inserted: No. 12 of 1990 s. 34; amended: No. 13 of 2005 s. 16(2); No. 35 of 2007 s. 37.]</w:t>
      </w:r>
    </w:p>
    <w:p>
      <w:pPr>
        <w:pStyle w:val="Heading5"/>
        <w:rPr>
          <w:snapToGrid w:val="0"/>
        </w:rPr>
      </w:pPr>
      <w:bookmarkStart w:id="99" w:name="_Toc166680711"/>
      <w:r>
        <w:rPr>
          <w:rStyle w:val="CharSectno"/>
        </w:rPr>
        <w:lastRenderedPageBreak/>
        <w:t>48D</w:t>
      </w:r>
      <w:r>
        <w:rPr>
          <w:snapToGrid w:val="0"/>
        </w:rPr>
        <w:t>.</w:t>
      </w:r>
      <w:r>
        <w:rPr>
          <w:snapToGrid w:val="0"/>
        </w:rPr>
        <w:tab/>
        <w:t>Term of lease</w:t>
      </w:r>
      <w:bookmarkEnd w:id="99"/>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petroleum retention lease granted under section 48CD)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petroleum retention lease granted under section 48CD remains in force for a period of 5 years commencing on the day on which the lease is granted.</w:t>
      </w:r>
    </w:p>
    <w:p>
      <w:pPr>
        <w:pStyle w:val="Footnotesection"/>
        <w:ind w:left="890" w:hanging="890"/>
      </w:pPr>
      <w:r>
        <w:tab/>
        <w:t>[Section 48D inserted: No. 12 of 1990 s. 34; amended: No. 7 of 2017 s. 16.]</w:t>
      </w:r>
    </w:p>
    <w:p>
      <w:pPr>
        <w:pStyle w:val="Heading5"/>
        <w:keepNext w:val="0"/>
        <w:keepLines w:val="0"/>
        <w:rPr>
          <w:snapToGrid w:val="0"/>
        </w:rPr>
      </w:pPr>
      <w:bookmarkStart w:id="100" w:name="_Toc166680712"/>
      <w:r>
        <w:rPr>
          <w:rStyle w:val="CharSectno"/>
        </w:rPr>
        <w:t>48E</w:t>
      </w:r>
      <w:r>
        <w:rPr>
          <w:snapToGrid w:val="0"/>
        </w:rPr>
        <w:t>.</w:t>
      </w:r>
      <w:r>
        <w:rPr>
          <w:snapToGrid w:val="0"/>
        </w:rPr>
        <w:tab/>
        <w:t>Notice of intention to cancel lease</w:t>
      </w:r>
      <w:bookmarkEnd w:id="10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lastRenderedPageBreak/>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lastRenderedPageBreak/>
        <w:tab/>
        <w:t>[Section 48E inserted: No. 12 of 1990 s. 34; amended: No. 35 of 2007 s. 38.]</w:t>
      </w:r>
    </w:p>
    <w:p>
      <w:pPr>
        <w:pStyle w:val="Heading5"/>
        <w:rPr>
          <w:snapToGrid w:val="0"/>
        </w:rPr>
      </w:pPr>
      <w:bookmarkStart w:id="101" w:name="_Toc166680713"/>
      <w:r>
        <w:rPr>
          <w:rStyle w:val="CharSectno"/>
        </w:rPr>
        <w:t>48F</w:t>
      </w:r>
      <w:r>
        <w:rPr>
          <w:snapToGrid w:val="0"/>
        </w:rPr>
        <w:t>.</w:t>
      </w:r>
      <w:r>
        <w:rPr>
          <w:snapToGrid w:val="0"/>
        </w:rPr>
        <w:tab/>
        <w:t>Application for renewal of lease</w:t>
      </w:r>
      <w:bookmarkEnd w:id="101"/>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 xml:space="preserve">Where an application has been made for the renewal of a lease, the Minister may, at any time, by instrument in writing served on the lessee, require the lessee to furnish, within the time </w:t>
      </w:r>
      <w:r>
        <w:rPr>
          <w:snapToGrid w:val="0"/>
        </w:rPr>
        <w:lastRenderedPageBreak/>
        <w:t>specified in the instrument, further information in writing in connection with the application.</w:t>
      </w:r>
    </w:p>
    <w:p>
      <w:pPr>
        <w:pStyle w:val="Footnotesection"/>
        <w:ind w:left="890" w:hanging="890"/>
      </w:pPr>
      <w:r>
        <w:tab/>
        <w:t>[Section 48F inserted: No. 12 of 1990 s. 34; amended: No. 28 of 1994 s. 23; No. 35 of 2007 s. 39; No. 42 of 2010 s. 29.]</w:t>
      </w:r>
    </w:p>
    <w:p>
      <w:pPr>
        <w:pStyle w:val="Heading5"/>
        <w:rPr>
          <w:snapToGrid w:val="0"/>
        </w:rPr>
      </w:pPr>
      <w:bookmarkStart w:id="102" w:name="_Toc166680714"/>
      <w:r>
        <w:rPr>
          <w:rStyle w:val="CharSectno"/>
        </w:rPr>
        <w:t>48G</w:t>
      </w:r>
      <w:r>
        <w:rPr>
          <w:snapToGrid w:val="0"/>
        </w:rPr>
        <w:t>.</w:t>
      </w:r>
      <w:r>
        <w:rPr>
          <w:snapToGrid w:val="0"/>
        </w:rPr>
        <w:tab/>
        <w:t>Grant or refusal of renewal of lease</w:t>
      </w:r>
      <w:bookmarkEnd w:id="102"/>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lastRenderedPageBreak/>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keepNext/>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lastRenderedPageBreak/>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 xml:space="preserve">Where a lessee on whom there has been served an instrument under subsection (1) has not made a request under </w:t>
      </w:r>
      <w:r>
        <w:rPr>
          <w:snapToGrid w:val="0"/>
        </w:rPr>
        <w:lastRenderedPageBreak/>
        <w:t>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keepNext/>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No. 12 of 1990 s. 34; amended: No. 28 of 1994 s. 24; No. 35 of 2007 s. 40.]</w:t>
      </w:r>
    </w:p>
    <w:p>
      <w:pPr>
        <w:pStyle w:val="Heading5"/>
        <w:keepLines w:val="0"/>
        <w:rPr>
          <w:snapToGrid w:val="0"/>
        </w:rPr>
      </w:pPr>
      <w:bookmarkStart w:id="103" w:name="_Toc166680715"/>
      <w:r>
        <w:rPr>
          <w:rStyle w:val="CharSectno"/>
        </w:rPr>
        <w:lastRenderedPageBreak/>
        <w:t>48H</w:t>
      </w:r>
      <w:r>
        <w:rPr>
          <w:snapToGrid w:val="0"/>
        </w:rPr>
        <w:t>.</w:t>
      </w:r>
      <w:r>
        <w:rPr>
          <w:snapToGrid w:val="0"/>
        </w:rPr>
        <w:tab/>
        <w:t>Conditions of lease</w:t>
      </w:r>
      <w:bookmarkEnd w:id="103"/>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petroleum retention lease granted under section 48CD.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pPr>
      <w:r>
        <w:tab/>
        <w:t>(5)</w:t>
      </w:r>
      <w:r>
        <w:tab/>
        <w:t>The Minister may, by written notice given to the lessee, vary a petroleum retention lease granted under section 48CD by imposing one or more conditions to which the lease is subject.</w:t>
      </w:r>
    </w:p>
    <w:p>
      <w:pPr>
        <w:pStyle w:val="Subsection"/>
      </w:pPr>
      <w:r>
        <w:tab/>
        <w:t>(6)</w:t>
      </w:r>
      <w:r>
        <w:tab/>
        <w:t>A notice under subsection (5) may only be given within 14 days after the grant of the petroleum retention lease.</w:t>
      </w:r>
    </w:p>
    <w:p>
      <w:pPr>
        <w:pStyle w:val="Subsection"/>
      </w:pPr>
      <w:r>
        <w:lastRenderedPageBreak/>
        <w:tab/>
        <w:t>(7)</w:t>
      </w:r>
      <w:r>
        <w:tab/>
        <w:t>A variation under subsection (5) takes effect on the day on which notice of the variation is given to the lessee.</w:t>
      </w:r>
    </w:p>
    <w:p>
      <w:pPr>
        <w:pStyle w:val="Footnotesection"/>
        <w:keepLines w:val="0"/>
        <w:widowControl w:val="0"/>
        <w:ind w:left="890" w:hanging="890"/>
      </w:pPr>
      <w:r>
        <w:tab/>
        <w:t>[Section 48H inserted: No. 12 of 1990 s. 34; amended: No. 35 of 2007 s. 41; No. 7 of 2017 s. 17.]</w:t>
      </w:r>
    </w:p>
    <w:p>
      <w:pPr>
        <w:pStyle w:val="Heading5"/>
        <w:rPr>
          <w:snapToGrid w:val="0"/>
        </w:rPr>
      </w:pPr>
      <w:bookmarkStart w:id="104" w:name="_Toc166680716"/>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104"/>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No. 42 of 2010 s. 30.]</w:t>
      </w:r>
    </w:p>
    <w:p>
      <w:pPr>
        <w:pStyle w:val="Heading5"/>
        <w:rPr>
          <w:snapToGrid w:val="0"/>
        </w:rPr>
      </w:pPr>
      <w:bookmarkStart w:id="105" w:name="_Toc166680717"/>
      <w:r>
        <w:rPr>
          <w:rStyle w:val="CharSectno"/>
        </w:rPr>
        <w:t>48K</w:t>
      </w:r>
      <w:r>
        <w:rPr>
          <w:snapToGrid w:val="0"/>
        </w:rPr>
        <w:t>.</w:t>
      </w:r>
      <w:r>
        <w:rPr>
          <w:snapToGrid w:val="0"/>
        </w:rPr>
        <w:tab/>
        <w:t>Directions by Minister on discovery of petroleum or</w:t>
      </w:r>
      <w:r>
        <w:t xml:space="preserve"> geothermal energy resources</w:t>
      </w:r>
      <w:bookmarkEnd w:id="105"/>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 xml:space="preserve">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w:t>
      </w:r>
      <w:r>
        <w:lastRenderedPageBreak/>
        <w:t>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No. 12 of 1990 s. 34; amended: No. 35 of 2007 s. 43; No. 42 of 2010 s. 62(1).]</w:t>
      </w:r>
    </w:p>
    <w:p>
      <w:pPr>
        <w:pStyle w:val="Heading3"/>
      </w:pPr>
      <w:bookmarkStart w:id="106" w:name="_Toc166678751"/>
      <w:bookmarkStart w:id="107" w:name="_Toc166679155"/>
      <w:bookmarkStart w:id="108" w:name="_Toc166680718"/>
      <w:r>
        <w:rPr>
          <w:rStyle w:val="CharDivNo"/>
        </w:rPr>
        <w:t>Division 3</w:t>
      </w:r>
      <w:r>
        <w:rPr>
          <w:snapToGrid w:val="0"/>
        </w:rPr>
        <w:t> — </w:t>
      </w:r>
      <w:r>
        <w:rPr>
          <w:rStyle w:val="CharDivText"/>
        </w:rPr>
        <w:t>Production licences</w:t>
      </w:r>
      <w:bookmarkEnd w:id="106"/>
      <w:bookmarkEnd w:id="107"/>
      <w:bookmarkEnd w:id="108"/>
    </w:p>
    <w:p>
      <w:pPr>
        <w:pStyle w:val="Footnoteheading"/>
      </w:pPr>
      <w:r>
        <w:tab/>
        <w:t>[Heading amended: No. 35 of 2007 s. 44.]</w:t>
      </w:r>
    </w:p>
    <w:p>
      <w:pPr>
        <w:pStyle w:val="Heading5"/>
        <w:spacing w:before="180"/>
        <w:rPr>
          <w:snapToGrid w:val="0"/>
        </w:rPr>
      </w:pPr>
      <w:bookmarkStart w:id="109" w:name="_Toc166680719"/>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109"/>
    </w:p>
    <w:p>
      <w:pPr>
        <w:pStyle w:val="Subsection"/>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ind w:left="890" w:hanging="890"/>
      </w:pPr>
      <w:r>
        <w:tab/>
        <w:t>[Section 49 inserted: No. 12 of 1990 s. 35; amended: No. 35 of 2007 s. 45; No. 42 of 2010 s. 62(15).]</w:t>
      </w:r>
    </w:p>
    <w:p>
      <w:pPr>
        <w:pStyle w:val="Heading5"/>
        <w:spacing w:before="180"/>
        <w:rPr>
          <w:snapToGrid w:val="0"/>
        </w:rPr>
      </w:pPr>
      <w:bookmarkStart w:id="110" w:name="_Toc166680720"/>
      <w:r>
        <w:rPr>
          <w:rStyle w:val="CharSectno"/>
        </w:rPr>
        <w:lastRenderedPageBreak/>
        <w:t>50</w:t>
      </w:r>
      <w:r>
        <w:rPr>
          <w:snapToGrid w:val="0"/>
        </w:rPr>
        <w:t>.</w:t>
      </w:r>
      <w:r>
        <w:rPr>
          <w:snapToGrid w:val="0"/>
        </w:rPr>
        <w:tab/>
        <w:t>Application by permittee for licence</w:t>
      </w:r>
      <w:bookmarkEnd w:id="110"/>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2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 xml:space="preserve">instead of making an application under subsection (1) or (1a) in respect of his primary entitlement, may, within the application period, make an application to the Minister for the grant of a licence in respect of a number </w:t>
      </w:r>
      <w:r>
        <w:rPr>
          <w:snapToGrid w:val="0"/>
        </w:rPr>
        <w:lastRenderedPageBreak/>
        <w:t>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 xml:space="preserve">the period of 2 years after the date on which the block that constitutes the location concerned was, or the blocks </w:t>
      </w:r>
      <w:r>
        <w:rPr>
          <w:snapToGrid w:val="0"/>
        </w:rPr>
        <w:lastRenderedPageBreak/>
        <w:t>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No. 12 of 1990 s. 36; No. 78 of 1990 s. 7; No. 28 of 1994 s. 25; No. 35 of 2007 s. 46.]</w:t>
      </w:r>
    </w:p>
    <w:p>
      <w:pPr>
        <w:pStyle w:val="Heading5"/>
        <w:rPr>
          <w:snapToGrid w:val="0"/>
        </w:rPr>
      </w:pPr>
      <w:bookmarkStart w:id="111" w:name="_Toc166680721"/>
      <w:r>
        <w:rPr>
          <w:rStyle w:val="CharSectno"/>
        </w:rPr>
        <w:t>50A</w:t>
      </w:r>
      <w:r>
        <w:rPr>
          <w:snapToGrid w:val="0"/>
        </w:rPr>
        <w:t>.</w:t>
      </w:r>
      <w:r>
        <w:rPr>
          <w:snapToGrid w:val="0"/>
        </w:rPr>
        <w:tab/>
        <w:t>Application by lessee for licence</w:t>
      </w:r>
      <w:bookmarkEnd w:id="111"/>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lastRenderedPageBreak/>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keepNext/>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No. 12 of 1990 s. 37; amended: No. 35 of 2007 s. 47.]</w:t>
      </w:r>
    </w:p>
    <w:p>
      <w:pPr>
        <w:pStyle w:val="Heading5"/>
        <w:rPr>
          <w:snapToGrid w:val="0"/>
        </w:rPr>
      </w:pPr>
      <w:bookmarkStart w:id="112" w:name="_Toc166680722"/>
      <w:r>
        <w:rPr>
          <w:rStyle w:val="CharSectno"/>
        </w:rPr>
        <w:t>51</w:t>
      </w:r>
      <w:r>
        <w:rPr>
          <w:snapToGrid w:val="0"/>
        </w:rPr>
        <w:t>.</w:t>
      </w:r>
      <w:r>
        <w:rPr>
          <w:snapToGrid w:val="0"/>
        </w:rPr>
        <w:tab/>
        <w:t>Application for licence under s. 50 or 50A, requirements for</w:t>
      </w:r>
      <w:bookmarkEnd w:id="112"/>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lastRenderedPageBreak/>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No. 69 of 1981 s. 34; No. 12 of 1990 s. 38; No. 42 of 2010 s. 31.]</w:t>
      </w:r>
    </w:p>
    <w:p>
      <w:pPr>
        <w:pStyle w:val="Heading5"/>
        <w:rPr>
          <w:snapToGrid w:val="0"/>
        </w:rPr>
      </w:pPr>
      <w:bookmarkStart w:id="113" w:name="_Toc166680723"/>
      <w:r>
        <w:rPr>
          <w:rStyle w:val="CharSectno"/>
        </w:rPr>
        <w:t>52</w:t>
      </w:r>
      <w:r>
        <w:rPr>
          <w:snapToGrid w:val="0"/>
        </w:rPr>
        <w:t>.</w:t>
      </w:r>
      <w:r>
        <w:rPr>
          <w:snapToGrid w:val="0"/>
        </w:rPr>
        <w:tab/>
        <w:t>Determination of rate of royalty</w:t>
      </w:r>
      <w:bookmarkEnd w:id="113"/>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keepNext/>
        <w:rPr>
          <w:snapToGrid w:val="0"/>
        </w:rPr>
      </w:pPr>
      <w:r>
        <w:rPr>
          <w:snapToGrid w:val="0"/>
        </w:rPr>
        <w:tab/>
        <w:t>(3)</w:t>
      </w:r>
      <w:r>
        <w:rPr>
          <w:snapToGrid w:val="0"/>
        </w:rPr>
        <w:tab/>
        <w:t xml:space="preserve">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w:t>
      </w:r>
      <w:r>
        <w:rPr>
          <w:snapToGrid w:val="0"/>
        </w:rPr>
        <w:lastRenderedPageBreak/>
        <w:t>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No. 11 of 1994 s. 5; No. 42 of 2010 s. 32.]</w:t>
      </w:r>
    </w:p>
    <w:p>
      <w:pPr>
        <w:pStyle w:val="Heading5"/>
        <w:rPr>
          <w:snapToGrid w:val="0"/>
        </w:rPr>
      </w:pPr>
      <w:bookmarkStart w:id="114" w:name="_Toc166680724"/>
      <w:r>
        <w:rPr>
          <w:rStyle w:val="CharSectno"/>
        </w:rPr>
        <w:t>53</w:t>
      </w:r>
      <w:r>
        <w:rPr>
          <w:snapToGrid w:val="0"/>
        </w:rPr>
        <w:t>.</w:t>
      </w:r>
      <w:r>
        <w:rPr>
          <w:snapToGrid w:val="0"/>
        </w:rPr>
        <w:tab/>
        <w:t>Notification as to grant of licence</w:t>
      </w:r>
      <w:bookmarkEnd w:id="114"/>
    </w:p>
    <w:p>
      <w:pPr>
        <w:pStyle w:val="Subsection"/>
        <w:spacing w:before="120"/>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the Minister is satisfied that the area comprised in the block, or any one or more of the blocks, specified in the application contains petroleum,</w:t>
      </w:r>
    </w:p>
    <w:p>
      <w:pPr>
        <w:pStyle w:val="Subsection"/>
        <w:spacing w:before="120"/>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keepNext/>
        <w:spacing w:before="120"/>
      </w:pPr>
      <w:r>
        <w:lastRenderedPageBreak/>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spacing w:before="120"/>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spacing w:before="120"/>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lastRenderedPageBreak/>
        <w:tab/>
      </w:r>
      <w:r>
        <w:tab/>
        <w:t>the Minister shall, by written notice served on the applicant, inform the applicant of the Minister’s decision and the reasons for the decision.</w:t>
      </w:r>
    </w:p>
    <w:p>
      <w:pPr>
        <w:pStyle w:val="Footnotesection"/>
      </w:pPr>
      <w:r>
        <w:tab/>
        <w:t>[Section 53 amended: No. 12 of 1990 s. 39; No. 28 of 1994 s. 26; No. 35 of 2007 s. 48; No. 42 of 2010 s. 33.]</w:t>
      </w:r>
    </w:p>
    <w:p>
      <w:pPr>
        <w:pStyle w:val="Heading5"/>
        <w:rPr>
          <w:snapToGrid w:val="0"/>
        </w:rPr>
      </w:pPr>
      <w:bookmarkStart w:id="115" w:name="_Toc166680725"/>
      <w:r>
        <w:rPr>
          <w:rStyle w:val="CharSectno"/>
        </w:rPr>
        <w:t>54</w:t>
      </w:r>
      <w:r>
        <w:rPr>
          <w:snapToGrid w:val="0"/>
        </w:rPr>
        <w:t>.</w:t>
      </w:r>
      <w:r>
        <w:rPr>
          <w:snapToGrid w:val="0"/>
        </w:rPr>
        <w:tab/>
        <w:t>Grant of licence</w:t>
      </w:r>
      <w:bookmarkEnd w:id="115"/>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lastRenderedPageBreak/>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No. 12 of 1990 s. 40; No. 78 of 1990 s. 7; No. 28 of 1994 s. 27; No. 35 of 2007 s. 49; No. 42 of 2010 s. 34.]</w:t>
      </w:r>
    </w:p>
    <w:p>
      <w:pPr>
        <w:pStyle w:val="Heading5"/>
        <w:spacing w:before="180"/>
        <w:rPr>
          <w:snapToGrid w:val="0"/>
        </w:rPr>
      </w:pPr>
      <w:bookmarkStart w:id="116" w:name="_Toc166680726"/>
      <w:r>
        <w:rPr>
          <w:rStyle w:val="CharSectno"/>
        </w:rPr>
        <w:t>54A</w:t>
      </w:r>
      <w:r>
        <w:rPr>
          <w:snapToGrid w:val="0"/>
        </w:rPr>
        <w:t>.</w:t>
      </w:r>
      <w:r>
        <w:rPr>
          <w:snapToGrid w:val="0"/>
        </w:rPr>
        <w:tab/>
        <w:t>Application of s. 51 to 54 where permit etc. transferred</w:t>
      </w:r>
      <w:bookmarkEnd w:id="116"/>
    </w:p>
    <w:p>
      <w:pPr>
        <w:pStyle w:val="Subsection"/>
        <w:keepNext/>
        <w:keepLines/>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No. 28 of 1994 s. 28.]</w:t>
      </w:r>
    </w:p>
    <w:p>
      <w:pPr>
        <w:pStyle w:val="Heading5"/>
        <w:rPr>
          <w:snapToGrid w:val="0"/>
        </w:rPr>
      </w:pPr>
      <w:bookmarkStart w:id="117" w:name="_Toc166680727"/>
      <w:r>
        <w:rPr>
          <w:rStyle w:val="CharSectno"/>
        </w:rPr>
        <w:lastRenderedPageBreak/>
        <w:t>55</w:t>
      </w:r>
      <w:r>
        <w:rPr>
          <w:snapToGrid w:val="0"/>
        </w:rPr>
        <w:t>.</w:t>
      </w:r>
      <w:r>
        <w:rPr>
          <w:snapToGrid w:val="0"/>
        </w:rPr>
        <w:tab/>
        <w:t>Variation of licence area</w:t>
      </w:r>
      <w:bookmarkEnd w:id="117"/>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No. 12 of 1990 s. 41; No. 42 of 2010 s. 35.]</w:t>
      </w:r>
    </w:p>
    <w:p>
      <w:pPr>
        <w:pStyle w:val="Heading5"/>
        <w:rPr>
          <w:snapToGrid w:val="0"/>
          <w:spacing w:val="-2"/>
        </w:rPr>
      </w:pPr>
      <w:bookmarkStart w:id="118" w:name="_Toc166680728"/>
      <w:r>
        <w:rPr>
          <w:rStyle w:val="CharSectno"/>
        </w:rPr>
        <w:t>56</w:t>
      </w:r>
      <w:r>
        <w:rPr>
          <w:snapToGrid w:val="0"/>
        </w:rPr>
        <w:t>.</w:t>
      </w:r>
      <w:r>
        <w:rPr>
          <w:snapToGrid w:val="0"/>
        </w:rPr>
        <w:tab/>
      </w:r>
      <w:r>
        <w:rPr>
          <w:snapToGrid w:val="0"/>
          <w:spacing w:val="-2"/>
        </w:rPr>
        <w:t>Determination of permit as to blocks not taken up by licensee</w:t>
      </w:r>
      <w:bookmarkEnd w:id="118"/>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keepNext/>
        <w:rPr>
          <w:snapToGrid w:val="0"/>
        </w:rPr>
      </w:pPr>
      <w:r>
        <w:rPr>
          <w:snapToGrid w:val="0"/>
        </w:rPr>
        <w:lastRenderedPageBreak/>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 xml:space="preserve">in respect of which an application for the grant of a lease or licence has been made, being an application that has </w:t>
      </w:r>
      <w:r>
        <w:rPr>
          <w:snapToGrid w:val="0"/>
        </w:rPr>
        <w:lastRenderedPageBreak/>
        <w:t>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Subsection"/>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inshore area; and</w:t>
      </w:r>
    </w:p>
    <w:p>
      <w:pPr>
        <w:pStyle w:val="Indenta"/>
      </w:pPr>
      <w:r>
        <w:tab/>
        <w:t>(b)</w:t>
      </w:r>
      <w:r>
        <w:tab/>
        <w:t xml:space="preserve">as a result of a change to the boundary of the offshore area, the relevant area — </w:t>
      </w:r>
    </w:p>
    <w:p>
      <w:pPr>
        <w:pStyle w:val="Indenti"/>
      </w:pPr>
      <w:r>
        <w:tab/>
        <w:t>(i)</w:t>
      </w:r>
      <w:r>
        <w:tab/>
        <w:t>ceases to be within the inshore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lastRenderedPageBreak/>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18 comes into operation.</w:t>
      </w:r>
    </w:p>
    <w:p>
      <w:pPr>
        <w:pStyle w:val="Footnotesection"/>
        <w:ind w:left="890" w:hanging="890"/>
      </w:pPr>
      <w:r>
        <w:tab/>
        <w:t>[Section 56 amended: No. 12 of 1990 s. 42; No. 78 of 1990 s. 7; No. 7 of 2017 s. 18.]</w:t>
      </w:r>
    </w:p>
    <w:p>
      <w:pPr>
        <w:pStyle w:val="Heading5"/>
        <w:rPr>
          <w:snapToGrid w:val="0"/>
        </w:rPr>
      </w:pPr>
      <w:bookmarkStart w:id="119" w:name="_Toc166680729"/>
      <w:r>
        <w:rPr>
          <w:rStyle w:val="CharSectno"/>
        </w:rPr>
        <w:t>57</w:t>
      </w:r>
      <w:r>
        <w:rPr>
          <w:snapToGrid w:val="0"/>
        </w:rPr>
        <w:t>.</w:t>
      </w:r>
      <w:r>
        <w:rPr>
          <w:snapToGrid w:val="0"/>
        </w:rPr>
        <w:tab/>
        <w:t>Application for licence in respect of surrendered etc. blocks</w:t>
      </w:r>
      <w:bookmarkEnd w:id="119"/>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lastRenderedPageBreak/>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w:t>
      </w:r>
      <w:r>
        <w:rPr>
          <w:snapToGrid w:val="0"/>
        </w:rPr>
        <w:lastRenderedPageBreak/>
        <w:t xml:space="preserve">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lastRenderedPageBreak/>
        <w:tab/>
        <w:t>[Section 57 amended: No. 12 of 1990 s. 43; No. 78 of 1990 s. 7; No. 11 of 1994 s. 5; No. 28 of 1994 s. 29; No. 35 of 2007 s. 50; No. 42 of 2010 s. 36.]</w:t>
      </w:r>
    </w:p>
    <w:p>
      <w:pPr>
        <w:pStyle w:val="Heading5"/>
        <w:rPr>
          <w:snapToGrid w:val="0"/>
        </w:rPr>
      </w:pPr>
      <w:bookmarkStart w:id="120" w:name="_Toc166680730"/>
      <w:r>
        <w:rPr>
          <w:rStyle w:val="CharSectno"/>
        </w:rPr>
        <w:t>58</w:t>
      </w:r>
      <w:r>
        <w:rPr>
          <w:snapToGrid w:val="0"/>
        </w:rPr>
        <w:t>.</w:t>
      </w:r>
      <w:r>
        <w:rPr>
          <w:snapToGrid w:val="0"/>
        </w:rPr>
        <w:tab/>
        <w:t>Application fee etc. for s. 57 applications</w:t>
      </w:r>
      <w:bookmarkEnd w:id="120"/>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No. 69 of 1981 s. 34; No. 12 of 1990 s. 44; No. 42 of 2010 s. 37.]</w:t>
      </w:r>
    </w:p>
    <w:p>
      <w:pPr>
        <w:pStyle w:val="Heading5"/>
        <w:keepNext w:val="0"/>
        <w:keepLines w:val="0"/>
        <w:spacing w:before="180"/>
        <w:rPr>
          <w:snapToGrid w:val="0"/>
        </w:rPr>
      </w:pPr>
      <w:bookmarkStart w:id="121" w:name="_Toc166680731"/>
      <w:r>
        <w:rPr>
          <w:rStyle w:val="CharSectno"/>
        </w:rPr>
        <w:t>59</w:t>
      </w:r>
      <w:r>
        <w:rPr>
          <w:snapToGrid w:val="0"/>
        </w:rPr>
        <w:t>.</w:t>
      </w:r>
      <w:r>
        <w:rPr>
          <w:snapToGrid w:val="0"/>
        </w:rPr>
        <w:tab/>
        <w:t>Request by applicant for grant of licence</w:t>
      </w:r>
      <w:bookmarkEnd w:id="121"/>
    </w:p>
    <w:p>
      <w:pPr>
        <w:pStyle w:val="Subsection"/>
        <w:spacing w:before="120"/>
        <w:rPr>
          <w:snapToGrid w:val="0"/>
        </w:rPr>
      </w:pPr>
      <w:r>
        <w:rPr>
          <w:snapToGrid w:val="0"/>
        </w:rPr>
        <w:tab/>
        <w:t>(1)</w:t>
      </w:r>
      <w:r>
        <w:rPr>
          <w:snapToGrid w:val="0"/>
        </w:rPr>
        <w:tab/>
      </w:r>
      <w:r>
        <w:rPr>
          <w:snapToGrid w:val="0"/>
          <w:spacing w:val="-4"/>
        </w:rPr>
        <w:t xml:space="preserve">Where, at the expiration of the period specified in an instrument under subsection (1) or (1a) of section 57, only one application has been made under that subsection in respect of the block specified in the instrument, the Minister may reject the application or may, </w:t>
      </w:r>
      <w:r>
        <w:rPr>
          <w:snapToGrid w:val="0"/>
          <w:spacing w:val="-4"/>
        </w:rPr>
        <w:lastRenderedPageBreak/>
        <w:t>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lastRenderedPageBreak/>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 xml:space="preserve">Where the application of an applicant on whom there has been served an instrument under subsection (2) lapses as provided by </w:t>
      </w:r>
      <w:r>
        <w:rPr>
          <w:snapToGrid w:val="0"/>
        </w:rPr>
        <w:lastRenderedPageBreak/>
        <w:t>subsection (7), subsection (2) applies in respect of the application or applications, if any, then remaining unrejected.</w:t>
      </w:r>
    </w:p>
    <w:p>
      <w:pPr>
        <w:pStyle w:val="Footnotesection"/>
      </w:pPr>
      <w:r>
        <w:tab/>
        <w:t>[Section 59 amended: No. 12 of 1990 s. 45; No. 28 of 1994 s. 30; No. 35 of 2007 s. 51; No. 42 of 2010 s. 38.]</w:t>
      </w:r>
    </w:p>
    <w:p>
      <w:pPr>
        <w:pStyle w:val="Heading5"/>
        <w:spacing w:before="240"/>
        <w:rPr>
          <w:snapToGrid w:val="0"/>
        </w:rPr>
      </w:pPr>
      <w:bookmarkStart w:id="122" w:name="_Toc166680732"/>
      <w:r>
        <w:rPr>
          <w:rStyle w:val="CharSectno"/>
        </w:rPr>
        <w:t>60</w:t>
      </w:r>
      <w:r>
        <w:rPr>
          <w:snapToGrid w:val="0"/>
        </w:rPr>
        <w:t>.</w:t>
      </w:r>
      <w:r>
        <w:rPr>
          <w:snapToGrid w:val="0"/>
        </w:rPr>
        <w:tab/>
        <w:t>Grant of licence on request</w:t>
      </w:r>
      <w:bookmarkEnd w:id="122"/>
    </w:p>
    <w:p>
      <w:pPr>
        <w:pStyle w:val="Subsection"/>
        <w:spacing w:before="180"/>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No. 28 of 1994 s. 31; No. 35 of 2007 s. 52; No. 42 of 2010 s. 39.]</w:t>
      </w:r>
    </w:p>
    <w:p>
      <w:pPr>
        <w:pStyle w:val="Heading5"/>
        <w:rPr>
          <w:snapToGrid w:val="0"/>
        </w:rPr>
      </w:pPr>
      <w:bookmarkStart w:id="123" w:name="_Toc166680733"/>
      <w:r>
        <w:rPr>
          <w:rStyle w:val="CharSectno"/>
        </w:rPr>
        <w:t>61</w:t>
      </w:r>
      <w:r>
        <w:rPr>
          <w:snapToGrid w:val="0"/>
        </w:rPr>
        <w:t>.</w:t>
      </w:r>
      <w:r>
        <w:rPr>
          <w:snapToGrid w:val="0"/>
        </w:rPr>
        <w:tab/>
        <w:t>Licence for 2 or more blocks may be divided into 2 or more licences</w:t>
      </w:r>
      <w:bookmarkEnd w:id="123"/>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lastRenderedPageBreak/>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keepNext/>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 xml:space="preserve">shall be granted subject to any instruments and agreements in respect of the original licence a memorial of which is entered in the Register under section 70, insofar as such instruments and agreements apply to the </w:t>
      </w:r>
      <w:r>
        <w:rPr>
          <w:snapToGrid w:val="0"/>
        </w:rPr>
        <w:lastRenderedPageBreak/>
        <w:t>licence, (or any such instruments and agreements which are in effect at the time that an application is granted under this section but in respect of which a memorial is not yet entered under that section).</w:t>
      </w:r>
    </w:p>
    <w:p>
      <w:pPr>
        <w:pStyle w:val="Subsection"/>
        <w:spacing w:before="120"/>
        <w:rPr>
          <w:snapToGrid w:val="0"/>
        </w:rPr>
      </w:pPr>
      <w:r>
        <w:rPr>
          <w:snapToGrid w:val="0"/>
        </w:rPr>
        <w:tab/>
        <w:t>(6)</w:t>
      </w:r>
      <w:r>
        <w:rPr>
          <w:snapToGrid w:val="0"/>
        </w:rPr>
        <w:tab/>
        <w:t>Where licences are granted on an application under this section —</w:t>
      </w:r>
    </w:p>
    <w:p>
      <w:pPr>
        <w:pStyle w:val="Indenta"/>
        <w:spacing w:before="60"/>
        <w:rPr>
          <w:snapToGrid w:val="0"/>
        </w:rPr>
      </w:pPr>
      <w:r>
        <w:rPr>
          <w:snapToGrid w:val="0"/>
        </w:rPr>
        <w:tab/>
        <w:t>(a)</w:t>
      </w:r>
      <w:r>
        <w:rPr>
          <w:snapToGrid w:val="0"/>
        </w:rPr>
        <w:tab/>
        <w:t>the original licence is, by force of this subsection, determined; and</w:t>
      </w:r>
    </w:p>
    <w:p>
      <w:pPr>
        <w:pStyle w:val="Indenta"/>
        <w:keepNext/>
        <w:spacing w:before="60"/>
        <w:rPr>
          <w:snapToGrid w:val="0"/>
        </w:rPr>
      </w:pPr>
      <w:r>
        <w:rPr>
          <w:snapToGrid w:val="0"/>
        </w:rPr>
        <w:tab/>
        <w:t>(b)</w:t>
      </w:r>
      <w:r>
        <w:rPr>
          <w:snapToGrid w:val="0"/>
        </w:rPr>
        <w:tab/>
        <w:t>the determination has effect on and from the day on which those licences come into force.</w:t>
      </w:r>
    </w:p>
    <w:p>
      <w:pPr>
        <w:pStyle w:val="Footnotesection"/>
        <w:spacing w:before="80"/>
        <w:ind w:left="890" w:hanging="890"/>
      </w:pPr>
      <w:r>
        <w:tab/>
        <w:t>[Section 61 amended: No. 69 of 1981 s. 34; No. 12 of 1990 s. 46; No. 28 of 1994 s. 32; No. 35 of 2007 s. 53; No. 42 of 2010 s. 40.]</w:t>
      </w:r>
    </w:p>
    <w:p>
      <w:pPr>
        <w:pStyle w:val="Heading5"/>
      </w:pPr>
      <w:bookmarkStart w:id="124" w:name="_Toc166680734"/>
      <w:r>
        <w:rPr>
          <w:rStyle w:val="CharSectno"/>
        </w:rPr>
        <w:t>61A</w:t>
      </w:r>
      <w:r>
        <w:t>.</w:t>
      </w:r>
      <w:r>
        <w:tab/>
        <w:t>Grant of petroleum production licence as result of change to boundary of offshore area</w:t>
      </w:r>
      <w:bookmarkEnd w:id="124"/>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licence concerned — the graticular section; or</w:t>
      </w:r>
    </w:p>
    <w:p>
      <w:pPr>
        <w:pStyle w:val="Defpara"/>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lastRenderedPageBreak/>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licence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tab/>
        <w:t>(3)</w:t>
      </w:r>
      <w:r>
        <w:tab/>
        <w:t xml:space="preserve">The conditions mentioned in subsection (2)(c)(i) are — </w:t>
      </w:r>
    </w:p>
    <w:p>
      <w:pPr>
        <w:pStyle w:val="Indenta"/>
      </w:pPr>
      <w:r>
        <w:tab/>
        <w:t>(a)</w:t>
      </w:r>
      <w:r>
        <w:tab/>
        <w:t>one or more, but not 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pPr>
      <w:r>
        <w:lastRenderedPageBreak/>
        <w:tab/>
        <w:t>(4)</w:t>
      </w:r>
      <w:r>
        <w:tab/>
        <w:t xml:space="preserve">The conditions mentioned in subsection (2)(c)(ii) are — </w:t>
      </w:r>
    </w:p>
    <w:p>
      <w:pPr>
        <w:pStyle w:val="Indenta"/>
      </w:pPr>
      <w:r>
        <w:tab/>
        <w:t>(a)</w:t>
      </w:r>
      <w:r>
        <w:tab/>
        <w:t>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petroleum production licence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63(3).</w:t>
      </w:r>
    </w:p>
    <w:p>
      <w:pPr>
        <w:pStyle w:val="Subsection"/>
      </w:pPr>
      <w:r>
        <w:tab/>
        <w:t>(6)</w:t>
      </w:r>
      <w:r>
        <w:tab/>
        <w:t xml:space="preserve">If, after the change to the boundary of the offshore area — </w:t>
      </w:r>
    </w:p>
    <w:p>
      <w:pPr>
        <w:pStyle w:val="Indenta"/>
      </w:pPr>
      <w:r>
        <w:tab/>
        <w:t>(a)</w:t>
      </w:r>
      <w:r>
        <w:tab/>
        <w:t>a part of a section 27 block that was covered by the Commonwealth licence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spacing w:before="80"/>
        <w:ind w:left="890" w:hanging="890"/>
      </w:pPr>
      <w:r>
        <w:tab/>
        <w:t>[Section 61A inserted: No. 7 of 2017 s. 19.]</w:t>
      </w:r>
    </w:p>
    <w:p>
      <w:pPr>
        <w:pStyle w:val="Heading5"/>
        <w:spacing w:before="180"/>
        <w:rPr>
          <w:snapToGrid w:val="0"/>
        </w:rPr>
      </w:pPr>
      <w:bookmarkStart w:id="125" w:name="_Toc166680735"/>
      <w:r>
        <w:rPr>
          <w:rStyle w:val="CharSectno"/>
        </w:rPr>
        <w:lastRenderedPageBreak/>
        <w:t>62</w:t>
      </w:r>
      <w:r>
        <w:rPr>
          <w:snapToGrid w:val="0"/>
        </w:rPr>
        <w:t>.</w:t>
      </w:r>
      <w:r>
        <w:rPr>
          <w:snapToGrid w:val="0"/>
        </w:rPr>
        <w:tab/>
        <w:t>Rights conferred by licence</w:t>
      </w:r>
      <w:bookmarkEnd w:id="125"/>
    </w:p>
    <w:p>
      <w:pPr>
        <w:pStyle w:val="Subsection"/>
        <w:spacing w:before="120"/>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spacing w:before="6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keepNext/>
        <w:rPr>
          <w:snapToGrid w:val="0"/>
        </w:rPr>
      </w:pPr>
      <w:r>
        <w:tab/>
        <w:t>(c)</w:t>
      </w:r>
      <w:r>
        <w:tab/>
        <w:t>to carry on such operations and execute such works in the licence area as are necessary for those purposes.</w:t>
      </w:r>
    </w:p>
    <w:p>
      <w:pPr>
        <w:pStyle w:val="Footnotesection"/>
      </w:pPr>
      <w:r>
        <w:tab/>
        <w:t>[Section 62 amended: No. 12 of 1990 s. 47; No. 13 of 2005 s. 16(2); No. 35 of 2007 s. 54.]</w:t>
      </w:r>
    </w:p>
    <w:p>
      <w:pPr>
        <w:pStyle w:val="Heading5"/>
      </w:pPr>
      <w:bookmarkStart w:id="126" w:name="_Toc166680736"/>
      <w:r>
        <w:rPr>
          <w:rStyle w:val="CharSectno"/>
        </w:rPr>
        <w:t>62A</w:t>
      </w:r>
      <w:r>
        <w:t>.</w:t>
      </w:r>
      <w:r>
        <w:tab/>
        <w:t>Geothermal energy recovery development plans</w:t>
      </w:r>
      <w:bookmarkEnd w:id="126"/>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keepNext/>
        <w:keepLines/>
      </w:pPr>
      <w:r>
        <w:lastRenderedPageBreak/>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No. 35 of 2007 s. 55.]</w:t>
      </w:r>
    </w:p>
    <w:p>
      <w:pPr>
        <w:pStyle w:val="Heading5"/>
        <w:spacing w:before="180"/>
      </w:pPr>
      <w:bookmarkStart w:id="127" w:name="_Toc166680737"/>
      <w:r>
        <w:rPr>
          <w:rStyle w:val="CharSectno"/>
        </w:rPr>
        <w:t>62B</w:t>
      </w:r>
      <w:r>
        <w:t>.</w:t>
      </w:r>
      <w:r>
        <w:tab/>
        <w:t>Variation of approved development plans</w:t>
      </w:r>
      <w:bookmarkEnd w:id="127"/>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No. 35 of 2007 s. 55.]</w:t>
      </w:r>
    </w:p>
    <w:p>
      <w:pPr>
        <w:pStyle w:val="Heading5"/>
        <w:rPr>
          <w:snapToGrid w:val="0"/>
        </w:rPr>
      </w:pPr>
      <w:bookmarkStart w:id="128" w:name="_Toc166680738"/>
      <w:r>
        <w:rPr>
          <w:rStyle w:val="CharSectno"/>
        </w:rPr>
        <w:lastRenderedPageBreak/>
        <w:t>63</w:t>
      </w:r>
      <w:r>
        <w:rPr>
          <w:snapToGrid w:val="0"/>
        </w:rPr>
        <w:t>.</w:t>
      </w:r>
      <w:r>
        <w:rPr>
          <w:snapToGrid w:val="0"/>
        </w:rPr>
        <w:tab/>
        <w:t>Term of licence</w:t>
      </w:r>
      <w:bookmarkEnd w:id="128"/>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t xml:space="preserve"> </w:t>
      </w:r>
      <w:r>
        <w:rPr>
          <w:iCs/>
          <w:snapToGrid w:val="0"/>
        </w:rPr>
        <w:t xml:space="preserve"> </w:t>
      </w:r>
      <w:r>
        <w:t>section 41(3), other than a petroleum production licence granted under section 61A, remains in force indefinitely.</w:t>
      </w:r>
    </w:p>
    <w:p>
      <w:pPr>
        <w:pStyle w:val="Subsection"/>
      </w:pPr>
      <w:r>
        <w:tab/>
        <w:t>(3)</w:t>
      </w:r>
      <w:r>
        <w:tab/>
        <w:t>Subject to this Part, a petroleum production licence granted under section 61A remains in force for the period of 21 years commencing on the day on which the licence is granted.</w:t>
      </w:r>
    </w:p>
    <w:p>
      <w:pPr>
        <w:pStyle w:val="Footnotesection"/>
      </w:pPr>
      <w:r>
        <w:tab/>
        <w:t>[Section 63 inserted: No. 12 of 1990 s. 48; amended: No. 42 of 2010 s. 41; No. 7 of 2017 s. 20.]</w:t>
      </w:r>
    </w:p>
    <w:p>
      <w:pPr>
        <w:pStyle w:val="Heading5"/>
      </w:pPr>
      <w:bookmarkStart w:id="129" w:name="_Toc166680739"/>
      <w:r>
        <w:rPr>
          <w:rStyle w:val="CharSectno"/>
        </w:rPr>
        <w:t>64A</w:t>
      </w:r>
      <w:r>
        <w:t>.</w:t>
      </w:r>
      <w:r>
        <w:tab/>
        <w:t>Termination of licence if no operations for 5 years</w:t>
      </w:r>
      <w:bookmarkEnd w:id="129"/>
    </w:p>
    <w:p>
      <w:pPr>
        <w:pStyle w:val="Subsection"/>
      </w:pPr>
      <w:r>
        <w:tab/>
        <w:t>(1)</w:t>
      </w:r>
      <w:r>
        <w:tab/>
        <w:t xml:space="preserve">If — </w:t>
      </w:r>
    </w:p>
    <w:p>
      <w:pPr>
        <w:pStyle w:val="Indenta"/>
      </w:pPr>
      <w:r>
        <w:tab/>
        <w:t>(a)</w:t>
      </w:r>
      <w:r>
        <w:tab/>
        <w:t xml:space="preserve">a petroleum production licence is in force under section 63(1)(c) or (2) and the licensee has not carried on any operations for the recovery of petroleum under </w:t>
      </w:r>
      <w:r>
        <w:lastRenderedPageBreak/>
        <w:t>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keepNext/>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No. 42 of 2010 s. 42.]</w:t>
      </w:r>
    </w:p>
    <w:p>
      <w:pPr>
        <w:pStyle w:val="Heading5"/>
        <w:rPr>
          <w:snapToGrid w:val="0"/>
        </w:rPr>
      </w:pPr>
      <w:bookmarkStart w:id="130" w:name="_Toc166680740"/>
      <w:r>
        <w:rPr>
          <w:rStyle w:val="CharSectno"/>
        </w:rPr>
        <w:lastRenderedPageBreak/>
        <w:t>64</w:t>
      </w:r>
      <w:r>
        <w:rPr>
          <w:snapToGrid w:val="0"/>
        </w:rPr>
        <w:t>.</w:t>
      </w:r>
      <w:r>
        <w:rPr>
          <w:snapToGrid w:val="0"/>
        </w:rPr>
        <w:tab/>
        <w:t>Application for renewal of licence</w:t>
      </w:r>
      <w:bookmarkEnd w:id="130"/>
    </w:p>
    <w:p>
      <w:pPr>
        <w:pStyle w:val="Subsection"/>
        <w:keepNext/>
        <w:keepLines/>
      </w:pPr>
      <w:r>
        <w:tab/>
        <w:t>(1)</w:t>
      </w:r>
      <w:r>
        <w:tab/>
        <w:t>Subject to this section, a licensee under a licence to which section 63(1)(a) or (b) or (3) applies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pPr>
      <w:r>
        <w:tab/>
        <w:t>(4)</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otherwise than by way of renewal,</w:t>
      </w:r>
    </w:p>
    <w:p>
      <w:pPr>
        <w:pStyle w:val="Subsection"/>
      </w:pPr>
      <w:r>
        <w:tab/>
      </w:r>
      <w:r>
        <w:tab/>
        <w:t>an application must not be made for the renewal of the petroleum production licence if the Minister has previously granted a renewal of the licence.</w:t>
      </w:r>
    </w:p>
    <w:p>
      <w:pPr>
        <w:pStyle w:val="Subsection"/>
      </w:pPr>
      <w:r>
        <w:tab/>
        <w:t>(5)</w:t>
      </w:r>
      <w:r>
        <w:tab/>
        <w:t xml:space="preserve">If — </w:t>
      </w:r>
    </w:p>
    <w:p>
      <w:pPr>
        <w:pStyle w:val="Indenta"/>
      </w:pPr>
      <w:r>
        <w:tab/>
        <w:t>(a)</w:t>
      </w:r>
      <w:r>
        <w:tab/>
        <w:t>a petroleum production licence is granted under section 61A; and</w:t>
      </w:r>
    </w:p>
    <w:p>
      <w:pPr>
        <w:pStyle w:val="Indenta"/>
      </w:pPr>
      <w:r>
        <w:lastRenderedPageBreak/>
        <w:tab/>
        <w:t>(b)</w:t>
      </w:r>
      <w:r>
        <w:tab/>
        <w:t>the relevant Commonwealth licence that ceases to be in force, as mentioned in section 61A(3)(b) or (4)(b), was granted by way of renewal,</w:t>
      </w:r>
    </w:p>
    <w:p>
      <w:pPr>
        <w:pStyle w:val="Subsection"/>
      </w:pPr>
      <w:r>
        <w:tab/>
      </w:r>
      <w:r>
        <w:tab/>
        <w:t>an application must not be made for the renewal of the petroleum production licence.</w:t>
      </w:r>
    </w:p>
    <w:p>
      <w:pPr>
        <w:pStyle w:val="Footnotesection"/>
        <w:spacing w:before="100"/>
        <w:ind w:left="890" w:hanging="890"/>
      </w:pPr>
      <w:r>
        <w:tab/>
        <w:t>[Section 64 amended: No. 69 of 1981 s. 34; No. 12 of 1990 s. 49; No. 42 of 2010 s. 43; No. 7 of 2017 s. 21.]</w:t>
      </w:r>
    </w:p>
    <w:p>
      <w:pPr>
        <w:pStyle w:val="Heading5"/>
        <w:rPr>
          <w:snapToGrid w:val="0"/>
        </w:rPr>
      </w:pPr>
      <w:bookmarkStart w:id="131" w:name="_Toc166680741"/>
      <w:r>
        <w:rPr>
          <w:rStyle w:val="CharSectno"/>
        </w:rPr>
        <w:t>65</w:t>
      </w:r>
      <w:r>
        <w:rPr>
          <w:snapToGrid w:val="0"/>
        </w:rPr>
        <w:t>.</w:t>
      </w:r>
      <w:r>
        <w:rPr>
          <w:snapToGrid w:val="0"/>
        </w:rPr>
        <w:tab/>
        <w:t>Grant or refusal of renewal of licence</w:t>
      </w:r>
      <w:bookmarkEnd w:id="131"/>
    </w:p>
    <w:p>
      <w:pPr>
        <w:pStyle w:val="Subsection"/>
        <w:spacing w:before="10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00"/>
        <w:rPr>
          <w:snapToGrid w:val="0"/>
        </w:rPr>
      </w:pPr>
      <w:r>
        <w:rPr>
          <w:snapToGrid w:val="0"/>
        </w:rPr>
        <w:tab/>
      </w:r>
      <w:r>
        <w:rPr>
          <w:snapToGrid w:val="0"/>
        </w:rPr>
        <w:tab/>
        <w:t>the Minister —</w:t>
      </w:r>
    </w:p>
    <w:p>
      <w:pPr>
        <w:pStyle w:val="Indenta"/>
        <w:spacing w:before="60"/>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keepNext/>
        <w:spacing w:before="60"/>
      </w:pPr>
      <w:r>
        <w:tab/>
        <w:t>(d)</w:t>
      </w:r>
      <w:r>
        <w:tab/>
        <w:t>may in any other case,</w:t>
      </w:r>
    </w:p>
    <w:p>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spacing w:before="100"/>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lastRenderedPageBreak/>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keepNext/>
        <w:rPr>
          <w:snapToGrid w:val="0"/>
        </w:rPr>
      </w:pPr>
      <w:r>
        <w:rPr>
          <w:snapToGrid w:val="0"/>
        </w:rPr>
        <w:lastRenderedPageBreak/>
        <w:tab/>
        <w:t>(11)</w:t>
      </w:r>
      <w:r>
        <w:rPr>
          <w:snapToGrid w:val="0"/>
        </w:rPr>
        <w:tab/>
        <w:t>Where —</w:t>
      </w:r>
    </w:p>
    <w:p>
      <w:pPr>
        <w:pStyle w:val="Indenta"/>
        <w:keepNext/>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spacing w:before="180"/>
        <w:rPr>
          <w:snapToGrid w:val="0"/>
        </w:rPr>
      </w:pPr>
      <w:r>
        <w:rPr>
          <w:snapToGrid w:val="0"/>
        </w:rPr>
        <w:tab/>
      </w:r>
      <w:r>
        <w:rPr>
          <w:snapToGrid w:val="0"/>
        </w:rPr>
        <w:tab/>
        <w:t>whichever first happens.</w:t>
      </w:r>
    </w:p>
    <w:p>
      <w:pPr>
        <w:pStyle w:val="Footnotesection"/>
      </w:pPr>
      <w:r>
        <w:tab/>
        <w:t>[Section 65 amended: No. 28 of 1994 s. 33; No. 42 of 2010 s. 44.]</w:t>
      </w:r>
    </w:p>
    <w:p>
      <w:pPr>
        <w:pStyle w:val="Heading5"/>
        <w:rPr>
          <w:snapToGrid w:val="0"/>
        </w:rPr>
      </w:pPr>
      <w:bookmarkStart w:id="132" w:name="_Toc166680742"/>
      <w:r>
        <w:rPr>
          <w:rStyle w:val="CharSectno"/>
        </w:rPr>
        <w:t>66</w:t>
      </w:r>
      <w:r>
        <w:rPr>
          <w:snapToGrid w:val="0"/>
        </w:rPr>
        <w:t>.</w:t>
      </w:r>
      <w:r>
        <w:rPr>
          <w:snapToGrid w:val="0"/>
        </w:rPr>
        <w:tab/>
        <w:t>Conditions of licence</w:t>
      </w:r>
      <w:bookmarkEnd w:id="132"/>
    </w:p>
    <w:p>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pPr>
        <w:pStyle w:val="Subsection"/>
      </w:pPr>
      <w:r>
        <w:tab/>
        <w:t>(3)</w:t>
      </w:r>
      <w:r>
        <w:tab/>
        <w:t>Subsection (1) does not apply to a petroleum production licence granted under section 61A.</w:t>
      </w:r>
    </w:p>
    <w:p>
      <w:pPr>
        <w:pStyle w:val="Subsection"/>
      </w:pPr>
      <w:r>
        <w:tab/>
        <w:t>(4)</w:t>
      </w:r>
      <w:r>
        <w:tab/>
        <w:t>The Minister may, by written notice given to the licensee, vary a petroleum production licence granted under section 61A by imposing one or more conditions to which the licence is subject.</w:t>
      </w:r>
    </w:p>
    <w:p>
      <w:pPr>
        <w:pStyle w:val="Subsection"/>
      </w:pPr>
      <w:r>
        <w:lastRenderedPageBreak/>
        <w:tab/>
        <w:t>(5)</w:t>
      </w:r>
      <w:r>
        <w:tab/>
        <w:t>A notice under subsection (4) may only be given within 14 days after the grant of the petroleum production licence.</w:t>
      </w:r>
    </w:p>
    <w:p>
      <w:pPr>
        <w:pStyle w:val="Subsection"/>
      </w:pPr>
      <w:r>
        <w:tab/>
        <w:t>(6)</w:t>
      </w:r>
      <w:r>
        <w:tab/>
        <w:t>A variation under subsection (4) takes effect on the day on which notice of the variation is given to the licensee.</w:t>
      </w:r>
    </w:p>
    <w:p>
      <w:pPr>
        <w:pStyle w:val="Footnotesection"/>
        <w:ind w:left="890" w:hanging="890"/>
      </w:pPr>
      <w:r>
        <w:tab/>
        <w:t>[Section 66 amended: No. 35 of 2007 s. 56; No. 7 of 2017 s. 22.]</w:t>
      </w:r>
    </w:p>
    <w:p>
      <w:pPr>
        <w:pStyle w:val="Heading5"/>
        <w:rPr>
          <w:snapToGrid w:val="0"/>
        </w:rPr>
      </w:pPr>
      <w:bookmarkStart w:id="133" w:name="_Toc166680743"/>
      <w:r>
        <w:rPr>
          <w:rStyle w:val="CharSectno"/>
        </w:rPr>
        <w:t>67</w:t>
      </w:r>
      <w:r>
        <w:rPr>
          <w:snapToGrid w:val="0"/>
        </w:rPr>
        <w:t>.</w:t>
      </w:r>
      <w:r>
        <w:rPr>
          <w:snapToGrid w:val="0"/>
        </w:rPr>
        <w:tab/>
        <w:t>Storage of petroleum underground</w:t>
      </w:r>
      <w:bookmarkEnd w:id="133"/>
    </w:p>
    <w:p>
      <w:pPr>
        <w:pStyle w:val="Subsection"/>
        <w:spacing w:before="180"/>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keepNext/>
        <w:rPr>
          <w:snapToGrid w:val="0"/>
        </w:rPr>
      </w:pPr>
      <w:r>
        <w:rPr>
          <w:snapToGrid w:val="0"/>
        </w:rPr>
        <w:lastRenderedPageBreak/>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ind w:left="890" w:hanging="890"/>
      </w:pPr>
      <w:r>
        <w:tab/>
        <w:t>[Section 67 inserted: No. 28 of 1994 s. 34; amended: No. 42 of 2010 s. 62(15).]</w:t>
      </w:r>
    </w:p>
    <w:p>
      <w:pPr>
        <w:pStyle w:val="Heading5"/>
        <w:rPr>
          <w:snapToGrid w:val="0"/>
        </w:rPr>
      </w:pPr>
      <w:bookmarkStart w:id="134" w:name="_Toc166680744"/>
      <w:r>
        <w:rPr>
          <w:rStyle w:val="CharSectno"/>
        </w:rPr>
        <w:t>68</w:t>
      </w:r>
      <w:r>
        <w:rPr>
          <w:snapToGrid w:val="0"/>
        </w:rPr>
        <w:t>.</w:t>
      </w:r>
      <w:r>
        <w:rPr>
          <w:snapToGrid w:val="0"/>
        </w:rPr>
        <w:tab/>
        <w:t>Directions as to recovery of petroleum</w:t>
      </w:r>
      <w:bookmarkEnd w:id="134"/>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 xml:space="preserve">Where the Minister is not satisfied with the steps taken or being taken by a licensee to whom a direction has been given under subsection (3), the Minister may, by instrument in writing served on the licensee, give to the licensee such directions as the </w:t>
      </w:r>
      <w:r>
        <w:rPr>
          <w:snapToGrid w:val="0"/>
        </w:rPr>
        <w:lastRenderedPageBreak/>
        <w:t>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No. 12 of 1990 s. 51.]</w:t>
      </w:r>
    </w:p>
    <w:p>
      <w:pPr>
        <w:pStyle w:val="Heading5"/>
        <w:rPr>
          <w:snapToGrid w:val="0"/>
        </w:rPr>
      </w:pPr>
      <w:bookmarkStart w:id="135" w:name="_Toc166680745"/>
      <w:r>
        <w:rPr>
          <w:rStyle w:val="CharSectno"/>
        </w:rPr>
        <w:t>69</w:t>
      </w:r>
      <w:r>
        <w:rPr>
          <w:snapToGrid w:val="0"/>
        </w:rPr>
        <w:t>.</w:t>
      </w:r>
      <w:r>
        <w:rPr>
          <w:snapToGrid w:val="0"/>
        </w:rPr>
        <w:tab/>
        <w:t>Unit development</w:t>
      </w:r>
      <w:bookmarkEnd w:id="135"/>
    </w:p>
    <w:p>
      <w:pPr>
        <w:pStyle w:val="Subsection"/>
      </w:pPr>
      <w:r>
        <w:tab/>
        <w:t>(1A)</w:t>
      </w:r>
      <w:r>
        <w:tab/>
        <w:t xml:space="preserve">In this section — </w:t>
      </w:r>
    </w:p>
    <w:p>
      <w:pPr>
        <w:pStyle w:val="Defstart"/>
      </w:pPr>
      <w:r>
        <w:tab/>
      </w:r>
      <w:r>
        <w:rPr>
          <w:rStyle w:val="CharDefText"/>
        </w:rPr>
        <w:t>Joint Authority</w:t>
      </w:r>
      <w:r>
        <w:t xml:space="preserve"> and </w:t>
      </w:r>
      <w:r>
        <w:rPr>
          <w:rStyle w:val="CharDefText"/>
        </w:rPr>
        <w:t>offshore area</w:t>
      </w:r>
      <w:r>
        <w:t xml:space="preserve"> have the respective meanings given in the Commonwealth Act section 7.</w:t>
      </w:r>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the Northern Territory or the Commonwealth, to carry on operations for the recovery of petroleum from the pool; or</w:t>
      </w:r>
    </w:p>
    <w:p>
      <w:pPr>
        <w:pStyle w:val="Indenti"/>
      </w:pPr>
      <w:r>
        <w:tab/>
        <w:t>(ii)</w:t>
      </w:r>
      <w:r>
        <w:tab/>
        <w:t xml:space="preserve">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w:t>
      </w:r>
      <w:r>
        <w:lastRenderedPageBreak/>
        <w:t>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lastRenderedPageBreak/>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lastRenderedPageBreak/>
        <w:tab/>
        <w:t>(b)</w:t>
      </w:r>
      <w:r>
        <w:tab/>
        <w:t>the geothermal licensee in respect of 2 or more licence areas in each of which there is part of a particular geothermal resources area,</w:t>
      </w:r>
    </w:p>
    <w:p>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spacing w:before="120"/>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spacing w:before="120"/>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 xml:space="preserve">the adjacent area of an adjoining State or </w:t>
      </w:r>
      <w:r>
        <w:t>Territory; or</w:t>
      </w:r>
    </w:p>
    <w:p>
      <w:pPr>
        <w:pStyle w:val="Indenta"/>
        <w:keepNext/>
      </w:pPr>
      <w:r>
        <w:lastRenderedPageBreak/>
        <w:tab/>
        <w:t>(c)</w:t>
      </w:r>
      <w:r>
        <w:tab/>
        <w:t>the offshore area,</w:t>
      </w:r>
    </w:p>
    <w:p>
      <w:pPr>
        <w:pStyle w:val="Subsection"/>
        <w:spacing w:before="100"/>
        <w:rPr>
          <w:snapToGrid w:val="0"/>
        </w:rPr>
      </w:pPr>
      <w:r>
        <w:rPr>
          <w:snapToGrid w:val="0"/>
        </w:rPr>
        <w:tab/>
      </w:r>
      <w:r>
        <w:rPr>
          <w:snapToGrid w:val="0"/>
        </w:rPr>
        <w:tab/>
        <w:t>each Minister concerned shall consult concerning the exploitation of the petroleum pool with any other Minister concerned and with the appropriate authority of</w:t>
      </w:r>
      <w:r>
        <w:t xml:space="preserve"> the other State or the Territory if paragraph (a) or (b) applies and with the Joint Authority if paragraph (c) applies.</w:t>
      </w:r>
    </w:p>
    <w:p>
      <w:pPr>
        <w:pStyle w:val="Subsection"/>
        <w:keepNext/>
        <w:keepLines/>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the other State or the Territory.</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 xml:space="preserve">except with the approval of any other Minister concerned and any State or Territory authority </w:t>
      </w:r>
      <w:r>
        <w:t>concerned and with the approval of the Joint Authority if subsection (11)(c) applies.</w:t>
      </w:r>
    </w:p>
    <w:p>
      <w:pPr>
        <w:pStyle w:val="Footnotesection"/>
        <w:ind w:left="890" w:hanging="890"/>
      </w:pPr>
      <w:r>
        <w:tab/>
        <w:t>[Section 69 amended: No. 12 of 1990 s. 52; No. 35 of 2007 s. 57; No. 7 of 2017 s. 23.]</w:t>
      </w:r>
    </w:p>
    <w:p>
      <w:pPr>
        <w:pStyle w:val="Heading3"/>
      </w:pPr>
      <w:bookmarkStart w:id="136" w:name="_Toc166678779"/>
      <w:bookmarkStart w:id="137" w:name="_Toc166679183"/>
      <w:bookmarkStart w:id="138" w:name="_Toc166680746"/>
      <w:r>
        <w:rPr>
          <w:rStyle w:val="CharDivNo"/>
        </w:rPr>
        <w:lastRenderedPageBreak/>
        <w:t>Division 3A</w:t>
      </w:r>
      <w:r>
        <w:t> — </w:t>
      </w:r>
      <w:r>
        <w:rPr>
          <w:rStyle w:val="CharDivText"/>
        </w:rPr>
        <w:t>Petroleum titles and geothermal titles may subsist in respect of same blocks</w:t>
      </w:r>
      <w:bookmarkEnd w:id="136"/>
      <w:bookmarkEnd w:id="137"/>
      <w:bookmarkEnd w:id="138"/>
    </w:p>
    <w:p>
      <w:pPr>
        <w:pStyle w:val="Footnoteheading"/>
        <w:keepNext/>
      </w:pPr>
      <w:r>
        <w:tab/>
        <w:t>[Heading inserted: No. 35 of 2007 s. 58.]</w:t>
      </w:r>
    </w:p>
    <w:p>
      <w:pPr>
        <w:pStyle w:val="Heading5"/>
      </w:pPr>
      <w:bookmarkStart w:id="139" w:name="_Toc166680747"/>
      <w:r>
        <w:rPr>
          <w:rStyle w:val="CharSectno"/>
        </w:rPr>
        <w:t>69A</w:t>
      </w:r>
      <w:r>
        <w:t>.</w:t>
      </w:r>
      <w:r>
        <w:tab/>
        <w:t>Petroleum titles and geothermal titles may subsist in respect of same blocks</w:t>
      </w:r>
      <w:bookmarkEnd w:id="139"/>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lastRenderedPageBreak/>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keepNext/>
      </w:pPr>
      <w:r>
        <w:tab/>
        <w:t>(c)</w:t>
      </w:r>
      <w:r>
        <w:tab/>
        <w:t>has taken into account any matters submitted to the Minister on or before the specified date by that person.</w:t>
      </w:r>
    </w:p>
    <w:p>
      <w:pPr>
        <w:pStyle w:val="Subsection"/>
        <w:keepNext/>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pPr>
      <w:r>
        <w:tab/>
      </w:r>
      <w:r>
        <w:tab/>
        <w:t>unless the Minister has complied with subsection (5).</w:t>
      </w:r>
    </w:p>
    <w:p>
      <w:pPr>
        <w:pStyle w:val="Subsection"/>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keepNext/>
      </w:pPr>
      <w:r>
        <w:lastRenderedPageBreak/>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spacing w:before="80"/>
        <w:ind w:left="890" w:hanging="890"/>
      </w:pPr>
      <w:r>
        <w:tab/>
        <w:t>[Section 69A inserted: No. 35 of 2007 s. 58.]</w:t>
      </w:r>
    </w:p>
    <w:p>
      <w:pPr>
        <w:pStyle w:val="Ednotesection"/>
      </w:pPr>
      <w:r>
        <w:t>[</w:t>
      </w:r>
      <w:r>
        <w:rPr>
          <w:b/>
          <w:bCs/>
        </w:rPr>
        <w:t>69B</w:t>
      </w:r>
      <w:r>
        <w:rPr>
          <w:b/>
          <w:bCs/>
        </w:rPr>
        <w:noBreakHyphen/>
        <w:t>69I.</w:t>
      </w:r>
      <w:r>
        <w:tab/>
        <w:t>Deleted: No. 52 of 1995 s. 37.]</w:t>
      </w:r>
    </w:p>
    <w:p>
      <w:pPr>
        <w:pStyle w:val="Heading3"/>
      </w:pPr>
      <w:bookmarkStart w:id="140" w:name="_Toc166678781"/>
      <w:bookmarkStart w:id="141" w:name="_Toc166679185"/>
      <w:bookmarkStart w:id="142" w:name="_Toc166680748"/>
      <w:r>
        <w:rPr>
          <w:rStyle w:val="CharDivNo"/>
        </w:rPr>
        <w:t>Division 4</w:t>
      </w:r>
      <w:r>
        <w:rPr>
          <w:snapToGrid w:val="0"/>
        </w:rPr>
        <w:t> — </w:t>
      </w:r>
      <w:r>
        <w:rPr>
          <w:rStyle w:val="CharDivText"/>
        </w:rPr>
        <w:t>Registration of instruments</w:t>
      </w:r>
      <w:bookmarkEnd w:id="140"/>
      <w:bookmarkEnd w:id="141"/>
      <w:bookmarkEnd w:id="142"/>
    </w:p>
    <w:p>
      <w:pPr>
        <w:pStyle w:val="Heading5"/>
        <w:rPr>
          <w:snapToGrid w:val="0"/>
        </w:rPr>
      </w:pPr>
      <w:bookmarkStart w:id="143" w:name="_Toc166680749"/>
      <w:r>
        <w:rPr>
          <w:rStyle w:val="CharSectno"/>
        </w:rPr>
        <w:t>69J</w:t>
      </w:r>
      <w:r>
        <w:rPr>
          <w:snapToGrid w:val="0"/>
        </w:rPr>
        <w:t>.</w:t>
      </w:r>
      <w:r>
        <w:rPr>
          <w:snapToGrid w:val="0"/>
        </w:rPr>
        <w:tab/>
        <w:t>Term used: title</w:t>
      </w:r>
      <w:bookmarkEnd w:id="143"/>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No. 12 of 1990 s. 53; amended: No. 78 of 1990 s. 7; renumbered: No. 21 of 1993 s. 45.]</w:t>
      </w:r>
    </w:p>
    <w:p>
      <w:pPr>
        <w:pStyle w:val="Heading5"/>
        <w:rPr>
          <w:snapToGrid w:val="0"/>
        </w:rPr>
      </w:pPr>
      <w:bookmarkStart w:id="144" w:name="_Toc166680750"/>
      <w:r>
        <w:rPr>
          <w:rStyle w:val="CharSectno"/>
        </w:rPr>
        <w:t>70</w:t>
      </w:r>
      <w:r>
        <w:rPr>
          <w:snapToGrid w:val="0"/>
        </w:rPr>
        <w:t>.</w:t>
      </w:r>
      <w:r>
        <w:rPr>
          <w:snapToGrid w:val="0"/>
        </w:rPr>
        <w:tab/>
        <w:t>Register of certain instruments to be kept</w:t>
      </w:r>
      <w:bookmarkEnd w:id="144"/>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keepNext/>
        <w:rPr>
          <w:snapToGrid w:val="0"/>
        </w:rPr>
      </w:pPr>
      <w:r>
        <w:rPr>
          <w:snapToGrid w:val="0"/>
        </w:rPr>
        <w:lastRenderedPageBreak/>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lastRenderedPageBreak/>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No. 12 of 1990 s. 54; No. 78 of 1990 s. 7; No. 28 of 1994 s. 35; No. 42 of 2010 s. 45.]</w:t>
      </w:r>
    </w:p>
    <w:p>
      <w:pPr>
        <w:pStyle w:val="Heading5"/>
        <w:rPr>
          <w:snapToGrid w:val="0"/>
        </w:rPr>
      </w:pPr>
      <w:bookmarkStart w:id="145" w:name="_Toc166680751"/>
      <w:r>
        <w:rPr>
          <w:rStyle w:val="CharSectno"/>
        </w:rPr>
        <w:t>71</w:t>
      </w:r>
      <w:r>
        <w:rPr>
          <w:snapToGrid w:val="0"/>
        </w:rPr>
        <w:t>.</w:t>
      </w:r>
      <w:r>
        <w:rPr>
          <w:snapToGrid w:val="0"/>
        </w:rPr>
        <w:tab/>
        <w:t>Memorials to be entered of permits determined etc.</w:t>
      </w:r>
      <w:bookmarkEnd w:id="145"/>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ind w:left="890" w:hanging="890"/>
      </w:pPr>
      <w:r>
        <w:tab/>
        <w:t>[Section 71 amended: No. 12 of 1990 s. 55; No. 78 of 1990 s. 7.]</w:t>
      </w:r>
    </w:p>
    <w:p>
      <w:pPr>
        <w:pStyle w:val="Heading5"/>
        <w:spacing w:before="180"/>
        <w:rPr>
          <w:snapToGrid w:val="0"/>
        </w:rPr>
      </w:pPr>
      <w:bookmarkStart w:id="146" w:name="_Toc166680752"/>
      <w:r>
        <w:rPr>
          <w:rStyle w:val="CharSectno"/>
        </w:rPr>
        <w:t>72</w:t>
      </w:r>
      <w:r>
        <w:rPr>
          <w:snapToGrid w:val="0"/>
        </w:rPr>
        <w:t>.</w:t>
      </w:r>
      <w:r>
        <w:rPr>
          <w:snapToGrid w:val="0"/>
        </w:rPr>
        <w:tab/>
        <w:t>Approval and registration of transfers</w:t>
      </w:r>
      <w:bookmarkEnd w:id="146"/>
    </w:p>
    <w:p>
      <w:pPr>
        <w:pStyle w:val="Subsection"/>
        <w:spacing w:before="120"/>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spacing w:before="120"/>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spacing w:before="120"/>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 xml:space="preserve">an instrument of transfer in the prescribed form executed by the registered holder or, if there are 2 or more </w:t>
      </w:r>
      <w:r>
        <w:rPr>
          <w:snapToGrid w:val="0"/>
        </w:rPr>
        <w:lastRenderedPageBreak/>
        <w:t>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spacing w:before="40"/>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 xml:space="preserve">Where an application for approval of the transfer of a title is made in accordance with this section, the Minister shall, by </w:t>
      </w:r>
      <w:r>
        <w:rPr>
          <w:snapToGrid w:val="0"/>
        </w:rPr>
        <w:lastRenderedPageBreak/>
        <w:t>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No. 12 of 1990 s. 56; amended: No. 78 of 1990 s. 7; No. 28 of 1994 s. 36; No. 35 of 2007 s. 59.]</w:t>
      </w:r>
    </w:p>
    <w:p>
      <w:pPr>
        <w:pStyle w:val="Heading5"/>
        <w:rPr>
          <w:snapToGrid w:val="0"/>
        </w:rPr>
      </w:pPr>
      <w:bookmarkStart w:id="147" w:name="_Toc166680753"/>
      <w:r>
        <w:rPr>
          <w:rStyle w:val="CharSectno"/>
        </w:rPr>
        <w:lastRenderedPageBreak/>
        <w:t>73</w:t>
      </w:r>
      <w:r>
        <w:rPr>
          <w:snapToGrid w:val="0"/>
        </w:rPr>
        <w:t>.</w:t>
      </w:r>
      <w:r>
        <w:rPr>
          <w:snapToGrid w:val="0"/>
        </w:rPr>
        <w:tab/>
        <w:t>Entries in Register on devolution of title</w:t>
      </w:r>
      <w:bookmarkEnd w:id="147"/>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No. 69 of 1981 s. 34; No. 12 of 1990 s. 57.]</w:t>
      </w:r>
    </w:p>
    <w:p>
      <w:pPr>
        <w:pStyle w:val="Ednotesection"/>
        <w:spacing w:before="200"/>
        <w:ind w:left="890" w:hanging="890"/>
      </w:pPr>
      <w:r>
        <w:t>[</w:t>
      </w:r>
      <w:r>
        <w:rPr>
          <w:b/>
        </w:rPr>
        <w:t>74.</w:t>
      </w:r>
      <w:r>
        <w:tab/>
        <w:t>Deleted: No. 12 of 1990 s. 58.]</w:t>
      </w:r>
    </w:p>
    <w:p>
      <w:pPr>
        <w:pStyle w:val="Heading5"/>
        <w:spacing w:before="180"/>
        <w:rPr>
          <w:snapToGrid w:val="0"/>
        </w:rPr>
      </w:pPr>
      <w:bookmarkStart w:id="148" w:name="_Toc166680754"/>
      <w:r>
        <w:rPr>
          <w:rStyle w:val="CharSectno"/>
        </w:rPr>
        <w:t>75</w:t>
      </w:r>
      <w:r>
        <w:rPr>
          <w:snapToGrid w:val="0"/>
        </w:rPr>
        <w:t>.</w:t>
      </w:r>
      <w:r>
        <w:rPr>
          <w:snapToGrid w:val="0"/>
        </w:rPr>
        <w:tab/>
        <w:t>Approval of dealings creating interests etc. in existing titles</w:t>
      </w:r>
      <w:bookmarkEnd w:id="148"/>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lastRenderedPageBreak/>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lastRenderedPageBreak/>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keepNext/>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keepNext/>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lastRenderedPageBreak/>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 xml:space="preserve">On receipt of an application made under this section, the Minister shall enter a memorandum in the Register of the date </w:t>
      </w:r>
      <w:r>
        <w:rPr>
          <w:snapToGrid w:val="0"/>
        </w:rPr>
        <w:lastRenderedPageBreak/>
        <w:t>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 xml:space="preserve">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w:t>
      </w:r>
      <w:r>
        <w:rPr>
          <w:snapToGrid w:val="0"/>
        </w:rPr>
        <w:lastRenderedPageBreak/>
        <w:t>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No. 12 of 1990 s. 58; amended: No. 78 of 1990 s. 7; No. 28 of 1994 s. 37; No. 20 of 2003 s. 35; No. 35 of 2007 s. 60.]</w:t>
      </w:r>
    </w:p>
    <w:p>
      <w:pPr>
        <w:pStyle w:val="Heading5"/>
        <w:rPr>
          <w:snapToGrid w:val="0"/>
        </w:rPr>
      </w:pPr>
      <w:bookmarkStart w:id="149" w:name="_Toc166680755"/>
      <w:r>
        <w:rPr>
          <w:rStyle w:val="CharSectno"/>
        </w:rPr>
        <w:t>75A</w:t>
      </w:r>
      <w:r>
        <w:rPr>
          <w:snapToGrid w:val="0"/>
        </w:rPr>
        <w:t>.</w:t>
      </w:r>
      <w:r>
        <w:rPr>
          <w:snapToGrid w:val="0"/>
        </w:rPr>
        <w:tab/>
        <w:t>Approval of dealings in future interests etc.</w:t>
      </w:r>
      <w:bookmarkEnd w:id="149"/>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lastRenderedPageBreak/>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lastRenderedPageBreak/>
        <w:tab/>
        <w:t>(b)</w:t>
      </w:r>
      <w:r>
        <w:rPr>
          <w:snapToGrid w:val="0"/>
        </w:rPr>
        <w:tab/>
        <w:t>ending on the day on which the title comes into existence.</w:t>
      </w:r>
    </w:p>
    <w:p>
      <w:pPr>
        <w:pStyle w:val="Footnotesection"/>
      </w:pPr>
      <w:r>
        <w:tab/>
        <w:t>[Section 75A inserted: No. 12 of 1990 s. 58; amended: No. 78 of 1990 s. 7.]</w:t>
      </w:r>
    </w:p>
    <w:p>
      <w:pPr>
        <w:pStyle w:val="Heading5"/>
        <w:rPr>
          <w:snapToGrid w:val="0"/>
        </w:rPr>
      </w:pPr>
      <w:bookmarkStart w:id="150" w:name="_Toc166680756"/>
      <w:r>
        <w:rPr>
          <w:rStyle w:val="CharSectno"/>
        </w:rPr>
        <w:t>76</w:t>
      </w:r>
      <w:r>
        <w:rPr>
          <w:snapToGrid w:val="0"/>
        </w:rPr>
        <w:t>.</w:t>
      </w:r>
      <w:r>
        <w:rPr>
          <w:snapToGrid w:val="0"/>
        </w:rPr>
        <w:tab/>
        <w:t>True consideration to be shown in transfer or dealing</w:t>
      </w:r>
      <w:bookmarkEnd w:id="150"/>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No. 12 of 1990 s. 59; No. 35 of 2007 s. 61; No. 42 of 2010 s. 62(15).]</w:t>
      </w:r>
    </w:p>
    <w:p>
      <w:pPr>
        <w:pStyle w:val="Heading5"/>
        <w:rPr>
          <w:snapToGrid w:val="0"/>
        </w:rPr>
      </w:pPr>
      <w:bookmarkStart w:id="151" w:name="_Toc166680757"/>
      <w:r>
        <w:rPr>
          <w:rStyle w:val="CharSectno"/>
        </w:rPr>
        <w:lastRenderedPageBreak/>
        <w:t>77</w:t>
      </w:r>
      <w:r>
        <w:rPr>
          <w:snapToGrid w:val="0"/>
        </w:rPr>
        <w:t>.</w:t>
      </w:r>
      <w:r>
        <w:rPr>
          <w:snapToGrid w:val="0"/>
        </w:rPr>
        <w:tab/>
        <w:t>Minister not concerned with certain matters</w:t>
      </w:r>
      <w:bookmarkEnd w:id="151"/>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No. 12 of 1990 s. 60.]</w:t>
      </w:r>
    </w:p>
    <w:p>
      <w:pPr>
        <w:pStyle w:val="Heading5"/>
        <w:rPr>
          <w:snapToGrid w:val="0"/>
        </w:rPr>
      </w:pPr>
      <w:bookmarkStart w:id="152" w:name="_Toc166680758"/>
      <w:r>
        <w:rPr>
          <w:rStyle w:val="CharSectno"/>
        </w:rPr>
        <w:t>78</w:t>
      </w:r>
      <w:r>
        <w:rPr>
          <w:snapToGrid w:val="0"/>
        </w:rPr>
        <w:t>.</w:t>
      </w:r>
      <w:r>
        <w:rPr>
          <w:snapToGrid w:val="0"/>
        </w:rPr>
        <w:tab/>
        <w:t>Power of Minister to require information as to transfers or dealings</w:t>
      </w:r>
      <w:bookmarkEnd w:id="152"/>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keepNext/>
        <w:keepLines/>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lastRenderedPageBreak/>
        <w:tab/>
        <w:t>Penalty for an offence under subsection (1c) or (2): a fine of $5 000.</w:t>
      </w:r>
    </w:p>
    <w:p>
      <w:pPr>
        <w:pStyle w:val="Footnotesection"/>
        <w:ind w:left="890" w:hanging="890"/>
      </w:pPr>
      <w:r>
        <w:tab/>
        <w:t>[Section 78 amended: No. 12 of 1990 s. 61; No. 28 of 1994 s. 38; No. 42 of 2010 s. 62(2) and (3).]</w:t>
      </w:r>
    </w:p>
    <w:p>
      <w:pPr>
        <w:pStyle w:val="Heading5"/>
        <w:rPr>
          <w:snapToGrid w:val="0"/>
        </w:rPr>
      </w:pPr>
      <w:bookmarkStart w:id="153" w:name="_Toc166680759"/>
      <w:r>
        <w:rPr>
          <w:rStyle w:val="CharSectno"/>
        </w:rPr>
        <w:t>79</w:t>
      </w:r>
      <w:r>
        <w:rPr>
          <w:snapToGrid w:val="0"/>
        </w:rPr>
        <w:t>.</w:t>
      </w:r>
      <w:r>
        <w:rPr>
          <w:snapToGrid w:val="0"/>
        </w:rPr>
        <w:tab/>
        <w:t>Production and inspection of documents</w:t>
      </w:r>
      <w:bookmarkEnd w:id="153"/>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ind w:left="890" w:hanging="890"/>
      </w:pPr>
      <w:r>
        <w:tab/>
        <w:t>[Section 79 amended: No. 12 of 1990 s. 62; No. 42 of 2010 s. 62(4).]</w:t>
      </w:r>
    </w:p>
    <w:p>
      <w:pPr>
        <w:pStyle w:val="Heading5"/>
        <w:rPr>
          <w:snapToGrid w:val="0"/>
        </w:rPr>
      </w:pPr>
      <w:bookmarkStart w:id="154" w:name="_Toc166680760"/>
      <w:r>
        <w:rPr>
          <w:rStyle w:val="CharSectno"/>
        </w:rPr>
        <w:t>80</w:t>
      </w:r>
      <w:r>
        <w:rPr>
          <w:snapToGrid w:val="0"/>
        </w:rPr>
        <w:t>.</w:t>
      </w:r>
      <w:r>
        <w:rPr>
          <w:snapToGrid w:val="0"/>
        </w:rPr>
        <w:tab/>
        <w:t>Inspection of Register and instruments</w:t>
      </w:r>
      <w:bookmarkEnd w:id="154"/>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keepNext/>
      </w:pPr>
      <w:r>
        <w:tab/>
        <w:t>[(2)</w:t>
      </w:r>
      <w:r>
        <w:tab/>
        <w:t>deleted]</w:t>
      </w:r>
    </w:p>
    <w:p>
      <w:pPr>
        <w:pStyle w:val="Footnotesection"/>
        <w:keepLines w:val="0"/>
        <w:spacing w:before="100"/>
        <w:ind w:left="890" w:hanging="890"/>
      </w:pPr>
      <w:r>
        <w:tab/>
        <w:t>[Section 80 amended: No. 69 of 1981 s. 34; No. 12 of 1990 s. 63.]</w:t>
      </w:r>
    </w:p>
    <w:p>
      <w:pPr>
        <w:pStyle w:val="Heading5"/>
        <w:rPr>
          <w:snapToGrid w:val="0"/>
        </w:rPr>
      </w:pPr>
      <w:bookmarkStart w:id="155" w:name="_Toc166680761"/>
      <w:r>
        <w:rPr>
          <w:rStyle w:val="CharSectno"/>
        </w:rPr>
        <w:lastRenderedPageBreak/>
        <w:t>81</w:t>
      </w:r>
      <w:r>
        <w:rPr>
          <w:snapToGrid w:val="0"/>
        </w:rPr>
        <w:t>.</w:t>
      </w:r>
      <w:r>
        <w:rPr>
          <w:snapToGrid w:val="0"/>
        </w:rPr>
        <w:tab/>
        <w:t>Evidentiary provisions</w:t>
      </w:r>
      <w:bookmarkEnd w:id="155"/>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No. 69 of 1981 s. 34; No. 12 of 1990 s. 64; No. 55 of 2004 s. 917.]</w:t>
      </w:r>
    </w:p>
    <w:p>
      <w:pPr>
        <w:pStyle w:val="Heading5"/>
        <w:rPr>
          <w:snapToGrid w:val="0"/>
        </w:rPr>
      </w:pPr>
      <w:bookmarkStart w:id="156" w:name="_Toc166680762"/>
      <w:r>
        <w:rPr>
          <w:rStyle w:val="CharSectno"/>
        </w:rPr>
        <w:t>81A</w:t>
      </w:r>
      <w:r>
        <w:rPr>
          <w:snapToGrid w:val="0"/>
        </w:rPr>
        <w:t>.</w:t>
      </w:r>
      <w:r>
        <w:rPr>
          <w:snapToGrid w:val="0"/>
        </w:rPr>
        <w:tab/>
        <w:t>Minister may make corrections to, and entries in, Register</w:t>
      </w:r>
      <w:bookmarkEnd w:id="156"/>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lastRenderedPageBreak/>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No. 12 of 1990 s. 65.]</w:t>
      </w:r>
    </w:p>
    <w:p>
      <w:pPr>
        <w:pStyle w:val="Heading5"/>
        <w:spacing w:before="180"/>
        <w:rPr>
          <w:snapToGrid w:val="0"/>
        </w:rPr>
      </w:pPr>
      <w:bookmarkStart w:id="157" w:name="_Toc166680763"/>
      <w:r>
        <w:rPr>
          <w:rStyle w:val="CharSectno"/>
        </w:rPr>
        <w:t>82</w:t>
      </w:r>
      <w:r>
        <w:rPr>
          <w:snapToGrid w:val="0"/>
        </w:rPr>
        <w:t>.</w:t>
      </w:r>
      <w:r>
        <w:rPr>
          <w:snapToGrid w:val="0"/>
        </w:rPr>
        <w:tab/>
        <w:t>Application to State Administrative Tribunal for orders</w:t>
      </w:r>
      <w:bookmarkEnd w:id="157"/>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lastRenderedPageBreak/>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No. 55 of 2004 s. 918.]</w:t>
      </w:r>
    </w:p>
    <w:p>
      <w:pPr>
        <w:pStyle w:val="Ednotesection"/>
        <w:spacing w:before="240"/>
      </w:pPr>
      <w:r>
        <w:t>[</w:t>
      </w:r>
      <w:r>
        <w:rPr>
          <w:b/>
          <w:bCs/>
        </w:rPr>
        <w:t>83.</w:t>
      </w:r>
      <w:r>
        <w:rPr>
          <w:b/>
          <w:bCs/>
        </w:rPr>
        <w:tab/>
      </w:r>
      <w:r>
        <w:t>Deleted: No. 13 of 2005 s. 6.]</w:t>
      </w:r>
    </w:p>
    <w:p>
      <w:pPr>
        <w:pStyle w:val="Heading5"/>
        <w:spacing w:before="240"/>
        <w:rPr>
          <w:snapToGrid w:val="0"/>
        </w:rPr>
      </w:pPr>
      <w:bookmarkStart w:id="158" w:name="_Toc166680764"/>
      <w:r>
        <w:rPr>
          <w:rStyle w:val="CharSectno"/>
        </w:rPr>
        <w:t>84</w:t>
      </w:r>
      <w:r>
        <w:rPr>
          <w:snapToGrid w:val="0"/>
        </w:rPr>
        <w:t>.</w:t>
      </w:r>
      <w:r>
        <w:rPr>
          <w:snapToGrid w:val="0"/>
        </w:rPr>
        <w:tab/>
        <w:t>Offences connected with Register and certain documents</w:t>
      </w:r>
      <w:bookmarkEnd w:id="158"/>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No. 12 of 1990 s. 66; No. 42 of 2010 s. 62(5) and (6).]</w:t>
      </w:r>
    </w:p>
    <w:p>
      <w:pPr>
        <w:pStyle w:val="Heading5"/>
        <w:rPr>
          <w:snapToGrid w:val="0"/>
        </w:rPr>
      </w:pPr>
      <w:bookmarkStart w:id="159" w:name="_Toc166680765"/>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159"/>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lastRenderedPageBreak/>
        <w:tab/>
        <w:t>[Section 85 amended: No. 55 of 2004 s. 919; No. 35 of 2007 s. 62.]</w:t>
      </w:r>
    </w:p>
    <w:p>
      <w:pPr>
        <w:pStyle w:val="Heading5"/>
        <w:rPr>
          <w:snapToGrid w:val="0"/>
        </w:rPr>
      </w:pPr>
      <w:bookmarkStart w:id="160" w:name="_Toc166680766"/>
      <w:r>
        <w:rPr>
          <w:rStyle w:val="CharSectno"/>
        </w:rPr>
        <w:t>86</w:t>
      </w:r>
      <w:r>
        <w:rPr>
          <w:snapToGrid w:val="0"/>
        </w:rPr>
        <w:t>.</w:t>
      </w:r>
      <w:r>
        <w:rPr>
          <w:snapToGrid w:val="0"/>
        </w:rPr>
        <w:tab/>
        <w:t>Exemption from duty</w:t>
      </w:r>
      <w:bookmarkEnd w:id="160"/>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No. 12 of 1990 s. 67; No. 78 of 1990 s. 7; No. 31 of 2008 s. 34.]</w:t>
      </w:r>
    </w:p>
    <w:p>
      <w:pPr>
        <w:pStyle w:val="Heading3"/>
        <w:keepLines/>
      </w:pPr>
      <w:bookmarkStart w:id="161" w:name="_Toc166678800"/>
      <w:bookmarkStart w:id="162" w:name="_Toc166679204"/>
      <w:bookmarkStart w:id="163" w:name="_Toc166680767"/>
      <w:r>
        <w:rPr>
          <w:rStyle w:val="CharDivNo"/>
        </w:rPr>
        <w:t>Division 5</w:t>
      </w:r>
      <w:r>
        <w:rPr>
          <w:snapToGrid w:val="0"/>
        </w:rPr>
        <w:t> — </w:t>
      </w:r>
      <w:r>
        <w:rPr>
          <w:rStyle w:val="CharDivText"/>
        </w:rPr>
        <w:t>General</w:t>
      </w:r>
      <w:bookmarkEnd w:id="161"/>
      <w:bookmarkEnd w:id="162"/>
      <w:bookmarkEnd w:id="163"/>
    </w:p>
    <w:p>
      <w:pPr>
        <w:pStyle w:val="Ednotesection"/>
        <w:keepNext/>
        <w:keepLines/>
        <w:ind w:left="890" w:hanging="890"/>
      </w:pPr>
      <w:r>
        <w:t>[</w:t>
      </w:r>
      <w:r>
        <w:rPr>
          <w:b/>
        </w:rPr>
        <w:t>87.</w:t>
      </w:r>
      <w:r>
        <w:tab/>
        <w:t>Deleted: No. 12 of 1990 s. 68.]</w:t>
      </w:r>
    </w:p>
    <w:p>
      <w:pPr>
        <w:pStyle w:val="Heading5"/>
        <w:spacing w:before="180"/>
        <w:rPr>
          <w:snapToGrid w:val="0"/>
        </w:rPr>
      </w:pPr>
      <w:bookmarkStart w:id="164" w:name="_Toc166680768"/>
      <w:r>
        <w:rPr>
          <w:rStyle w:val="CharSectno"/>
        </w:rPr>
        <w:t>88</w:t>
      </w:r>
      <w:r>
        <w:rPr>
          <w:snapToGrid w:val="0"/>
        </w:rPr>
        <w:t>.</w:t>
      </w:r>
      <w:r>
        <w:rPr>
          <w:snapToGrid w:val="0"/>
        </w:rPr>
        <w:tab/>
        <w:t>Notice of grants of permits etc. to be published</w:t>
      </w:r>
      <w:bookmarkEnd w:id="164"/>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lastRenderedPageBreak/>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No. 12 of 1990 s. 69; No. 78 of 1990 s. 7; No. 28 of 1994 s. 39.]</w:t>
      </w:r>
    </w:p>
    <w:p>
      <w:pPr>
        <w:pStyle w:val="Heading5"/>
        <w:rPr>
          <w:snapToGrid w:val="0"/>
        </w:rPr>
      </w:pPr>
      <w:bookmarkStart w:id="165" w:name="_Toc166680769"/>
      <w:r>
        <w:rPr>
          <w:rStyle w:val="CharSectno"/>
        </w:rPr>
        <w:t>89</w:t>
      </w:r>
      <w:r>
        <w:rPr>
          <w:snapToGrid w:val="0"/>
        </w:rPr>
        <w:t>.</w:t>
      </w:r>
      <w:r>
        <w:rPr>
          <w:snapToGrid w:val="0"/>
        </w:rPr>
        <w:tab/>
        <w:t>Date of effect of certain surrenders, cancellations and variations</w:t>
      </w:r>
      <w:bookmarkEnd w:id="165"/>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No. 12 of 1990 s. 70; No. 78 of 1990 s. 7.]</w:t>
      </w:r>
    </w:p>
    <w:p>
      <w:pPr>
        <w:pStyle w:val="Heading5"/>
        <w:rPr>
          <w:snapToGrid w:val="0"/>
        </w:rPr>
      </w:pPr>
      <w:bookmarkStart w:id="166" w:name="_Toc166680770"/>
      <w:r>
        <w:rPr>
          <w:rStyle w:val="CharSectno"/>
        </w:rPr>
        <w:t>90</w:t>
      </w:r>
      <w:r>
        <w:rPr>
          <w:snapToGrid w:val="0"/>
        </w:rPr>
        <w:t>.</w:t>
      </w:r>
      <w:r>
        <w:rPr>
          <w:snapToGrid w:val="0"/>
        </w:rPr>
        <w:tab/>
        <w:t>Commencement of works</w:t>
      </w:r>
      <w:bookmarkEnd w:id="166"/>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lastRenderedPageBreak/>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No. 12 of 1990 s. 71; No. 78 of 1990 s. 7; No. 42 of 2010 s. 62(7).]</w:t>
      </w:r>
    </w:p>
    <w:p>
      <w:pPr>
        <w:pStyle w:val="Heading5"/>
        <w:rPr>
          <w:snapToGrid w:val="0"/>
        </w:rPr>
      </w:pPr>
      <w:bookmarkStart w:id="167" w:name="_Toc166680771"/>
      <w:r>
        <w:rPr>
          <w:rStyle w:val="CharSectno"/>
        </w:rPr>
        <w:t>91</w:t>
      </w:r>
      <w:r>
        <w:rPr>
          <w:snapToGrid w:val="0"/>
        </w:rPr>
        <w:t>.</w:t>
      </w:r>
      <w:r>
        <w:rPr>
          <w:snapToGrid w:val="0"/>
        </w:rPr>
        <w:tab/>
        <w:t>Work practices</w:t>
      </w:r>
      <w:bookmarkEnd w:id="167"/>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lastRenderedPageBreak/>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keepNext/>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lastRenderedPageBreak/>
        <w:tab/>
        <w:t>(c)</w:t>
      </w:r>
      <w:r>
        <w:tab/>
        <w:t>prevent damage to geothermal energy resources in an area, whether in the State or not, in respect of which the permit, drilling reservation, lease or licence is not in force; and</w:t>
      </w:r>
    </w:p>
    <w:p>
      <w:pPr>
        <w:pStyle w:val="Indenta"/>
        <w:keepNext/>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18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18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100"/>
      </w:pPr>
      <w:r>
        <w:tab/>
        <w:t>Penalty for an offence under subsection (1), (2), (2a) or (3): a fine of $10 000.</w:t>
      </w:r>
    </w:p>
    <w:p>
      <w:pPr>
        <w:pStyle w:val="Footnotesection"/>
        <w:ind w:left="890" w:hanging="890"/>
      </w:pPr>
      <w:r>
        <w:lastRenderedPageBreak/>
        <w:tab/>
        <w:t>[Section 91 amended: No. 12 of 1990 s. 72; No. 78 of 1990 s. 7; No. 28 of 1994 s. 40; No. 13 of 2005 s. 7; No. 35 of 2007 s. 63; No. 42 of 2010 s. 62(8).]</w:t>
      </w:r>
    </w:p>
    <w:p>
      <w:pPr>
        <w:pStyle w:val="Heading5"/>
        <w:rPr>
          <w:snapToGrid w:val="0"/>
        </w:rPr>
      </w:pPr>
      <w:bookmarkStart w:id="168" w:name="_Toc166680772"/>
      <w:r>
        <w:rPr>
          <w:rStyle w:val="CharSectno"/>
        </w:rPr>
        <w:t>91A</w:t>
      </w:r>
      <w:r>
        <w:rPr>
          <w:snapToGrid w:val="0"/>
        </w:rPr>
        <w:t>.</w:t>
      </w:r>
      <w:r>
        <w:rPr>
          <w:snapToGrid w:val="0"/>
        </w:rPr>
        <w:tab/>
        <w:t>Conditions relating to insurance</w:t>
      </w:r>
      <w:bookmarkEnd w:id="168"/>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lastRenderedPageBreak/>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ind w:left="890" w:hanging="890"/>
      </w:pPr>
      <w:r>
        <w:tab/>
        <w:t>[Section 91A inserted: No. 28 of 1994 s. 41; amended: No. 35 of 2007 s. 64.]</w:t>
      </w:r>
    </w:p>
    <w:p>
      <w:pPr>
        <w:pStyle w:val="Heading5"/>
        <w:rPr>
          <w:snapToGrid w:val="0"/>
        </w:rPr>
      </w:pPr>
      <w:bookmarkStart w:id="169" w:name="_Toc166680773"/>
      <w:r>
        <w:rPr>
          <w:rStyle w:val="CharSectno"/>
        </w:rPr>
        <w:t>91B</w:t>
      </w:r>
      <w:r>
        <w:rPr>
          <w:snapToGrid w:val="0"/>
        </w:rPr>
        <w:t>.</w:t>
      </w:r>
      <w:r>
        <w:rPr>
          <w:snapToGrid w:val="0"/>
        </w:rPr>
        <w:tab/>
        <w:t>Conditions prohibiting entry on certain land</w:t>
      </w:r>
      <w:bookmarkEnd w:id="169"/>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No. 17 of 1999 s. 27.]</w:t>
      </w:r>
    </w:p>
    <w:p>
      <w:pPr>
        <w:pStyle w:val="Heading5"/>
        <w:keepLines w:val="0"/>
        <w:spacing w:before="240"/>
        <w:rPr>
          <w:snapToGrid w:val="0"/>
        </w:rPr>
      </w:pPr>
      <w:bookmarkStart w:id="170" w:name="_Toc166680774"/>
      <w:r>
        <w:rPr>
          <w:rStyle w:val="CharSectno"/>
        </w:rPr>
        <w:t>92</w:t>
      </w:r>
      <w:r>
        <w:rPr>
          <w:snapToGrid w:val="0"/>
        </w:rPr>
        <w:t>.</w:t>
      </w:r>
      <w:r>
        <w:rPr>
          <w:snapToGrid w:val="0"/>
        </w:rPr>
        <w:tab/>
        <w:t>Maintenance etc. of property</w:t>
      </w:r>
      <w:bookmarkEnd w:id="170"/>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Indenta"/>
        <w:rPr>
          <w:b/>
        </w:rPr>
      </w:pPr>
      <w:r>
        <w:lastRenderedPageBreak/>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No. 12 of 1990 s. 74; No. 78 of 1990 s. 7; No. 28 of 1994 s. 42; No. 42 of 2010 s. 62(9).]</w:t>
      </w:r>
    </w:p>
    <w:p>
      <w:pPr>
        <w:pStyle w:val="Heading5"/>
        <w:rPr>
          <w:snapToGrid w:val="0"/>
        </w:rPr>
      </w:pPr>
      <w:bookmarkStart w:id="171" w:name="_Toc166680775"/>
      <w:r>
        <w:rPr>
          <w:rStyle w:val="CharSectno"/>
        </w:rPr>
        <w:t>93</w:t>
      </w:r>
      <w:r>
        <w:rPr>
          <w:snapToGrid w:val="0"/>
        </w:rPr>
        <w:t>.</w:t>
      </w:r>
      <w:r>
        <w:rPr>
          <w:snapToGrid w:val="0"/>
        </w:rPr>
        <w:tab/>
        <w:t>Operation of s. 91, 91A and 92 subject to this Act and other laws</w:t>
      </w:r>
      <w:bookmarkEnd w:id="171"/>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spacing w:before="100"/>
        <w:ind w:left="890" w:hanging="890"/>
      </w:pPr>
      <w:r>
        <w:tab/>
        <w:t>[Section 93 amended: No. 28 of 1994 s. 43.]</w:t>
      </w:r>
    </w:p>
    <w:p>
      <w:pPr>
        <w:pStyle w:val="Ednotesection"/>
        <w:spacing w:before="180"/>
      </w:pPr>
      <w:r>
        <w:t>[</w:t>
      </w:r>
      <w:r>
        <w:rPr>
          <w:b/>
        </w:rPr>
        <w:t>94.</w:t>
      </w:r>
      <w:r>
        <w:tab/>
        <w:t>Deleted: No. 42 of 2010 s. 46.]</w:t>
      </w:r>
    </w:p>
    <w:p>
      <w:pPr>
        <w:pStyle w:val="Heading5"/>
        <w:spacing w:before="180"/>
        <w:rPr>
          <w:snapToGrid w:val="0"/>
        </w:rPr>
      </w:pPr>
      <w:bookmarkStart w:id="172" w:name="_Toc166680776"/>
      <w:r>
        <w:rPr>
          <w:rStyle w:val="CharSectno"/>
        </w:rPr>
        <w:lastRenderedPageBreak/>
        <w:t>95</w:t>
      </w:r>
      <w:r>
        <w:rPr>
          <w:snapToGrid w:val="0"/>
        </w:rPr>
        <w:t>.</w:t>
      </w:r>
      <w:r>
        <w:rPr>
          <w:snapToGrid w:val="0"/>
        </w:rPr>
        <w:tab/>
        <w:t>Directions by Minister</w:t>
      </w:r>
      <w:bookmarkEnd w:id="172"/>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 xml:space="preserve">Where a direction under this section applies to a registered holder and to a person referred to in subsection (2)(a), the registered holder shall cause a copy of the instrument by which </w:t>
      </w:r>
      <w:r>
        <w:rPr>
          <w:snapToGrid w:val="0"/>
        </w:rPr>
        <w:lastRenderedPageBreak/>
        <w:t>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spacing w:before="18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8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keepNext/>
        <w:spacing w:before="180"/>
        <w:rPr>
          <w:snapToGrid w:val="0"/>
        </w:rPr>
      </w:pPr>
      <w:r>
        <w:rPr>
          <w:snapToGrid w:val="0"/>
        </w:rPr>
        <w:lastRenderedPageBreak/>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No. 12 of 1990 s. 76; amended: No. 78 of 1990 s. 7; No. 35 of 2007 s. 65; No. 42 of 2010 s. 62(15).]</w:t>
      </w:r>
    </w:p>
    <w:p>
      <w:pPr>
        <w:pStyle w:val="Heading5"/>
        <w:spacing w:before="180"/>
        <w:rPr>
          <w:snapToGrid w:val="0"/>
        </w:rPr>
      </w:pPr>
      <w:bookmarkStart w:id="173" w:name="_Toc166680777"/>
      <w:r>
        <w:rPr>
          <w:rStyle w:val="CharSectno"/>
        </w:rPr>
        <w:t>96</w:t>
      </w:r>
      <w:r>
        <w:rPr>
          <w:snapToGrid w:val="0"/>
        </w:rPr>
        <w:t>.</w:t>
      </w:r>
      <w:r>
        <w:rPr>
          <w:snapToGrid w:val="0"/>
        </w:rPr>
        <w:tab/>
        <w:t>Compliance with directions</w:t>
      </w:r>
      <w:bookmarkEnd w:id="173"/>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lastRenderedPageBreak/>
        <w:tab/>
      </w:r>
      <w:r>
        <w:rPr>
          <w:snapToGrid w:val="0"/>
        </w:rPr>
        <w:tab/>
        <w:t>the person is not liable under subsection (2) unless the plaintiff proves that the person knew, or could reasonably be expected to have known, of the existence of the direction.</w:t>
      </w:r>
    </w:p>
    <w:p>
      <w:pPr>
        <w:pStyle w:val="Subsection"/>
        <w:keepNext/>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96 amended: No. 12 of 1990 s. 77.]</w:t>
      </w:r>
    </w:p>
    <w:p>
      <w:pPr>
        <w:pStyle w:val="Heading5"/>
        <w:spacing w:before="180"/>
        <w:rPr>
          <w:snapToGrid w:val="0"/>
        </w:rPr>
      </w:pPr>
      <w:bookmarkStart w:id="174" w:name="_Toc166680778"/>
      <w:r>
        <w:rPr>
          <w:rStyle w:val="CharSectno"/>
        </w:rPr>
        <w:t>97</w:t>
      </w:r>
      <w:r>
        <w:rPr>
          <w:snapToGrid w:val="0"/>
        </w:rPr>
        <w:t>.</w:t>
      </w:r>
      <w:r>
        <w:rPr>
          <w:snapToGrid w:val="0"/>
        </w:rPr>
        <w:tab/>
        <w:t>Variation and suspension of, and exemption from compliance with, conditions</w:t>
      </w:r>
      <w:bookmarkEnd w:id="17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 xml:space="preserve">a permittee, holder of a drilling reservation, lessee, licensee or the holder of a special prospecting authority </w:t>
      </w:r>
      <w:r>
        <w:rPr>
          <w:snapToGrid w:val="0"/>
        </w:rPr>
        <w:lastRenderedPageBreak/>
        <w:t>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 xml:space="preserve">Where, in pursuance of subsection (1), the Minister suspends, or exempts the permittee, the holder of a drilling reservation or a </w:t>
      </w:r>
      <w:r>
        <w:rPr>
          <w:snapToGrid w:val="0"/>
        </w:rPr>
        <w:lastRenderedPageBreak/>
        <w:t>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No. 12 of 1990 s. 78; No. 78 of 1990 s. 7; No. 28 of 1994 s. 44.]</w:t>
      </w:r>
    </w:p>
    <w:p>
      <w:pPr>
        <w:pStyle w:val="Heading5"/>
      </w:pPr>
      <w:bookmarkStart w:id="175" w:name="_Toc166680779"/>
      <w:r>
        <w:rPr>
          <w:rStyle w:val="CharSectno"/>
        </w:rPr>
        <w:t>97A</w:t>
      </w:r>
      <w:r>
        <w:t>.</w:t>
      </w:r>
      <w:r>
        <w:tab/>
        <w:t>Variation of petroleum title by including area as result of change to boundary of offshore area</w:t>
      </w:r>
      <w:bookmarkEnd w:id="175"/>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petroleum production licence</w:t>
      </w:r>
      <w:r>
        <w:t xml:space="preserve"> means a petroleum production licence granted for a fixed period of years;</w:t>
      </w:r>
    </w:p>
    <w:p>
      <w:pPr>
        <w:pStyle w:val="Defstart"/>
      </w:pPr>
      <w:r>
        <w:tab/>
      </w:r>
      <w:r>
        <w:rPr>
          <w:rStyle w:val="CharDefText"/>
        </w:rPr>
        <w:t>petroleum title</w:t>
      </w:r>
      <w:r>
        <w:t xml:space="preserve"> means a petroleum exploration permit, petroleum retention lease or fixed</w:t>
      </w:r>
      <w:r>
        <w:noBreakHyphen/>
        <w:t>term WA petroleum production licence;</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lastRenderedPageBreak/>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27 block covered by the petroleum title immediately adjoined at least one other section 27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lastRenderedPageBreak/>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lastRenderedPageBreak/>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pPr>
      <w:r>
        <w:tab/>
        <w:t>(7)</w:t>
      </w:r>
      <w:r>
        <w:tab/>
        <w:t xml:space="preserve">If the relevant petroleum title is a petroleum exploration permit — </w:t>
      </w:r>
    </w:p>
    <w:p>
      <w:pPr>
        <w:pStyle w:val="Indenta"/>
      </w:pPr>
      <w:r>
        <w:tab/>
        <w:t>(a)</w:t>
      </w:r>
      <w:r>
        <w:tab/>
        <w:t xml:space="preserve">the Minister must, by written notice given to the permittee, vary the permit to include in the permit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petroleum retention lease — </w:t>
      </w:r>
    </w:p>
    <w:p>
      <w:pPr>
        <w:pStyle w:val="Indenta"/>
      </w:pPr>
      <w:r>
        <w:tab/>
        <w:t>(a)</w:t>
      </w:r>
      <w:r>
        <w:tab/>
        <w:t xml:space="preserve">the Minister must, by written notice given to the lessee, vary the lease to include in the lease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lease area because of the variation are, for the remainder of the term of the lease, blocks in relation to which the lease is in force.</w:t>
      </w:r>
    </w:p>
    <w:p>
      <w:pPr>
        <w:pStyle w:val="Subsection"/>
      </w:pPr>
      <w:r>
        <w:lastRenderedPageBreak/>
        <w:tab/>
        <w:t>(9)</w:t>
      </w:r>
      <w:r>
        <w:tab/>
        <w:t xml:space="preserve">If the relevant petroleum title is a petroleum production licence — </w:t>
      </w:r>
    </w:p>
    <w:p>
      <w:pPr>
        <w:pStyle w:val="Indenta"/>
      </w:pPr>
      <w:r>
        <w:tab/>
        <w:t>(a)</w:t>
      </w:r>
      <w:r>
        <w:tab/>
        <w:t xml:space="preserve">the Minister must, by written notice given to the licensee, vary the licence to include in the licence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27 block immediately adjoins another section 27 block if — </w:t>
      </w:r>
    </w:p>
    <w:p>
      <w:pPr>
        <w:pStyle w:val="Indenta"/>
      </w:pPr>
      <w:r>
        <w:tab/>
        <w:t>(a)</w:t>
      </w:r>
      <w:r>
        <w:tab/>
        <w:t xml:space="preserve">the graticular section that constitutes or includes that section 27 block and the graticular section that constitutes or includes that other section 27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27 block and that other section 27 block are in the same graticular section.</w:t>
      </w:r>
    </w:p>
    <w:p>
      <w:pPr>
        <w:pStyle w:val="Subsection"/>
        <w:keepNext/>
      </w:pPr>
      <w:r>
        <w:lastRenderedPageBreak/>
        <w:tab/>
        <w:t>(13)</w:t>
      </w:r>
      <w:r>
        <w:tab/>
        <w:t xml:space="preserve">For the purposes of this section — </w:t>
      </w:r>
    </w:p>
    <w:p>
      <w:pPr>
        <w:pStyle w:val="Indenta"/>
      </w:pPr>
      <w:r>
        <w:tab/>
        <w:t>(a)</w:t>
      </w:r>
      <w:r>
        <w:tab/>
        <w:t>a petroleum exploration permit granted otherwise than by way of renewal corresponds to a Commonwealth permit granted otherwise than by way of renewal; and</w:t>
      </w:r>
    </w:p>
    <w:p>
      <w:pPr>
        <w:pStyle w:val="Indenta"/>
      </w:pPr>
      <w:r>
        <w:tab/>
        <w:t>(b)</w:t>
      </w:r>
      <w:r>
        <w:tab/>
        <w:t>a petroleum retention lease corresponds to a Commonwealth lease; and</w:t>
      </w:r>
    </w:p>
    <w:p>
      <w:pPr>
        <w:pStyle w:val="Indenta"/>
      </w:pPr>
      <w:r>
        <w:tab/>
        <w:t>(c)</w:t>
      </w:r>
      <w:r>
        <w:tab/>
        <w:t>a fixed</w:t>
      </w:r>
      <w:r>
        <w:noBreakHyphen/>
        <w:t>term WA petroleum production licence granted otherwise than by way of renewal corresponds to a Commonwealth licence granted otherwise than by way of renewal; and</w:t>
      </w:r>
    </w:p>
    <w:p>
      <w:pPr>
        <w:pStyle w:val="Indenta"/>
      </w:pPr>
      <w:r>
        <w:tab/>
        <w:t>(d)</w:t>
      </w:r>
      <w:r>
        <w:tab/>
        <w:t>a petroleum exploration permit granted by way of first renewal corresponds to a Commonwealth permit granted by way of first renewal; and</w:t>
      </w:r>
    </w:p>
    <w:p>
      <w:pPr>
        <w:pStyle w:val="Indenta"/>
      </w:pPr>
      <w:r>
        <w:tab/>
        <w:t>(e)</w:t>
      </w:r>
      <w:r>
        <w:tab/>
        <w:t>a fixed</w:t>
      </w:r>
      <w:r>
        <w:noBreakHyphen/>
        <w:t>term WA petroleum production licence granted by way of first renewal corresponds to a Commonwealth licence granted by way of first renewal; and</w:t>
      </w:r>
    </w:p>
    <w:p>
      <w:pPr>
        <w:pStyle w:val="Indenta"/>
      </w:pPr>
      <w:r>
        <w:tab/>
        <w:t>(f)</w:t>
      </w:r>
      <w:r>
        <w:tab/>
        <w:t>a petroleum exploration permit granted by way of second renewal corresponds to a Commonwealth permit granted by way of second renewal; and</w:t>
      </w:r>
    </w:p>
    <w:p>
      <w:pPr>
        <w:pStyle w:val="Indenta"/>
        <w:keepNext/>
        <w:keepLines/>
      </w:pPr>
      <w:r>
        <w:tab/>
        <w:t>(g)</w:t>
      </w:r>
      <w:r>
        <w:tab/>
        <w:t>a fixed</w:t>
      </w:r>
      <w:r>
        <w:noBreakHyphen/>
        <w:t>term WA petroleum production licence granted by way of second or subsequent renewal corresponds to a fixed</w:t>
      </w:r>
      <w:r>
        <w:noBreakHyphen/>
        <w:t>term petroleum production licence, as defined in the Commonwealth Act section 7, granted by way of second or subsequent renewal.</w:t>
      </w:r>
    </w:p>
    <w:p>
      <w:pPr>
        <w:pStyle w:val="Subsection"/>
      </w:pPr>
      <w:r>
        <w:tab/>
        <w:t>(14)</w:t>
      </w:r>
      <w:r>
        <w:tab/>
        <w:t xml:space="preserve">If, after the change to the boundary of the offshore area — </w:t>
      </w:r>
    </w:p>
    <w:p>
      <w:pPr>
        <w:pStyle w:val="Indenta"/>
      </w:pPr>
      <w:r>
        <w:tab/>
        <w:t>(a)</w:t>
      </w:r>
      <w:r>
        <w:tab/>
        <w:t>a part of a section 27 block that was covered by the Commonwealth title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ind w:left="890" w:hanging="890"/>
      </w:pPr>
      <w:r>
        <w:lastRenderedPageBreak/>
        <w:tab/>
        <w:t>[Section 97A inserted: No. 7 of 2017 s. 24.]</w:t>
      </w:r>
    </w:p>
    <w:p>
      <w:pPr>
        <w:pStyle w:val="Heading5"/>
        <w:spacing w:before="240"/>
        <w:rPr>
          <w:snapToGrid w:val="0"/>
        </w:rPr>
      </w:pPr>
      <w:bookmarkStart w:id="176" w:name="_Toc166680780"/>
      <w:r>
        <w:rPr>
          <w:rStyle w:val="CharSectno"/>
        </w:rPr>
        <w:t>98</w:t>
      </w:r>
      <w:r>
        <w:rPr>
          <w:snapToGrid w:val="0"/>
        </w:rPr>
        <w:t>.</w:t>
      </w:r>
      <w:r>
        <w:rPr>
          <w:snapToGrid w:val="0"/>
        </w:rPr>
        <w:tab/>
        <w:t>Surrender of permits etc.</w:t>
      </w:r>
      <w:bookmarkEnd w:id="176"/>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lastRenderedPageBreak/>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keepNext/>
        <w:keepLines/>
        <w:spacing w:before="120"/>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No. 12 of 1990 s. 79; No. 78 of 1990 s. 7.]</w:t>
      </w:r>
    </w:p>
    <w:p>
      <w:pPr>
        <w:pStyle w:val="Heading5"/>
        <w:spacing w:before="180"/>
        <w:rPr>
          <w:snapToGrid w:val="0"/>
        </w:rPr>
      </w:pPr>
      <w:bookmarkStart w:id="177" w:name="_Toc166680781"/>
      <w:r>
        <w:rPr>
          <w:rStyle w:val="CharSectno"/>
        </w:rPr>
        <w:t>99</w:t>
      </w:r>
      <w:r>
        <w:rPr>
          <w:snapToGrid w:val="0"/>
        </w:rPr>
        <w:t>.</w:t>
      </w:r>
      <w:r>
        <w:rPr>
          <w:snapToGrid w:val="0"/>
        </w:rPr>
        <w:tab/>
        <w:t>Cancellation of permits etc.</w:t>
      </w:r>
      <w:bookmarkEnd w:id="177"/>
    </w:p>
    <w:p>
      <w:pPr>
        <w:pStyle w:val="Subsection"/>
        <w:spacing w:before="120"/>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lastRenderedPageBreak/>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lastRenderedPageBreak/>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ind w:left="890" w:hanging="890"/>
      </w:pPr>
      <w:r>
        <w:tab/>
        <w:t>[Section 99 amended: No. 12 of 1990 s. 80; No. 78 of 1990 s. 7.]</w:t>
      </w:r>
    </w:p>
    <w:p>
      <w:pPr>
        <w:pStyle w:val="Heading5"/>
        <w:keepNext w:val="0"/>
        <w:keepLines w:val="0"/>
        <w:rPr>
          <w:snapToGrid w:val="0"/>
        </w:rPr>
      </w:pPr>
      <w:bookmarkStart w:id="178" w:name="_Toc166680782"/>
      <w:r>
        <w:rPr>
          <w:rStyle w:val="CharSectno"/>
        </w:rPr>
        <w:t>100</w:t>
      </w:r>
      <w:r>
        <w:rPr>
          <w:snapToGrid w:val="0"/>
        </w:rPr>
        <w:t>.</w:t>
      </w:r>
      <w:r>
        <w:rPr>
          <w:snapToGrid w:val="0"/>
        </w:rPr>
        <w:tab/>
        <w:t>Cancellation of permit etc. not affected by other provisions</w:t>
      </w:r>
      <w:bookmarkEnd w:id="178"/>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keepNext/>
        <w:keepLines/>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 xml:space="preserve">A person who was the registered holder of a permit, drilling reservation, lease or licence that has been wholly cancelled or is </w:t>
      </w:r>
      <w:r>
        <w:rPr>
          <w:snapToGrid w:val="0"/>
        </w:rPr>
        <w:lastRenderedPageBreak/>
        <w:t>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ind w:left="890" w:hanging="890"/>
      </w:pPr>
      <w:r>
        <w:tab/>
        <w:t>[Section 100 amended: No. 12 of 1990 s. 81; No. 78 of 1990 s. 7.]</w:t>
      </w:r>
    </w:p>
    <w:p>
      <w:pPr>
        <w:pStyle w:val="Heading5"/>
        <w:rPr>
          <w:snapToGrid w:val="0"/>
        </w:rPr>
      </w:pPr>
      <w:bookmarkStart w:id="179" w:name="_Toc166680783"/>
      <w:r>
        <w:rPr>
          <w:rStyle w:val="CharSectno"/>
        </w:rPr>
        <w:t>101</w:t>
      </w:r>
      <w:r>
        <w:rPr>
          <w:snapToGrid w:val="0"/>
        </w:rPr>
        <w:t>.</w:t>
      </w:r>
      <w:r>
        <w:rPr>
          <w:snapToGrid w:val="0"/>
        </w:rPr>
        <w:tab/>
        <w:t>Removal of property etc. by permittee etc.</w:t>
      </w:r>
      <w:bookmarkEnd w:id="179"/>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lastRenderedPageBreak/>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lastRenderedPageBreak/>
        <w:tab/>
        <w:t>[Section 101 amended: No. 12 of 1990 s. 82; No. 78 of 1990 s. 7; No. 42 of 2010 s. 62(10).]</w:t>
      </w:r>
    </w:p>
    <w:p>
      <w:pPr>
        <w:pStyle w:val="Heading5"/>
        <w:rPr>
          <w:snapToGrid w:val="0"/>
        </w:rPr>
      </w:pPr>
      <w:bookmarkStart w:id="180" w:name="_Toc166680784"/>
      <w:r>
        <w:rPr>
          <w:rStyle w:val="CharSectno"/>
        </w:rPr>
        <w:t>102</w:t>
      </w:r>
      <w:r>
        <w:rPr>
          <w:snapToGrid w:val="0"/>
        </w:rPr>
        <w:t>.</w:t>
      </w:r>
      <w:r>
        <w:rPr>
          <w:snapToGrid w:val="0"/>
        </w:rPr>
        <w:tab/>
        <w:t>Removal of property etc. by Minister</w:t>
      </w:r>
      <w:bookmarkEnd w:id="180"/>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No. 12 of 1990 s. 83; No. 78 of 1990 s. 7.]</w:t>
      </w:r>
    </w:p>
    <w:p>
      <w:pPr>
        <w:pStyle w:val="Ednotesection"/>
      </w:pPr>
      <w:r>
        <w:t>[</w:t>
      </w:r>
      <w:r>
        <w:rPr>
          <w:b/>
        </w:rPr>
        <w:t>103, 104.</w:t>
      </w:r>
      <w:r>
        <w:tab/>
        <w:t>Deleted: No. 42 of 2010 s. 47.]</w:t>
      </w:r>
    </w:p>
    <w:p>
      <w:pPr>
        <w:pStyle w:val="Heading5"/>
        <w:rPr>
          <w:snapToGrid w:val="0"/>
        </w:rPr>
      </w:pPr>
      <w:bookmarkStart w:id="181" w:name="_Toc166680785"/>
      <w:r>
        <w:rPr>
          <w:rStyle w:val="CharSectno"/>
        </w:rPr>
        <w:t>105</w:t>
      </w:r>
      <w:r>
        <w:rPr>
          <w:snapToGrid w:val="0"/>
        </w:rPr>
        <w:t>.</w:t>
      </w:r>
      <w:r>
        <w:rPr>
          <w:snapToGrid w:val="0"/>
        </w:rPr>
        <w:tab/>
        <w:t>Special prospecting authorities</w:t>
      </w:r>
      <w:bookmarkEnd w:id="181"/>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lastRenderedPageBreak/>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 xml:space="preserve">A geothermal special prospecting authority, while it remains in force, authorises the holder, subject to this Act and in </w:t>
      </w:r>
      <w:r>
        <w:lastRenderedPageBreak/>
        <w:t>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keepNext/>
      </w:pPr>
      <w:r>
        <w:lastRenderedPageBreak/>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lastRenderedPageBreak/>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No. 12 of 1990 s. 85; No. 28 of 1994 s. 45; No. 13 of 2005 s. 16(2); No. 35 of 2007 s. 66; No. 42 of 2010 s. 48 and 62(15).]</w:t>
      </w:r>
    </w:p>
    <w:p>
      <w:pPr>
        <w:pStyle w:val="Heading5"/>
        <w:rPr>
          <w:snapToGrid w:val="0"/>
        </w:rPr>
      </w:pPr>
      <w:bookmarkStart w:id="182" w:name="_Toc166680786"/>
      <w:r>
        <w:rPr>
          <w:rStyle w:val="CharSectno"/>
        </w:rPr>
        <w:t>106</w:t>
      </w:r>
      <w:r>
        <w:rPr>
          <w:snapToGrid w:val="0"/>
        </w:rPr>
        <w:t>.</w:t>
      </w:r>
      <w:r>
        <w:rPr>
          <w:snapToGrid w:val="0"/>
        </w:rPr>
        <w:tab/>
        <w:t>Access authorities</w:t>
      </w:r>
      <w:bookmarkEnd w:id="182"/>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 xml:space="preserve">A person who is a geothermal permittee, holder of a geothermal drilling reservation, geothermal lessee, geothermal licensee or holder of a geothermal special prospecting authority may make </w:t>
      </w:r>
      <w:r>
        <w:lastRenderedPageBreak/>
        <w:t>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lastRenderedPageBreak/>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lastRenderedPageBreak/>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lastRenderedPageBreak/>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lastRenderedPageBreak/>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No. 12 of 1990 s. 86; No. 78 of 1990 s. 7; No. 28 of 1994 s. 46; No. 13 of 2005 s. 16(2); No. 35 of 2007 s. 67; No. 42 of 2010 s. 49 and 62(15).]</w:t>
      </w:r>
    </w:p>
    <w:p>
      <w:pPr>
        <w:pStyle w:val="Heading5"/>
        <w:rPr>
          <w:snapToGrid w:val="0"/>
        </w:rPr>
      </w:pPr>
      <w:bookmarkStart w:id="183" w:name="_Toc166680787"/>
      <w:r>
        <w:rPr>
          <w:rStyle w:val="CharSectno"/>
        </w:rPr>
        <w:lastRenderedPageBreak/>
        <w:t>107</w:t>
      </w:r>
      <w:r>
        <w:rPr>
          <w:snapToGrid w:val="0"/>
        </w:rPr>
        <w:t>.</w:t>
      </w:r>
      <w:r>
        <w:rPr>
          <w:snapToGrid w:val="0"/>
        </w:rPr>
        <w:tab/>
        <w:t>Removal, disposal or sale of property</w:t>
      </w:r>
      <w:bookmarkEnd w:id="183"/>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spacing w:before="120"/>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 xml:space="preserve">if incurred in relation to the doing of anything required by a direction under section 101, 105 or 106, as the case may be, to be done by a person who is or was a </w:t>
      </w:r>
      <w:r>
        <w:rPr>
          <w:snapToGrid w:val="0"/>
        </w:rPr>
        <w:lastRenderedPageBreak/>
        <w:t>permittee, holder of a drilling reservation, lessee, licensee or holder of a special prospecting authority or access authority, are a debt due by that person to the Crown,</w:t>
      </w:r>
    </w:p>
    <w:p>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pPr>
        <w:pStyle w:val="Footnotesection"/>
        <w:spacing w:before="80"/>
        <w:ind w:left="890" w:hanging="890"/>
      </w:pPr>
      <w:r>
        <w:tab/>
        <w:t>[Section 107 amended: No. 12 of 1990 s. 87; No. 78 of 1990 s. 7.]</w:t>
      </w:r>
    </w:p>
    <w:p>
      <w:pPr>
        <w:pStyle w:val="Ednotesection"/>
      </w:pPr>
      <w:r>
        <w:t>[</w:t>
      </w:r>
      <w:r>
        <w:rPr>
          <w:b/>
        </w:rPr>
        <w:t>108.</w:t>
      </w:r>
      <w:r>
        <w:tab/>
        <w:t>Deleted: No. 28 of 1994 s. 47.]</w:t>
      </w:r>
    </w:p>
    <w:p>
      <w:pPr>
        <w:pStyle w:val="Heading5"/>
        <w:rPr>
          <w:snapToGrid w:val="0"/>
        </w:rPr>
      </w:pPr>
      <w:bookmarkStart w:id="184" w:name="_Toc166680788"/>
      <w:r>
        <w:rPr>
          <w:rStyle w:val="CharSectno"/>
        </w:rPr>
        <w:t>109</w:t>
      </w:r>
      <w:r>
        <w:rPr>
          <w:snapToGrid w:val="0"/>
        </w:rPr>
        <w:t>.</w:t>
      </w:r>
      <w:r>
        <w:rPr>
          <w:snapToGrid w:val="0"/>
        </w:rPr>
        <w:tab/>
        <w:t>Minister etc. may require information to be furnished etc.</w:t>
      </w:r>
      <w:bookmarkEnd w:id="184"/>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 xml:space="preserve">A person is not excused from furnishing information, answering a question or producing a document when required to do so under this section on the ground that the information so furnished, the answer to the question or the production of the </w:t>
      </w:r>
      <w:r>
        <w:rPr>
          <w:snapToGrid w:val="0"/>
        </w:rPr>
        <w:lastRenderedPageBreak/>
        <w:t>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No. 35 of 2007 s. 68; No. 42 of 2010 s. 50.]</w:t>
      </w:r>
    </w:p>
    <w:p>
      <w:pPr>
        <w:pStyle w:val="Heading5"/>
        <w:rPr>
          <w:snapToGrid w:val="0"/>
        </w:rPr>
      </w:pPr>
      <w:bookmarkStart w:id="185" w:name="_Toc166680789"/>
      <w:r>
        <w:rPr>
          <w:rStyle w:val="CharSectno"/>
        </w:rPr>
        <w:t>110</w:t>
      </w:r>
      <w:r>
        <w:rPr>
          <w:snapToGrid w:val="0"/>
        </w:rPr>
        <w:t>.</w:t>
      </w:r>
      <w:r>
        <w:rPr>
          <w:snapToGrid w:val="0"/>
        </w:rPr>
        <w:tab/>
        <w:t>Power to examine on oath</w:t>
      </w:r>
      <w:bookmarkEnd w:id="185"/>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186" w:name="_Toc166680790"/>
      <w:r>
        <w:rPr>
          <w:rStyle w:val="CharSectno"/>
        </w:rPr>
        <w:t>111</w:t>
      </w:r>
      <w:r>
        <w:rPr>
          <w:snapToGrid w:val="0"/>
        </w:rPr>
        <w:t>.</w:t>
      </w:r>
      <w:r>
        <w:rPr>
          <w:snapToGrid w:val="0"/>
        </w:rPr>
        <w:tab/>
        <w:t>Failing to furnish information etc.</w:t>
      </w:r>
      <w:bookmarkEnd w:id="186"/>
    </w:p>
    <w:p>
      <w:pPr>
        <w:pStyle w:val="Subsection"/>
        <w:keepNext/>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lastRenderedPageBreak/>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spacing w:before="80"/>
        <w:ind w:left="890" w:hanging="890"/>
      </w:pPr>
      <w:r>
        <w:tab/>
        <w:t>[Section 111 amended: No. 12 of 1990 s. 89; No. 42 of 2010 s. 62(15).]</w:t>
      </w:r>
    </w:p>
    <w:p>
      <w:pPr>
        <w:pStyle w:val="Ednotesection"/>
        <w:spacing w:before="160"/>
        <w:ind w:left="890" w:hanging="890"/>
      </w:pPr>
      <w:r>
        <w:t>[</w:t>
      </w:r>
      <w:r>
        <w:rPr>
          <w:b/>
        </w:rPr>
        <w:t>112.</w:t>
      </w:r>
      <w:r>
        <w:tab/>
        <w:t>Deleted: No. 42 of 2010 s. 51.]</w:t>
      </w:r>
    </w:p>
    <w:p>
      <w:pPr>
        <w:pStyle w:val="Heading5"/>
        <w:spacing w:before="160"/>
        <w:rPr>
          <w:snapToGrid w:val="0"/>
        </w:rPr>
      </w:pPr>
      <w:bookmarkStart w:id="187" w:name="_Toc166680791"/>
      <w:r>
        <w:rPr>
          <w:rStyle w:val="CharSectno"/>
        </w:rPr>
        <w:t>112A</w:t>
      </w:r>
      <w:r>
        <w:rPr>
          <w:snapToGrid w:val="0"/>
        </w:rPr>
        <w:t>.</w:t>
      </w:r>
      <w:r>
        <w:rPr>
          <w:snapToGrid w:val="0"/>
        </w:rPr>
        <w:tab/>
      </w:r>
      <w:r>
        <w:t>Exclusion zones</w:t>
      </w:r>
      <w:bookmarkEnd w:id="187"/>
    </w:p>
    <w:p>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w:t>
      </w:r>
      <w:r>
        <w:t xml:space="preserve">an </w:t>
      </w:r>
      <w:r>
        <w:rPr>
          <w:rStyle w:val="CharDefText"/>
        </w:rPr>
        <w:t>exclusion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r>
      <w:r>
        <w:t>An exclusion</w:t>
      </w:r>
      <w:r>
        <w:rPr>
          <w:snapToGrid w:val="0"/>
        </w:rPr>
        <w:t xml:space="preserve">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 xml:space="preserve">The owner and the person in command or in charge of a vessel shall ensure that the vessel does not enter or remain in </w:t>
      </w:r>
      <w:r>
        <w:t>an exclusion</w:t>
      </w:r>
      <w:r>
        <w:rPr>
          <w:snapToGrid w:val="0"/>
        </w:rPr>
        <w:t xml:space="preserve">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lastRenderedPageBreak/>
        <w:tab/>
        <w:t>[Section 112A inserted: No. 28 of 1994 s. 49; amended: No. 42 of 2010 s. 62(11); No. 36 of 2020 s. 302.]</w:t>
      </w:r>
    </w:p>
    <w:p>
      <w:pPr>
        <w:pStyle w:val="Heading5"/>
        <w:rPr>
          <w:snapToGrid w:val="0"/>
        </w:rPr>
      </w:pPr>
      <w:bookmarkStart w:id="188" w:name="_Toc166680792"/>
      <w:r>
        <w:rPr>
          <w:rStyle w:val="CharSectno"/>
        </w:rPr>
        <w:t>113</w:t>
      </w:r>
      <w:r>
        <w:rPr>
          <w:snapToGrid w:val="0"/>
        </w:rPr>
        <w:t>.</w:t>
      </w:r>
      <w:r>
        <w:rPr>
          <w:snapToGrid w:val="0"/>
        </w:rPr>
        <w:tab/>
        <w:t>Discovery of water to be notified</w:t>
      </w:r>
      <w:bookmarkEnd w:id="188"/>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No. 12 of 1990 s. 91; No. 78 of 1990 s. 7; No. 28 of 1994 s. 50; No. 35 of 2007 s. 70; No. 42 of 2010 s. 62(15).]</w:t>
      </w:r>
    </w:p>
    <w:p>
      <w:pPr>
        <w:pStyle w:val="Ednotesection"/>
      </w:pPr>
      <w:r>
        <w:t>[</w:t>
      </w:r>
      <w:r>
        <w:rPr>
          <w:b/>
        </w:rPr>
        <w:t>114</w:t>
      </w:r>
      <w:r>
        <w:t>.</w:t>
      </w:r>
      <w:r>
        <w:tab/>
        <w:t>Deleted: No. 42 of 2010 s. 52.]</w:t>
      </w:r>
    </w:p>
    <w:p>
      <w:pPr>
        <w:pStyle w:val="Heading5"/>
        <w:rPr>
          <w:snapToGrid w:val="0"/>
        </w:rPr>
      </w:pPr>
      <w:bookmarkStart w:id="189" w:name="_Toc166680793"/>
      <w:r>
        <w:rPr>
          <w:rStyle w:val="CharSectno"/>
        </w:rPr>
        <w:t>115</w:t>
      </w:r>
      <w:r>
        <w:rPr>
          <w:snapToGrid w:val="0"/>
        </w:rPr>
        <w:t>.</w:t>
      </w:r>
      <w:r>
        <w:rPr>
          <w:snapToGrid w:val="0"/>
        </w:rPr>
        <w:tab/>
        <w:t>Records etc. to be kept</w:t>
      </w:r>
      <w:bookmarkEnd w:id="189"/>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 xml:space="preserve">to furnish to the Minister, or to such person as is so specified, in the manner so specified, such reports, </w:t>
      </w:r>
      <w:r>
        <w:rPr>
          <w:snapToGrid w:val="0"/>
        </w:rPr>
        <w:lastRenderedPageBreak/>
        <w:t>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No. 12 of 1990 s. 93; No. 78 of 1990 s. 7; No. 28 of 1994 s. 52; No. 42 of 2010 s. 62(12).]</w:t>
      </w:r>
    </w:p>
    <w:p>
      <w:pPr>
        <w:pStyle w:val="Heading5"/>
      </w:pPr>
      <w:bookmarkStart w:id="190" w:name="_Toc166680794"/>
      <w:r>
        <w:rPr>
          <w:rStyle w:val="CharSectno"/>
        </w:rPr>
        <w:t>116A</w:t>
      </w:r>
      <w:r>
        <w:t>.</w:t>
      </w:r>
      <w:r>
        <w:tab/>
        <w:t>Data management: regulations</w:t>
      </w:r>
      <w:bookmarkEnd w:id="190"/>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under — </w:t>
      </w:r>
    </w:p>
    <w:p>
      <w:pPr>
        <w:pStyle w:val="Indenti"/>
      </w:pPr>
      <w:r>
        <w:tab/>
        <w:t>(i)</w:t>
      </w:r>
      <w:r>
        <w:tab/>
        <w:t>a permit; or</w:t>
      </w:r>
    </w:p>
    <w:p>
      <w:pPr>
        <w:pStyle w:val="Indenti"/>
      </w:pPr>
      <w:r>
        <w:tab/>
        <w:t>(ii)</w:t>
      </w:r>
      <w:r>
        <w:tab/>
        <w:t>a drilling reservation; or</w:t>
      </w:r>
    </w:p>
    <w:p>
      <w:pPr>
        <w:pStyle w:val="Indenti"/>
      </w:pPr>
      <w:r>
        <w:tab/>
        <w:t>(iii)</w:t>
      </w:r>
      <w:r>
        <w:tab/>
        <w:t>a lease; or</w:t>
      </w:r>
    </w:p>
    <w:p>
      <w:pPr>
        <w:pStyle w:val="Indenti"/>
      </w:pPr>
      <w:r>
        <w:tab/>
        <w:t>(iv)</w:t>
      </w:r>
      <w:r>
        <w:tab/>
        <w:t>a licence; or</w:t>
      </w:r>
    </w:p>
    <w:p>
      <w:pPr>
        <w:pStyle w:val="Indenti"/>
      </w:pPr>
      <w:r>
        <w:tab/>
        <w:t>(v)</w:t>
      </w:r>
      <w:r>
        <w:tab/>
        <w:t>a special prospecting authority; or</w:t>
      </w:r>
    </w:p>
    <w:p>
      <w:pPr>
        <w:pStyle w:val="Indenti"/>
      </w:pPr>
      <w:r>
        <w:tab/>
        <w:t>(vi)</w:t>
      </w:r>
      <w:r>
        <w:tab/>
        <w:t>an access authority; or</w:t>
      </w:r>
    </w:p>
    <w:p>
      <w:pPr>
        <w:pStyle w:val="Indenti"/>
      </w:pPr>
      <w:r>
        <w:tab/>
        <w:t>(vii)</w:t>
      </w:r>
      <w:r>
        <w:tab/>
        <w:t xml:space="preserve">a consent under section 116; </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No. 42 of 2010 s. 53.]</w:t>
      </w:r>
    </w:p>
    <w:p>
      <w:pPr>
        <w:pStyle w:val="Heading5"/>
        <w:rPr>
          <w:snapToGrid w:val="0"/>
        </w:rPr>
      </w:pPr>
      <w:bookmarkStart w:id="191" w:name="_Toc166680795"/>
      <w:r>
        <w:rPr>
          <w:rStyle w:val="CharSectno"/>
        </w:rPr>
        <w:lastRenderedPageBreak/>
        <w:t>116</w:t>
      </w:r>
      <w:r>
        <w:rPr>
          <w:snapToGrid w:val="0"/>
        </w:rPr>
        <w:t>.</w:t>
      </w:r>
      <w:r>
        <w:rPr>
          <w:snapToGrid w:val="0"/>
        </w:rPr>
        <w:tab/>
        <w:t>Scientific investigations</w:t>
      </w:r>
      <w:bookmarkEnd w:id="191"/>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No. 35 of 2007 s. 71.]</w:t>
      </w:r>
    </w:p>
    <w:p>
      <w:pPr>
        <w:pStyle w:val="Heading5"/>
        <w:rPr>
          <w:snapToGrid w:val="0"/>
        </w:rPr>
      </w:pPr>
      <w:bookmarkStart w:id="192" w:name="_Toc166680796"/>
      <w:r>
        <w:rPr>
          <w:rStyle w:val="CharSectno"/>
        </w:rPr>
        <w:t>117</w:t>
      </w:r>
      <w:r>
        <w:rPr>
          <w:snapToGrid w:val="0"/>
        </w:rPr>
        <w:t>.</w:t>
      </w:r>
      <w:r>
        <w:rPr>
          <w:snapToGrid w:val="0"/>
        </w:rPr>
        <w:tab/>
        <w:t>Interference with other rights etc.</w:t>
      </w:r>
      <w:bookmarkEnd w:id="192"/>
    </w:p>
    <w:p>
      <w:pPr>
        <w:pStyle w:val="Subsection"/>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lastRenderedPageBreak/>
        <w:tab/>
        <w:t>(f)</w:t>
      </w:r>
      <w:r>
        <w:tab/>
        <w:t>the conservation of the resources of the sea and the seabed,</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No. 12 of 1990 s. 94; No. 78 of 1990 s. 7; No. 35 of 2007 s. 72; No. 42 of 2010 s. 54 and 62(15).]</w:t>
      </w:r>
    </w:p>
    <w:p>
      <w:pPr>
        <w:pStyle w:val="Heading5"/>
        <w:spacing w:before="180"/>
      </w:pPr>
      <w:bookmarkStart w:id="193" w:name="_Toc166680797"/>
      <w:r>
        <w:rPr>
          <w:rStyle w:val="CharSectno"/>
        </w:rPr>
        <w:t>117A</w:t>
      </w:r>
      <w:r>
        <w:t>.</w:t>
      </w:r>
      <w:r>
        <w:tab/>
        <w:t>Interfering with petroleum operation or geothermal energy operation</w:t>
      </w:r>
      <w:bookmarkEnd w:id="193"/>
    </w:p>
    <w:p>
      <w:pPr>
        <w:pStyle w:val="Subsection"/>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No. 13 of 2005 s. 8; amended: No. 35 of 2007 s. 86.]</w:t>
      </w:r>
    </w:p>
    <w:p>
      <w:pPr>
        <w:pStyle w:val="Heading5"/>
        <w:spacing w:before="180"/>
        <w:rPr>
          <w:snapToGrid w:val="0"/>
        </w:rPr>
      </w:pPr>
      <w:bookmarkStart w:id="194" w:name="_Toc166680798"/>
      <w:r>
        <w:rPr>
          <w:rStyle w:val="CharSectno"/>
        </w:rPr>
        <w:t>118</w:t>
      </w:r>
      <w:r>
        <w:rPr>
          <w:snapToGrid w:val="0"/>
        </w:rPr>
        <w:t>.</w:t>
      </w:r>
      <w:r>
        <w:rPr>
          <w:snapToGrid w:val="0"/>
        </w:rPr>
        <w:tab/>
        <w:t>Inspectors</w:t>
      </w:r>
      <w:bookmarkEnd w:id="194"/>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 xml:space="preserve">Where the appointment of a person under this section expires or is revoked, that person shall forthwith surrender the certificate furnished to him under this section to the Minister or, if the Minister, by instrument in writing served on that person, </w:t>
      </w:r>
      <w:r>
        <w:rPr>
          <w:snapToGrid w:val="0"/>
        </w:rPr>
        <w:lastRenderedPageBreak/>
        <w:t>specifies another person to whom the certificate is to be surrendered, to that other person.</w:t>
      </w:r>
    </w:p>
    <w:p>
      <w:pPr>
        <w:pStyle w:val="Penstart"/>
      </w:pPr>
      <w:r>
        <w:tab/>
        <w:t>Penalty for an offence under subsection (3): a fine of $500.</w:t>
      </w:r>
    </w:p>
    <w:p>
      <w:pPr>
        <w:pStyle w:val="Footnotesection"/>
        <w:ind w:left="890" w:hanging="890"/>
      </w:pPr>
      <w:r>
        <w:tab/>
        <w:t>[Section 118 amended: No. 12 of 1990 s. 95; No. 13 of 2005 s. 9; No. 42 of 2010 s. 62(13).]</w:t>
      </w:r>
    </w:p>
    <w:p>
      <w:pPr>
        <w:pStyle w:val="Heading5"/>
        <w:spacing w:before="180"/>
        <w:rPr>
          <w:snapToGrid w:val="0"/>
        </w:rPr>
      </w:pPr>
      <w:bookmarkStart w:id="195" w:name="_Toc166680799"/>
      <w:r>
        <w:rPr>
          <w:rStyle w:val="CharSectno"/>
        </w:rPr>
        <w:t>119</w:t>
      </w:r>
      <w:r>
        <w:rPr>
          <w:snapToGrid w:val="0"/>
        </w:rPr>
        <w:t>.</w:t>
      </w:r>
      <w:r>
        <w:rPr>
          <w:snapToGrid w:val="0"/>
        </w:rPr>
        <w:tab/>
        <w:t>Powers of inspectors</w:t>
      </w:r>
      <w:bookmarkEnd w:id="195"/>
    </w:p>
    <w:p>
      <w:pPr>
        <w:pStyle w:val="Subsection"/>
        <w:keepNext/>
        <w:keepLines/>
        <w:rPr>
          <w:snapToGrid w:val="0"/>
        </w:rPr>
      </w:pPr>
      <w:r>
        <w:rPr>
          <w:snapToGrid w:val="0"/>
        </w:rPr>
        <w:tab/>
        <w:t>(1)</w:t>
      </w:r>
      <w:r>
        <w:rPr>
          <w:snapToGrid w:val="0"/>
        </w:rPr>
        <w:tab/>
        <w:t>For the purposes of this Act</w:t>
      </w:r>
      <w:r>
        <w:t xml:space="preserve">,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lastRenderedPageBreak/>
        <w:tab/>
        <w:t>Penalty for an offence under subsection (2) or (3): a fine of $5 000.</w:t>
      </w:r>
    </w:p>
    <w:p>
      <w:pPr>
        <w:pStyle w:val="Footnotesection"/>
      </w:pPr>
      <w:r>
        <w:tab/>
        <w:t>[Section 119 amended: No. 12 of 1990 s. 96; No. 13 of 2005 s. 10; No. 35 of 2007 s. 73; No. 42 of 2010 s. 62(14); No. 36 of 2020 s. 303.]</w:t>
      </w:r>
    </w:p>
    <w:p>
      <w:pPr>
        <w:pStyle w:val="Heading5"/>
      </w:pPr>
      <w:bookmarkStart w:id="196" w:name="_Toc166680800"/>
      <w:r>
        <w:rPr>
          <w:rStyle w:val="CharSectno"/>
        </w:rPr>
        <w:t>119A</w:t>
      </w:r>
      <w:r>
        <w:t>.</w:t>
      </w:r>
      <w:r>
        <w:tab/>
        <w:t>Protection from liability for wrongdoing</w:t>
      </w:r>
      <w:bookmarkEnd w:id="19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ind w:left="890" w:hanging="890"/>
        <w:rPr>
          <w:b/>
          <w:i w:val="0"/>
        </w:rPr>
      </w:pPr>
      <w:r>
        <w:tab/>
        <w:t>[Section 119A inserted: No. 13 of 2005 s. 11.]</w:t>
      </w:r>
    </w:p>
    <w:p>
      <w:pPr>
        <w:pStyle w:val="Ednotesection"/>
        <w:ind w:left="890" w:hanging="890"/>
      </w:pPr>
      <w:r>
        <w:t>[</w:t>
      </w:r>
      <w:r>
        <w:rPr>
          <w:b/>
          <w:bCs/>
        </w:rPr>
        <w:t>120.</w:t>
      </w:r>
      <w:r>
        <w:tab/>
        <w:t>Deleted: No. 35 of 2007 s. 12(2).]</w:t>
      </w:r>
    </w:p>
    <w:p>
      <w:pPr>
        <w:pStyle w:val="Heading5"/>
        <w:rPr>
          <w:snapToGrid w:val="0"/>
        </w:rPr>
      </w:pPr>
      <w:bookmarkStart w:id="197" w:name="_Toc166680801"/>
      <w:r>
        <w:rPr>
          <w:rStyle w:val="CharSectno"/>
        </w:rPr>
        <w:t>121</w:t>
      </w:r>
      <w:r>
        <w:rPr>
          <w:snapToGrid w:val="0"/>
        </w:rPr>
        <w:t>.</w:t>
      </w:r>
      <w:r>
        <w:rPr>
          <w:snapToGrid w:val="0"/>
        </w:rPr>
        <w:tab/>
        <w:t>Continuing offences</w:t>
      </w:r>
      <w:bookmarkEnd w:id="197"/>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 xml:space="preserve">Where an offence is committed by a person by reason of his failure to comply with a requirement made by this Act, the offence, for the purposes of subsection (3), shall be deemed to </w:t>
      </w:r>
      <w:r>
        <w:rPr>
          <w:snapToGrid w:val="0"/>
        </w:rPr>
        <w:lastRenderedPageBreak/>
        <w:t>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No. 12 of 1990 s. 98; No. 13 of 2005 s. 16(1).]</w:t>
      </w:r>
    </w:p>
    <w:p>
      <w:pPr>
        <w:pStyle w:val="Heading5"/>
      </w:pPr>
      <w:bookmarkStart w:id="198" w:name="_Toc166680802"/>
      <w:r>
        <w:rPr>
          <w:rStyle w:val="CharSectno"/>
        </w:rPr>
        <w:t>122</w:t>
      </w:r>
      <w:r>
        <w:t>.</w:t>
      </w:r>
      <w:r>
        <w:tab/>
        <w:t>Crimes and other offences</w:t>
      </w:r>
      <w:bookmarkEnd w:id="198"/>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keepNext/>
      </w:pPr>
      <w:r>
        <w:tab/>
        <w:t>(3)</w:t>
      </w:r>
      <w:r>
        <w:tab/>
        <w:t>Unless the contrary intention appears, an offence under this Act, other than a crime, is punishable summarily.</w:t>
      </w:r>
    </w:p>
    <w:p>
      <w:pPr>
        <w:pStyle w:val="Footnotesection"/>
        <w:ind w:left="890" w:hanging="890"/>
      </w:pPr>
      <w:r>
        <w:tab/>
        <w:t>[Section 122 inserted: No. 4 of 2004 s. 58.]</w:t>
      </w:r>
    </w:p>
    <w:p>
      <w:pPr>
        <w:pStyle w:val="Heading5"/>
        <w:rPr>
          <w:snapToGrid w:val="0"/>
        </w:rPr>
      </w:pPr>
      <w:bookmarkStart w:id="199" w:name="_Toc166680803"/>
      <w:r>
        <w:rPr>
          <w:rStyle w:val="CharSectno"/>
        </w:rPr>
        <w:t>123</w:t>
      </w:r>
      <w:r>
        <w:rPr>
          <w:snapToGrid w:val="0"/>
        </w:rPr>
        <w:t>.</w:t>
      </w:r>
      <w:r>
        <w:rPr>
          <w:snapToGrid w:val="0"/>
        </w:rPr>
        <w:tab/>
        <w:t>Orders for forfeiture etc. in respect of certain offences</w:t>
      </w:r>
      <w:bookmarkEnd w:id="199"/>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keepNext/>
        <w:rPr>
          <w:snapToGrid w:val="0"/>
        </w:rPr>
      </w:pPr>
      <w:r>
        <w:rPr>
          <w:snapToGrid w:val="0"/>
        </w:rPr>
        <w:lastRenderedPageBreak/>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ind w:left="890" w:hanging="890"/>
      </w:pPr>
      <w:r>
        <w:tab/>
        <w:t>[Section 123 amended: No. 28 of 1994 s. 53; No. 35 of 2007 s. 74.]</w:t>
      </w:r>
    </w:p>
    <w:p>
      <w:pPr>
        <w:pStyle w:val="Heading5"/>
        <w:rPr>
          <w:snapToGrid w:val="0"/>
        </w:rPr>
      </w:pPr>
      <w:bookmarkStart w:id="200" w:name="_Toc166680804"/>
      <w:r>
        <w:rPr>
          <w:rStyle w:val="CharSectno"/>
        </w:rPr>
        <w:t>124</w:t>
      </w:r>
      <w:r>
        <w:rPr>
          <w:snapToGrid w:val="0"/>
        </w:rPr>
        <w:t>.</w:t>
      </w:r>
      <w:r>
        <w:rPr>
          <w:snapToGrid w:val="0"/>
        </w:rPr>
        <w:tab/>
        <w:t>Power of Attorney General to direct disposal of goods</w:t>
      </w:r>
      <w:bookmarkEnd w:id="200"/>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201" w:name="_Toc166680805"/>
      <w:r>
        <w:rPr>
          <w:rStyle w:val="CharSectno"/>
        </w:rPr>
        <w:lastRenderedPageBreak/>
        <w:t>125</w:t>
      </w:r>
      <w:r>
        <w:rPr>
          <w:snapToGrid w:val="0"/>
        </w:rPr>
        <w:t>.</w:t>
      </w:r>
      <w:r>
        <w:rPr>
          <w:snapToGrid w:val="0"/>
        </w:rPr>
        <w:tab/>
        <w:t>Time for bringing proceedings for offences</w:t>
      </w:r>
      <w:bookmarkEnd w:id="201"/>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ind w:left="890" w:hanging="890"/>
      </w:pPr>
      <w:r>
        <w:tab/>
        <w:t>[Section 125 amended: No. 13 of 2005 s. 12.]</w:t>
      </w:r>
    </w:p>
    <w:p>
      <w:pPr>
        <w:pStyle w:val="Heading5"/>
        <w:rPr>
          <w:snapToGrid w:val="0"/>
        </w:rPr>
      </w:pPr>
      <w:bookmarkStart w:id="202" w:name="_Toc166680806"/>
      <w:r>
        <w:rPr>
          <w:rStyle w:val="CharSectno"/>
        </w:rPr>
        <w:t>126</w:t>
      </w:r>
      <w:r>
        <w:rPr>
          <w:snapToGrid w:val="0"/>
        </w:rPr>
        <w:t>.</w:t>
      </w:r>
      <w:r>
        <w:rPr>
          <w:snapToGrid w:val="0"/>
        </w:rPr>
        <w:tab/>
        <w:t>Judicial notice</w:t>
      </w:r>
      <w:bookmarkEnd w:id="202"/>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203" w:name="_Toc166680807"/>
      <w:r>
        <w:rPr>
          <w:rStyle w:val="CharSectno"/>
        </w:rPr>
        <w:t>126A</w:t>
      </w:r>
      <w:r>
        <w:t>.</w:t>
      </w:r>
      <w:r>
        <w:tab/>
        <w:t>Evidentiary matters</w:t>
      </w:r>
      <w:bookmarkEnd w:id="203"/>
    </w:p>
    <w:p>
      <w:pPr>
        <w:pStyle w:val="Subsection"/>
        <w:spacing w:before="120"/>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spacing w:before="120"/>
      </w:pPr>
      <w:r>
        <w:tab/>
      </w:r>
      <w:r>
        <w:tab/>
        <w:t>is to be taken to have been proved in the absence of evidence to the contrary.</w:t>
      </w:r>
    </w:p>
    <w:p>
      <w:pPr>
        <w:pStyle w:val="Subsection"/>
        <w:spacing w:before="120"/>
      </w:pPr>
      <w:r>
        <w:lastRenderedPageBreak/>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w:t>
      </w:r>
    </w:p>
    <w:p>
      <w:pPr>
        <w:pStyle w:val="Ednotepara"/>
      </w:pPr>
      <w:r>
        <w:tab/>
        <w:t>[(c)</w:t>
      </w:r>
      <w:r>
        <w:tab/>
        <w:t>deleted]</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No. 13 of 2005 s. 13; amended: No. 35 of 2007 s. 86; No. 17 of 2014 s. 8; No. 36 of 2020 s. 304.]</w:t>
      </w:r>
    </w:p>
    <w:p>
      <w:pPr>
        <w:pStyle w:val="Heading5"/>
        <w:spacing w:before="240"/>
        <w:rPr>
          <w:snapToGrid w:val="0"/>
        </w:rPr>
      </w:pPr>
      <w:bookmarkStart w:id="204" w:name="_Toc166680808"/>
      <w:r>
        <w:rPr>
          <w:rStyle w:val="CharSectno"/>
        </w:rPr>
        <w:lastRenderedPageBreak/>
        <w:t>127</w:t>
      </w:r>
      <w:r>
        <w:rPr>
          <w:snapToGrid w:val="0"/>
        </w:rPr>
        <w:t>.</w:t>
      </w:r>
      <w:r>
        <w:rPr>
          <w:snapToGrid w:val="0"/>
        </w:rPr>
        <w:tab/>
        <w:t>Service of documents</w:t>
      </w:r>
      <w:bookmarkEnd w:id="204"/>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lastRenderedPageBreak/>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No. 12 of 1990 s. 100.]</w:t>
      </w:r>
    </w:p>
    <w:p>
      <w:pPr>
        <w:pStyle w:val="Heading5"/>
        <w:spacing w:before="180"/>
        <w:rPr>
          <w:snapToGrid w:val="0"/>
        </w:rPr>
      </w:pPr>
      <w:bookmarkStart w:id="205" w:name="_Toc166680809"/>
      <w:r>
        <w:rPr>
          <w:rStyle w:val="CharSectno"/>
        </w:rPr>
        <w:t>127A</w:t>
      </w:r>
      <w:r>
        <w:rPr>
          <w:snapToGrid w:val="0"/>
        </w:rPr>
        <w:t>.</w:t>
      </w:r>
      <w:r>
        <w:rPr>
          <w:snapToGrid w:val="0"/>
        </w:rPr>
        <w:tab/>
        <w:t>Service of documents on 2 or more permittees etc.</w:t>
      </w:r>
      <w:bookmarkEnd w:id="205"/>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lastRenderedPageBreak/>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No. 12 of 1990 s. 101.]</w:t>
      </w:r>
    </w:p>
    <w:p>
      <w:pPr>
        <w:pStyle w:val="Heading3"/>
        <w:keepNext w:val="0"/>
      </w:pPr>
      <w:bookmarkStart w:id="206" w:name="_Toc166678843"/>
      <w:bookmarkStart w:id="207" w:name="_Toc166679247"/>
      <w:bookmarkStart w:id="208" w:name="_Toc166680810"/>
      <w:r>
        <w:rPr>
          <w:rStyle w:val="CharDivNo"/>
        </w:rPr>
        <w:t>Division 6</w:t>
      </w:r>
      <w:r>
        <w:rPr>
          <w:snapToGrid w:val="0"/>
        </w:rPr>
        <w:t> — </w:t>
      </w:r>
      <w:r>
        <w:rPr>
          <w:rStyle w:val="CharDivText"/>
        </w:rPr>
        <w:t>Transitional provisions</w:t>
      </w:r>
      <w:bookmarkEnd w:id="206"/>
      <w:bookmarkEnd w:id="207"/>
      <w:bookmarkEnd w:id="208"/>
    </w:p>
    <w:p>
      <w:pPr>
        <w:pStyle w:val="Heading5"/>
        <w:spacing w:before="180"/>
        <w:rPr>
          <w:snapToGrid w:val="0"/>
        </w:rPr>
      </w:pPr>
      <w:bookmarkStart w:id="209" w:name="_Toc166680811"/>
      <w:r>
        <w:rPr>
          <w:rStyle w:val="CharSectno"/>
        </w:rPr>
        <w:t>128</w:t>
      </w:r>
      <w:r>
        <w:rPr>
          <w:snapToGrid w:val="0"/>
        </w:rPr>
        <w:t>.</w:t>
      </w:r>
      <w:r>
        <w:rPr>
          <w:snapToGrid w:val="0"/>
        </w:rPr>
        <w:tab/>
        <w:t>Terms used</w:t>
      </w:r>
      <w:bookmarkEnd w:id="209"/>
    </w:p>
    <w:p>
      <w:pPr>
        <w:pStyle w:val="Subsection"/>
        <w:keepNext/>
        <w:spacing w:before="120"/>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lastRenderedPageBreak/>
        <w:tab/>
      </w:r>
      <w:r>
        <w:rPr>
          <w:rStyle w:val="CharDefText"/>
        </w:rPr>
        <w:t>former provisions</w:t>
      </w:r>
      <w:r>
        <w:t xml:space="preserve"> means the provisions of the </w:t>
      </w:r>
      <w:r>
        <w:rPr>
          <w:i/>
        </w:rPr>
        <w:t>Petroleum Act 1936</w:t>
      </w:r>
      <w:r>
        <w:t> </w:t>
      </w:r>
      <w:r>
        <w:rPr>
          <w:vertAlign w:val="superscript"/>
        </w:rPr>
        <w:t>1</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spacing w:before="60"/>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spacing w:before="80"/>
        <w:ind w:left="890" w:hanging="890"/>
      </w:pPr>
      <w:r>
        <w:tab/>
        <w:t>[Section 128 amended: No. 113 of 1985 s. 6; No. 90 of 1987 s. 5; No. 42 of 2010 s. 55.]</w:t>
      </w:r>
    </w:p>
    <w:p>
      <w:pPr>
        <w:pStyle w:val="Heading5"/>
        <w:spacing w:before="180"/>
        <w:rPr>
          <w:snapToGrid w:val="0"/>
        </w:rPr>
      </w:pPr>
      <w:bookmarkStart w:id="210" w:name="_Toc166680812"/>
      <w:r>
        <w:rPr>
          <w:rStyle w:val="CharSectno"/>
        </w:rPr>
        <w:t>129</w:t>
      </w:r>
      <w:r>
        <w:rPr>
          <w:snapToGrid w:val="0"/>
        </w:rPr>
        <w:t>.</w:t>
      </w:r>
      <w:r>
        <w:rPr>
          <w:snapToGrid w:val="0"/>
        </w:rPr>
        <w:tab/>
        <w:t>This Division prevails over other provisions</w:t>
      </w:r>
      <w:bookmarkEnd w:id="210"/>
    </w:p>
    <w:p>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spacing w:before="120"/>
        <w:rPr>
          <w:snapToGrid w:val="0"/>
        </w:rPr>
      </w:pPr>
      <w:r>
        <w:rPr>
          <w:snapToGrid w:val="0"/>
        </w:rPr>
        <w:tab/>
      </w:r>
      <w:r>
        <w:rPr>
          <w:snapToGrid w:val="0"/>
        </w:rPr>
        <w:tab/>
        <w:t>and to and in relation to a permit or licence granted on such an application.</w:t>
      </w:r>
    </w:p>
    <w:p>
      <w:pPr>
        <w:pStyle w:val="Heading5"/>
        <w:spacing w:before="180"/>
        <w:rPr>
          <w:snapToGrid w:val="0"/>
        </w:rPr>
      </w:pPr>
      <w:bookmarkStart w:id="211" w:name="_Toc166680813"/>
      <w:r>
        <w:rPr>
          <w:rStyle w:val="CharSectno"/>
        </w:rPr>
        <w:t>130</w:t>
      </w:r>
      <w:r>
        <w:rPr>
          <w:snapToGrid w:val="0"/>
        </w:rPr>
        <w:t>.</w:t>
      </w:r>
      <w:r>
        <w:rPr>
          <w:snapToGrid w:val="0"/>
        </w:rPr>
        <w:tab/>
        <w:t>Cessation of operation of former provisions</w:t>
      </w:r>
      <w:bookmarkEnd w:id="211"/>
    </w:p>
    <w:p>
      <w:pPr>
        <w:pStyle w:val="Subsection"/>
        <w:rPr>
          <w:snapToGrid w:val="0"/>
        </w:rPr>
      </w:pPr>
      <w:r>
        <w:rPr>
          <w:snapToGrid w:val="0"/>
        </w:rPr>
        <w:tab/>
        <w:t>(1)</w:t>
      </w:r>
      <w:r>
        <w:rPr>
          <w:snapToGrid w:val="0"/>
        </w:rPr>
        <w:tab/>
        <w:t xml:space="preserve">Subject to this Division, on the commencing day the former provisions shall cease to apply to or in relation to the carrying </w:t>
      </w:r>
      <w:r>
        <w:rPr>
          <w:snapToGrid w:val="0"/>
        </w:rPr>
        <w:lastRenderedPageBreak/>
        <w:t>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2</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180"/>
        <w:rPr>
          <w:snapToGrid w:val="0"/>
        </w:rPr>
      </w:pPr>
      <w:bookmarkStart w:id="212" w:name="_Toc166680814"/>
      <w:r>
        <w:rPr>
          <w:rStyle w:val="CharSectno"/>
        </w:rPr>
        <w:t>131</w:t>
      </w:r>
      <w:r>
        <w:rPr>
          <w:snapToGrid w:val="0"/>
        </w:rPr>
        <w:t>.</w:t>
      </w:r>
      <w:r>
        <w:rPr>
          <w:snapToGrid w:val="0"/>
        </w:rPr>
        <w:tab/>
        <w:t>Prohibition on granting of instruments under former provisions after commencing day</w:t>
      </w:r>
      <w:bookmarkEnd w:id="212"/>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180"/>
        <w:rPr>
          <w:snapToGrid w:val="0"/>
        </w:rPr>
      </w:pPr>
      <w:bookmarkStart w:id="213" w:name="_Toc166680815"/>
      <w:r>
        <w:rPr>
          <w:rStyle w:val="CharSectno"/>
        </w:rPr>
        <w:t>132</w:t>
      </w:r>
      <w:r>
        <w:rPr>
          <w:snapToGrid w:val="0"/>
        </w:rPr>
        <w:t>.</w:t>
      </w:r>
      <w:r>
        <w:rPr>
          <w:snapToGrid w:val="0"/>
        </w:rPr>
        <w:tab/>
        <w:t>Rights of holders of existing prescribed instruments</w:t>
      </w:r>
      <w:bookmarkEnd w:id="213"/>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 xml:space="preserve">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w:t>
      </w:r>
      <w:r>
        <w:rPr>
          <w:snapToGrid w:val="0"/>
        </w:rPr>
        <w:lastRenderedPageBreak/>
        <w:t>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80"/>
        <w:rPr>
          <w:snapToGrid w:val="0"/>
        </w:rPr>
      </w:pPr>
      <w:bookmarkStart w:id="214" w:name="_Toc166680816"/>
      <w:r>
        <w:rPr>
          <w:rStyle w:val="CharSectno"/>
        </w:rPr>
        <w:t>133</w:t>
      </w:r>
      <w:r>
        <w:rPr>
          <w:snapToGrid w:val="0"/>
        </w:rPr>
        <w:t>.</w:t>
      </w:r>
      <w:r>
        <w:rPr>
          <w:snapToGrid w:val="0"/>
        </w:rPr>
        <w:tab/>
        <w:t>Holders of existing instruments may be granted permits under this Part</w:t>
      </w:r>
      <w:bookmarkEnd w:id="21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 xml:space="preserve">shall be made within 6 months after the commencing day, or within 3 months after the date of the expiration </w:t>
      </w:r>
      <w:r>
        <w:rPr>
          <w:snapToGrid w:val="0"/>
        </w:rPr>
        <w:lastRenderedPageBreak/>
        <w:t>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ind w:left="890" w:hanging="890"/>
      </w:pPr>
      <w:r>
        <w:tab/>
        <w:t>[Section 133 amended: No. 69 of 1981 s. 34.]</w:t>
      </w:r>
    </w:p>
    <w:p>
      <w:pPr>
        <w:pStyle w:val="Heading5"/>
        <w:keepNext w:val="0"/>
        <w:keepLines w:val="0"/>
        <w:rPr>
          <w:snapToGrid w:val="0"/>
        </w:rPr>
      </w:pPr>
      <w:bookmarkStart w:id="215" w:name="_Toc166680817"/>
      <w:r>
        <w:rPr>
          <w:rStyle w:val="CharSectno"/>
        </w:rPr>
        <w:t>134</w:t>
      </w:r>
      <w:r>
        <w:rPr>
          <w:snapToGrid w:val="0"/>
        </w:rPr>
        <w:t>.</w:t>
      </w:r>
      <w:r>
        <w:rPr>
          <w:snapToGrid w:val="0"/>
        </w:rPr>
        <w:tab/>
        <w:t>Transitional provisions relating to Barrow Island lease</w:t>
      </w:r>
      <w:bookmarkEnd w:id="215"/>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Lines w:val="0"/>
        <w:rPr>
          <w:snapToGrid w:val="0"/>
        </w:rPr>
      </w:pPr>
      <w:bookmarkStart w:id="216" w:name="_Toc166680818"/>
      <w:r>
        <w:rPr>
          <w:rStyle w:val="CharSectno"/>
        </w:rPr>
        <w:t>134A</w:t>
      </w:r>
      <w:r>
        <w:rPr>
          <w:snapToGrid w:val="0"/>
        </w:rPr>
        <w:t>.</w:t>
      </w:r>
      <w:r>
        <w:rPr>
          <w:snapToGrid w:val="0"/>
        </w:rPr>
        <w:tab/>
        <w:t>Application of former provisions after coming into operation of variation agreement</w:t>
      </w:r>
      <w:bookmarkEnd w:id="216"/>
    </w:p>
    <w:p>
      <w:pPr>
        <w:pStyle w:val="Subsection"/>
        <w:rPr>
          <w:snapToGrid w:val="0"/>
        </w:rPr>
      </w:pPr>
      <w:r>
        <w:rPr>
          <w:snapToGrid w:val="0"/>
        </w:rPr>
        <w:tab/>
      </w:r>
      <w:r>
        <w:rPr>
          <w:snapToGrid w:val="0"/>
        </w:rPr>
        <w:tab/>
        <w:t xml:space="preserve">For the purposes of their application under section 134 to or in relation to the Barrow Island lease as varied and affected by the variation agreement and to any renewal thereof the former </w:t>
      </w:r>
      <w:r>
        <w:rPr>
          <w:snapToGrid w:val="0"/>
        </w:rPr>
        <w:lastRenderedPageBreak/>
        <w:t>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BlankOpen"/>
      </w:pPr>
    </w:p>
    <w:p>
      <w:pPr>
        <w:pStyle w:val="zDefstart"/>
        <w:ind w:left="1588" w:hanging="1021"/>
      </w:pPr>
      <w:r>
        <w:tab/>
      </w:r>
      <w:r>
        <w:rPr>
          <w:b/>
          <w:i/>
        </w:rPr>
        <w:t xml:space="preserve">Minister </w:t>
      </w:r>
      <w:r>
        <w:t xml:space="preserve">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BlankOpen"/>
      </w:pPr>
    </w:p>
    <w:p>
      <w:pPr>
        <w:pStyle w:val="zDefstart"/>
        <w:ind w:left="1588" w:hanging="1021"/>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zHeading5"/>
      </w:pPr>
      <w:bookmarkStart w:id="217" w:name="_Toc166680819"/>
      <w:r>
        <w:rPr>
          <w:snapToGrid w:val="0"/>
        </w:rPr>
        <w:t>71.</w:t>
      </w:r>
      <w:r>
        <w:rPr>
          <w:snapToGrid w:val="0"/>
        </w:rPr>
        <w:tab/>
        <w:t>Interpretation</w:t>
      </w:r>
      <w:bookmarkEnd w:id="217"/>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218" w:name="_Toc166680820"/>
      <w:r>
        <w:rPr>
          <w:snapToGrid w:val="0"/>
        </w:rPr>
        <w:t xml:space="preserve">72. </w:t>
      </w:r>
      <w:r>
        <w:rPr>
          <w:snapToGrid w:val="0"/>
        </w:rPr>
        <w:tab/>
        <w:t>Statements, information and records</w:t>
      </w:r>
      <w:bookmarkEnd w:id="218"/>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spacing w:before="180"/>
        <w:rPr>
          <w:snapToGrid w:val="0"/>
        </w:rPr>
      </w:pPr>
      <w:bookmarkStart w:id="219" w:name="_Toc166680821"/>
      <w:r>
        <w:rPr>
          <w:snapToGrid w:val="0"/>
        </w:rPr>
        <w:lastRenderedPageBreak/>
        <w:t>73.</w:t>
      </w:r>
      <w:r>
        <w:rPr>
          <w:snapToGrid w:val="0"/>
        </w:rPr>
        <w:tab/>
        <w:t>Powers of officers</w:t>
      </w:r>
      <w:bookmarkEnd w:id="219"/>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spacing w:before="180"/>
        <w:rPr>
          <w:snapToGrid w:val="0"/>
        </w:rPr>
      </w:pPr>
      <w:bookmarkStart w:id="220" w:name="_Toc166680822"/>
      <w:r>
        <w:rPr>
          <w:snapToGrid w:val="0"/>
        </w:rPr>
        <w:t>74.</w:t>
      </w:r>
      <w:r>
        <w:rPr>
          <w:snapToGrid w:val="0"/>
        </w:rPr>
        <w:tab/>
        <w:t>Royalty a debt due to the State</w:t>
      </w:r>
      <w:bookmarkEnd w:id="220"/>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spacing w:before="180"/>
        <w:rPr>
          <w:snapToGrid w:val="0"/>
        </w:rPr>
      </w:pPr>
      <w:bookmarkStart w:id="221" w:name="_Toc166680823"/>
      <w:r>
        <w:rPr>
          <w:snapToGrid w:val="0"/>
        </w:rPr>
        <w:t>75.</w:t>
      </w:r>
      <w:r>
        <w:rPr>
          <w:snapToGrid w:val="0"/>
        </w:rPr>
        <w:tab/>
        <w:t>Offences</w:t>
      </w:r>
      <w:bookmarkEnd w:id="221"/>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spacing w:before="120"/>
        <w:ind w:left="1610" w:hanging="1610"/>
        <w:rPr>
          <w:snapToGrid w:val="0"/>
        </w:rPr>
      </w:pPr>
      <w:r>
        <w:rPr>
          <w:snapToGrid w:val="0"/>
        </w:rPr>
        <w:tab/>
        <w:t>(c)</w:t>
      </w:r>
      <w:r>
        <w:rPr>
          <w:snapToGrid w:val="0"/>
        </w:rPr>
        <w:tab/>
        <w:t>by adding after section 116 a section as follows —</w:t>
      </w:r>
    </w:p>
    <w:p>
      <w:pPr>
        <w:pStyle w:val="BlankOpen"/>
        <w:rPr>
          <w:snapToGrid w:val="0"/>
        </w:rPr>
      </w:pPr>
    </w:p>
    <w:p>
      <w:pPr>
        <w:pStyle w:val="zHeading5"/>
        <w:spacing w:before="180"/>
        <w:rPr>
          <w:snapToGrid w:val="0"/>
        </w:rPr>
      </w:pPr>
      <w:bookmarkStart w:id="222" w:name="_Toc166680824"/>
      <w:r>
        <w:rPr>
          <w:snapToGrid w:val="0"/>
        </w:rPr>
        <w:t>117.</w:t>
      </w:r>
      <w:r>
        <w:rPr>
          <w:snapToGrid w:val="0"/>
        </w:rPr>
        <w:tab/>
        <w:t>Application of regulations to Barrow Island lease</w:t>
      </w:r>
      <w:bookmarkEnd w:id="222"/>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20"/>
      </w:pPr>
      <w:r>
        <w:tab/>
        <w:t>(2)</w:t>
      </w:r>
      <w:r>
        <w:tab/>
        <w:t xml:space="preserve">Regulations under the </w:t>
      </w:r>
      <w:r>
        <w:rPr>
          <w:i/>
        </w:rPr>
        <w:t>Petroleum and Geothermal Energy Resources Act 1967</w:t>
      </w:r>
      <w:r>
        <w:t xml:space="preserve"> section 153(2)(la) to (lc) may apply in relation to operations referred to in </w:t>
      </w:r>
      <w:r>
        <w:lastRenderedPageBreak/>
        <w:t xml:space="preserve">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1</w:t>
      </w:r>
      <w:r>
        <w:rPr>
          <w:snapToGrid w:val="0"/>
        </w:rPr>
        <w:t xml:space="preserve"> but notwithstanding anything in that Act the following provisions apply —</w:t>
      </w:r>
    </w:p>
    <w:p>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60"/>
        <w:rPr>
          <w:snapToGrid w:val="0"/>
        </w:rPr>
      </w:pPr>
      <w:r>
        <w:rPr>
          <w:snapToGrid w:val="0"/>
        </w:rPr>
        <w:tab/>
        <w:t>(ii)</w:t>
      </w:r>
      <w:r>
        <w:rPr>
          <w:snapToGrid w:val="0"/>
        </w:rPr>
        <w:tab/>
        <w:t>with respect to the term of any renewal of the lease section 63(b) and (c) applies;</w:t>
      </w:r>
    </w:p>
    <w:p>
      <w:pPr>
        <w:pStyle w:val="Indenti"/>
        <w:spacing w:before="60"/>
        <w:rPr>
          <w:snapToGrid w:val="0"/>
        </w:rPr>
      </w:pPr>
      <w:r>
        <w:rPr>
          <w:snapToGrid w:val="0"/>
        </w:rPr>
        <w:tab/>
        <w:t>(iii)</w:t>
      </w:r>
      <w:r>
        <w:rPr>
          <w:snapToGrid w:val="0"/>
        </w:rPr>
        <w:tab/>
        <w:t>section 64(1) and (2)(d) applies with respect to the application fee to be paid;</w:t>
      </w:r>
    </w:p>
    <w:p>
      <w:pPr>
        <w:pStyle w:val="Indenti"/>
        <w:spacing w:before="60"/>
        <w:rPr>
          <w:snapToGrid w:val="0"/>
        </w:rPr>
      </w:pPr>
      <w:r>
        <w:rPr>
          <w:snapToGrid w:val="0"/>
        </w:rPr>
        <w:tab/>
        <w:t>(iv)</w:t>
      </w:r>
      <w:r>
        <w:rPr>
          <w:snapToGrid w:val="0"/>
        </w:rPr>
        <w:tab/>
        <w:t>section 65 applies with respect to the renewal;</w:t>
      </w:r>
    </w:p>
    <w:p>
      <w:pPr>
        <w:pStyle w:val="Indenti"/>
        <w:spacing w:before="60"/>
        <w:rPr>
          <w:snapToGrid w:val="0"/>
        </w:rPr>
      </w:pPr>
      <w:r>
        <w:rPr>
          <w:snapToGrid w:val="0"/>
        </w:rPr>
        <w:tab/>
        <w:t>(v)</w:t>
      </w:r>
      <w:r>
        <w:rPr>
          <w:snapToGrid w:val="0"/>
        </w:rPr>
        <w:tab/>
        <w:t>section 91A applies to and in relation to the insurance to be maintained by the lessee;</w:t>
      </w:r>
    </w:p>
    <w:p>
      <w:pPr>
        <w:pStyle w:val="Indenti"/>
        <w:spacing w:before="60"/>
        <w:rPr>
          <w:snapToGrid w:val="0"/>
        </w:rPr>
      </w:pPr>
      <w:r>
        <w:rPr>
          <w:snapToGrid w:val="0"/>
        </w:rPr>
        <w:tab/>
        <w:t>(vi)</w:t>
      </w:r>
      <w:r>
        <w:rPr>
          <w:snapToGrid w:val="0"/>
        </w:rPr>
        <w:tab/>
        <w:t>section 138 applies as to the fee payable,</w:t>
      </w:r>
    </w:p>
    <w:p>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spacing w:before="60"/>
        <w:ind w:left="890" w:hanging="890"/>
      </w:pPr>
      <w:r>
        <w:tab/>
        <w:t>[Section 134A inserted: No. 113 of 1985 s. 7; amended: No. 90 of 1987 s. 6; No. 28 of 1994 s. 54; No. 42 of 2010 s. 56 and 62(15).]</w:t>
      </w:r>
    </w:p>
    <w:p>
      <w:pPr>
        <w:pStyle w:val="Ednotesection"/>
      </w:pPr>
      <w:r>
        <w:t>[</w:t>
      </w:r>
      <w:r>
        <w:rPr>
          <w:b/>
        </w:rPr>
        <w:t>134B.</w:t>
      </w:r>
      <w:r>
        <w:tab/>
        <w:t>Deleted: No. 28 of 1994 s. 55.]</w:t>
      </w:r>
    </w:p>
    <w:p>
      <w:pPr>
        <w:pStyle w:val="Heading5"/>
        <w:rPr>
          <w:snapToGrid w:val="0"/>
        </w:rPr>
      </w:pPr>
      <w:bookmarkStart w:id="223" w:name="_Toc166680825"/>
      <w:r>
        <w:rPr>
          <w:rStyle w:val="CharSectno"/>
        </w:rPr>
        <w:lastRenderedPageBreak/>
        <w:t>135</w:t>
      </w:r>
      <w:r>
        <w:rPr>
          <w:snapToGrid w:val="0"/>
        </w:rPr>
        <w:t>.</w:t>
      </w:r>
      <w:r>
        <w:rPr>
          <w:snapToGrid w:val="0"/>
        </w:rPr>
        <w:tab/>
        <w:t>Certain portions of blocks to be blocks</w:t>
      </w:r>
      <w:bookmarkEnd w:id="223"/>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 xml:space="preserve">the block constituted by reason of the determination is, subject to this Part, for the remainder of the term of the permit, drilling reservation, lease or licence concerned a </w:t>
      </w:r>
      <w:r>
        <w:rPr>
          <w:snapToGrid w:val="0"/>
        </w:rPr>
        <w:lastRenderedPageBreak/>
        <w:t>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No. 12 of 1990 s. 102; No. 78 of 1990 s. 7.]</w:t>
      </w:r>
    </w:p>
    <w:p>
      <w:pPr>
        <w:pStyle w:val="Heading5"/>
        <w:rPr>
          <w:snapToGrid w:val="0"/>
        </w:rPr>
      </w:pPr>
      <w:bookmarkStart w:id="224" w:name="_Toc166680826"/>
      <w:r>
        <w:rPr>
          <w:rStyle w:val="CharSectno"/>
        </w:rPr>
        <w:t>136</w:t>
      </w:r>
      <w:r>
        <w:rPr>
          <w:snapToGrid w:val="0"/>
        </w:rPr>
        <w:t>.</w:t>
      </w:r>
      <w:r>
        <w:rPr>
          <w:snapToGrid w:val="0"/>
        </w:rPr>
        <w:tab/>
        <w:t>Certain petroleum exploration or recovery activities not prohibited by s. 29 or 49</w:t>
      </w:r>
      <w:bookmarkEnd w:id="224"/>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No. 113 of 1985 s. 8.]</w:t>
      </w:r>
    </w:p>
    <w:p>
      <w:pPr>
        <w:pStyle w:val="Heading3"/>
      </w:pPr>
      <w:bookmarkStart w:id="225" w:name="_Toc166678860"/>
      <w:bookmarkStart w:id="226" w:name="_Toc166679264"/>
      <w:bookmarkStart w:id="227" w:name="_Toc166680827"/>
      <w:r>
        <w:rPr>
          <w:rStyle w:val="CharDivNo"/>
        </w:rPr>
        <w:t>Division 7</w:t>
      </w:r>
      <w:r>
        <w:rPr>
          <w:snapToGrid w:val="0"/>
        </w:rPr>
        <w:t> — </w:t>
      </w:r>
      <w:r>
        <w:rPr>
          <w:rStyle w:val="CharDivText"/>
        </w:rPr>
        <w:t>Fees and royalties</w:t>
      </w:r>
      <w:bookmarkEnd w:id="225"/>
      <w:bookmarkEnd w:id="226"/>
      <w:bookmarkEnd w:id="227"/>
    </w:p>
    <w:p>
      <w:pPr>
        <w:pStyle w:val="Heading5"/>
        <w:rPr>
          <w:snapToGrid w:val="0"/>
        </w:rPr>
      </w:pPr>
      <w:bookmarkStart w:id="228" w:name="_Toc166680828"/>
      <w:r>
        <w:rPr>
          <w:rStyle w:val="CharSectno"/>
        </w:rPr>
        <w:t>137</w:t>
      </w:r>
      <w:r>
        <w:rPr>
          <w:snapToGrid w:val="0"/>
        </w:rPr>
        <w:t>.</w:t>
      </w:r>
      <w:r>
        <w:rPr>
          <w:snapToGrid w:val="0"/>
        </w:rPr>
        <w:tab/>
        <w:t>Permit and drilling reservation fees</w:t>
      </w:r>
      <w:bookmarkEnd w:id="228"/>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lastRenderedPageBreak/>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No. 69 of 1981 s. 34; No. 12 of 1990 s. 103; No. 78 of 1990 s. 7.]</w:t>
      </w:r>
    </w:p>
    <w:p>
      <w:pPr>
        <w:pStyle w:val="Heading5"/>
        <w:spacing w:before="180"/>
        <w:rPr>
          <w:snapToGrid w:val="0"/>
        </w:rPr>
      </w:pPr>
      <w:bookmarkStart w:id="229" w:name="_Toc166680829"/>
      <w:r>
        <w:rPr>
          <w:rStyle w:val="CharSectno"/>
        </w:rPr>
        <w:t>137A</w:t>
      </w:r>
      <w:r>
        <w:rPr>
          <w:snapToGrid w:val="0"/>
        </w:rPr>
        <w:t>.</w:t>
      </w:r>
      <w:r>
        <w:rPr>
          <w:snapToGrid w:val="0"/>
        </w:rPr>
        <w:tab/>
        <w:t>Lease fees</w:t>
      </w:r>
      <w:bookmarkEnd w:id="229"/>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No. 12 of 1990 s. 104.]</w:t>
      </w:r>
    </w:p>
    <w:p>
      <w:pPr>
        <w:pStyle w:val="Heading5"/>
        <w:spacing w:before="180"/>
        <w:rPr>
          <w:snapToGrid w:val="0"/>
        </w:rPr>
      </w:pPr>
      <w:bookmarkStart w:id="230" w:name="_Toc166680830"/>
      <w:r>
        <w:rPr>
          <w:rStyle w:val="CharSectno"/>
        </w:rPr>
        <w:t>138</w:t>
      </w:r>
      <w:r>
        <w:rPr>
          <w:snapToGrid w:val="0"/>
        </w:rPr>
        <w:t>.</w:t>
      </w:r>
      <w:r>
        <w:rPr>
          <w:snapToGrid w:val="0"/>
        </w:rPr>
        <w:tab/>
        <w:t>Licence fees</w:t>
      </w:r>
      <w:bookmarkEnd w:id="230"/>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No. 69 of 1981 s. 34; No. 12 of 1990 s. 105; No. 28 of 1994 s. 56.]</w:t>
      </w:r>
    </w:p>
    <w:p>
      <w:pPr>
        <w:pStyle w:val="Heading5"/>
        <w:spacing w:before="180"/>
        <w:rPr>
          <w:snapToGrid w:val="0"/>
        </w:rPr>
      </w:pPr>
      <w:bookmarkStart w:id="231" w:name="_Toc166680831"/>
      <w:r>
        <w:rPr>
          <w:rStyle w:val="CharSectno"/>
        </w:rPr>
        <w:lastRenderedPageBreak/>
        <w:t>139</w:t>
      </w:r>
      <w:r>
        <w:rPr>
          <w:snapToGrid w:val="0"/>
        </w:rPr>
        <w:t>.</w:t>
      </w:r>
      <w:r>
        <w:rPr>
          <w:snapToGrid w:val="0"/>
        </w:rPr>
        <w:tab/>
        <w:t>Time of payment of fees</w:t>
      </w:r>
      <w:bookmarkEnd w:id="231"/>
    </w:p>
    <w:p>
      <w:pPr>
        <w:pStyle w:val="Subsection"/>
        <w:keepNext/>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No. 12 of 1990 s. 106; No. 28 of 1994 s. 57.]</w:t>
      </w:r>
    </w:p>
    <w:p>
      <w:pPr>
        <w:pStyle w:val="Heading5"/>
        <w:rPr>
          <w:snapToGrid w:val="0"/>
        </w:rPr>
      </w:pPr>
      <w:bookmarkStart w:id="232" w:name="_Toc166680832"/>
      <w:r>
        <w:rPr>
          <w:rStyle w:val="CharSectno"/>
        </w:rPr>
        <w:t>140</w:t>
      </w:r>
      <w:r>
        <w:rPr>
          <w:snapToGrid w:val="0"/>
        </w:rPr>
        <w:t>.</w:t>
      </w:r>
      <w:r>
        <w:rPr>
          <w:snapToGrid w:val="0"/>
        </w:rPr>
        <w:tab/>
        <w:t>Penalty for late payment of fees</w:t>
      </w:r>
      <w:bookmarkEnd w:id="232"/>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No. 12 of 1990 s. 107; No. 28 of 1994 s. 58.]</w:t>
      </w:r>
    </w:p>
    <w:p>
      <w:pPr>
        <w:pStyle w:val="Heading5"/>
        <w:rPr>
          <w:snapToGrid w:val="0"/>
        </w:rPr>
      </w:pPr>
      <w:bookmarkStart w:id="233" w:name="_Toc166680833"/>
      <w:r>
        <w:rPr>
          <w:rStyle w:val="CharSectno"/>
        </w:rPr>
        <w:t>141</w:t>
      </w:r>
      <w:r>
        <w:rPr>
          <w:snapToGrid w:val="0"/>
        </w:rPr>
        <w:t>.</w:t>
      </w:r>
      <w:r>
        <w:rPr>
          <w:snapToGrid w:val="0"/>
        </w:rPr>
        <w:tab/>
        <w:t>Fees and penalties debts due to Crown</w:t>
      </w:r>
      <w:bookmarkEnd w:id="233"/>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No. 12 of 1990 s. 108; No. 78 of 1990 s. 7.]</w:t>
      </w:r>
    </w:p>
    <w:p>
      <w:pPr>
        <w:pStyle w:val="Heading5"/>
        <w:rPr>
          <w:snapToGrid w:val="0"/>
        </w:rPr>
      </w:pPr>
      <w:bookmarkStart w:id="234" w:name="_Toc166680834"/>
      <w:r>
        <w:rPr>
          <w:rStyle w:val="CharSectno"/>
        </w:rPr>
        <w:lastRenderedPageBreak/>
        <w:t>142</w:t>
      </w:r>
      <w:r>
        <w:rPr>
          <w:snapToGrid w:val="0"/>
        </w:rPr>
        <w:t>.</w:t>
      </w:r>
      <w:r>
        <w:rPr>
          <w:snapToGrid w:val="0"/>
        </w:rPr>
        <w:tab/>
        <w:t>Royalty</w:t>
      </w:r>
      <w:bookmarkEnd w:id="234"/>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 xml:space="preserve">Subject to subsection (6) and to section 143, where a secondary licence is granted to the holder of a primary licence, the prescribed rate in respect of petroleum recovered under the </w:t>
      </w:r>
      <w:r>
        <w:rPr>
          <w:snapToGrid w:val="0"/>
        </w:rPr>
        <w:lastRenderedPageBreak/>
        <w:t>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 xml:space="preserve">licence granted by way of renewal of a licence is the percentage applicable under the licence before renewal (or, if another percentage is fixed by Parliament in respect of petroleum so </w:t>
      </w:r>
      <w:r>
        <w:rPr>
          <w:snapToGrid w:val="0"/>
        </w:rPr>
        <w:lastRenderedPageBreak/>
        <w:t>recovered, that percentage) of the royalty value of the petroleum.</w:t>
      </w:r>
    </w:p>
    <w:p>
      <w:pPr>
        <w:pStyle w:val="Footnotesection"/>
      </w:pPr>
      <w:r>
        <w:tab/>
        <w:t>[Section 142 amended: No. 12 of 1990 s. 109; No. 78 of 1990 s. 7; No. 11 of 1994 s. 5; No. 35 of 2007 s. 75.]</w:t>
      </w:r>
    </w:p>
    <w:p>
      <w:pPr>
        <w:pStyle w:val="Heading5"/>
        <w:rPr>
          <w:snapToGrid w:val="0"/>
        </w:rPr>
      </w:pPr>
      <w:bookmarkStart w:id="235" w:name="_Toc166680835"/>
      <w:r>
        <w:rPr>
          <w:rStyle w:val="CharSectno"/>
        </w:rPr>
        <w:t>143</w:t>
      </w:r>
      <w:r>
        <w:rPr>
          <w:snapToGrid w:val="0"/>
        </w:rPr>
        <w:t>.</w:t>
      </w:r>
      <w:r>
        <w:rPr>
          <w:snapToGrid w:val="0"/>
        </w:rPr>
        <w:tab/>
        <w:t>Reduction of royalty in certain cases</w:t>
      </w:r>
      <w:bookmarkEnd w:id="235"/>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No. 35 of 2007 s. 76.]</w:t>
      </w:r>
    </w:p>
    <w:p>
      <w:pPr>
        <w:pStyle w:val="Heading5"/>
        <w:rPr>
          <w:snapToGrid w:val="0"/>
        </w:rPr>
      </w:pPr>
      <w:bookmarkStart w:id="236" w:name="_Toc166680836"/>
      <w:r>
        <w:rPr>
          <w:rStyle w:val="CharSectno"/>
        </w:rPr>
        <w:lastRenderedPageBreak/>
        <w:t>144</w:t>
      </w:r>
      <w:r>
        <w:rPr>
          <w:snapToGrid w:val="0"/>
        </w:rPr>
        <w:t>.</w:t>
      </w:r>
      <w:r>
        <w:rPr>
          <w:snapToGrid w:val="0"/>
        </w:rPr>
        <w:tab/>
        <w:t>Royalty not payable in certain cases</w:t>
      </w:r>
      <w:bookmarkEnd w:id="236"/>
    </w:p>
    <w:p>
      <w:pPr>
        <w:pStyle w:val="Subsection"/>
        <w:keepNext/>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 xml:space="preserve">Where petroleum that has been recovered by a permittee, holder of a drilling reservation, lessee or licensee is, pursuant to an </w:t>
      </w:r>
      <w:r>
        <w:rPr>
          <w:snapToGrid w:val="0"/>
        </w:rPr>
        <w:lastRenderedPageBreak/>
        <w:t>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No. 12 of 1990 s. 110; No. 78 of 1990 s. 7; No. 28 of 1994 s. 59; No. 35 of 2007 s. 77.]</w:t>
      </w:r>
    </w:p>
    <w:p>
      <w:pPr>
        <w:pStyle w:val="Heading5"/>
        <w:rPr>
          <w:snapToGrid w:val="0"/>
        </w:rPr>
      </w:pPr>
      <w:bookmarkStart w:id="237" w:name="_Toc166680837"/>
      <w:r>
        <w:rPr>
          <w:rStyle w:val="CharSectno"/>
        </w:rPr>
        <w:t>144A</w:t>
      </w:r>
      <w:r>
        <w:rPr>
          <w:snapToGrid w:val="0"/>
        </w:rPr>
        <w:t>.</w:t>
      </w:r>
      <w:r>
        <w:rPr>
          <w:snapToGrid w:val="0"/>
        </w:rPr>
        <w:tab/>
        <w:t>Royalty value</w:t>
      </w:r>
      <w:bookmarkEnd w:id="237"/>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ind w:left="890" w:hanging="890"/>
      </w:pPr>
      <w:r>
        <w:tab/>
        <w:t>[Section 144A inserted: No. 11 of 1994 s. 6; amended: No. 35 of 2007 s. 78.]</w:t>
      </w:r>
    </w:p>
    <w:p>
      <w:pPr>
        <w:pStyle w:val="Heading5"/>
        <w:rPr>
          <w:snapToGrid w:val="0"/>
        </w:rPr>
      </w:pPr>
      <w:bookmarkStart w:id="238" w:name="_Toc166680838"/>
      <w:r>
        <w:rPr>
          <w:rStyle w:val="CharSectno"/>
        </w:rPr>
        <w:lastRenderedPageBreak/>
        <w:t>145</w:t>
      </w:r>
      <w:r>
        <w:rPr>
          <w:snapToGrid w:val="0"/>
        </w:rPr>
        <w:t>.</w:t>
      </w:r>
      <w:r>
        <w:rPr>
          <w:snapToGrid w:val="0"/>
        </w:rPr>
        <w:tab/>
        <w:t>Ascertainment of value of petroleum or geothermal energy</w:t>
      </w:r>
      <w:bookmarkEnd w:id="238"/>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No. 12 of 1990 s. 111; No. 78 of 1990 s. 7; No. 35 of 2007 s. 79.]</w:t>
      </w:r>
    </w:p>
    <w:p>
      <w:pPr>
        <w:pStyle w:val="Heading5"/>
        <w:rPr>
          <w:snapToGrid w:val="0"/>
        </w:rPr>
      </w:pPr>
      <w:bookmarkStart w:id="239" w:name="_Toc166680839"/>
      <w:r>
        <w:rPr>
          <w:rStyle w:val="CharSectno"/>
        </w:rPr>
        <w:t>146</w:t>
      </w:r>
      <w:r>
        <w:rPr>
          <w:snapToGrid w:val="0"/>
        </w:rPr>
        <w:t>.</w:t>
      </w:r>
      <w:r>
        <w:rPr>
          <w:snapToGrid w:val="0"/>
        </w:rPr>
        <w:tab/>
        <w:t>Ascertainment of well</w:t>
      </w:r>
      <w:r>
        <w:rPr>
          <w:snapToGrid w:val="0"/>
        </w:rPr>
        <w:noBreakHyphen/>
        <w:t>head</w:t>
      </w:r>
      <w:bookmarkEnd w:id="239"/>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No. 12 of 1990 s. 112; No. 78 of 1990 s. 7; No. 35 of 2007 s. 80.]</w:t>
      </w:r>
    </w:p>
    <w:p>
      <w:pPr>
        <w:pStyle w:val="Heading5"/>
        <w:rPr>
          <w:snapToGrid w:val="0"/>
        </w:rPr>
      </w:pPr>
      <w:bookmarkStart w:id="240" w:name="_Toc166680840"/>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240"/>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 xml:space="preserve">recovered by the permittee, holder of the drilling reservation, lessee or licensee has been </w:t>
      </w:r>
      <w:r>
        <w:rPr>
          <w:snapToGrid w:val="0"/>
        </w:rPr>
        <w:lastRenderedPageBreak/>
        <w:t>properly or accurately measured by such a measuring device, the quantity determined by the Minister as being the quantity recovered by the permittee, holder of the drilling reservation, lessee or licensee during that period.</w:t>
      </w:r>
    </w:p>
    <w:p>
      <w:pPr>
        <w:pStyle w:val="Footnotesection"/>
        <w:ind w:left="890" w:hanging="890"/>
      </w:pPr>
      <w:r>
        <w:tab/>
        <w:t>[Section 147 amended: No. 12 of 1990 s. 113; No. 78 of 1990 s. 7; No. 35 of 2007 s. 81.]</w:t>
      </w:r>
    </w:p>
    <w:p>
      <w:pPr>
        <w:pStyle w:val="Heading5"/>
        <w:rPr>
          <w:snapToGrid w:val="0"/>
        </w:rPr>
      </w:pPr>
      <w:bookmarkStart w:id="241" w:name="_Toc166680841"/>
      <w:r>
        <w:rPr>
          <w:rStyle w:val="CharSectno"/>
        </w:rPr>
        <w:t>148</w:t>
      </w:r>
      <w:r>
        <w:rPr>
          <w:snapToGrid w:val="0"/>
        </w:rPr>
        <w:t>.</w:t>
      </w:r>
      <w:r>
        <w:rPr>
          <w:snapToGrid w:val="0"/>
        </w:rPr>
        <w:tab/>
        <w:t>Payment of royalty and penalty for late payment</w:t>
      </w:r>
      <w:bookmarkEnd w:id="241"/>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ind w:left="890" w:hanging="890"/>
      </w:pPr>
      <w:r>
        <w:tab/>
        <w:t>[Section 148 amended: No. 12 of 1990 s. 114; No. 78 of 1990 s. 7; No. 28 of 1994 s. 60; No. 35 of 2007 s. 82.]</w:t>
      </w:r>
    </w:p>
    <w:p>
      <w:pPr>
        <w:pStyle w:val="Heading5"/>
        <w:rPr>
          <w:snapToGrid w:val="0"/>
        </w:rPr>
      </w:pPr>
      <w:bookmarkStart w:id="242" w:name="_Toc166680842"/>
      <w:r>
        <w:rPr>
          <w:rStyle w:val="CharSectno"/>
        </w:rPr>
        <w:t>149</w:t>
      </w:r>
      <w:r>
        <w:rPr>
          <w:snapToGrid w:val="0"/>
        </w:rPr>
        <w:t>.</w:t>
      </w:r>
      <w:r>
        <w:rPr>
          <w:snapToGrid w:val="0"/>
        </w:rPr>
        <w:tab/>
        <w:t>Royalty or late payment amount is debt due to Crown</w:t>
      </w:r>
      <w:bookmarkEnd w:id="242"/>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No. 12 of 1990 s. 115; No. 78 of 1990 s. 7.]</w:t>
      </w:r>
    </w:p>
    <w:p>
      <w:pPr>
        <w:pStyle w:val="Ednotepart"/>
      </w:pPr>
      <w:r>
        <w:t>[Part IIIA (s. 149A</w:t>
      </w:r>
      <w:r>
        <w:noBreakHyphen/>
        <w:t>149C) deleted: No. 36 of 2020 s. 305.]</w:t>
      </w:r>
    </w:p>
    <w:p>
      <w:pPr>
        <w:pStyle w:val="Heading2"/>
      </w:pPr>
      <w:bookmarkStart w:id="243" w:name="_Toc166678876"/>
      <w:bookmarkStart w:id="244" w:name="_Toc166679280"/>
      <w:bookmarkStart w:id="245" w:name="_Toc166680843"/>
      <w:r>
        <w:rPr>
          <w:rStyle w:val="CharPartNo"/>
        </w:rPr>
        <w:lastRenderedPageBreak/>
        <w:t>Part IVA</w:t>
      </w:r>
      <w:r>
        <w:rPr>
          <w:b w:val="0"/>
        </w:rPr>
        <w:t> </w:t>
      </w:r>
      <w:r>
        <w:t>—</w:t>
      </w:r>
      <w:r>
        <w:rPr>
          <w:b w:val="0"/>
        </w:rPr>
        <w:t> </w:t>
      </w:r>
      <w:r>
        <w:rPr>
          <w:rStyle w:val="CharPartText"/>
        </w:rPr>
        <w:t>Release of information</w:t>
      </w:r>
      <w:bookmarkEnd w:id="243"/>
      <w:bookmarkEnd w:id="244"/>
      <w:bookmarkEnd w:id="245"/>
    </w:p>
    <w:p>
      <w:pPr>
        <w:pStyle w:val="Footnoteheading"/>
        <w:spacing w:before="80"/>
      </w:pPr>
      <w:r>
        <w:tab/>
        <w:t>[Heading inserted: No. 42 of 2010 s. 57.]</w:t>
      </w:r>
    </w:p>
    <w:p>
      <w:pPr>
        <w:pStyle w:val="Heading3"/>
        <w:spacing w:before="180"/>
      </w:pPr>
      <w:bookmarkStart w:id="246" w:name="_Toc166678877"/>
      <w:bookmarkStart w:id="247" w:name="_Toc166679281"/>
      <w:bookmarkStart w:id="248" w:name="_Toc166680844"/>
      <w:r>
        <w:rPr>
          <w:rStyle w:val="CharDivNo"/>
        </w:rPr>
        <w:t>Division 1</w:t>
      </w:r>
      <w:r>
        <w:t> — </w:t>
      </w:r>
      <w:r>
        <w:rPr>
          <w:rStyle w:val="CharDivText"/>
        </w:rPr>
        <w:t>Preliminary</w:t>
      </w:r>
      <w:bookmarkEnd w:id="246"/>
      <w:bookmarkEnd w:id="247"/>
      <w:bookmarkEnd w:id="248"/>
    </w:p>
    <w:p>
      <w:pPr>
        <w:pStyle w:val="Footnoteheading"/>
        <w:spacing w:before="80"/>
      </w:pPr>
      <w:r>
        <w:tab/>
        <w:t>[Heading inserted: No. 42 of 2010 s. 57.]</w:t>
      </w:r>
    </w:p>
    <w:p>
      <w:pPr>
        <w:pStyle w:val="Heading5"/>
        <w:spacing w:before="160"/>
      </w:pPr>
      <w:bookmarkStart w:id="249" w:name="_Toc166680845"/>
      <w:r>
        <w:rPr>
          <w:rStyle w:val="CharSectno"/>
        </w:rPr>
        <w:t>150A</w:t>
      </w:r>
      <w:r>
        <w:t>.</w:t>
      </w:r>
      <w:r>
        <w:tab/>
        <w:t>Terms used</w:t>
      </w:r>
      <w:bookmarkEnd w:id="249"/>
    </w:p>
    <w:p>
      <w:pPr>
        <w:pStyle w:val="Subsection"/>
        <w:spacing w:before="120"/>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keepLines w:val="0"/>
      </w:pPr>
      <w:r>
        <w:tab/>
        <w:t>(i)</w:t>
      </w:r>
      <w:r>
        <w:tab/>
        <w:t>this Act; or</w:t>
      </w:r>
    </w:p>
    <w:p>
      <w:pPr>
        <w:pStyle w:val="Defsubpara"/>
        <w:keepLines w:val="0"/>
      </w:pPr>
      <w:r>
        <w:tab/>
        <w:t>(ii)</w:t>
      </w:r>
      <w:r>
        <w:tab/>
        <w:t>regulations made for the purposes of section 116A;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Defstart"/>
      </w:pPr>
      <w:r>
        <w:rPr>
          <w:b/>
        </w:rPr>
        <w:tab/>
      </w:r>
      <w:r>
        <w:rPr>
          <w:rStyle w:val="CharDefText"/>
        </w:rPr>
        <w:t>documentary information</w:t>
      </w:r>
      <w:r>
        <w:t xml:space="preserve"> means information contained in an applicable document;</w:t>
      </w:r>
    </w:p>
    <w:p>
      <w:pPr>
        <w:pStyle w:val="Defstart"/>
      </w:pPr>
      <w:r>
        <w:tab/>
      </w:r>
      <w:r>
        <w:rPr>
          <w:rStyle w:val="CharDefText"/>
        </w:rPr>
        <w:t>mining sample</w:t>
      </w:r>
      <w:r>
        <w:t xml:space="preserve"> means — </w:t>
      </w:r>
    </w:p>
    <w:p>
      <w:pPr>
        <w:pStyle w:val="Defpara"/>
        <w:spacing w:before="60"/>
      </w:pPr>
      <w:r>
        <w:tab/>
        <w:t>(a)</w:t>
      </w:r>
      <w:r>
        <w:tab/>
        <w:t xml:space="preserve">a core or cutting from, or a sample of, the seabed or subsoil; or </w:t>
      </w:r>
    </w:p>
    <w:p>
      <w:pPr>
        <w:pStyle w:val="Defpara"/>
        <w:spacing w:before="60"/>
      </w:pPr>
      <w:r>
        <w:tab/>
        <w:t>(b)</w:t>
      </w:r>
      <w:r>
        <w:tab/>
        <w:t xml:space="preserve">a sample of petroleum recovered; or </w:t>
      </w:r>
    </w:p>
    <w:p>
      <w:pPr>
        <w:pStyle w:val="Defpara"/>
        <w:spacing w:before="60"/>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Footnotesection"/>
        <w:spacing w:before="60"/>
        <w:ind w:left="890" w:hanging="890"/>
      </w:pPr>
      <w:r>
        <w:lastRenderedPageBreak/>
        <w:tab/>
        <w:t>[Section 150A inserted: No. 42 of 2010 s. 57.]</w:t>
      </w:r>
    </w:p>
    <w:p>
      <w:pPr>
        <w:pStyle w:val="Heading3"/>
      </w:pPr>
      <w:bookmarkStart w:id="250" w:name="_Toc166678879"/>
      <w:bookmarkStart w:id="251" w:name="_Toc166679283"/>
      <w:bookmarkStart w:id="252" w:name="_Toc166680846"/>
      <w:r>
        <w:rPr>
          <w:rStyle w:val="CharDivNo"/>
        </w:rPr>
        <w:t>Division 2</w:t>
      </w:r>
      <w:r>
        <w:t> — </w:t>
      </w:r>
      <w:r>
        <w:rPr>
          <w:rStyle w:val="CharDivText"/>
        </w:rPr>
        <w:t>Protection of confidentiality of information and samples</w:t>
      </w:r>
      <w:bookmarkEnd w:id="250"/>
      <w:bookmarkEnd w:id="251"/>
      <w:bookmarkEnd w:id="252"/>
    </w:p>
    <w:p>
      <w:pPr>
        <w:pStyle w:val="Footnoteheading"/>
        <w:spacing w:before="80"/>
      </w:pPr>
      <w:r>
        <w:tab/>
        <w:t>[Heading inserted: No. 42 of 2010 s. 57.]</w:t>
      </w:r>
    </w:p>
    <w:p>
      <w:pPr>
        <w:pStyle w:val="Heading4"/>
        <w:spacing w:before="180"/>
      </w:pPr>
      <w:bookmarkStart w:id="253" w:name="_Toc166678880"/>
      <w:bookmarkStart w:id="254" w:name="_Toc166679284"/>
      <w:bookmarkStart w:id="255" w:name="_Toc166680847"/>
      <w:r>
        <w:t>Subdivision 1 — Information and samples obtained by the Minister</w:t>
      </w:r>
      <w:bookmarkEnd w:id="253"/>
      <w:bookmarkEnd w:id="254"/>
      <w:bookmarkEnd w:id="255"/>
    </w:p>
    <w:p>
      <w:pPr>
        <w:pStyle w:val="Footnoteheading"/>
        <w:spacing w:before="80"/>
      </w:pPr>
      <w:r>
        <w:tab/>
        <w:t>[Heading inserted: No. 42 of 2010 s. 57.]</w:t>
      </w:r>
    </w:p>
    <w:p>
      <w:pPr>
        <w:pStyle w:val="Heading5"/>
        <w:spacing w:before="180"/>
      </w:pPr>
      <w:bookmarkStart w:id="256" w:name="_Toc166680848"/>
      <w:r>
        <w:rPr>
          <w:rStyle w:val="CharSectno"/>
        </w:rPr>
        <w:t>150B</w:t>
      </w:r>
      <w:r>
        <w:t>.</w:t>
      </w:r>
      <w:r>
        <w:tab/>
        <w:t>Protection of confidentiality of information obtained by Minister</w:t>
      </w:r>
      <w:bookmarkEnd w:id="256"/>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150B inserted: No. 42 of 2010 s. 57.]</w:t>
      </w:r>
    </w:p>
    <w:p>
      <w:pPr>
        <w:pStyle w:val="Heading5"/>
        <w:spacing w:before="180"/>
      </w:pPr>
      <w:bookmarkStart w:id="257" w:name="_Toc166680849"/>
      <w:r>
        <w:rPr>
          <w:rStyle w:val="CharSectno"/>
        </w:rPr>
        <w:t>150C</w:t>
      </w:r>
      <w:r>
        <w:t>.</w:t>
      </w:r>
      <w:r>
        <w:tab/>
        <w:t>Protection of confidentiality of samples obtained by Minister</w:t>
      </w:r>
      <w:bookmarkEnd w:id="257"/>
    </w:p>
    <w:p>
      <w:pPr>
        <w:pStyle w:val="Subsection"/>
      </w:pPr>
      <w:r>
        <w:tab/>
        <w:t>(1)</w:t>
      </w:r>
      <w:r>
        <w:tab/>
        <w:t>This section restricts what the Minister may do with a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keepNext/>
      </w:pPr>
      <w:r>
        <w:lastRenderedPageBreak/>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150C inserted: No. 42 of 2010 s. 57.]</w:t>
      </w:r>
    </w:p>
    <w:p>
      <w:pPr>
        <w:pStyle w:val="Heading5"/>
        <w:spacing w:before="240"/>
      </w:pPr>
      <w:bookmarkStart w:id="258" w:name="_Toc166680850"/>
      <w:r>
        <w:rPr>
          <w:rStyle w:val="CharSectno"/>
        </w:rPr>
        <w:t>150D</w:t>
      </w:r>
      <w:r>
        <w:t>.</w:t>
      </w:r>
      <w:r>
        <w:tab/>
        <w:t>Information or samples obtained by Minister can be made available to certain persons</w:t>
      </w:r>
      <w:bookmarkEnd w:id="258"/>
    </w:p>
    <w:p>
      <w:pPr>
        <w:pStyle w:val="Subsection"/>
        <w:spacing w:before="180"/>
      </w:pPr>
      <w:r>
        <w:tab/>
      </w:r>
      <w:r>
        <w:tab/>
        <w:t>The Minister may make documentary information or a mining sample available to another Minister or a Minister of another jurisdiction.</w:t>
      </w:r>
    </w:p>
    <w:p>
      <w:pPr>
        <w:pStyle w:val="Footnotesection"/>
        <w:spacing w:before="100"/>
        <w:ind w:left="890" w:hanging="890"/>
      </w:pPr>
      <w:r>
        <w:tab/>
        <w:t>[Section 150D inserted: No. 42 of 2010 s. 57.]</w:t>
      </w:r>
    </w:p>
    <w:p>
      <w:pPr>
        <w:pStyle w:val="Heading4"/>
        <w:spacing w:before="180"/>
      </w:pPr>
      <w:bookmarkStart w:id="259" w:name="_Toc166678884"/>
      <w:bookmarkStart w:id="260" w:name="_Toc166679288"/>
      <w:bookmarkStart w:id="261" w:name="_Toc166680851"/>
      <w:r>
        <w:t>Subdivision 2 — Information and samples obtained by another Minister</w:t>
      </w:r>
      <w:bookmarkEnd w:id="259"/>
      <w:bookmarkEnd w:id="260"/>
      <w:bookmarkEnd w:id="261"/>
    </w:p>
    <w:p>
      <w:pPr>
        <w:pStyle w:val="Footnoteheading"/>
      </w:pPr>
      <w:r>
        <w:tab/>
        <w:t>[Heading inserted: No. 42 of 2010 s. 57.]</w:t>
      </w:r>
    </w:p>
    <w:p>
      <w:pPr>
        <w:pStyle w:val="Heading5"/>
        <w:spacing w:before="240"/>
      </w:pPr>
      <w:bookmarkStart w:id="262" w:name="_Toc166680852"/>
      <w:r>
        <w:rPr>
          <w:rStyle w:val="CharSectno"/>
        </w:rPr>
        <w:t>150E</w:t>
      </w:r>
      <w:r>
        <w:t>.</w:t>
      </w:r>
      <w:r>
        <w:tab/>
        <w:t>Protection of confidentiality of information obtained by another Minister</w:t>
      </w:r>
      <w:bookmarkEnd w:id="262"/>
    </w:p>
    <w:p>
      <w:pPr>
        <w:pStyle w:val="Subsection"/>
        <w:spacing w:before="180"/>
      </w:pPr>
      <w:r>
        <w:tab/>
        <w:t>(1)</w:t>
      </w:r>
      <w:r>
        <w:tab/>
        <w:t>This section restricts what a Minister may do with documentary information made available to that Minister under section 150D or 150G.</w:t>
      </w:r>
    </w:p>
    <w:p>
      <w:pPr>
        <w:pStyle w:val="Subsection"/>
        <w:spacing w:before="180"/>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spacing w:before="180"/>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150E inserted: No. 42 of 2010 s. 57.]</w:t>
      </w:r>
    </w:p>
    <w:p>
      <w:pPr>
        <w:pStyle w:val="Heading5"/>
        <w:keepNext w:val="0"/>
        <w:keepLines w:val="0"/>
        <w:pageBreakBefore/>
        <w:spacing w:before="0"/>
      </w:pPr>
      <w:bookmarkStart w:id="263" w:name="_Toc166680853"/>
      <w:r>
        <w:rPr>
          <w:rStyle w:val="CharSectno"/>
        </w:rPr>
        <w:lastRenderedPageBreak/>
        <w:t>150F</w:t>
      </w:r>
      <w:r>
        <w:t>.</w:t>
      </w:r>
      <w:r>
        <w:tab/>
        <w:t>Protection of confidentiality of samples obtained by another Minister</w:t>
      </w:r>
      <w:bookmarkEnd w:id="263"/>
    </w:p>
    <w:p>
      <w:pPr>
        <w:pStyle w:val="Subsection"/>
        <w:spacing w:before="120"/>
      </w:pPr>
      <w:r>
        <w:tab/>
        <w:t>(1)</w:t>
      </w:r>
      <w:r>
        <w:tab/>
        <w:t>This section restricts what a Minister may do with a mining sample made available to that Minister under section 150D or 150G.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150F inserted: No. 42 of 2010 s. 57.]</w:t>
      </w:r>
    </w:p>
    <w:p>
      <w:pPr>
        <w:pStyle w:val="Heading5"/>
      </w:pPr>
      <w:bookmarkStart w:id="264" w:name="_Toc166680854"/>
      <w:r>
        <w:rPr>
          <w:rStyle w:val="CharSectno"/>
        </w:rPr>
        <w:t>150G</w:t>
      </w:r>
      <w:r>
        <w:t>.</w:t>
      </w:r>
      <w:r>
        <w:tab/>
        <w:t>Information or samples obtained by another Minister can be made available to certain persons</w:t>
      </w:r>
      <w:bookmarkEnd w:id="264"/>
    </w:p>
    <w:p>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Footnotesection"/>
      </w:pPr>
      <w:r>
        <w:tab/>
        <w:t>[Section 150G inserted: No. 42 of 2010 s. 57.]</w:t>
      </w:r>
    </w:p>
    <w:p>
      <w:pPr>
        <w:pStyle w:val="Heading4"/>
      </w:pPr>
      <w:bookmarkStart w:id="265" w:name="_Toc166678888"/>
      <w:bookmarkStart w:id="266" w:name="_Toc166679292"/>
      <w:bookmarkStart w:id="267" w:name="_Toc166680855"/>
      <w:r>
        <w:t>Subdivision 3 — Miscellaneous</w:t>
      </w:r>
      <w:bookmarkEnd w:id="265"/>
      <w:bookmarkEnd w:id="266"/>
      <w:bookmarkEnd w:id="267"/>
    </w:p>
    <w:p>
      <w:pPr>
        <w:pStyle w:val="Footnoteheading"/>
      </w:pPr>
      <w:r>
        <w:tab/>
        <w:t>[Heading inserted: No. 42 of 2010 s. 57.]</w:t>
      </w:r>
    </w:p>
    <w:p>
      <w:pPr>
        <w:pStyle w:val="Heading5"/>
      </w:pPr>
      <w:bookmarkStart w:id="268" w:name="_Toc166680856"/>
      <w:r>
        <w:rPr>
          <w:rStyle w:val="CharSectno"/>
        </w:rPr>
        <w:t>150H</w:t>
      </w:r>
      <w:r>
        <w:t>.</w:t>
      </w:r>
      <w:r>
        <w:tab/>
        <w:t>Fees</w:t>
      </w:r>
      <w:bookmarkEnd w:id="268"/>
    </w:p>
    <w:p>
      <w:pPr>
        <w:pStyle w:val="Subsection"/>
      </w:pPr>
      <w:r>
        <w:tab/>
        <w:t>(1)</w:t>
      </w:r>
      <w:r>
        <w:tab/>
        <w:t xml:space="preserve">This section applies to regulations made for the purposes of any of the following — </w:t>
      </w:r>
    </w:p>
    <w:p>
      <w:pPr>
        <w:pStyle w:val="Indenta"/>
      </w:pPr>
      <w:r>
        <w:tab/>
        <w:t>(a)</w:t>
      </w:r>
      <w:r>
        <w:tab/>
        <w:t>section 150B(2)(c);</w:t>
      </w:r>
    </w:p>
    <w:p>
      <w:pPr>
        <w:pStyle w:val="Indenta"/>
      </w:pPr>
      <w:r>
        <w:tab/>
        <w:t>(b)</w:t>
      </w:r>
      <w:r>
        <w:tab/>
        <w:t>section 150C(2)(c);</w:t>
      </w:r>
    </w:p>
    <w:p>
      <w:pPr>
        <w:pStyle w:val="Indenta"/>
      </w:pPr>
      <w:r>
        <w:lastRenderedPageBreak/>
        <w:tab/>
        <w:t>(c)</w:t>
      </w:r>
      <w:r>
        <w:tab/>
        <w:t>section 150E(2)(c);</w:t>
      </w:r>
    </w:p>
    <w:p>
      <w:pPr>
        <w:pStyle w:val="Indenta"/>
      </w:pPr>
      <w:r>
        <w:tab/>
        <w:t>(d)</w:t>
      </w:r>
      <w:r>
        <w:tab/>
        <w:t>section 150F(2)(c).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150H inserted: No. 42 of 2010 s. 57.]</w:t>
      </w:r>
    </w:p>
    <w:p>
      <w:pPr>
        <w:pStyle w:val="Heading2"/>
      </w:pPr>
      <w:bookmarkStart w:id="269" w:name="_Toc166678890"/>
      <w:bookmarkStart w:id="270" w:name="_Toc166679294"/>
      <w:bookmarkStart w:id="271" w:name="_Toc166680857"/>
      <w:r>
        <w:rPr>
          <w:rStyle w:val="CharPartNo"/>
        </w:rPr>
        <w:lastRenderedPageBreak/>
        <w:t>Part IV</w:t>
      </w:r>
      <w:r>
        <w:rPr>
          <w:rStyle w:val="CharDivNo"/>
        </w:rPr>
        <w:t> </w:t>
      </w:r>
      <w:r>
        <w:t>—</w:t>
      </w:r>
      <w:r>
        <w:rPr>
          <w:rStyle w:val="CharDivText"/>
        </w:rPr>
        <w:t> </w:t>
      </w:r>
      <w:r>
        <w:rPr>
          <w:rStyle w:val="CharPartText"/>
        </w:rPr>
        <w:t>Miscellaneous</w:t>
      </w:r>
      <w:bookmarkEnd w:id="269"/>
      <w:bookmarkEnd w:id="270"/>
      <w:bookmarkEnd w:id="271"/>
    </w:p>
    <w:p>
      <w:pPr>
        <w:pStyle w:val="Heading5"/>
        <w:rPr>
          <w:snapToGrid w:val="0"/>
        </w:rPr>
      </w:pPr>
      <w:bookmarkStart w:id="272" w:name="_Toc166680858"/>
      <w:r>
        <w:rPr>
          <w:rStyle w:val="CharSectno"/>
        </w:rPr>
        <w:t>150</w:t>
      </w:r>
      <w:r>
        <w:rPr>
          <w:snapToGrid w:val="0"/>
        </w:rPr>
        <w:t>.</w:t>
      </w:r>
      <w:r>
        <w:rPr>
          <w:snapToGrid w:val="0"/>
        </w:rPr>
        <w:tab/>
        <w:t>Jurisdiction of Magistrates Court</w:t>
      </w:r>
      <w:bookmarkEnd w:id="272"/>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No. 59 of 2004 s. 141.]</w:t>
      </w:r>
    </w:p>
    <w:p>
      <w:pPr>
        <w:pStyle w:val="Heading5"/>
        <w:rPr>
          <w:snapToGrid w:val="0"/>
        </w:rPr>
      </w:pPr>
      <w:bookmarkStart w:id="273" w:name="_Toc166680859"/>
      <w:r>
        <w:rPr>
          <w:rStyle w:val="CharSectno"/>
        </w:rPr>
        <w:t>151</w:t>
      </w:r>
      <w:r>
        <w:rPr>
          <w:snapToGrid w:val="0"/>
        </w:rPr>
        <w:t>.</w:t>
      </w:r>
      <w:r>
        <w:rPr>
          <w:snapToGrid w:val="0"/>
        </w:rPr>
        <w:tab/>
        <w:t>Special case may be reserved for Supreme Court</w:t>
      </w:r>
      <w:bookmarkEnd w:id="273"/>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 xml:space="preserve">the Magistrates </w:t>
      </w:r>
      <w:r>
        <w:lastRenderedPageBreak/>
        <w:t>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No. 12 of 1990 s. 116; No. 59 of 2004 s. 141.]</w:t>
      </w:r>
    </w:p>
    <w:p>
      <w:pPr>
        <w:pStyle w:val="Heading5"/>
      </w:pPr>
      <w:bookmarkStart w:id="274" w:name="_Toc166680860"/>
      <w:r>
        <w:rPr>
          <w:rStyle w:val="CharSectno"/>
        </w:rPr>
        <w:t>152</w:t>
      </w:r>
      <w:r>
        <w:t>.</w:t>
      </w:r>
      <w:r>
        <w:tab/>
        <w:t xml:space="preserve">Certain things are not personal property for purposes of </w:t>
      </w:r>
      <w:r>
        <w:rPr>
          <w:i/>
          <w:iCs/>
        </w:rPr>
        <w:t>Personal Property Securities Act 2009</w:t>
      </w:r>
      <w:r>
        <w:t xml:space="preserve"> (Commonwealth)</w:t>
      </w:r>
      <w:bookmarkEnd w:id="274"/>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No. 42 of 2011 s. 87.]</w:t>
      </w:r>
    </w:p>
    <w:p>
      <w:pPr>
        <w:pStyle w:val="Ednotesection"/>
      </w:pPr>
      <w:r>
        <w:t>[</w:t>
      </w:r>
      <w:r>
        <w:rPr>
          <w:b/>
        </w:rPr>
        <w:t>152A, 152B.</w:t>
      </w:r>
      <w:r>
        <w:tab/>
        <w:t>Deleted: No. 28 of 1994 s. 61.]</w:t>
      </w:r>
    </w:p>
    <w:p>
      <w:pPr>
        <w:pStyle w:val="Heading5"/>
        <w:spacing w:before="180"/>
        <w:rPr>
          <w:snapToGrid w:val="0"/>
        </w:rPr>
      </w:pPr>
      <w:bookmarkStart w:id="275" w:name="_Toc166680861"/>
      <w:r>
        <w:rPr>
          <w:rStyle w:val="CharSectno"/>
        </w:rPr>
        <w:t>153</w:t>
      </w:r>
      <w:r>
        <w:rPr>
          <w:snapToGrid w:val="0"/>
        </w:rPr>
        <w:t>.</w:t>
      </w:r>
      <w:r>
        <w:rPr>
          <w:snapToGrid w:val="0"/>
        </w:rPr>
        <w:tab/>
        <w:t>Regulations</w:t>
      </w:r>
      <w:bookmarkEnd w:id="275"/>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 xml:space="preserve">In particular, but without limiting the generality of subsection (1), the regulations may make provision for securing, </w:t>
      </w:r>
      <w:r>
        <w:rPr>
          <w:snapToGrid w:val="0"/>
        </w:rPr>
        <w:lastRenderedPageBreak/>
        <w:t>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lastRenderedPageBreak/>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Indenta"/>
      </w:pPr>
      <w:r>
        <w:tab/>
        <w:t>(l)</w:t>
      </w:r>
      <w:r>
        <w:tab/>
        <w:t>fees in relation to petroleum operations or geothermal energy operations,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 xml:space="preserve">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w:t>
      </w:r>
      <w:r>
        <w:rPr>
          <w:snapToGrid w:val="0"/>
        </w:rPr>
        <w:lastRenderedPageBreak/>
        <w:t>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No. 12 of 1990 s. 118; No. 78 of 1990 s. 7; No. 28 of 1994 s. 62; No. 13 of 2005 s. 15; No. 35 of 2007 s. 83 and 87; No. 42 of 2010 s. 58; No. 36 of 2020 s. 306.]</w:t>
      </w:r>
    </w:p>
    <w:p>
      <w:pPr>
        <w:pStyle w:val="Heading5"/>
      </w:pPr>
      <w:bookmarkStart w:id="276" w:name="_Toc166680862"/>
      <w:r>
        <w:rPr>
          <w:rStyle w:val="CharSectno"/>
        </w:rPr>
        <w:t>154</w:t>
      </w:r>
      <w:r>
        <w:t>.</w:t>
      </w:r>
      <w:r>
        <w:tab/>
        <w:t>Further transitional provisions</w:t>
      </w:r>
      <w:bookmarkEnd w:id="276"/>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lastRenderedPageBreak/>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No. 42 of 2010 s. 59.]</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Ednoteschedule"/>
      </w:pPr>
      <w:r>
        <w:t>[Schedule 1 (Div. 1</w:t>
      </w:r>
      <w:r>
        <w:noBreakHyphen/>
        <w:t>6) deleted: No. 36 of 2020 s. 307.]</w:t>
      </w:r>
    </w:p>
    <w:p>
      <w:pPr>
        <w:pStyle w:val="yScheduleHeading"/>
      </w:pPr>
      <w:bookmarkStart w:id="277" w:name="_Toc166678896"/>
      <w:bookmarkStart w:id="278" w:name="_Toc166679300"/>
      <w:bookmarkStart w:id="279" w:name="_Toc166680863"/>
      <w:r>
        <w:rPr>
          <w:rStyle w:val="CharSchNo"/>
        </w:rPr>
        <w:lastRenderedPageBreak/>
        <w:t>Schedule 2</w:t>
      </w:r>
      <w:r>
        <w:t> — </w:t>
      </w:r>
      <w:r>
        <w:rPr>
          <w:rStyle w:val="CharSchText"/>
        </w:rPr>
        <w:t>Further transitional provisions</w:t>
      </w:r>
      <w:bookmarkEnd w:id="277"/>
      <w:bookmarkEnd w:id="278"/>
      <w:bookmarkEnd w:id="279"/>
    </w:p>
    <w:p>
      <w:pPr>
        <w:pStyle w:val="yShoulderClause"/>
      </w:pPr>
      <w:r>
        <w:t>[s. 154]</w:t>
      </w:r>
    </w:p>
    <w:p>
      <w:pPr>
        <w:pStyle w:val="yFootnoteheading"/>
      </w:pPr>
      <w:r>
        <w:tab/>
        <w:t>[Heading inserted: No. 42 of 2010 s. 61.]</w:t>
      </w:r>
    </w:p>
    <w:p>
      <w:pPr>
        <w:pStyle w:val="yHeading3"/>
      </w:pPr>
      <w:bookmarkStart w:id="280" w:name="_Toc166678897"/>
      <w:bookmarkStart w:id="281" w:name="_Toc166679301"/>
      <w:bookmarkStart w:id="282" w:name="_Toc166680864"/>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280"/>
      <w:bookmarkEnd w:id="281"/>
      <w:bookmarkEnd w:id="282"/>
    </w:p>
    <w:p>
      <w:pPr>
        <w:pStyle w:val="yFootnoteheading"/>
      </w:pPr>
      <w:r>
        <w:tab/>
        <w:t>[Heading inserted: No. 42 of 2010 s. 61.]</w:t>
      </w:r>
    </w:p>
    <w:p>
      <w:pPr>
        <w:pStyle w:val="yHeading5"/>
      </w:pPr>
      <w:bookmarkStart w:id="283" w:name="_Toc166680865"/>
      <w:r>
        <w:rPr>
          <w:rStyle w:val="CharSClsNo"/>
        </w:rPr>
        <w:t>1</w:t>
      </w:r>
      <w:r>
        <w:t>.</w:t>
      </w:r>
      <w:r>
        <w:tab/>
        <w:t>Terms used</w:t>
      </w:r>
      <w:bookmarkEnd w:id="283"/>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p>
    <w:p>
      <w:pPr>
        <w:pStyle w:val="yFootnotesection"/>
      </w:pPr>
      <w:r>
        <w:tab/>
        <w:t>[Clause 1 inserted: No. 42 of 2010 s. 61.]</w:t>
      </w:r>
    </w:p>
    <w:p>
      <w:pPr>
        <w:pStyle w:val="yHeading5"/>
      </w:pPr>
      <w:bookmarkStart w:id="284" w:name="_Toc166680866"/>
      <w:r>
        <w:rPr>
          <w:rStyle w:val="CharSClsNo"/>
        </w:rPr>
        <w:t>2</w:t>
      </w:r>
      <w:r>
        <w:t>.</w:t>
      </w:r>
      <w:r>
        <w:tab/>
        <w:t>Section 41(5) (permit renewals)</w:t>
      </w:r>
      <w:bookmarkEnd w:id="284"/>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No. 42 of 2010 s. 61.]</w:t>
      </w:r>
    </w:p>
    <w:p>
      <w:pPr>
        <w:pStyle w:val="yHeading5"/>
      </w:pPr>
      <w:bookmarkStart w:id="285" w:name="_Toc166680867"/>
      <w:r>
        <w:rPr>
          <w:rStyle w:val="CharSClsNo"/>
        </w:rPr>
        <w:t>3</w:t>
      </w:r>
      <w:r>
        <w:t>.</w:t>
      </w:r>
      <w:r>
        <w:tab/>
        <w:t>Section 112 (release of information)</w:t>
      </w:r>
      <w:bookmarkEnd w:id="285"/>
    </w:p>
    <w:p>
      <w:pPr>
        <w:pStyle w:val="ySubsection"/>
      </w:pPr>
      <w:r>
        <w:tab/>
        <w:t>(1)</w:t>
      </w:r>
      <w:r>
        <w:tab/>
        <w:t>This clause has effect despite the deletion of section 112 by section 51 of the amending Act.</w:t>
      </w:r>
    </w:p>
    <w:p>
      <w:pPr>
        <w:pStyle w:val="ySubsection"/>
      </w:pPr>
      <w:r>
        <w:tab/>
        <w:t>(2)</w:t>
      </w:r>
      <w:r>
        <w:tab/>
        <w:t>Section 112 as in force immediately before it was deleted continues to apply in respect of information given to the Minister before the commencement of section 51 of the amending Act.</w:t>
      </w:r>
    </w:p>
    <w:p>
      <w:pPr>
        <w:pStyle w:val="ySubsection"/>
        <w:keepNext/>
      </w:pPr>
      <w:r>
        <w:lastRenderedPageBreak/>
        <w:tab/>
        <w:t>(3)</w:t>
      </w:r>
      <w:r>
        <w:tab/>
        <w:t xml:space="preserve">Regulation 3 as in force immediately before the deletion of section 112 — </w:t>
      </w:r>
    </w:p>
    <w:p>
      <w:pPr>
        <w:pStyle w:val="yIndenta"/>
      </w:pPr>
      <w:r>
        <w:tab/>
        <w:t>(a)</w:t>
      </w:r>
      <w:r>
        <w:tab/>
        <w:t>continues in force for the purposes of that section as it continues to apply under subclause (1); and</w:t>
      </w:r>
    </w:p>
    <w:p>
      <w:pPr>
        <w:pStyle w:val="yIndenta"/>
      </w:pPr>
      <w:r>
        <w:tab/>
        <w:t>(b)</w:t>
      </w:r>
      <w:r>
        <w:tab/>
        <w:t>also separately continues in force on and after the commencement of section 57 of the amending Act as if it had been made for the purposes of Part IVB.</w:t>
      </w:r>
    </w:p>
    <w:p>
      <w:pPr>
        <w:pStyle w:val="ySubsection"/>
      </w:pPr>
      <w:r>
        <w:tab/>
        <w:t>(4)</w:t>
      </w:r>
      <w:r>
        <w:tab/>
        <w:t>Regulation 3 as continued in force under subclause (3)(a) or (b) may, for the purposes of its application under subclause (3)(a) or (b), be amended or deleted by regulations.</w:t>
      </w:r>
    </w:p>
    <w:p>
      <w:pPr>
        <w:pStyle w:val="yFootnotesection"/>
      </w:pPr>
      <w:r>
        <w:tab/>
        <w:t>[Clause 3 inserted: No. 42 of 2010 s. 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type w:val="continuous"/>
          <w:pgSz w:w="11907" w:h="16840" w:code="9"/>
          <w:pgMar w:top="2376" w:right="2404" w:bottom="3544" w:left="2404" w:header="720" w:footer="3544" w:gutter="0"/>
          <w:cols w:space="720"/>
          <w:noEndnote/>
          <w:docGrid w:linePitch="326"/>
        </w:sectPr>
      </w:pPr>
    </w:p>
    <w:p>
      <w:pPr>
        <w:pStyle w:val="nHeading2"/>
      </w:pPr>
      <w:bookmarkStart w:id="287" w:name="_Toc166678901"/>
      <w:bookmarkStart w:id="288" w:name="_Toc166679305"/>
      <w:bookmarkStart w:id="289" w:name="_Toc166680868"/>
      <w:r>
        <w:lastRenderedPageBreak/>
        <w:t>Notes</w:t>
      </w:r>
      <w:bookmarkEnd w:id="287"/>
      <w:bookmarkEnd w:id="288"/>
      <w:bookmarkEnd w:id="289"/>
    </w:p>
    <w:p>
      <w:pPr>
        <w:pStyle w:val="nStatement"/>
      </w:pPr>
      <w:r>
        <w:t xml:space="preserve">This is a compilation of the </w:t>
      </w:r>
      <w:r>
        <w:rPr>
          <w:i/>
          <w:noProof/>
        </w:rPr>
        <w:t>Petroleum and Geothermal Energy Resources Act 1967</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290" w:name="_Toc166680869"/>
      <w:r>
        <w:t>Compilation table</w:t>
      </w:r>
      <w:bookmarkEnd w:id="290"/>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Petroleum Act 1967</w:t>
            </w:r>
            <w:r>
              <w:rPr>
                <w:iCs/>
              </w:rPr>
              <w:t xml:space="preserve"> </w:t>
            </w:r>
            <w:r>
              <w:rPr>
                <w:iCs/>
                <w:vertAlign w:val="superscript"/>
              </w:rPr>
              <w:t>4</w:t>
            </w:r>
          </w:p>
        </w:tc>
        <w:tc>
          <w:tcPr>
            <w:tcW w:w="1134" w:type="dxa"/>
          </w:tcPr>
          <w:p>
            <w:pPr>
              <w:pStyle w:val="nTable"/>
              <w:spacing w:after="40"/>
            </w:pPr>
            <w:r>
              <w:t>72 of 1967</w:t>
            </w:r>
          </w:p>
        </w:tc>
        <w:tc>
          <w:tcPr>
            <w:tcW w:w="1134" w:type="dxa"/>
          </w:tcPr>
          <w:p>
            <w:pPr>
              <w:pStyle w:val="nTable"/>
              <w:spacing w:after="40"/>
            </w:pPr>
            <w:r>
              <w:t>11 Dec 1967</w:t>
            </w:r>
          </w:p>
        </w:tc>
        <w:tc>
          <w:tcPr>
            <w:tcW w:w="2552" w:type="dxa"/>
          </w:tcPr>
          <w:p>
            <w:pPr>
              <w:pStyle w:val="nTable"/>
              <w:spacing w:after="40"/>
            </w:pPr>
            <w:r>
              <w:t xml:space="preserve">5 Sep 1969 (see s. 2 and </w:t>
            </w:r>
            <w:r>
              <w:rPr>
                <w:i/>
              </w:rPr>
              <w:t>Gazette</w:t>
            </w:r>
            <w:r>
              <w:t xml:space="preserve"> 5 Sep 1969 p. 2540)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Metric Conversion Act 1972</w:t>
            </w:r>
            <w:r>
              <w:rPr>
                <w:iCs/>
              </w:rPr>
              <w:t xml:space="preserve"> s. 4</w:t>
            </w:r>
          </w:p>
        </w:tc>
        <w:tc>
          <w:tcPr>
            <w:tcW w:w="1134" w:type="dxa"/>
          </w:tcPr>
          <w:p>
            <w:pPr>
              <w:pStyle w:val="nTable"/>
              <w:spacing w:after="40"/>
            </w:pPr>
            <w:r>
              <w:t>94 of 1972</w:t>
            </w:r>
            <w:r>
              <w:br/>
              <w:t>(as amended by No. 19 of 1973 s. 8)</w:t>
            </w:r>
          </w:p>
        </w:tc>
        <w:tc>
          <w:tcPr>
            <w:tcW w:w="1134" w:type="dxa"/>
          </w:tcPr>
          <w:p>
            <w:pPr>
              <w:pStyle w:val="nTable"/>
              <w:spacing w:after="40"/>
            </w:pPr>
            <w:r>
              <w:t>4 Dec 1972</w:t>
            </w:r>
          </w:p>
        </w:tc>
        <w:tc>
          <w:tcPr>
            <w:tcW w:w="2552" w:type="dxa"/>
          </w:tcPr>
          <w:p>
            <w:pPr>
              <w:pStyle w:val="nTable"/>
              <w:spacing w:after="40"/>
            </w:pPr>
            <w:r>
              <w:t>Relevant amendments (see First Sch.</w:t>
            </w:r>
            <w:r>
              <w:rPr>
                <w:vertAlign w:val="superscript"/>
              </w:rPr>
              <w:t> 5</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(Mining) Act 1981</w:t>
            </w:r>
            <w:r>
              <w:t xml:space="preserve"> Pt. III</w:t>
            </w:r>
            <w:r>
              <w:rPr>
                <w:vertAlign w:val="superscript"/>
              </w:rPr>
              <w:t> 6</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(Aboriginal Affairs Planning Authority) Act 1982</w:t>
            </w:r>
            <w:r>
              <w:t xml:space="preserve"> Pt. III</w:t>
            </w:r>
          </w:p>
        </w:tc>
        <w:tc>
          <w:tcPr>
            <w:tcW w:w="1134" w:type="dxa"/>
          </w:tcPr>
          <w:p>
            <w:pPr>
              <w:pStyle w:val="nTable"/>
              <w:spacing w:after="40"/>
            </w:pPr>
            <w:r>
              <w:t>107 of 1982</w:t>
            </w:r>
          </w:p>
        </w:tc>
        <w:tc>
          <w:tcPr>
            <w:tcW w:w="1134" w:type="dxa"/>
          </w:tcPr>
          <w:p>
            <w:pPr>
              <w:pStyle w:val="nTable"/>
              <w:spacing w:after="40"/>
            </w:pPr>
            <w:r>
              <w:t>7 Dec 1982</w:t>
            </w:r>
          </w:p>
        </w:tc>
        <w:tc>
          <w:tcPr>
            <w:tcW w:w="2552" w:type="dxa"/>
          </w:tcPr>
          <w:p>
            <w:pPr>
              <w:pStyle w:val="nTable"/>
              <w:spacing w:after="40"/>
            </w:pPr>
            <w:r>
              <w:t>7 Dec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Barrow Island Royalty Variation Agreement Act 1985 </w:t>
            </w:r>
            <w:r>
              <w:t>Pt. III</w:t>
            </w:r>
          </w:p>
        </w:tc>
        <w:tc>
          <w:tcPr>
            <w:tcW w:w="1134" w:type="dxa"/>
          </w:tcPr>
          <w:p>
            <w:pPr>
              <w:pStyle w:val="nTable"/>
              <w:spacing w:after="40"/>
            </w:pPr>
            <w:r>
              <w:t>113 of 1985</w:t>
            </w:r>
          </w:p>
        </w:tc>
        <w:tc>
          <w:tcPr>
            <w:tcW w:w="1134" w:type="dxa"/>
          </w:tcPr>
          <w:p>
            <w:pPr>
              <w:pStyle w:val="nTable"/>
              <w:spacing w:after="40"/>
            </w:pPr>
            <w:r>
              <w:t>7 Jan 1986</w:t>
            </w:r>
          </w:p>
        </w:tc>
        <w:tc>
          <w:tcPr>
            <w:tcW w:w="2552" w:type="dxa"/>
          </w:tcPr>
          <w:p>
            <w:pPr>
              <w:pStyle w:val="nTable"/>
              <w:spacing w:after="40"/>
            </w:pPr>
            <w:r>
              <w:t>7 Jan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Amendment Act 1987</w:t>
            </w:r>
          </w:p>
        </w:tc>
        <w:tc>
          <w:tcPr>
            <w:tcW w:w="1134" w:type="dxa"/>
          </w:tcPr>
          <w:p>
            <w:pPr>
              <w:pStyle w:val="nTable"/>
              <w:spacing w:after="40"/>
            </w:pPr>
            <w:r>
              <w:t>90 of 1987</w:t>
            </w:r>
          </w:p>
        </w:tc>
        <w:tc>
          <w:tcPr>
            <w:tcW w:w="1134" w:type="dxa"/>
          </w:tcPr>
          <w:p>
            <w:pPr>
              <w:pStyle w:val="nTable"/>
              <w:spacing w:after="40"/>
            </w:pPr>
            <w:r>
              <w:t>9 Dec 1987</w:t>
            </w:r>
          </w:p>
        </w:tc>
        <w:tc>
          <w:tcPr>
            <w:tcW w:w="2552" w:type="dxa"/>
          </w:tcPr>
          <w:p>
            <w:pPr>
              <w:pStyle w:val="nTable"/>
              <w:spacing w:after="40"/>
            </w:pPr>
            <w:r>
              <w:t>Act other than s. 6: 14 Feb 1983 (see s. 2(1));</w:t>
            </w:r>
            <w:r>
              <w:br/>
              <w:t>s. 6: 9 Dec 1987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(Petroleum) Act 1990</w:t>
            </w:r>
            <w:r>
              <w:t xml:space="preserve"> Pt. II</w:t>
            </w:r>
            <w:r>
              <w:rPr>
                <w:vertAlign w:val="superscript"/>
              </w:rPr>
              <w:t> 7</w:t>
            </w:r>
            <w:r>
              <w:rPr>
                <w:vertAlign w:val="superscript"/>
              </w:rPr>
              <w:noBreakHyphen/>
              <w:t>13</w:t>
            </w:r>
          </w:p>
        </w:tc>
        <w:tc>
          <w:tcPr>
            <w:tcW w:w="1134" w:type="dxa"/>
          </w:tcPr>
          <w:p>
            <w:pPr>
              <w:pStyle w:val="nTable"/>
              <w:keepNext/>
              <w:spacing w:after="40"/>
            </w:pPr>
            <w:r>
              <w:t>12 of 1990</w:t>
            </w:r>
          </w:p>
        </w:tc>
        <w:tc>
          <w:tcPr>
            <w:tcW w:w="1134" w:type="dxa"/>
          </w:tcPr>
          <w:p>
            <w:pPr>
              <w:pStyle w:val="nTable"/>
              <w:keepNext/>
              <w:spacing w:after="40"/>
            </w:pPr>
            <w:r>
              <w:t>31 Jul 1990</w:t>
            </w:r>
          </w:p>
        </w:tc>
        <w:tc>
          <w:tcPr>
            <w:tcW w:w="2552" w:type="dxa"/>
          </w:tcPr>
          <w:p>
            <w:pPr>
              <w:pStyle w:val="nTable"/>
              <w:keepNext/>
              <w:spacing w:after="40"/>
            </w:pPr>
            <w:r>
              <w:t xml:space="preserve">1 Oct 1990 (see s. 2(1) and </w:t>
            </w:r>
            <w:r>
              <w:rPr>
                <w:i/>
              </w:rPr>
              <w:t>Gazette</w:t>
            </w:r>
            <w:r>
              <w:t xml:space="preserve"> 28 Sep 1990 p. 5099)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(Drilling Reservations) Amendment Act 1990</w:t>
            </w:r>
          </w:p>
        </w:tc>
        <w:tc>
          <w:tcPr>
            <w:tcW w:w="1134" w:type="dxa"/>
          </w:tcPr>
          <w:p>
            <w:pPr>
              <w:pStyle w:val="nTable"/>
              <w:spacing w:after="40"/>
            </w:pPr>
            <w:r>
              <w:t>78 of 1990</w:t>
            </w:r>
          </w:p>
        </w:tc>
        <w:tc>
          <w:tcPr>
            <w:tcW w:w="1134" w:type="dxa"/>
          </w:tcPr>
          <w:p>
            <w:pPr>
              <w:pStyle w:val="nTable"/>
              <w:spacing w:after="40"/>
            </w:pPr>
            <w:r>
              <w:t>22 Dec 1990</w:t>
            </w:r>
          </w:p>
        </w:tc>
        <w:tc>
          <w:tcPr>
            <w:tcW w:w="2552" w:type="dxa"/>
          </w:tcPr>
          <w:p>
            <w:pPr>
              <w:pStyle w:val="nTable"/>
              <w:spacing w:after="40"/>
            </w:pPr>
            <w:r>
              <w:t>s. 1 and 2: 22 Dec 1990;</w:t>
            </w:r>
            <w:r>
              <w:br/>
              <w:t xml:space="preserve">Act other than s. 1 and 2: 1 Mar 1991 (see s. 2 and </w:t>
            </w:r>
            <w:r>
              <w:rPr>
                <w:i/>
              </w:rPr>
              <w:t>Gazette</w:t>
            </w:r>
            <w:r>
              <w:t xml:space="preserve"> 22 Feb 1991 p. 868)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as at 17 Dec 1992</w:t>
            </w:r>
            <w:r>
              <w:t xml:space="preserve"> (erratum: </w:t>
            </w:r>
            <w:r>
              <w:rPr>
                <w:i/>
                <w:iCs/>
              </w:rPr>
              <w:t>Gazette</w:t>
            </w:r>
            <w:r>
              <w:t xml:space="preserve"> 26 Feb 1993 p. 1362)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Royalties Legislation Amendment Act 1994</w:t>
            </w:r>
            <w:r>
              <w:t xml:space="preserve"> Pt. 2</w:t>
            </w:r>
          </w:p>
        </w:tc>
        <w:tc>
          <w:tcPr>
            <w:tcW w:w="1134" w:type="dxa"/>
          </w:tcPr>
          <w:p>
            <w:pPr>
              <w:pStyle w:val="nTable"/>
              <w:spacing w:after="40"/>
            </w:pPr>
            <w:r>
              <w:t>11 of 1994</w:t>
            </w:r>
          </w:p>
        </w:tc>
        <w:tc>
          <w:tcPr>
            <w:tcW w:w="1134" w:type="dxa"/>
          </w:tcPr>
          <w:p>
            <w:pPr>
              <w:pStyle w:val="nTable"/>
              <w:spacing w:after="40"/>
            </w:pPr>
            <w:r>
              <w:t>15 Apr 1994</w:t>
            </w:r>
          </w:p>
        </w:tc>
        <w:tc>
          <w:tcPr>
            <w:tcW w:w="2552" w:type="dxa"/>
          </w:tcPr>
          <w:p>
            <w:pPr>
              <w:pStyle w:val="nTable"/>
              <w:spacing w:after="40"/>
            </w:pPr>
            <w:r>
              <w:t>1 Mar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(Petroleum) Act 1994</w:t>
            </w:r>
            <w:r>
              <w:t xml:space="preserve"> Pt. 3</w:t>
            </w:r>
            <w:r>
              <w:rPr>
                <w:vertAlign w:val="superscript"/>
              </w:rPr>
              <w:t> 14-16</w:t>
            </w:r>
          </w:p>
        </w:tc>
        <w:tc>
          <w:tcPr>
            <w:tcW w:w="1134" w:type="dxa"/>
          </w:tcPr>
          <w:p>
            <w:pPr>
              <w:pStyle w:val="nTable"/>
              <w:spacing w:after="40"/>
            </w:pPr>
            <w:r>
              <w:t>28 of 1994</w:t>
            </w:r>
          </w:p>
        </w:tc>
        <w:tc>
          <w:tcPr>
            <w:tcW w:w="1134" w:type="dxa"/>
          </w:tcPr>
          <w:p>
            <w:pPr>
              <w:pStyle w:val="nTable"/>
              <w:spacing w:after="40"/>
            </w:pPr>
            <w:r>
              <w:t>29 Jun 1994</w:t>
            </w:r>
          </w:p>
        </w:tc>
        <w:tc>
          <w:tcPr>
            <w:tcW w:w="2552" w:type="dxa"/>
          </w:tcPr>
          <w:p>
            <w:pPr>
              <w:pStyle w:val="nTable"/>
              <w:spacing w:after="40"/>
            </w:pPr>
            <w:r>
              <w:t xml:space="preserve">22 Jul 1994 (see s. 2 and </w:t>
            </w:r>
            <w:r>
              <w:rPr>
                <w:i/>
              </w:rPr>
              <w:t>Gazette</w:t>
            </w:r>
            <w:r>
              <w:t xml:space="preserve"> 22 Jul 1994 p. 3728)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7</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4</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49 and 68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t xml:space="preserve"> Pt. 4</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(Mining and Petroleum) Act 1999</w:t>
            </w:r>
            <w:r>
              <w:t xml:space="preserve"> Pt. 3</w:t>
            </w:r>
            <w:r>
              <w:rPr>
                <w:vertAlign w:val="superscript"/>
              </w:rPr>
              <w:t> 17, 18</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(Australian Datum) Act 2000</w:t>
            </w:r>
            <w:r>
              <w:t xml:space="preserve"> s. 7</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(No. 2) 2003</w:t>
            </w:r>
            <w:r>
              <w:t xml:space="preserve"> Pt. 15</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lastRenderedPageBreak/>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Courts</w:t>
            </w:r>
          </w:p>
          <w:p>
            <w:pPr>
              <w:pStyle w:val="nTable"/>
              <w:spacing w:after="40"/>
              <w:ind w:right="113"/>
              <w:rPr>
                <w:i/>
                <w:snapToGrid w:val="0"/>
              </w:rPr>
            </w:pPr>
            <w:r>
              <w:rPr>
                <w:i/>
              </w:rPr>
              <w:t xml:space="preserve"> Legislation Amendment and Repeal Act 2004</w:t>
            </w:r>
            <w: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vertAlign w:val="superscript"/>
              </w:rPr>
            </w:pPr>
            <w:r>
              <w:rPr>
                <w:i/>
                <w:iCs/>
              </w:rPr>
              <w:t>State Administrative Tribunal (Conferral of Jurisdiction) Amendment and Repeal Act 2004</w:t>
            </w:r>
            <w:r>
              <w:t xml:space="preserve"> Pt. 2 Div. 98</w:t>
            </w:r>
            <w:r>
              <w:rPr>
                <w:vertAlign w:val="superscript"/>
              </w:rPr>
              <w:t> 19</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rPr>
            </w:pPr>
            <w:r>
              <w:rPr>
                <w:i/>
                <w:snapToGrid w:val="0"/>
              </w:rPr>
              <w:t>Petroleum Legislation Amendment and Repeal Act 2005</w:t>
            </w:r>
            <w:r>
              <w:rPr>
                <w:iCs/>
                <w:snapToGrid w:val="0"/>
              </w:rPr>
              <w:t xml:space="preserve"> Pt. 2</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pPr>
            <w:r>
              <w:t xml:space="preserve">15 May 2010 (see s. 2 and </w:t>
            </w:r>
            <w:r>
              <w:rPr>
                <w:i/>
                <w:iCs/>
              </w:rPr>
              <w:t>Gazette</w:t>
            </w:r>
            <w:r>
              <w:t xml:space="preserve"> 14 May 2010 p. 2015)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pPr>
              <w:pStyle w:val="nTable"/>
              <w:spacing w:after="40"/>
            </w:pPr>
            <w:r>
              <w:t>35 of 2007</w:t>
            </w:r>
          </w:p>
        </w:tc>
        <w:tc>
          <w:tcPr>
            <w:tcW w:w="1134" w:type="dxa"/>
          </w:tcPr>
          <w:p>
            <w:pPr>
              <w:pStyle w:val="nTable"/>
              <w:spacing w:after="40"/>
            </w:pPr>
            <w:r>
              <w:t>21 Dec 2007</w:t>
            </w:r>
          </w:p>
        </w:tc>
        <w:tc>
          <w:tcPr>
            <w:tcW w:w="2552" w:type="dxa"/>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and the </w:t>
            </w:r>
            <w:r>
              <w:rPr>
                <w:i/>
                <w:iCs/>
              </w:rPr>
              <w:t>Petroleum Amendment Act 2007</w:t>
            </w:r>
            <w:r>
              <w:t xml:space="preserve"> Pt. 2 Div. 2) (correction: </w:t>
            </w:r>
            <w:r>
              <w:rPr>
                <w:i/>
                <w:iCs/>
              </w:rPr>
              <w:t>Gazette</w:t>
            </w:r>
            <w:r>
              <w:t xml:space="preserve"> 23 Jun 2009 p. 2470)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lastRenderedPageBreak/>
              <w:t>Petroleum and Energy Legislation Amendment Act 2010</w:t>
            </w:r>
            <w:r>
              <w:rPr>
                <w:snapToGrid w:val="0"/>
              </w:rPr>
              <w:t xml:space="preserve"> Pt. 2</w:t>
            </w:r>
          </w:p>
        </w:tc>
        <w:tc>
          <w:tcPr>
            <w:tcW w:w="1134" w:type="dxa"/>
          </w:tcPr>
          <w:p>
            <w:pPr>
              <w:pStyle w:val="nTable"/>
              <w:spacing w:after="40"/>
            </w:pPr>
            <w:r>
              <w:t>42 of 2010</w:t>
            </w:r>
          </w:p>
        </w:tc>
        <w:tc>
          <w:tcPr>
            <w:tcW w:w="1134" w:type="dxa"/>
          </w:tcPr>
          <w:p>
            <w:pPr>
              <w:pStyle w:val="nTable"/>
              <w:spacing w:after="40"/>
            </w:pPr>
            <w:r>
              <w:t>28 Oct 2010</w:t>
            </w:r>
          </w:p>
        </w:tc>
        <w:tc>
          <w:tcPr>
            <w:tcW w:w="2552" w:type="dxa"/>
          </w:tcPr>
          <w:p>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2" w:type="dxa"/>
          </w:tcPr>
          <w:p>
            <w:pPr>
              <w:pStyle w:val="nTable"/>
              <w:spacing w:after="40"/>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Legislation Amendment Act 2017</w:t>
            </w:r>
            <w:r>
              <w:rPr>
                <w:snapToGrid w:val="0"/>
              </w:rPr>
              <w:t xml:space="preserve"> Pt. 2</w:t>
            </w:r>
          </w:p>
        </w:tc>
        <w:tc>
          <w:tcPr>
            <w:tcW w:w="1134" w:type="dxa"/>
            <w:shd w:val="clear" w:color="auto" w:fill="auto"/>
          </w:tcPr>
          <w:p>
            <w:pPr>
              <w:pStyle w:val="nTable"/>
              <w:spacing w:after="40"/>
              <w:rPr>
                <w:snapToGrid w:val="0"/>
              </w:rPr>
            </w:pPr>
            <w:r>
              <w:t>7 of 2017</w:t>
            </w:r>
          </w:p>
        </w:tc>
        <w:tc>
          <w:tcPr>
            <w:tcW w:w="1134" w:type="dxa"/>
            <w:shd w:val="clear" w:color="auto" w:fill="auto"/>
          </w:tcPr>
          <w:p>
            <w:pPr>
              <w:pStyle w:val="nTable"/>
              <w:spacing w:after="40"/>
              <w:rPr>
                <w:snapToGrid w:val="0"/>
              </w:rPr>
            </w:pPr>
            <w:r>
              <w:t>14 Sep 2017</w:t>
            </w:r>
          </w:p>
        </w:tc>
        <w:tc>
          <w:tcPr>
            <w:tcW w:w="2552" w:type="dxa"/>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trPr>
          <w:cantSplit/>
        </w:trPr>
        <w:tc>
          <w:tcPr>
            <w:tcW w:w="2268" w:type="dxa"/>
            <w:tcBorders>
              <w:top w:val="nil"/>
              <w:bottom w:val="nil"/>
            </w:tcBorders>
            <w:shd w:val="clear" w:color="auto" w:fill="auto"/>
          </w:tcPr>
          <w:p>
            <w:pPr>
              <w:pStyle w:val="nTable"/>
              <w:spacing w:after="40"/>
              <w:ind w:right="113"/>
              <w:rPr>
                <w:i/>
                <w:snapToGrid w:val="0"/>
              </w:rPr>
            </w:pPr>
            <w:r>
              <w:rPr>
                <w:i/>
              </w:rPr>
              <w:t>Work Health and Safety Act 2020</w:t>
            </w:r>
            <w:r>
              <w:t xml:space="preserve"> Pt. 15 Div. 3 Subdiv. 1</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rPr>
                <w:snapToGrid w:val="0"/>
              </w:rPr>
            </w:pPr>
            <w:r>
              <w:t>31 Mar 2022 (see s. 2(1)(c) and SL 2022/18 cl.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
              </w:rPr>
            </w:pPr>
            <w:r>
              <w:rPr>
                <w:i/>
                <w:snapToGrid w:val="0"/>
              </w:rPr>
              <w:t>Land and Public Works Legislation Amendment Act 2023</w:t>
            </w:r>
            <w:r>
              <w:rPr>
                <w:snapToGrid w:val="0"/>
              </w:rPr>
              <w:t xml:space="preserve"> Pt. 4 Div. 10</w:t>
            </w:r>
          </w:p>
        </w:tc>
        <w:tc>
          <w:tcPr>
            <w:tcW w:w="1134" w:type="dxa"/>
            <w:tcBorders>
              <w:bottom w:val="single" w:sz="4" w:space="0" w:color="auto"/>
            </w:tcBorders>
            <w:shd w:val="clear" w:color="auto" w:fill="auto"/>
          </w:tcPr>
          <w:p>
            <w:pPr>
              <w:pStyle w:val="nTable"/>
              <w:spacing w:after="40"/>
            </w:pPr>
            <w:r>
              <w:t>4 of 2023</w:t>
            </w:r>
          </w:p>
        </w:tc>
        <w:tc>
          <w:tcPr>
            <w:tcW w:w="1134" w:type="dxa"/>
            <w:tcBorders>
              <w:bottom w:val="single" w:sz="4" w:space="0" w:color="auto"/>
            </w:tcBorders>
            <w:shd w:val="clear" w:color="auto" w:fill="auto"/>
          </w:tcPr>
          <w:p>
            <w:pPr>
              <w:pStyle w:val="nTable"/>
              <w:spacing w:after="40"/>
            </w:pPr>
            <w:r>
              <w:t>24 Mar 2023</w:t>
            </w:r>
          </w:p>
        </w:tc>
        <w:tc>
          <w:tcPr>
            <w:tcW w:w="2552" w:type="dxa"/>
            <w:tcBorders>
              <w:bottom w:val="single" w:sz="4" w:space="0" w:color="auto"/>
            </w:tcBorders>
            <w:shd w:val="clear" w:color="auto" w:fill="auto"/>
          </w:tcPr>
          <w:p>
            <w:pPr>
              <w:pStyle w:val="nTable"/>
              <w:spacing w:after="40"/>
            </w:pPr>
            <w:r>
              <w:t>10 Aug 2023 (see s. 2(b) and SL 2023/132 cl. 2)</w:t>
            </w:r>
          </w:p>
        </w:tc>
      </w:tr>
    </w:tbl>
    <w:p>
      <w:pPr>
        <w:pStyle w:val="nHeading3"/>
      </w:pPr>
      <w:bookmarkStart w:id="291" w:name="_Toc166680870"/>
      <w:r>
        <w:lastRenderedPageBreak/>
        <w:t>Uncommenced provisions table</w:t>
      </w:r>
      <w:bookmarkEnd w:id="29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
                <w:vertAlign w:val="superscript"/>
              </w:rPr>
            </w:pPr>
            <w:r>
              <w:rPr>
                <w:i/>
                <w:snapToGrid w:val="0"/>
              </w:rPr>
              <w:t>Native Title (State Provisions) Act 1999</w:t>
            </w:r>
            <w:r>
              <w:rPr>
                <w:snapToGrid w:val="0"/>
              </w:rPr>
              <w:t xml:space="preserve"> Sch. 2 Div. 7</w:t>
            </w:r>
          </w:p>
        </w:tc>
        <w:tc>
          <w:tcPr>
            <w:tcW w:w="1134" w:type="dxa"/>
            <w:tcBorders>
              <w:top w:val="single" w:sz="8" w:space="0" w:color="auto"/>
            </w:tcBorders>
            <w:shd w:val="clear" w:color="auto" w:fill="auto"/>
          </w:tcPr>
          <w:p>
            <w:pPr>
              <w:pStyle w:val="nTable"/>
              <w:spacing w:after="40"/>
            </w:pPr>
            <w:r>
              <w:t>60 of 1999</w:t>
            </w:r>
          </w:p>
        </w:tc>
        <w:tc>
          <w:tcPr>
            <w:tcW w:w="1134" w:type="dxa"/>
            <w:tcBorders>
              <w:top w:val="single" w:sz="8" w:space="0" w:color="auto"/>
            </w:tcBorders>
            <w:shd w:val="clear" w:color="auto" w:fill="auto"/>
          </w:tcPr>
          <w:p>
            <w:pPr>
              <w:pStyle w:val="nTable"/>
              <w:spacing w:after="40"/>
            </w:pPr>
            <w:r>
              <w:t>10 Jan 2000</w:t>
            </w:r>
          </w:p>
        </w:tc>
        <w:tc>
          <w:tcPr>
            <w:tcW w:w="2552" w:type="dxa"/>
            <w:tcBorders>
              <w:top w:val="single" w:sz="8" w:space="0" w:color="auto"/>
            </w:tcBorders>
            <w:shd w:val="clear" w:color="auto" w:fill="auto"/>
          </w:tcPr>
          <w:p>
            <w:pPr>
              <w:pStyle w:val="nTable"/>
              <w:spacing w:after="40"/>
            </w:pPr>
            <w:r>
              <w:t>s. 7.3 operative on earliest of commencement of Pt. 2 (except s. 2.2), Pt. 3 (except s. 3.1) and Pt. 4</w:t>
            </w:r>
          </w:p>
        </w:tc>
      </w:tr>
      <w:tr>
        <w:trPr>
          <w:cantSplit/>
        </w:trPr>
        <w:tc>
          <w:tcPr>
            <w:tcW w:w="2268" w:type="dxa"/>
            <w:tcBorders>
              <w:bottom w:val="single" w:sz="4" w:space="0" w:color="auto"/>
            </w:tcBorders>
            <w:shd w:val="clear" w:color="auto" w:fill="auto"/>
          </w:tcPr>
          <w:p>
            <w:pPr>
              <w:pStyle w:val="nTable"/>
              <w:spacing w:after="40"/>
              <w:rPr>
                <w:iCs/>
                <w:snapToGrid w:val="0"/>
              </w:rPr>
            </w:pPr>
            <w:r>
              <w:rPr>
                <w:i/>
                <w:snapToGrid w:val="0"/>
              </w:rPr>
              <w:t xml:space="preserve">Petroleum Legislation Amendment Act 2024 </w:t>
            </w:r>
            <w:r>
              <w:rPr>
                <w:iCs/>
                <w:snapToGrid w:val="0"/>
              </w:rPr>
              <w:t>Pt. 2</w:t>
            </w:r>
          </w:p>
        </w:tc>
        <w:tc>
          <w:tcPr>
            <w:tcW w:w="1134" w:type="dxa"/>
            <w:tcBorders>
              <w:bottom w:val="single" w:sz="4" w:space="0" w:color="auto"/>
            </w:tcBorders>
            <w:shd w:val="clear" w:color="auto" w:fill="auto"/>
          </w:tcPr>
          <w:p>
            <w:pPr>
              <w:pStyle w:val="nTable"/>
              <w:spacing w:after="40"/>
            </w:pPr>
            <w:r>
              <w:t>17 of 2024</w:t>
            </w:r>
          </w:p>
        </w:tc>
        <w:tc>
          <w:tcPr>
            <w:tcW w:w="1134" w:type="dxa"/>
            <w:tcBorders>
              <w:bottom w:val="single" w:sz="4" w:space="0" w:color="auto"/>
            </w:tcBorders>
            <w:shd w:val="clear" w:color="auto" w:fill="auto"/>
          </w:tcPr>
          <w:p>
            <w:pPr>
              <w:pStyle w:val="nTable"/>
              <w:spacing w:after="40"/>
            </w:pPr>
            <w:r>
              <w:t>14 May 2024</w:t>
            </w:r>
          </w:p>
        </w:tc>
        <w:tc>
          <w:tcPr>
            <w:tcW w:w="2552" w:type="dxa"/>
            <w:tcBorders>
              <w:bottom w:val="single" w:sz="4" w:space="0" w:color="auto"/>
            </w:tcBorders>
            <w:shd w:val="clear" w:color="auto" w:fill="auto"/>
          </w:tcPr>
          <w:p>
            <w:pPr>
              <w:pStyle w:val="nTable"/>
              <w:spacing w:after="40"/>
            </w:pPr>
            <w:r>
              <w:t>To be proclaimed (see s. 2(b))</w:t>
            </w:r>
          </w:p>
        </w:tc>
      </w:tr>
    </w:tbl>
    <w:p>
      <w:pPr>
        <w:pStyle w:val="nHeading3"/>
      </w:pPr>
      <w:bookmarkStart w:id="292" w:name="_Toc166680871"/>
      <w:r>
        <w:t>Other notes</w:t>
      </w:r>
      <w:bookmarkEnd w:id="292"/>
    </w:p>
    <w:p>
      <w:pPr>
        <w:pStyle w:val="nNote"/>
        <w:spacing w:before="160"/>
        <w:rPr>
          <w:snapToGrid w:val="0"/>
        </w:rPr>
      </w:pPr>
      <w:r>
        <w:rPr>
          <w:snapToGrid w:val="0"/>
          <w:vertAlign w:val="superscript"/>
        </w:rPr>
        <w:t>1</w:t>
      </w:r>
      <w:r>
        <w:rPr>
          <w:snapToGrid w:val="0"/>
        </w:rPr>
        <w:tab/>
        <w:t xml:space="preserve">The </w:t>
      </w:r>
      <w:r>
        <w:rPr>
          <w:i/>
        </w:rPr>
        <w:t>Petroleum Act 1936</w:t>
      </w:r>
      <w:r>
        <w:rPr>
          <w:snapToGrid w:val="0"/>
        </w:rPr>
        <w:t xml:space="preserve"> was repealed by this Act, s. 3.</w:t>
      </w:r>
    </w:p>
    <w:p>
      <w:pPr>
        <w:pStyle w:val="nNote"/>
        <w:rPr>
          <w:snapToGrid w:val="0"/>
        </w:rPr>
      </w:pPr>
      <w:r>
        <w:rPr>
          <w:snapToGrid w:val="0"/>
          <w:vertAlign w:val="superscript"/>
        </w:rPr>
        <w:t>2</w:t>
      </w:r>
      <w:r>
        <w:rPr>
          <w:snapToGrid w:val="0"/>
        </w:rPr>
        <w:tab/>
        <w:t xml:space="preserve">The </w:t>
      </w:r>
      <w:r>
        <w:rPr>
          <w:i/>
          <w:snapToGrid w:val="0"/>
        </w:rPr>
        <w:t>Interpretation Act 1918</w:t>
      </w:r>
      <w:r>
        <w:rPr>
          <w:snapToGrid w:val="0"/>
        </w:rPr>
        <w:t xml:space="preserve"> 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Note"/>
        <w:rPr>
          <w:iCs/>
        </w:rPr>
      </w:pPr>
      <w:r>
        <w:rPr>
          <w:vertAlign w:val="superscript"/>
        </w:rPr>
        <w:t>4</w:t>
      </w:r>
      <w:r>
        <w:tab/>
        <w:t xml:space="preserve">Now known as the </w:t>
      </w:r>
      <w:r>
        <w:rPr>
          <w:i/>
          <w:noProof/>
          <w:snapToGrid w:val="0"/>
        </w:rPr>
        <w:t>Petroleum and Geothermal Energy Resources Act 1967</w:t>
      </w:r>
      <w:r>
        <w:rPr>
          <w:noProof/>
          <w:snapToGrid w:val="0"/>
        </w:rPr>
        <w:t>; short title changed</w:t>
      </w:r>
      <w:r>
        <w:rPr>
          <w:iCs/>
          <w:noProof/>
          <w:snapToGrid w:val="0"/>
        </w:rPr>
        <w:t xml:space="preserve"> (see note under s. 1).</w:t>
      </w:r>
    </w:p>
    <w:p>
      <w:pPr>
        <w:pStyle w:val="nNote"/>
        <w:rPr>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Note"/>
        <w:rPr>
          <w:snapToGrid w:val="0"/>
        </w:rPr>
      </w:pPr>
      <w:r>
        <w:rPr>
          <w:snapToGrid w:val="0"/>
          <w:vertAlign w:val="superscript"/>
        </w:rPr>
        <w:t>6</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Note"/>
        <w:keepNext/>
        <w:ind w:left="459" w:hanging="459"/>
        <w:rPr>
          <w:snapToGrid w:val="0"/>
        </w:rPr>
      </w:pPr>
      <w:r>
        <w:rPr>
          <w:snapToGrid w:val="0"/>
          <w:vertAlign w:val="superscript"/>
        </w:rPr>
        <w:t>7</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Note"/>
        <w:keepNext/>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lastRenderedPageBreak/>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keepNext/>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 xml:space="preserve">a lessee under a lease of a block or blocks for which a permit was granted before the commencement of this </w:t>
      </w:r>
      <w:r>
        <w:rPr>
          <w:snapToGrid w:val="0"/>
        </w:rPr>
        <w:lastRenderedPageBreak/>
        <w:t>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Note"/>
        <w:keepNext/>
        <w:keepLines/>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Note"/>
        <w:keepNext/>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lastRenderedPageBreak/>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lastRenderedPageBreak/>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keepNext/>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Note"/>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A direction in force under section 95 of the principal Act immediately before the commencement of this section shall, after </w:t>
      </w:r>
      <w:r>
        <w:rPr>
          <w:snapToGrid w:val="0"/>
        </w:rPr>
        <w:lastRenderedPageBreak/>
        <w:t>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Note"/>
        <w:keepNext/>
        <w:keepLines/>
        <w:rPr>
          <w:snapToGrid w:val="0"/>
        </w:rPr>
      </w:pPr>
      <w:r>
        <w:rPr>
          <w:snapToGrid w:val="0"/>
          <w:vertAlign w:val="superscript"/>
        </w:rPr>
        <w:t>14</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keepNext/>
        <w:keepLines/>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Note"/>
        <w:keepNext/>
        <w:rPr>
          <w:snapToGrid w:val="0"/>
        </w:rPr>
      </w:pPr>
      <w:r>
        <w:rPr>
          <w:snapToGrid w:val="0"/>
          <w:vertAlign w:val="superscript"/>
        </w:rPr>
        <w:lastRenderedPageBreak/>
        <w:t>15</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Note"/>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Note"/>
        <w:keepNext/>
        <w:keepLines/>
      </w:pPr>
      <w:r>
        <w:rPr>
          <w:snapToGrid w:val="0"/>
          <w:vertAlign w:val="superscript"/>
        </w:rPr>
        <w:t>17</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r>
      <w:r>
        <w:rPr>
          <w:b/>
          <w:i/>
          <w:iCs/>
        </w:rPr>
        <w:t>Barrow Island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Note"/>
      </w:pPr>
      <w:r>
        <w:rPr>
          <w:vertAlign w:val="superscript"/>
        </w:rPr>
        <w:t>18</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Note"/>
        <w:rPr>
          <w:iCs/>
        </w:rPr>
      </w:pPr>
      <w:r>
        <w:rPr>
          <w:vertAlign w:val="superscript"/>
        </w:rPr>
        <w:t>19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94" w:name="_Toc166678905"/>
      <w:bookmarkStart w:id="295" w:name="_Toc166679309"/>
      <w:bookmarkStart w:id="296" w:name="_Toc166680872"/>
      <w:r>
        <w:rPr>
          <w:sz w:val="28"/>
        </w:rPr>
        <w:lastRenderedPageBreak/>
        <w:t>Defined terms</w:t>
      </w:r>
      <w:bookmarkEnd w:id="294"/>
      <w:bookmarkEnd w:id="295"/>
      <w:bookmarkEnd w:id="2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5(1)</w:t>
      </w:r>
    </w:p>
    <w:p>
      <w:pPr>
        <w:pStyle w:val="DefinedTerms"/>
      </w:pPr>
      <w:r>
        <w:t>access authority area</w:t>
      </w:r>
      <w:r>
        <w:tab/>
        <w:t>7A(2), 7B(2)</w:t>
      </w:r>
    </w:p>
    <w:p>
      <w:pPr>
        <w:pStyle w:val="DefinedTerms"/>
      </w:pPr>
      <w:r>
        <w:t>affected area</w:t>
      </w:r>
      <w:r>
        <w:tab/>
        <w:t>6A(3)</w:t>
      </w:r>
    </w:p>
    <w:p>
      <w:pPr>
        <w:pStyle w:val="DefinedTerms"/>
      </w:pPr>
      <w:r>
        <w:t>affected lessee</w:t>
      </w:r>
      <w:r>
        <w:tab/>
        <w:t>24(1)</w:t>
      </w:r>
    </w:p>
    <w:p>
      <w:pPr>
        <w:pStyle w:val="DefinedTerms"/>
      </w:pPr>
      <w:r>
        <w:t>amending Act</w:t>
      </w:r>
      <w:r>
        <w:tab/>
        <w:t>154(3), Sch. 2 cl. 1</w:t>
      </w:r>
    </w:p>
    <w:p>
      <w:pPr>
        <w:pStyle w:val="DefinedTerms"/>
      </w:pPr>
      <w:r>
        <w:t>applicable document</w:t>
      </w:r>
      <w:r>
        <w:tab/>
        <w:t>150A</w:t>
      </w:r>
    </w:p>
    <w:p>
      <w:pPr>
        <w:pStyle w:val="DefinedTerms"/>
      </w:pPr>
      <w:r>
        <w:t>application for a primary licence</w:t>
      </w:r>
      <w:r>
        <w:tab/>
        <w:t>5(1)</w:t>
      </w:r>
    </w:p>
    <w:p>
      <w:pPr>
        <w:pStyle w:val="DefinedTerms"/>
      </w:pPr>
      <w:r>
        <w:t>application for a secondary licence</w:t>
      </w:r>
      <w:r>
        <w:tab/>
        <w:t>5(1)</w:t>
      </w:r>
    </w:p>
    <w:p>
      <w:pPr>
        <w:pStyle w:val="DefinedTerms"/>
      </w:pPr>
      <w:r>
        <w:t>apportionment provision</w:t>
      </w:r>
      <w:r>
        <w:tab/>
        <w:t>7B(8) and (12)</w:t>
      </w:r>
    </w:p>
    <w:p>
      <w:pPr>
        <w:pStyle w:val="DefinedTerms"/>
      </w:pPr>
      <w:r>
        <w:t>approved</w:t>
      </w:r>
      <w:r>
        <w:tab/>
        <w:t>5(1)</w:t>
      </w:r>
    </w:p>
    <w:p>
      <w:pPr>
        <w:pStyle w:val="DefinedTerms"/>
      </w:pPr>
      <w:r>
        <w:t>approved development plan</w:t>
      </w:r>
      <w:r>
        <w:tab/>
        <w:t>5(1)</w:t>
      </w:r>
    </w:p>
    <w:p>
      <w:pPr>
        <w:pStyle w:val="DefinedTerms"/>
      </w:pPr>
      <w:r>
        <w:t>area to which the surrender relates</w:t>
      </w:r>
      <w:r>
        <w:tab/>
        <w:t>98(5)</w:t>
      </w:r>
    </w:p>
    <w:p>
      <w:pPr>
        <w:pStyle w:val="DefinedTerms"/>
      </w:pPr>
      <w:r>
        <w:t>Australian/New Zealand Standard</w:t>
      </w:r>
      <w:r>
        <w:tab/>
        <w:t>126A(4)</w:t>
      </w:r>
    </w:p>
    <w:p>
      <w:pPr>
        <w:pStyle w:val="DefinedTerms"/>
      </w:pPr>
      <w:r>
        <w:t>Australian Standard</w:t>
      </w:r>
      <w:r>
        <w:tab/>
        <w:t>126A(4)</w:t>
      </w:r>
    </w:p>
    <w:p>
      <w:pPr>
        <w:pStyle w:val="DefinedTerms"/>
      </w:pPr>
      <w:r>
        <w:t>authorisation</w:t>
      </w:r>
      <w:r>
        <w:tab/>
        <w:t>24A(3)</w:t>
      </w:r>
    </w:p>
    <w:p>
      <w:pPr>
        <w:pStyle w:val="DefinedTerms"/>
      </w:pPr>
      <w:r>
        <w:t>Barrow Island lease</w:t>
      </w:r>
      <w:r>
        <w:tab/>
        <w:t>5(1), 128</w:t>
      </w:r>
    </w:p>
    <w:p>
      <w:pPr>
        <w:pStyle w:val="DefinedTerms"/>
      </w:pPr>
      <w:r>
        <w:t>block</w:t>
      </w:r>
      <w:r>
        <w:tab/>
        <w:t>5(1)</w:t>
      </w:r>
    </w:p>
    <w:p>
      <w:pPr>
        <w:pStyle w:val="DefinedTerms"/>
      </w:pPr>
      <w:r>
        <w:t>boundary-change permit</w:t>
      </w:r>
      <w:r>
        <w:tab/>
        <w:t>5(1)</w:t>
      </w:r>
    </w:p>
    <w:p>
      <w:pPr>
        <w:pStyle w:val="DefinedTerms"/>
      </w:pPr>
      <w:r>
        <w:t>CEO</w:t>
      </w:r>
      <w:r>
        <w:tab/>
        <w:t>126A(4)</w:t>
      </w:r>
    </w:p>
    <w:p>
      <w:pPr>
        <w:pStyle w:val="DefinedTerms"/>
      </w:pPr>
      <w:r>
        <w:t>charge</w:t>
      </w:r>
      <w:r>
        <w:tab/>
        <w:t>75(15)</w:t>
      </w:r>
    </w:p>
    <w:p>
      <w:pPr>
        <w:pStyle w:val="DefinedTerms"/>
      </w:pPr>
      <w:r>
        <w:t>commencement</w:t>
      </w:r>
      <w:r>
        <w:tab/>
        <w:t>150A</w:t>
      </w:r>
    </w:p>
    <w:p>
      <w:pPr>
        <w:pStyle w:val="DefinedTerms"/>
      </w:pPr>
      <w:r>
        <w:t>commencement day</w:t>
      </w:r>
      <w:r>
        <w:tab/>
        <w:t>41(9), 42A(1), 56(9)</w:t>
      </w:r>
    </w:p>
    <w:p>
      <w:pPr>
        <w:pStyle w:val="DefinedTerms"/>
      </w:pPr>
      <w:r>
        <w:t>commencing day</w:t>
      </w:r>
      <w:r>
        <w:tab/>
        <w:t>128</w:t>
      </w:r>
    </w:p>
    <w:p>
      <w:pPr>
        <w:pStyle w:val="DefinedTerms"/>
      </w:pPr>
      <w:r>
        <w:t>Commonwealth Act</w:t>
      </w:r>
      <w:r>
        <w:tab/>
        <w:t>5(1)</w:t>
      </w:r>
    </w:p>
    <w:p>
      <w:pPr>
        <w:pStyle w:val="DefinedTerms"/>
      </w:pPr>
      <w:r>
        <w:t>Commonwealth instrument</w:t>
      </w:r>
      <w:r>
        <w:tab/>
        <w:t>6A(1)</w:t>
      </w:r>
    </w:p>
    <w:p>
      <w:pPr>
        <w:pStyle w:val="DefinedTerms"/>
      </w:pPr>
      <w:r>
        <w:t>Commonwealth lease</w:t>
      </w:r>
      <w:r>
        <w:tab/>
        <w:t>5(1)</w:t>
      </w:r>
    </w:p>
    <w:p>
      <w:pPr>
        <w:pStyle w:val="DefinedTerms"/>
      </w:pPr>
      <w:r>
        <w:t>Commonwealth licence</w:t>
      </w:r>
      <w:r>
        <w:tab/>
        <w:t>5(1)</w:t>
      </w:r>
    </w:p>
    <w:p>
      <w:pPr>
        <w:pStyle w:val="DefinedTerms"/>
      </w:pPr>
      <w:r>
        <w:t>Commonwealth permit</w:t>
      </w:r>
      <w:r>
        <w:tab/>
        <w:t>5(1)</w:t>
      </w:r>
    </w:p>
    <w:p>
      <w:pPr>
        <w:pStyle w:val="DefinedTerms"/>
      </w:pPr>
      <w:r>
        <w:t>Commonwealth title</w:t>
      </w:r>
      <w:r>
        <w:tab/>
        <w:t>97A(1)</w:t>
      </w:r>
    </w:p>
    <w:p>
      <w:pPr>
        <w:pStyle w:val="DefinedTerms"/>
      </w:pPr>
      <w:r>
        <w:t>compensable lessee</w:t>
      </w:r>
      <w:r>
        <w:tab/>
        <w:t>21(1)</w:t>
      </w:r>
    </w:p>
    <w:p>
      <w:pPr>
        <w:pStyle w:val="DefinedTerms"/>
      </w:pPr>
      <w:r>
        <w:t>construct</w:t>
      </w:r>
      <w:r>
        <w:tab/>
        <w:t>3(1)</w:t>
      </w:r>
    </w:p>
    <w:p>
      <w:pPr>
        <w:pStyle w:val="DefinedTerms"/>
      </w:pPr>
      <w:r>
        <w:t>construction</w:t>
      </w:r>
      <w:r>
        <w:tab/>
        <w:t>5(1)</w:t>
      </w:r>
    </w:p>
    <w:p>
      <w:pPr>
        <w:pStyle w:val="DefinedTerms"/>
      </w:pPr>
      <w:r>
        <w:t>court</w:t>
      </w:r>
      <w:r>
        <w:tab/>
        <w:t>125(2)</w:t>
      </w:r>
    </w:p>
    <w:p>
      <w:pPr>
        <w:pStyle w:val="DefinedTerms"/>
      </w:pPr>
      <w:r>
        <w:t>Crown land</w:t>
      </w:r>
      <w:r>
        <w:tab/>
        <w:t>5(1)</w:t>
      </w:r>
    </w:p>
    <w:p>
      <w:pPr>
        <w:pStyle w:val="DefinedTerms"/>
      </w:pPr>
      <w:r>
        <w:t>dealing</w:t>
      </w:r>
      <w:r>
        <w:tab/>
        <w:t>68(10)</w:t>
      </w:r>
    </w:p>
    <w:p>
      <w:pPr>
        <w:pStyle w:val="DefinedTerms"/>
      </w:pPr>
      <w:r>
        <w:t>debenture</w:t>
      </w:r>
      <w:r>
        <w:tab/>
        <w:t>75(15)</w:t>
      </w:r>
    </w:p>
    <w:p>
      <w:pPr>
        <w:pStyle w:val="DefinedTerms"/>
      </w:pPr>
      <w:r>
        <w:t>diversification lease</w:t>
      </w:r>
      <w:r>
        <w:tab/>
        <w:t>5(1)</w:t>
      </w:r>
    </w:p>
    <w:p>
      <w:pPr>
        <w:pStyle w:val="DefinedTerms"/>
      </w:pPr>
      <w:r>
        <w:t>document</w:t>
      </w:r>
      <w:r>
        <w:tab/>
        <w:t>5(1)</w:t>
      </w:r>
    </w:p>
    <w:p>
      <w:pPr>
        <w:pStyle w:val="DefinedTerms"/>
      </w:pPr>
      <w:r>
        <w:t>documentary information</w:t>
      </w:r>
      <w:r>
        <w:tab/>
        <w:t>150A</w:t>
      </w:r>
    </w:p>
    <w:p>
      <w:pPr>
        <w:pStyle w:val="DefinedTerms"/>
      </w:pPr>
      <w:r>
        <w:lastRenderedPageBreak/>
        <w:t>drilling reservation</w:t>
      </w:r>
      <w:r>
        <w:tab/>
        <w:t>5(1)</w:t>
      </w:r>
    </w:p>
    <w:p>
      <w:pPr>
        <w:pStyle w:val="DefinedTerms"/>
      </w:pPr>
      <w:r>
        <w:t>drilling reservation application</w:t>
      </w:r>
      <w:r>
        <w:tab/>
        <w:t>43DA(1)</w:t>
      </w:r>
    </w:p>
    <w:p>
      <w:pPr>
        <w:pStyle w:val="DefinedTerms"/>
      </w:pPr>
      <w:r>
        <w:t>exclusion zone</w:t>
      </w:r>
      <w:r>
        <w:tab/>
        <w:t>112A(1)</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fixed-term WA petroleum production licence</w:t>
      </w:r>
      <w:r>
        <w:tab/>
        <w:t>97A(1)</w:t>
      </w:r>
    </w:p>
    <w:p>
      <w:pPr>
        <w:pStyle w:val="DefinedTerms"/>
      </w:pPr>
      <w:r>
        <w:t>former area</w:t>
      </w:r>
      <w:r>
        <w:tab/>
        <w:t>133(2)</w:t>
      </w:r>
    </w:p>
    <w:p>
      <w:pPr>
        <w:pStyle w:val="DefinedTerms"/>
      </w:pPr>
      <w:r>
        <w:t>former provisions</w:t>
      </w:r>
      <w:r>
        <w:tab/>
        <w:t>128</w:t>
      </w:r>
    </w:p>
    <w:p>
      <w:pPr>
        <w:pStyle w:val="DefinedTerms"/>
      </w:pPr>
      <w:r>
        <w:t>Gazettal day</w:t>
      </w:r>
      <w:r>
        <w:tab/>
        <w:t>154(1)</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oil-field practice</w:t>
      </w:r>
      <w:r>
        <w:tab/>
        <w:t>3(1)</w:t>
      </w:r>
    </w:p>
    <w:p>
      <w:pPr>
        <w:pStyle w:val="DefinedTerms"/>
      </w:pPr>
      <w:r>
        <w:t>granted</w:t>
      </w:r>
      <w:r>
        <w:tab/>
        <w:t>5(1)</w:t>
      </w:r>
    </w:p>
    <w:p>
      <w:pPr>
        <w:pStyle w:val="DefinedTerms"/>
      </w:pPr>
      <w:r>
        <w:t>graticular section</w:t>
      </w:r>
      <w:r>
        <w:tab/>
        <w:t>5(1)</w:t>
      </w:r>
    </w:p>
    <w:p>
      <w:pPr>
        <w:pStyle w:val="DefinedTerms"/>
      </w:pPr>
      <w:r>
        <w:t>holder</w:t>
      </w:r>
      <w:r>
        <w:tab/>
        <w:t>91B(1)</w:t>
      </w:r>
    </w:p>
    <w:p>
      <w:pPr>
        <w:pStyle w:val="DefinedTerms"/>
      </w:pPr>
      <w:r>
        <w:t>holder of a drilling reservation</w:t>
      </w:r>
      <w:r>
        <w:tab/>
        <w:t>5(1)</w:t>
      </w:r>
    </w:p>
    <w:p>
      <w:pPr>
        <w:pStyle w:val="DefinedTerms"/>
      </w:pPr>
      <w:r>
        <w:t>inshore area</w:t>
      </w:r>
      <w:r>
        <w:tab/>
        <w:t>6A</w:t>
      </w:r>
    </w:p>
    <w:p>
      <w:pPr>
        <w:pStyle w:val="DefinedTerms"/>
      </w:pPr>
      <w:r>
        <w:t>inspector</w:t>
      </w:r>
      <w:r>
        <w:tab/>
        <w:t>5(1)</w:t>
      </w:r>
    </w:p>
    <w:p>
      <w:pPr>
        <w:pStyle w:val="DefinedTerms"/>
      </w:pPr>
      <w:r>
        <w:t>Joint Authority</w:t>
      </w:r>
      <w:r>
        <w:tab/>
        <w:t>7B(7), 69(1A)</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location</w:t>
      </w:r>
      <w:r>
        <w:tab/>
        <w:t>5(1)</w:t>
      </w:r>
    </w:p>
    <w:p>
      <w:pPr>
        <w:pStyle w:val="DefinedTerms"/>
      </w:pPr>
      <w:r>
        <w:t>marine reserve</w:t>
      </w:r>
      <w:r>
        <w:tab/>
        <w:t>28A(3)</w:t>
      </w:r>
    </w:p>
    <w:p>
      <w:pPr>
        <w:pStyle w:val="DefinedTerms"/>
      </w:pPr>
      <w:r>
        <w:t>mining sample</w:t>
      </w:r>
      <w:r>
        <w:tab/>
        <w:t>150A</w:t>
      </w:r>
    </w:p>
    <w:p>
      <w:pPr>
        <w:pStyle w:val="DefinedTerms"/>
      </w:pPr>
      <w:r>
        <w:t>Minister of another jurisdiction</w:t>
      </w:r>
      <w:r>
        <w:tab/>
        <w:t>150A</w:t>
      </w:r>
    </w:p>
    <w:p>
      <w:pPr>
        <w:pStyle w:val="DefinedTerms"/>
      </w:pPr>
      <w:r>
        <w:lastRenderedPageBreak/>
        <w:t>native title holders</w:t>
      </w:r>
      <w:r>
        <w:tab/>
        <w:t>24A(3)</w:t>
      </w:r>
    </w:p>
    <w:p>
      <w:pPr>
        <w:pStyle w:val="DefinedTerms"/>
      </w:pPr>
      <w:r>
        <w:t>offshore area</w:t>
      </w:r>
      <w:r>
        <w:tab/>
        <w:t>5(1), 69(1A)</w:t>
      </w:r>
    </w:p>
    <w:p>
      <w:pPr>
        <w:pStyle w:val="DefinedTerms"/>
      </w:pPr>
      <w:r>
        <w:t>oil shale</w:t>
      </w:r>
      <w:r>
        <w:tab/>
        <w:t>5(1)</w:t>
      </w:r>
    </w:p>
    <w:p>
      <w:pPr>
        <w:pStyle w:val="DefinedTerms"/>
      </w:pPr>
      <w:r>
        <w:t>operations area</w:t>
      </w:r>
      <w:r>
        <w:tab/>
        <w:t>92(1)</w:t>
      </w:r>
    </w:p>
    <w:p>
      <w:pPr>
        <w:pStyle w:val="DefinedTerms"/>
      </w:pPr>
      <w:r>
        <w:t>operations to which this Division applies</w:t>
      </w:r>
      <w:r>
        <w:tab/>
        <w:t>128</w:t>
      </w:r>
    </w:p>
    <w:p>
      <w:pPr>
        <w:pStyle w:val="DefinedTerms"/>
      </w:pPr>
      <w:r>
        <w:t>operative day</w:t>
      </w:r>
      <w:r>
        <w:tab/>
        <w:t>154(5)</w:t>
      </w:r>
    </w:p>
    <w:p>
      <w:pPr>
        <w:pStyle w:val="DefinedTerms"/>
      </w:pPr>
      <w:r>
        <w:t>operator</w:t>
      </w:r>
      <w:r>
        <w:tab/>
        <w:t>5(1), 92(1)</w:t>
      </w:r>
    </w:p>
    <w:p>
      <w:pPr>
        <w:pStyle w:val="DefinedTerms"/>
      </w:pPr>
      <w:r>
        <w:t>original licence</w:t>
      </w:r>
      <w:r>
        <w:tab/>
        <w:t>61(1)</w:t>
      </w:r>
    </w:p>
    <w:p>
      <w:pPr>
        <w:pStyle w:val="DefinedTerms"/>
      </w:pPr>
      <w:r>
        <w:t>original permit</w:t>
      </w:r>
      <w:r>
        <w:tab/>
        <w:t>37A(1)</w:t>
      </w:r>
    </w:p>
    <w:p>
      <w:pPr>
        <w:pStyle w:val="DefinedTerms"/>
      </w:pPr>
      <w:r>
        <w:t>other area</w:t>
      </w:r>
      <w:r>
        <w:tab/>
        <w:t>7B(8) and (12)</w:t>
      </w:r>
    </w:p>
    <w:p>
      <w:pPr>
        <w:pStyle w:val="DefinedTerms"/>
      </w:pPr>
      <w:r>
        <w:t>partly cancelled</w:t>
      </w:r>
      <w:r>
        <w:tab/>
        <w:t>5(1)</w:t>
      </w:r>
    </w:p>
    <w:p>
      <w:pPr>
        <w:pStyle w:val="DefinedTerms"/>
      </w:pPr>
      <w:r>
        <w:t>partly determined</w:t>
      </w:r>
      <w:r>
        <w:tab/>
        <w:t>5</w:t>
      </w:r>
    </w:p>
    <w:p>
      <w:pPr>
        <w:pStyle w:val="DefinedTerms"/>
      </w:pPr>
      <w:r>
        <w:t>pastoral lease</w:t>
      </w:r>
      <w:r>
        <w:tab/>
        <w:t>5(1)</w:t>
      </w:r>
    </w:p>
    <w:p>
      <w:pPr>
        <w:pStyle w:val="DefinedTerms"/>
      </w:pPr>
      <w:r>
        <w:t>permit</w:t>
      </w:r>
      <w:r>
        <w:tab/>
        <w:t>5(1)</w:t>
      </w:r>
    </w:p>
    <w:p>
      <w:pPr>
        <w:pStyle w:val="DefinedTerms"/>
      </w:pPr>
      <w:r>
        <w:t>permit application</w:t>
      </w:r>
      <w:r>
        <w:tab/>
        <w:t>32(1A)</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97A(1), 106(13)</w:t>
      </w:r>
    </w:p>
    <w:p>
      <w:pPr>
        <w:pStyle w:val="DefinedTerms"/>
      </w:pPr>
      <w:r>
        <w:t>prescribed instrument</w:t>
      </w:r>
      <w:r>
        <w:tab/>
        <w:t>128</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regulation 3</w:t>
      </w:r>
      <w:r>
        <w:tab/>
        <w:t>Sch. 2 cl. 1</w:t>
      </w:r>
    </w:p>
    <w:p>
      <w:pPr>
        <w:pStyle w:val="DefinedTerms"/>
      </w:pPr>
      <w:r>
        <w:t>regulations</w:t>
      </w:r>
      <w:r>
        <w:tab/>
        <w:t>5(1)</w:t>
      </w:r>
    </w:p>
    <w:p>
      <w:pPr>
        <w:pStyle w:val="DefinedTerms"/>
      </w:pPr>
      <w:r>
        <w:t>relevant area</w:t>
      </w:r>
      <w:r>
        <w:tab/>
        <w:t>37B(2), 41(7), 48CD(2), 56(7), 61A(2), 97A(2)</w:t>
      </w:r>
    </w:p>
    <w:p>
      <w:pPr>
        <w:pStyle w:val="DefinedTerms"/>
      </w:pPr>
      <w:r>
        <w:t>relevant petroleum title</w:t>
      </w:r>
      <w:r>
        <w:tab/>
        <w:t>97A(5) and (6)</w:t>
      </w:r>
    </w:p>
    <w:p>
      <w:pPr>
        <w:pStyle w:val="DefinedTerms"/>
      </w:pPr>
      <w:r>
        <w:t>relevant section 27 blocks</w:t>
      </w:r>
      <w:r>
        <w:tab/>
        <w:t>37B(5) and (6), 48CD(2), 61A(2)</w:t>
      </w:r>
    </w:p>
    <w:p>
      <w:pPr>
        <w:pStyle w:val="DefinedTerms"/>
      </w:pPr>
      <w:r>
        <w:lastRenderedPageBreak/>
        <w:t>relevant time</w:t>
      </w:r>
      <w:r>
        <w:tab/>
        <w:t>37B(3) and (4), 48CD(3) and (4), 61A(3) and (4), 97A(3) and (4)</w:t>
      </w:r>
    </w:p>
    <w:p>
      <w:pPr>
        <w:pStyle w:val="DefinedTerms"/>
      </w:pPr>
      <w:r>
        <w:t>relinquished area</w:t>
      </w:r>
      <w:r>
        <w:tab/>
        <w:t>5(1)</w:t>
      </w:r>
    </w:p>
    <w:p>
      <w:pPr>
        <w:pStyle w:val="DefinedTerms"/>
      </w:pPr>
      <w:r>
        <w:t>reservoir</w:t>
      </w:r>
      <w:r>
        <w:tab/>
        <w:t>16(2)</w:t>
      </w:r>
    </w:p>
    <w:p>
      <w:pPr>
        <w:pStyle w:val="DefinedTerms"/>
      </w:pPr>
      <w:r>
        <w:t>royalty period</w:t>
      </w:r>
      <w:r>
        <w:tab/>
        <w:t>5(1)</w:t>
      </w:r>
    </w:p>
    <w:p>
      <w:pPr>
        <w:pStyle w:val="DefinedTerms"/>
      </w:pPr>
      <w:r>
        <w:t>royalty value</w:t>
      </w:r>
      <w:r>
        <w:tab/>
        <w:t>5(1)</w:t>
      </w:r>
    </w:p>
    <w:p>
      <w:pPr>
        <w:pStyle w:val="DefinedTerms"/>
      </w:pPr>
      <w:r>
        <w:t>second affected area</w:t>
      </w:r>
      <w:r>
        <w:tab/>
        <w:t>6A(5)</w:t>
      </w:r>
    </w:p>
    <w:p>
      <w:pPr>
        <w:pStyle w:val="DefinedTerms"/>
      </w:pPr>
      <w:r>
        <w:t>secondary licence</w:t>
      </w:r>
      <w:r>
        <w:tab/>
        <w:t>5(1)</w:t>
      </w:r>
    </w:p>
    <w:p>
      <w:pPr>
        <w:pStyle w:val="DefinedTerms"/>
      </w:pPr>
      <w:r>
        <w:t>section 27 block</w:t>
      </w:r>
      <w:r>
        <w:tab/>
        <w:t>37B(1), 47(1A), 48CD(1), 61A, 97A(1)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unit development</w:t>
      </w:r>
      <w:r>
        <w:tab/>
        <w:t>69(1)</w:t>
      </w:r>
    </w:p>
    <w:p>
      <w:pPr>
        <w:pStyle w:val="DefinedTerms"/>
      </w:pPr>
      <w:r>
        <w:t>unused area</w:t>
      </w:r>
      <w:r>
        <w:tab/>
        <w:t>48CA(1) and (2)</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86" w:name="Schedule"/>
    <w:bookmarkEnd w:id="2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3" w:name="Compilation"/>
    <w:bookmarkEnd w:id="29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97" w:name="DefinedTerms"/>
    <w:bookmarkEnd w:id="29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8" w:name="Coversheet"/>
    <w:bookmarkEnd w:id="2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E44B8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0C5A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5D895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52E8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AE75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4C9C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D460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DA5A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F8EC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983B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0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51554"/>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 w:name="WAFER_202002261115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1545_GUID" w:val="6a3124f2-eae3-4737-8d30-994184892188"/>
    <w:docVar w:name="WAFER_20201109154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4936_GUID" w:val="a6922370-be4a-4bc9-99ff-89d82e252b69"/>
    <w:docVar w:name="WAFER_202203081041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27_GUID" w:val="f93e7a0d-5234-42b8-9456-aa89f8d1e306"/>
    <w:docVar w:name="WAFER_20230324124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4932_GUID" w:val="19d25ead-cceb-4de5-9c52-8bfa1a27df84"/>
    <w:docVar w:name="WAFER_20230809141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9141859_GUID" w:val="158558c9-08c6-48be-8685-62fe0476e2c4"/>
    <w:docVar w:name="WAFER_20231227133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716_GUID" w:val="9025bd53-beaf-4740-b778-2329a0599915"/>
    <w:docVar w:name="WAFER_202405151515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51554_GUID" w:val="c121b95c-0ef1-4f54-8edc-4bdd437e13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0529"/>
    <o:shapelayout v:ext="edit">
      <o:idmap v:ext="edit" data="1"/>
    </o:shapelayout>
  </w:shapeDefaults>
  <w:decimalSymbol w:val="."/>
  <w:listSeparator w:val=","/>
  <w15:docId w15:val="{BC863548-10CD-414B-B1E9-CF2F0CF6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1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74494</Words>
  <Characters>356827</Characters>
  <Application>Microsoft Office Word</Application>
  <DocSecurity>0</DocSecurity>
  <Lines>9149</Lines>
  <Paragraphs>4446</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426875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1967 - 08-h0-00</dc:title>
  <dc:subject/>
  <dc:creator/>
  <cp:keywords/>
  <dc:description/>
  <cp:lastModifiedBy>Master Repository Process</cp:lastModifiedBy>
  <cp:revision>4</cp:revision>
  <cp:lastPrinted>2016-01-20T01:35:00Z</cp:lastPrinted>
  <dcterms:created xsi:type="dcterms:W3CDTF">2025-06-19T02:29:00Z</dcterms:created>
  <dcterms:modified xsi:type="dcterms:W3CDTF">2025-06-19T02:30:00Z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ReprintedAsAt">
    <vt:filetime>2016-01-14T16:00:00Z</vt:filetime>
  </property>
  <property fmtid="{D5CDD505-2E9C-101B-9397-08002B2CF9AE}" pid="7" name="ReprintNo">
    <vt:lpwstr>8</vt:lpwstr>
  </property>
  <property fmtid="{D5CDD505-2E9C-101B-9397-08002B2CF9AE}" pid="8" name="AsAtDate">
    <vt:lpwstr>14 May 2024</vt:lpwstr>
  </property>
  <property fmtid="{D5CDD505-2E9C-101B-9397-08002B2CF9AE}" pid="9" name="Suffix">
    <vt:lpwstr>08-h0-00</vt:lpwstr>
  </property>
  <property fmtid="{D5CDD505-2E9C-101B-9397-08002B2CF9AE}" pid="10" name="Official">
    <vt:lpwstr/>
  </property>
  <property fmtid="{D5CDD505-2E9C-101B-9397-08002B2CF9AE}" pid="11" name="CommencementDate">
    <vt:lpwstr>20240514</vt:lpwstr>
  </property>
  <property fmtid="{D5CDD505-2E9C-101B-9397-08002B2CF9AE}" pid="12" name="CommencementAsAt">
    <vt:filetime>2024-05-13T16:00:00Z</vt:filetime>
  </property>
  <property fmtid="{D5CDD505-2E9C-101B-9397-08002B2CF9AE}" pid="13" name="CommencementYear">
    <vt:lpwstr>2024</vt:lpwstr>
  </property>
</Properties>
</file>