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4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WA"/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66" name="Picture 66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Page1"/>
      </w:pPr>
      <w:r>
        <w:fldChar w:fldCharType="begin"/>
      </w:r>
      <w:r>
        <w:instrText xml:space="preserve"> STYLEREF "PrincipalAct_Reg"</w:instrText>
      </w:r>
      <w:r>
        <w:fldChar w:fldCharType="separate"/>
      </w:r>
      <w:r>
        <w:rPr>
          <w:noProof/>
        </w:rPr>
        <w:t>Water Services Act 2012</w:t>
      </w:r>
      <w:r>
        <w:fldChar w:fldCharType="end"/>
      </w:r>
    </w:p>
    <w:p>
      <w:pPr>
        <w:pStyle w:val="NameofActRegPage1"/>
        <w:spacing w:before="1800" w:after="20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Water Services Code of Conduct (Customer Service Standards) 2024</w:t>
      </w:r>
      <w:r>
        <w:fldChar w:fldCharType="end"/>
      </w:r>
    </w:p>
    <w:p/>
    <w:p>
      <w:pPr>
        <w:jc w:val="center"/>
        <w:sectPr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4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outlineLvl w:val="0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Water Services Code of Conduct (Customer Service Standards) 2024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Part 1 — Preliminary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1.</w:t>
      </w:r>
      <w:r>
        <w:tab/>
        <w:t>Citation</w:t>
      </w:r>
      <w:r>
        <w:tab/>
      </w:r>
      <w:r>
        <w:fldChar w:fldCharType="begin"/>
      </w:r>
      <w:r>
        <w:instrText xml:space="preserve"> PAGEREF _Toc166846074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r>
        <w:tab/>
      </w:r>
      <w:r>
        <w:fldChar w:fldCharType="begin"/>
      </w:r>
      <w:r>
        <w:instrText xml:space="preserve"> PAGEREF _Toc166846075 \h </w:instrText>
      </w:r>
      <w:r>
        <w:fldChar w:fldCharType="separate"/>
      </w:r>
      <w:r>
        <w:t>1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Notes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ab/>
        <w:t>Compilation table</w:t>
      </w:r>
      <w:r>
        <w:tab/>
      </w:r>
      <w:r>
        <w:fldChar w:fldCharType="begin"/>
      </w:r>
      <w:r>
        <w:instrText xml:space="preserve"> PAGEREF _Toc166846077 \h </w:instrText>
      </w:r>
      <w:r>
        <w:fldChar w:fldCharType="separate"/>
      </w:r>
      <w:r>
        <w:t>2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ab/>
        <w:t>Uncommenced provisions table</w:t>
      </w:r>
      <w:r>
        <w:tab/>
      </w:r>
      <w:r>
        <w:fldChar w:fldCharType="begin"/>
      </w:r>
      <w:r>
        <w:instrText xml:space="preserve"> PAGEREF _Toc166846078 \h </w:instrText>
      </w:r>
      <w:r>
        <w:fldChar w:fldCharType="separate"/>
      </w:r>
      <w:r>
        <w:t>2</w:t>
      </w:r>
      <w:r>
        <w:fldChar w:fldCharType="end"/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PrincipalActReg"/>
      </w:pPr>
      <w:r>
        <w:lastRenderedPageBreak/>
        <w:t>Water Services Act 2012</w:t>
      </w:r>
    </w:p>
    <w:p>
      <w:pPr>
        <w:pStyle w:val="NameofActReg"/>
      </w:pPr>
      <w:r>
        <w:t>Water Services Code of Conduct (Customer Service Standards) 2024</w:t>
      </w:r>
    </w:p>
    <w:p>
      <w:pPr>
        <w:pStyle w:val="Heading2"/>
        <w:pageBreakBefore w:val="0"/>
        <w:spacing w:before="260"/>
      </w:pPr>
      <w:bookmarkStart w:id="2" w:name="_Toc166837913"/>
      <w:bookmarkStart w:id="3" w:name="_Toc166838009"/>
      <w:bookmarkStart w:id="4" w:name="_Toc166838082"/>
      <w:bookmarkStart w:id="5" w:name="_Toc166838603"/>
      <w:bookmarkStart w:id="6" w:name="_Toc166839801"/>
      <w:bookmarkStart w:id="7" w:name="_Toc166839958"/>
      <w:bookmarkStart w:id="8" w:name="_Toc166846073"/>
      <w:r>
        <w:rPr>
          <w:rStyle w:val="CharPartNo"/>
        </w:rPr>
        <w:t>Part 1</w:t>
      </w:r>
      <w:r>
        <w:rPr>
          <w:rStyle w:val="CharDivNo"/>
        </w:rPr>
        <w:t> </w:t>
      </w:r>
      <w:r>
        <w:t>—</w:t>
      </w:r>
      <w:r>
        <w:rPr>
          <w:rStyle w:val="CharDivText"/>
        </w:rPr>
        <w:t> </w:t>
      </w:r>
      <w:r>
        <w:rPr>
          <w:rStyle w:val="CharPartText"/>
        </w:rPr>
        <w:t>Preliminary</w:t>
      </w:r>
      <w:bookmarkEnd w:id="2"/>
      <w:bookmarkEnd w:id="3"/>
      <w:bookmarkEnd w:id="4"/>
      <w:bookmarkEnd w:id="5"/>
      <w:bookmarkEnd w:id="6"/>
      <w:bookmarkEnd w:id="7"/>
      <w:bookmarkEnd w:id="8"/>
    </w:p>
    <w:p>
      <w:pPr>
        <w:pStyle w:val="Heading5"/>
      </w:pPr>
      <w:bookmarkStart w:id="9" w:name="_Toc166837914"/>
      <w:bookmarkStart w:id="10" w:name="_Toc166846074"/>
      <w:r>
        <w:rPr>
          <w:rStyle w:val="CharSectno"/>
        </w:rPr>
        <w:t>1</w:t>
      </w:r>
      <w:r>
        <w:t>.</w:t>
      </w:r>
      <w:r>
        <w:tab/>
        <w:t>Citation</w:t>
      </w:r>
      <w:bookmarkEnd w:id="9"/>
      <w:bookmarkEnd w:id="10"/>
    </w:p>
    <w:p>
      <w:pPr>
        <w:pStyle w:val="Subsection"/>
      </w:pPr>
      <w:r>
        <w:tab/>
      </w:r>
      <w:r>
        <w:tab/>
      </w:r>
      <w:bookmarkStart w:id="11" w:name="Start_Cursor"/>
      <w:bookmarkEnd w:id="11"/>
      <w:r>
        <w:t xml:space="preserve">This </w:t>
      </w:r>
      <w:r>
        <w:rPr>
          <w:spacing w:val="-2"/>
        </w:rPr>
        <w:t>code</w:t>
      </w:r>
      <w:r>
        <w:t xml:space="preserve"> is the </w:t>
      </w:r>
      <w:r>
        <w:rPr>
          <w:i/>
        </w:rPr>
        <w:t>Water Services Code of Conduct (Customer Service Standards) 2024</w:t>
      </w:r>
      <w:r>
        <w:t>.</w:t>
      </w:r>
    </w:p>
    <w:p>
      <w:pPr>
        <w:pStyle w:val="Heading5"/>
        <w:rPr>
          <w:spacing w:val="-2"/>
        </w:rPr>
      </w:pPr>
      <w:bookmarkStart w:id="12" w:name="_Toc166837915"/>
      <w:bookmarkStart w:id="13" w:name="_Toc166846075"/>
      <w:r>
        <w:rPr>
          <w:rStyle w:val="CharSectno"/>
        </w:rP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bookmarkEnd w:id="12"/>
      <w:bookmarkEnd w:id="13"/>
    </w:p>
    <w:p>
      <w:pPr>
        <w:pStyle w:val="Subsection"/>
        <w:rPr>
          <w:spacing w:val="-2"/>
        </w:rPr>
      </w:pPr>
      <w:r>
        <w:rPr>
          <w:spacing w:val="-2"/>
        </w:rPr>
        <w:tab/>
      </w:r>
      <w:r>
        <w:rPr>
          <w:spacing w:val="-2"/>
        </w:rPr>
        <w:tab/>
      </w:r>
      <w:r>
        <w:t xml:space="preserve">This </w:t>
      </w:r>
      <w:r>
        <w:rPr>
          <w:spacing w:val="-2"/>
        </w:rPr>
        <w:t>code comes into operation as follows</w:t>
      </w:r>
      <w:r>
        <w:t> —</w:t>
      </w:r>
    </w:p>
    <w:p>
      <w:pPr>
        <w:pStyle w:val="Indenta"/>
      </w:pPr>
      <w:r>
        <w:tab/>
        <w:t>(a)</w:t>
      </w:r>
      <w:r>
        <w:tab/>
        <w:t xml:space="preserve">Part 1 (other than </w:t>
      </w:r>
      <w:r>
        <w:rPr>
          <w:spacing w:val="-2"/>
        </w:rPr>
        <w:t>clauses</w:t>
      </w:r>
      <w:r>
        <w:t xml:space="preserve"> 3 to 7) — on the day on which this </w:t>
      </w:r>
      <w:r>
        <w:rPr>
          <w:spacing w:val="-2"/>
        </w:rPr>
        <w:t>code</w:t>
      </w:r>
      <w:r>
        <w:t xml:space="preserve"> is published on the WA legislation website;</w:t>
      </w:r>
    </w:p>
    <w:p>
      <w:pPr>
        <w:pStyle w:val="Indenta"/>
      </w:pPr>
      <w:r>
        <w:tab/>
        <w:t>(b)</w:t>
      </w:r>
      <w:r>
        <w:tab/>
        <w:t xml:space="preserve">the rest of the </w:t>
      </w:r>
      <w:r>
        <w:rPr>
          <w:spacing w:val="-2"/>
        </w:rPr>
        <w:t>code</w:t>
      </w:r>
      <w:r>
        <w:t> — on 1 July 2024.</w:t>
      </w:r>
    </w:p>
    <w:p>
      <w:pPr>
        <w:pStyle w:val="Ednotesection"/>
      </w:pPr>
      <w:r>
        <w:t>[</w:t>
      </w:r>
      <w:r>
        <w:rPr>
          <w:b/>
          <w:bCs/>
        </w:rPr>
        <w:t>3</w:t>
      </w:r>
      <w:r>
        <w:rPr>
          <w:b/>
          <w:bCs/>
        </w:rPr>
        <w:noBreakHyphen/>
        <w:t>7.</w:t>
      </w:r>
      <w:r>
        <w:tab/>
        <w:t>Have not come into operation.]</w:t>
      </w:r>
    </w:p>
    <w:p>
      <w:pPr>
        <w:pStyle w:val="Ednotepart"/>
      </w:pPr>
      <w:r>
        <w:t>[Parts 2</w:t>
      </w:r>
      <w:r>
        <w:noBreakHyphen/>
        <w:t>10 have not come into operation.]</w:t>
      </w:r>
    </w:p>
    <w:p>
      <w:pPr>
        <w:pStyle w:val="CentredBaseLine"/>
        <w:jc w:val="center"/>
      </w:pPr>
      <w:r>
        <w:rPr>
          <w:noProof/>
        </w:rPr>
        <w:drawing>
          <wp:inline distT="0" distB="0" distL="0" distR="0">
            <wp:extent cx="933450" cy="17145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dline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2671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/>
    <w:p>
      <w:pPr>
        <w:pStyle w:val="ByCommand"/>
        <w:sectPr>
          <w:headerReference w:type="even" r:id="rId22"/>
          <w:headerReference w:type="default" r:id="rId23"/>
          <w:headerReference w:type="first" r:id="rId24"/>
          <w:endnotePr>
            <w:numFmt w:val="decimal"/>
          </w:endnotePr>
          <w:pgSz w:w="11907" w:h="16840" w:code="9"/>
          <w:pgMar w:top="2381" w:right="2410" w:bottom="3544" w:left="2410" w:header="720" w:footer="3544" w:gutter="0"/>
          <w:pgNumType w:start="1"/>
          <w:cols w:space="720"/>
          <w:noEndnote/>
          <w:titlePg/>
        </w:sectPr>
      </w:pPr>
    </w:p>
    <w:p>
      <w:pPr>
        <w:pStyle w:val="nHeading2"/>
      </w:pPr>
      <w:bookmarkStart w:id="14" w:name="_Toc166839804"/>
      <w:bookmarkStart w:id="15" w:name="_Toc166839961"/>
      <w:bookmarkStart w:id="16" w:name="_Toc166846076"/>
      <w:bookmarkStart w:id="17" w:name="_Toc166838670"/>
      <w:r>
        <w:lastRenderedPageBreak/>
        <w:t>Notes</w:t>
      </w:r>
      <w:bookmarkEnd w:id="14"/>
      <w:bookmarkEnd w:id="15"/>
      <w:bookmarkEnd w:id="16"/>
    </w:p>
    <w:p>
      <w:pPr>
        <w:pStyle w:val="nStatement"/>
      </w:pPr>
      <w:r>
        <w:t xml:space="preserve">This is a compilation of the </w:t>
      </w:r>
      <w:r>
        <w:rPr>
          <w:i/>
          <w:noProof/>
        </w:rPr>
        <w:t>Water Services Code of Conduct (Customer Service Standards) 2024</w:t>
      </w:r>
      <w:r>
        <w:t>. For provisions that have come into operation see the compilation table. For provisions that have not yet come into operation see the uncommenced provisions table.</w:t>
      </w:r>
    </w:p>
    <w:p>
      <w:pPr>
        <w:pStyle w:val="nHeading3"/>
      </w:pPr>
      <w:bookmarkStart w:id="18" w:name="_Toc166846077"/>
      <w:r>
        <w:t>Compilation table</w:t>
      </w:r>
      <w:bookmarkEnd w:id="18"/>
    </w:p>
    <w:tbl>
      <w:tblPr>
        <w:tblW w:w="0" w:type="auto"/>
        <w:tblInd w:w="28" w:type="dxa"/>
        <w:tblBorders>
          <w:top w:val="single" w:sz="8" w:space="0" w:color="auto"/>
          <w:bottom w:val="single" w:sz="4" w:space="0" w:color="auto"/>
          <w:insideH w:val="single" w:sz="8" w:space="0" w:color="auto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8"/>
        <w:gridCol w:w="1276"/>
        <w:gridCol w:w="2693"/>
      </w:tblGrid>
      <w:tr>
        <w:trPr>
          <w:tblHeader/>
        </w:trPr>
        <w:tc>
          <w:tcPr>
            <w:tcW w:w="3118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Citation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Published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Commencement</w:t>
            </w:r>
          </w:p>
        </w:tc>
      </w:tr>
      <w:tr>
        <w:tc>
          <w:tcPr>
            <w:tcW w:w="3118" w:type="dxa"/>
          </w:tcPr>
          <w:p>
            <w:pPr>
              <w:pStyle w:val="nTable"/>
              <w:spacing w:after="40"/>
              <w:rPr>
                <w:iCs/>
              </w:rPr>
            </w:pPr>
            <w:r>
              <w:rPr>
                <w:i/>
                <w:noProof/>
              </w:rPr>
              <w:t xml:space="preserve">Water Services Code of Conduct (Customer Service Standards) 2024 </w:t>
            </w:r>
            <w:r>
              <w:rPr>
                <w:iCs/>
                <w:noProof/>
              </w:rPr>
              <w:t>Pt. 1 (other than cl. 3</w:t>
            </w:r>
            <w:r>
              <w:rPr>
                <w:iCs/>
                <w:noProof/>
              </w:rPr>
              <w:noBreakHyphen/>
              <w:t>7)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SL 2024/77 20 May 2024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20 May 2024 (see cl. 2(a))</w:t>
            </w:r>
          </w:p>
        </w:tc>
      </w:tr>
    </w:tbl>
    <w:p>
      <w:pPr>
        <w:pStyle w:val="nHeading3"/>
      </w:pPr>
      <w:bookmarkStart w:id="19" w:name="_Toc166846078"/>
      <w:r>
        <w:t>Uncommenced provisions table</w:t>
      </w:r>
      <w:bookmarkEnd w:id="19"/>
    </w:p>
    <w:p>
      <w:pPr>
        <w:pStyle w:val="nStatement"/>
        <w:keepNext/>
        <w:spacing w:after="240"/>
      </w:pPr>
      <w:r>
        <w:t xml:space="preserve">To view the text of the uncommenced provisions see </w:t>
      </w:r>
      <w:r>
        <w:rPr>
          <w:i/>
        </w:rPr>
        <w:t>Subsidiary legislation as made</w:t>
      </w:r>
      <w:r>
        <w:t xml:space="preserve"> on the WA Legislation website.</w:t>
      </w:r>
    </w:p>
    <w:tbl>
      <w:tblPr>
        <w:tblW w:w="7087" w:type="dxa"/>
        <w:tblInd w:w="28" w:type="dxa"/>
        <w:tblBorders>
          <w:top w:val="single" w:sz="8" w:space="0" w:color="auto"/>
          <w:bottom w:val="single" w:sz="4" w:space="0" w:color="auto"/>
          <w:insideH w:val="single" w:sz="8" w:space="0" w:color="auto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8"/>
        <w:gridCol w:w="1276"/>
        <w:gridCol w:w="2693"/>
      </w:tblGrid>
      <w:tr>
        <w:trPr>
          <w:tblHeader/>
        </w:trPr>
        <w:tc>
          <w:tcPr>
            <w:tcW w:w="3118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Citation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Published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Commencement</w:t>
            </w:r>
          </w:p>
        </w:tc>
      </w:tr>
      <w:tr>
        <w:tc>
          <w:tcPr>
            <w:tcW w:w="3118" w:type="dxa"/>
          </w:tcPr>
          <w:p>
            <w:pPr>
              <w:pStyle w:val="nTable"/>
              <w:spacing w:after="40"/>
              <w:rPr>
                <w:iCs/>
              </w:rPr>
            </w:pPr>
            <w:r>
              <w:rPr>
                <w:i/>
                <w:noProof/>
              </w:rPr>
              <w:t>Water Services Code of Conduct (Customer Service Standards) 2024</w:t>
            </w:r>
            <w:r>
              <w:rPr>
                <w:i/>
              </w:rPr>
              <w:t xml:space="preserve"> </w:t>
            </w:r>
            <w:r>
              <w:rPr>
                <w:iCs/>
              </w:rPr>
              <w:t>cl. 3-7 and Pt. 2</w:t>
            </w:r>
            <w:r>
              <w:rPr>
                <w:iCs/>
              </w:rPr>
              <w:noBreakHyphen/>
              <w:t>10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SL 2024/77 20 May 2024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1 Jul 2024 (see cl. 2(b))</w:t>
            </w:r>
          </w:p>
        </w:tc>
      </w:tr>
    </w:tbl>
    <w:p>
      <w:pPr>
        <w:sectPr>
          <w:headerReference w:type="even" r:id="rId25"/>
          <w:headerReference w:type="default" r:id="rId26"/>
          <w:pgSz w:w="11907" w:h="16840" w:code="9"/>
          <w:pgMar w:top="2376" w:right="2404" w:bottom="3544" w:left="2404" w:header="720" w:footer="3544" w:gutter="0"/>
          <w:cols w:space="720"/>
          <w:noEndnote/>
          <w:docGrid w:linePitch="326"/>
        </w:sectPr>
      </w:pPr>
    </w:p>
    <w:bookmarkEnd w:id="17"/>
    <w:p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page">
                  <wp:align>center</wp:align>
                </wp:positionH>
                <wp:positionV relativeFrom="page">
                  <wp:posOffset>7505700</wp:posOffset>
                </wp:positionV>
                <wp:extent cx="127000" cy="647700"/>
                <wp:effectExtent l="0" t="0" r="1905" b="0"/>
                <wp:wrapNone/>
                <wp:docPr id="1" name="Authority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7000" cy="647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2024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This work is licensed under a Creative Commons Attribution 4.0 International Licence (CC BY 4.0). To view relevant information and for a link to a copy of the licence, visit </w:t>
                            </w:r>
                            <w:r>
                              <w:rPr>
                                <w:sz w:val="16"/>
                                <w:u w:val="single"/>
                              </w:rPr>
                              <w:t>www.legislation.wa.gov.au</w:t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Attribute work as: 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2024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438" w:right="2098"/>
                              <w:jc w:val="center"/>
                              <w:rPr>
                                <w:rFonts w:ascii="Arial" w:hAnsi="Arial" w:cs="Arial"/>
                                <w:sz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2"/>
                              </w:rPr>
                              <w:t>By Authority: GEOFF O. LAWN, Government Printer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100000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650BE6D" id="_x0000_t202" coordsize="21600,21600" o:spt="202" path="m,l,21600r21600,l21600,xe">
                <v:stroke joinstyle="miter"/>
                <v:path gradientshapeok="t" o:connecttype="rect"/>
              </v:shapetype>
              <v:shape id="Authority" o:spid="_x0000_s1026" type="#_x0000_t202" style="position:absolute;margin-left:0;margin-top:591pt;width:10pt;height:51pt;z-index:251660288;visibility:visible;mso-wrap-style:square;mso-width-percent:100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100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" stroked="f" strokeweight=".5pt">
                <v:textbox>
                  <w:txbxContent>
                    <w:p w14:paraId="43590F1D" w14:textId="58B3F787" w:rsidR="00BD0AA9" w:rsidRDefault="00BD0AA9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 w:rsidR="00CA176E">
                        <w:rPr>
                          <w:sz w:val="16"/>
                        </w:rPr>
                        <w:t>2024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4AA59F88" w14:textId="77777777" w:rsidR="00BD0AA9" w:rsidRDefault="00BD0AA9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This work is licensed under a Creative Commons Attribution 4.0 International Licence (CC BY 4.0). To view relevant information and for a link to a copy of the licence, visit </w:t>
                      </w:r>
                      <w:r>
                        <w:rPr>
                          <w:sz w:val="16"/>
                          <w:u w:val="single"/>
                        </w:rPr>
                        <w:t>www.legislation.wa.gov.au</w:t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4EE5EFA2" w14:textId="6785BFC0" w:rsidR="00BD0AA9" w:rsidRDefault="00BD0AA9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Attribute work as: 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 w:rsidR="00CA176E">
                        <w:rPr>
                          <w:sz w:val="16"/>
                        </w:rPr>
                        <w:t>2024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662701C6" w14:textId="77777777" w:rsidR="00BD0AA9" w:rsidRDefault="00BD0AA9">
                      <w:pPr>
                        <w:ind w:left="2438" w:right="2098"/>
                        <w:jc w:val="center"/>
                        <w:rPr>
                          <w:rFonts w:ascii="Arial" w:hAnsi="Arial" w:cs="Arial"/>
                          <w:sz w:val="12"/>
                        </w:rPr>
                      </w:pPr>
                      <w:r>
                        <w:rPr>
                          <w:rFonts w:ascii="Arial" w:hAnsi="Arial" w:cs="Arial"/>
                          <w:sz w:val="12"/>
                        </w:rPr>
                        <w:t>By Authority: GEOFF O. LAWN, Government Printer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sectPr>
      <w:headerReference w:type="even" r:id="rId27"/>
      <w:headerReference w:type="default" r:id="rId28"/>
      <w:footerReference w:type="even" r:id="rId29"/>
      <w:footerReference w:type="default" r:id="rId30"/>
      <w:headerReference w:type="first" r:id="rId31"/>
      <w:footerReference w:type="first" r:id="rId32"/>
      <w:endnotePr>
        <w:numFmt w:val="decimal"/>
      </w:endnotePr>
      <w:type w:val="continuous"/>
      <w:pgSz w:w="11907" w:h="16840" w:code="9"/>
      <w:pgMar w:top="567" w:right="1701" w:bottom="567" w:left="1701" w:header="720" w:footer="72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  <w:p/>
  </w:endnote>
  <w:endnote w:type="continuationSeparator" w:id="0">
    <w:p>
      <w:pPr>
        <w:pStyle w:val="Footer"/>
      </w:pPr>
    </w:p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20 May 2024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>Published on www.legislation.wa.gov.au</w:t>
    </w:r>
    <w:r>
      <w:rPr>
        <w:sz w:val="16"/>
      </w:rPr>
      <w:tab/>
      <w:t xml:space="preserve">[PCO </w:t>
    </w:r>
    <w:r>
      <w:rPr>
        <w:sz w:val="16"/>
      </w:rPr>
      <w:fldChar w:fldCharType="begin"/>
    </w:r>
    <w:r>
      <w:rPr>
        <w:sz w:val="16"/>
      </w:rPr>
      <w:instrText xml:space="preserve"> DOCPROPERTY "Suffix" </w:instrText>
    </w:r>
    <w:r>
      <w:rPr>
        <w:sz w:val="16"/>
      </w:rPr>
      <w:fldChar w:fldCharType="separate"/>
    </w:r>
    <w:r>
      <w:rPr>
        <w:sz w:val="16"/>
      </w:rPr>
      <w:t>00-a0-00</w:t>
    </w:r>
    <w:r>
      <w:rPr>
        <w:sz w:val="16"/>
      </w:rPr>
      <w:fldChar w:fldCharType="end"/>
    </w:r>
    <w:r>
      <w:rPr>
        <w:sz w:val="16"/>
      </w:rPr>
      <w:t>]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20 May 2024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 xml:space="preserve">[PCO </w:t>
    </w:r>
    <w:r>
      <w:rPr>
        <w:sz w:val="16"/>
      </w:rPr>
      <w:fldChar w:fldCharType="begin"/>
    </w:r>
    <w:r>
      <w:rPr>
        <w:sz w:val="16"/>
      </w:rPr>
      <w:instrText xml:space="preserve"> DOCPROPERTY "Suffix" </w:instrText>
    </w:r>
    <w:r>
      <w:rPr>
        <w:sz w:val="16"/>
      </w:rPr>
      <w:fldChar w:fldCharType="separate"/>
    </w:r>
    <w:r>
      <w:rPr>
        <w:sz w:val="16"/>
      </w:rPr>
      <w:t>00-a0-00</w:t>
    </w:r>
    <w:r>
      <w:rPr>
        <w:sz w:val="16"/>
      </w:rPr>
      <w:fldChar w:fldCharType="end"/>
    </w:r>
    <w:r>
      <w:rPr>
        <w:sz w:val="16"/>
      </w:rPr>
      <w:t>]</w:t>
    </w:r>
    <w:r>
      <w:rPr>
        <w:sz w:val="16"/>
      </w:rPr>
      <w:tab/>
      <w:t>Published on www.legislation.wa.gov.au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20 May 2024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 xml:space="preserve">[PCO </w:t>
    </w:r>
    <w:r>
      <w:rPr>
        <w:sz w:val="16"/>
      </w:rPr>
      <w:fldChar w:fldCharType="begin"/>
    </w:r>
    <w:r>
      <w:rPr>
        <w:sz w:val="16"/>
      </w:rPr>
      <w:instrText xml:space="preserve"> DOCPROPERTY "Suffix" </w:instrText>
    </w:r>
    <w:r>
      <w:rPr>
        <w:sz w:val="16"/>
      </w:rPr>
      <w:fldChar w:fldCharType="separate"/>
    </w:r>
    <w:r>
      <w:rPr>
        <w:sz w:val="16"/>
      </w:rPr>
      <w:t>00-a0-00</w:t>
    </w:r>
    <w:r>
      <w:rPr>
        <w:sz w:val="16"/>
      </w:rPr>
      <w:fldChar w:fldCharType="end"/>
    </w:r>
    <w:r>
      <w:rPr>
        <w:sz w:val="16"/>
      </w:rPr>
      <w:t>]</w:t>
    </w:r>
    <w:r>
      <w:rPr>
        <w:sz w:val="16"/>
      </w:rPr>
      <w:tab/>
      <w:t>Published on www.legislation.wa.gov.au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20 May 2024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>Published on www.legislation.wa.gov.au</w:t>
    </w:r>
    <w:r>
      <w:rPr>
        <w:sz w:val="16"/>
      </w:rPr>
      <w:tab/>
      <w:t xml:space="preserve">[PCO </w:t>
    </w:r>
    <w:r>
      <w:rPr>
        <w:sz w:val="16"/>
      </w:rPr>
      <w:fldChar w:fldCharType="begin"/>
    </w:r>
    <w:r>
      <w:rPr>
        <w:sz w:val="16"/>
      </w:rPr>
      <w:instrText xml:space="preserve"> DOCPROPERTY "Suffix" </w:instrText>
    </w:r>
    <w:r>
      <w:rPr>
        <w:sz w:val="16"/>
      </w:rPr>
      <w:fldChar w:fldCharType="separate"/>
    </w:r>
    <w:r>
      <w:rPr>
        <w:sz w:val="16"/>
      </w:rPr>
      <w:t>00-a0-00</w:t>
    </w:r>
    <w:r>
      <w:rPr>
        <w:sz w:val="16"/>
      </w:rPr>
      <w:fldChar w:fldCharType="end"/>
    </w:r>
    <w:r>
      <w:rPr>
        <w:sz w:val="16"/>
      </w:rPr>
      <w:t>]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20 May 2024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 xml:space="preserve">[PCO </w:t>
    </w:r>
    <w:r>
      <w:rPr>
        <w:sz w:val="16"/>
      </w:rPr>
      <w:fldChar w:fldCharType="begin"/>
    </w:r>
    <w:r>
      <w:rPr>
        <w:sz w:val="16"/>
      </w:rPr>
      <w:instrText xml:space="preserve"> DOCPROPERTY "Suffix" </w:instrText>
    </w:r>
    <w:r>
      <w:rPr>
        <w:sz w:val="16"/>
      </w:rPr>
      <w:fldChar w:fldCharType="separate"/>
    </w:r>
    <w:r>
      <w:rPr>
        <w:sz w:val="16"/>
      </w:rPr>
      <w:t>00-a0-00</w:t>
    </w:r>
    <w:r>
      <w:rPr>
        <w:sz w:val="16"/>
      </w:rPr>
      <w:fldChar w:fldCharType="end"/>
    </w:r>
    <w:r>
      <w:rPr>
        <w:sz w:val="16"/>
      </w:rPr>
      <w:t>]</w:t>
    </w:r>
    <w:r>
      <w:rPr>
        <w:sz w:val="16"/>
      </w:rPr>
      <w:tab/>
      <w:t>Published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20 May 2024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 xml:space="preserve">[PCO </w:t>
    </w:r>
    <w:r>
      <w:rPr>
        <w:sz w:val="16"/>
      </w:rPr>
      <w:fldChar w:fldCharType="begin"/>
    </w:r>
    <w:r>
      <w:rPr>
        <w:sz w:val="16"/>
      </w:rPr>
      <w:instrText xml:space="preserve"> DOCPROPERTY "Suffix" </w:instrText>
    </w:r>
    <w:r>
      <w:rPr>
        <w:sz w:val="16"/>
      </w:rPr>
      <w:fldChar w:fldCharType="separate"/>
    </w:r>
    <w:r>
      <w:rPr>
        <w:sz w:val="16"/>
      </w:rPr>
      <w:t>00-a0-00</w:t>
    </w:r>
    <w:r>
      <w:rPr>
        <w:sz w:val="16"/>
      </w:rPr>
      <w:fldChar w:fldCharType="end"/>
    </w:r>
    <w:r>
      <w:rPr>
        <w:sz w:val="16"/>
      </w:rPr>
      <w:t>]</w:t>
    </w:r>
    <w:r>
      <w:rPr>
        <w:sz w:val="16"/>
      </w:rPr>
      <w:tab/>
      <w:t>Published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Water Services Code of Conduct (Customer Service Standards) 2024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Water Services Code of Conduct (Customer Service Standards) 2024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1" w:name="TOC"/>
    <w:bookmarkEnd w:id="1"/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Water Services Code of Conduct (Customer Service Standards) 2024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cl.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Water Services Code of Conduct (Customer Service Standards) 2024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jc w:val="right"/>
          </w:pPr>
          <w:r>
            <w:rPr>
              <w:b/>
            </w:rPr>
            <w:t xml:space="preserve">cl.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Water Services Code of Conduct (Customer Service Standards) 2024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"nHeading 2" </w:instrText>
          </w:r>
          <w:r>
            <w:rPr>
              <w:b/>
            </w:rPr>
            <w:fldChar w:fldCharType="separate"/>
          </w:r>
          <w:r>
            <w:rPr>
              <w:b/>
            </w:rPr>
            <w:t>Notes</w: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"nHeading 3" </w:instrText>
          </w:r>
          <w:r>
            <w:fldChar w:fldCharType="separate"/>
          </w:r>
          <w:r>
            <w:t>Compilation table</w: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Water Services Code of Conduct (Customer Service Standards) 2024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"nHeading 3" </w:instrText>
          </w:r>
          <w:r>
            <w:fldChar w:fldCharType="separate"/>
          </w:r>
          <w:r>
            <w:t>Compilation table</w: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"nHeading 2" </w:instrText>
          </w:r>
          <w:r>
            <w:rPr>
              <w:b/>
            </w:rPr>
            <w:fldChar w:fldCharType="separate"/>
          </w:r>
          <w:r>
            <w:rPr>
              <w:b/>
            </w:rPr>
            <w:t>Notes</w: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20" w:name="Compilation"/>
    <w:bookmarkEnd w:id="20"/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21" w:name="Coversheet"/>
    <w:bookmarkEnd w:id="21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1F066C2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F88F74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E44E0D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15A2A1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54AD31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784C55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56E670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006F51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3E2D3D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A14993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A9071E2"/>
    <w:multiLevelType w:val="singleLevel"/>
    <w:tmpl w:val="6686A91E"/>
    <w:lvl w:ilvl="0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abstractNum w:abstractNumId="11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 w15:restartNumberingAfterBreak="0">
    <w:nsid w:val="3BBA1437"/>
    <w:multiLevelType w:val="singleLevel"/>
    <w:tmpl w:val="0C09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17" w15:restartNumberingAfterBreak="0">
    <w:nsid w:val="3C2808C0"/>
    <w:multiLevelType w:val="singleLevel"/>
    <w:tmpl w:val="58E827E4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8" w15:restartNumberingAfterBreak="0">
    <w:nsid w:val="41B90854"/>
    <w:multiLevelType w:val="singleLevel"/>
    <w:tmpl w:val="0C090001"/>
    <w:lvl w:ilvl="0">
      <w:start w:val="1"/>
      <w:numFmt w:val="bullet"/>
      <w:lvlText w:val=""/>
      <w:lvlJc w:val="left"/>
      <w:rPr>
        <w:rFonts w:ascii="Symbol" w:hAnsi="Symbol" w:hint="default"/>
      </w:rPr>
    </w:lvl>
  </w:abstractNum>
  <w:abstractNum w:abstractNumId="19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 w15:restartNumberingAfterBreak="0">
    <w:nsid w:val="4CC03303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1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2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3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4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11"/>
  </w:num>
  <w:num w:numId="2">
    <w:abstractNumId w:val="14"/>
  </w:num>
  <w:num w:numId="3">
    <w:abstractNumId w:val="13"/>
  </w:num>
  <w:num w:numId="4">
    <w:abstractNumId w:val="12"/>
  </w:num>
  <w:num w:numId="5">
    <w:abstractNumId w:val="18"/>
  </w:num>
  <w:num w:numId="6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79873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RuleResults" w:val="&lt;RuleResults&gt;&lt;/RuleResults&gt;"/>
    <w:docVar w:name="WAFER" w:val="20240517113107"/>
    <w:docVar w:name="WAFER_20150206084300" w:val="b265764f-9cc9-4051-b597-28966bcc0033"/>
    <w:docVar w:name="WAFER_20150206084300_GUID" w:val="UsedStyles"/>
    <w:docVar w:name="WAFER_20151016170500" w:val="65b8bf31-20ff-4e33-a7f5-3e8a982d38e1"/>
    <w:docVar w:name="WAFER_20151016170500_GUID" w:val="UpdateStyles"/>
    <w:docVar w:name="WAFER_20151016171156" w:val="6c2db7ef-daac-4b3e-9dc6-438f5d0ef0de"/>
    <w:docVar w:name="WAFER_20151016171156_GUID" w:val="UpdateStyles,UsedStyles"/>
    <w:docVar w:name="WAFER_20151016171216" w:val="94d94bff-48d8-4137-a72c-5fd727eea17c"/>
    <w:docVar w:name="WAFER_20151016171216_GUID" w:val="UpdateStyles,UsedStyles"/>
    <w:docVar w:name="WAFER_20151019113755" w:val="2391df09-cb41-4aa3-adeb-85763481adf4"/>
    <w:docVar w:name="WAFER_20151019113755_GUID" w:val="UpdateStyles"/>
    <w:docVar w:name="WAFER_20151102150240" w:val="b5d22a23-aebe-4a72-ade9-c7eb5fe3ff91"/>
    <w:docVar w:name="WAFER_20151102150240_GUID" w:val="UpdateStyles"/>
    <w:docVar w:name="WAFER_20190125160029" w:val="5f5bd124-b00b-412a-a7b5-01fcf0a689e4"/>
    <w:docVar w:name="WAFER_20190125160029_GUID" w:val="UpdateStyles"/>
    <w:docVar w:name="WAFER_20190213151332" w:val="ba422db1-9a36-4369-9917-270567d09a43"/>
    <w:docVar w:name="WAFER_20190213151332_GUID" w:val="UpdateStyles"/>
    <w:docVar w:name="WAFER_20190214104147" w:val="462c59b5-9a0c-4a8b-a415-d2eeb9a467c9"/>
    <w:docVar w:name="WAFER_20190214104147_GUID" w:val="UpdateStyles"/>
    <w:docVar w:name="WAFER_20190227114746" w:val="b6cf0004-89c3-4ce4-92f2-c7ba61597248"/>
    <w:docVar w:name="WAFER_20190227114746_GUID" w:val="UpdateStyles.ProcessFixes,UpdateStyles.ProcessFixes,RemoveIncorrectStyles.ProcessStyles,RemoveIncorrectStyles.ProcessStyles"/>
    <w:docVar w:name="WAFER_20191031134536" w:val="22d86058-aa5d-4625-8196-006bb3c08a21"/>
    <w:docVar w:name="WAFER_20191031134536_GUID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setPageSize.ResetPageSize,ResetPageFooter.ResetPageFooter"/>
    <w:docVar w:name="WAFER_20200207102504" w:val="6a1c105a-3450-41aa-9a46-e934e904a723"/>
    <w:docVar w:name="WAFER_20200207102504_GUID" w:val="6a1c105a-3450-41aa-9a46-e934e904a723"/>
    <w:docVar w:name="WAFER_20230403110444" w:val="6a1c105a-3450-41aa-9a46-e934e904a723"/>
    <w:docVar w:name="WAFER_20230403110444_GUID" w:val="6a1c105a-3450-41aa-9a46-e934e904a723"/>
    <w:docVar w:name="WAFER_20240209114525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,RemoveIncorrectStyles.ProcessStyles"/>
    <w:docVar w:name="WAFER_20240209114525_GUID" w:val="e8f9132e-f52b-4c8f-9a5b-7c56672a60af"/>
    <w:docVar w:name="WAFER_20240320092715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"/>
    <w:docVar w:name="WAFER_20240320092715_GUID" w:val="54136937-20f9-4c9d-a646-ac94e9464dfe"/>
    <w:docVar w:name="WAFER_20240430121230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"/>
    <w:docVar w:name="WAFER_20240430121230_GUID" w:val="4c7f9e85-a920-42fa-bad0-f9bb19ed779e"/>
    <w:docVar w:name="WAFER_20240501091018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"/>
    <w:docVar w:name="WAFER_20240501091018_GUID" w:val="30568d3d-de7c-4606-a783-de8187cd1f8e"/>
    <w:docVar w:name="WAFER_20240517113107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"/>
    <w:docVar w:name="WAFER_20240517113107_GUID" w:val="a7a240ea-c2ad-4f6c-981a-5d684413da36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9873"/>
    <o:shapelayout v:ext="edit">
      <o:idmap v:ext="edit" data="1"/>
    </o:shapelayout>
  </w:shapeDefaults>
  <w:decimalSymbol w:val="."/>
  <w:listSeparator w:val=","/>
  <w15:docId w15:val="{8FFB3FCB-D4D9-42C5-86B4-BC9215486F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iPriority="39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right" w:pos="7088"/>
      </w:tabs>
      <w:spacing w:before="108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yTableNAm">
    <w:name w:val="yTableNAm"/>
    <w:basedOn w:val="TableNAm"/>
    <w:rPr>
      <w:sz w:val="22"/>
    </w:rPr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TableNAm">
    <w:name w:val="zTableNAm"/>
    <w:basedOn w:val="TableNAm"/>
  </w:style>
  <w:style w:type="paragraph" w:customStyle="1" w:styleId="zTHeadingNAm">
    <w:name w:val="zTHeadingNAm"/>
    <w:basedOn w:val="THeadingNAm"/>
  </w:style>
  <w:style w:type="paragraph" w:customStyle="1" w:styleId="zyTableNAm">
    <w:name w:val="zyTableNAm"/>
    <w:basedOn w:val="yTableNAm"/>
  </w:style>
  <w:style w:type="paragraph" w:customStyle="1" w:styleId="zyTHeadingNAm">
    <w:name w:val="zyTHeadingNAm"/>
    <w:basedOn w:val="yTHeadingNAm"/>
  </w:style>
  <w:style w:type="paragraph" w:customStyle="1" w:styleId="SignatureText">
    <w:name w:val="SignatureText"/>
    <w:basedOn w:val="Normal"/>
  </w:style>
  <w:style w:type="paragraph" w:customStyle="1" w:styleId="ExCo">
    <w:name w:val="ExCo"/>
    <w:qFormat/>
    <w:rPr>
      <w:sz w:val="24"/>
    </w:rPr>
  </w:style>
  <w:style w:type="paragraph" w:customStyle="1" w:styleId="Certificate">
    <w:name w:val="Certificate"/>
    <w:qFormat/>
    <w:rPr>
      <w:sz w:val="24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paragraph" w:customStyle="1" w:styleId="AssentDate">
    <w:name w:val="AssentDate"/>
    <w:pPr>
      <w:jc w:val="right"/>
    </w:pPr>
    <w:rPr>
      <w:sz w:val="24"/>
    </w:rPr>
  </w:style>
  <w:style w:type="table" w:styleId="TableGrid">
    <w:name w:val="Table Grid"/>
    <w:basedOn w:val="TableNormal"/>
    <w:uiPriority w:val="59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header" Target="header11.xml"/><Relationship Id="rId3" Type="http://schemas.openxmlformats.org/officeDocument/2006/relationships/styles" Target="styles.xml"/><Relationship Id="rId21" Type="http://schemas.openxmlformats.org/officeDocument/2006/relationships/image" Target="media/image2.jpeg"/><Relationship Id="rId34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10.xml"/><Relationship Id="rId33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footer" Target="footer7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9.xml"/><Relationship Id="rId32" Type="http://schemas.openxmlformats.org/officeDocument/2006/relationships/footer" Target="footer9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header" Target="header8.xml"/><Relationship Id="rId28" Type="http://schemas.openxmlformats.org/officeDocument/2006/relationships/header" Target="header13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header" Target="header14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7.xml"/><Relationship Id="rId27" Type="http://schemas.openxmlformats.org/officeDocument/2006/relationships/header" Target="header12.xml"/><Relationship Id="rId30" Type="http://schemas.openxmlformats.org/officeDocument/2006/relationships/footer" Target="footer8.xml"/><Relationship Id="rId8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03AD0A-1845-4554-BCAE-5438494273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341</Words>
  <Characters>1798</Characters>
  <Application>Microsoft Office Word</Application>
  <DocSecurity>0</DocSecurity>
  <Lines>89</Lines>
  <Paragraphs>62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 (Regs)</vt:lpstr>
    </vt:vector>
  </TitlesOfParts>
  <Manager/>
  <Company/>
  <LinksUpToDate>false</LinksUpToDate>
  <CharactersWithSpaces>2077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Water Services Code of Conduct (Customer Service Standards) 2024 - 00-a0-00</dc:title>
  <dc:subject/>
  <dc:creator/>
  <cp:keywords/>
  <dc:description/>
  <cp:lastModifiedBy>Master Repository Process</cp:lastModifiedBy>
  <cp:revision>4</cp:revision>
  <cp:lastPrinted>2024-04-26T00:24:00Z</cp:lastPrinted>
  <dcterms:created xsi:type="dcterms:W3CDTF">2025-05-28T05:20:00Z</dcterms:created>
  <dcterms:modified xsi:type="dcterms:W3CDTF">2025-05-28T05:20:00Z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RegID">
    <vt:lpwstr>54569</vt:lpwstr>
  </property>
  <property fmtid="{D5CDD505-2E9C-101B-9397-08002B2CF9AE}" pid="3" name="DocumentType">
    <vt:lpwstr>Reg</vt:lpwstr>
  </property>
  <property fmtid="{D5CDD505-2E9C-101B-9397-08002B2CF9AE}" pid="4" name="AsAtDate">
    <vt:lpwstr>20 May 2024</vt:lpwstr>
  </property>
  <property fmtid="{D5CDD505-2E9C-101B-9397-08002B2CF9AE}" pid="5" name="Suffix">
    <vt:lpwstr>00-a0-00</vt:lpwstr>
  </property>
  <property fmtid="{D5CDD505-2E9C-101B-9397-08002B2CF9AE}" pid="6" name="Official">
    <vt:lpwstr/>
  </property>
  <property fmtid="{D5CDD505-2E9C-101B-9397-08002B2CF9AE}" pid="7" name="CommencementDate">
    <vt:lpwstr>20240520</vt:lpwstr>
  </property>
  <property fmtid="{D5CDD505-2E9C-101B-9397-08002B2CF9AE}" pid="8" name="CommencementAsAt">
    <vt:filetime>2024-05-19T16:00:00Z</vt:filetime>
  </property>
  <property fmtid="{D5CDD505-2E9C-101B-9397-08002B2CF9AE}" pid="9" name="CommencementYear">
    <vt:lpwstr>2024</vt:lpwstr>
  </property>
</Properties>
</file>