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Health Services Act 2016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Services (Fees and Charges) Amendment Order (No. 2)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Services (Fees and Charges) Amendment Order (No. 2)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_Toc167186558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_Toc167186559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Order amended</w:t>
      </w:r>
      <w:r>
        <w:tab/>
      </w:r>
      <w:r>
        <w:fldChar w:fldCharType="begin"/>
      </w:r>
      <w:r>
        <w:instrText xml:space="preserve"> PAGEREF _Toc167186560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Various references to “</w:t>
      </w:r>
      <w:r>
        <w:rPr>
          <w:i/>
          <w:iCs/>
        </w:rPr>
        <w:t>Workers’ Compensation and Injury Management Act 1981</w:t>
      </w:r>
      <w:r>
        <w:t>” amended</w:t>
      </w:r>
      <w:r>
        <w:tab/>
      </w:r>
      <w:r>
        <w:fldChar w:fldCharType="begin"/>
      </w:r>
      <w:r>
        <w:instrText xml:space="preserve"> PAGEREF _Toc167186561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Health Services Act 2016</w:t>
      </w:r>
    </w:p>
    <w:p>
      <w:pPr>
        <w:pStyle w:val="NameofActReg"/>
      </w:pPr>
      <w:r>
        <w:t>Health Services (Fees and Charges) Amendment Order (No. 2) 2024</w:t>
      </w:r>
    </w:p>
    <w:p>
      <w:pPr>
        <w:pStyle w:val="MadeBy"/>
      </w:pPr>
      <w:r>
        <w:t>Made by the Minister under section 56 of the Act.</w:t>
      </w:r>
    </w:p>
    <w:p>
      <w:pPr>
        <w:pStyle w:val="Heading5"/>
      </w:pPr>
      <w:bookmarkStart w:id="2" w:name="_Toc167186361"/>
      <w:bookmarkStart w:id="3" w:name="_Toc167186558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This order is the </w:t>
      </w:r>
      <w:r>
        <w:rPr>
          <w:i/>
        </w:rPr>
        <w:t>Health Services (Fees and Charges) Amendment Order (No. 2) 2024</w:t>
      </w:r>
      <w:r>
        <w:t>.</w:t>
      </w:r>
    </w:p>
    <w:p>
      <w:pPr>
        <w:pStyle w:val="Heading5"/>
        <w:rPr>
          <w:spacing w:val="-2"/>
        </w:rPr>
      </w:pPr>
      <w:bookmarkStart w:id="5" w:name="_Toc167186362"/>
      <w:bookmarkStart w:id="6" w:name="_Toc16718655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>This order</w:t>
      </w:r>
      <w:r>
        <w:rPr>
          <w:spacing w:val="-2"/>
        </w:rPr>
        <w:t xml:space="preserve"> comes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clauses</w:t>
      </w:r>
      <w:r>
        <w:t> 1 and 2 — on the day on which this order is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order</w:t>
      </w:r>
      <w:r>
        <w:t> — on 1 July 2024.</w:t>
      </w:r>
    </w:p>
    <w:p>
      <w:pPr>
        <w:pStyle w:val="Heading5"/>
        <w:rPr>
          <w:snapToGrid w:val="0"/>
        </w:rPr>
      </w:pPr>
      <w:bookmarkStart w:id="7" w:name="_Toc167186363"/>
      <w:bookmarkStart w:id="8" w:name="_Toc16718656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Order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This order </w:t>
      </w:r>
      <w:r>
        <w:rPr>
          <w:spacing w:val="-2"/>
        </w:rPr>
        <w:t>amends</w:t>
      </w:r>
      <w:r>
        <w:t xml:space="preserve"> the </w:t>
      </w:r>
      <w:r>
        <w:rPr>
          <w:i/>
        </w:rPr>
        <w:t>Health Services (Fees and Charges) Order 2016</w:t>
      </w:r>
      <w:r>
        <w:t>.</w:t>
      </w:r>
    </w:p>
    <w:p>
      <w:pPr>
        <w:pStyle w:val="Heading5"/>
      </w:pPr>
      <w:bookmarkStart w:id="9" w:name="_Toc167186364"/>
      <w:bookmarkStart w:id="10" w:name="_Toc167186561"/>
      <w:r>
        <w:rPr>
          <w:rStyle w:val="CharSectno"/>
        </w:rPr>
        <w:t>4</w:t>
      </w:r>
      <w:r>
        <w:t>.</w:t>
      </w:r>
      <w:r>
        <w:tab/>
        <w:t>Various references to “</w:t>
      </w:r>
      <w:r>
        <w:rPr>
          <w:i/>
          <w:iCs/>
        </w:rPr>
        <w:t>Workers’ Compensation and Injury Management Act 1981</w:t>
      </w:r>
      <w:r>
        <w:t>” amended</w:t>
      </w:r>
      <w:bookmarkEnd w:id="9"/>
      <w:bookmarkEnd w:id="10"/>
    </w:p>
    <w:p>
      <w:pPr>
        <w:pStyle w:val="Subsection"/>
      </w:pPr>
      <w:r>
        <w:tab/>
      </w:r>
      <w:r>
        <w:tab/>
        <w:t>In the provisions listed in the Table delete “</w:t>
      </w:r>
      <w:r>
        <w:rPr>
          <w:i/>
        </w:rPr>
        <w:t>Workers’ Compensation and Injury Management Act 1981</w:t>
      </w:r>
      <w:r>
        <w:t>” and insert:</w:t>
      </w:r>
    </w:p>
    <w:p>
      <w:pPr>
        <w:pStyle w:val="BlankOpen"/>
      </w:pPr>
    </w:p>
    <w:p>
      <w:pPr>
        <w:pStyle w:val="Subsection"/>
        <w:keepNext/>
        <w:rPr>
          <w:i/>
        </w:rPr>
      </w:pPr>
      <w:r>
        <w:rPr>
          <w:i/>
        </w:rPr>
        <w:tab/>
      </w:r>
      <w:r>
        <w:rPr>
          <w:i/>
        </w:rPr>
        <w:tab/>
        <w:t>Workers Compensation and Injury Management Act 2023</w:t>
      </w:r>
    </w:p>
    <w:p>
      <w:pPr>
        <w:pStyle w:val="BlankClose"/>
      </w:pPr>
    </w:p>
    <w:p>
      <w:pPr>
        <w:pStyle w:val="THeadingNAm"/>
      </w:pPr>
      <w:r>
        <w:lastRenderedPageBreak/>
        <w:t>Table</w:t>
      </w:r>
    </w:p>
    <w:tbl>
      <w:tblPr>
        <w:tblW w:w="0" w:type="auto"/>
        <w:tblInd w:w="9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3033"/>
        <w:gridCol w:w="3034"/>
      </w:tblGrid>
      <w:tr>
        <w:tc>
          <w:tcPr>
            <w:tcW w:w="3033" w:type="dxa"/>
          </w:tcPr>
          <w:p>
            <w:pPr>
              <w:pStyle w:val="TableNAm"/>
            </w:pPr>
            <w:r>
              <w:t>cl. 12(3)(a)</w:t>
            </w:r>
          </w:p>
        </w:tc>
        <w:tc>
          <w:tcPr>
            <w:tcW w:w="3034" w:type="dxa"/>
          </w:tcPr>
          <w:p>
            <w:pPr>
              <w:pStyle w:val="TableNAm"/>
            </w:pPr>
            <w:r>
              <w:t>cl. 13(3)(a)</w:t>
            </w:r>
          </w:p>
        </w:tc>
      </w:tr>
      <w:tr>
        <w:tc>
          <w:tcPr>
            <w:tcW w:w="3033" w:type="dxa"/>
          </w:tcPr>
          <w:p>
            <w:pPr>
              <w:pStyle w:val="TableNAm"/>
            </w:pPr>
            <w:r>
              <w:t>cl. 14(5)(a)</w:t>
            </w:r>
          </w:p>
        </w:tc>
        <w:tc>
          <w:tcPr>
            <w:tcW w:w="3034" w:type="dxa"/>
          </w:tcPr>
          <w:p>
            <w:pPr>
              <w:pStyle w:val="TableNAm"/>
            </w:pPr>
            <w:r>
              <w:t>cl. 15(5)(a)</w:t>
            </w:r>
          </w:p>
        </w:tc>
      </w:tr>
    </w:tbl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A. SANDERSON, Minister for Health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62AA8A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09D01772" w14:textId="5CF4C7C0" w:rsidR="00E13E78" w:rsidRDefault="00E13E7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DB4BA5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F2015CE" w14:textId="77777777" w:rsidR="00E13E78" w:rsidRDefault="00E13E7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CF14BD0" w14:textId="0B6D5465" w:rsidR="00E13E78" w:rsidRDefault="00E13E7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DB4BA5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FF64B72" w14:textId="77777777" w:rsidR="00E13E78" w:rsidRDefault="00E13E78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2024/81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2024/81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2024/81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2024/81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2024/81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2024/81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Services (Fees and Charges) Amendment Order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Services (Fees and Charges) Amendment Order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Services (Fees and Charges) Amendment Order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Services (Fees and Charges) Amendment Order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521121641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41609151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416091514_GUID" w:val="afe14116-9fb7-4e1d-827b-062b94bddc5d"/>
    <w:docVar w:name="WAFER_2024042210543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ChangeTrackAuthors.ChangeAuthor"/>
    <w:docVar w:name="WAFER_20240422105437_GUID" w:val="b1d588df-8831-42a1-a8d6-07beb709b575"/>
    <w:docVar w:name="WAFER_2024042212590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422125907_GUID" w:val="d86727d4-0d57-4f58-9d09-50e0cd73be01"/>
    <w:docVar w:name="WAFER_2024052112164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521121641_GUID" w:val="750270ef-0025-4600-a820-3b3deac4107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  <w15:docId w15:val="{69FE03E8-07FB-4D10-B964-572312EFA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285</Words>
  <Characters>1481</Characters>
  <Application>Microsoft Office Word</Application>
  <DocSecurity>0</DocSecurity>
  <Lines>70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Services (Fees and Charges) Amendment Order (No. 2)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2025-06-19T02:45:00Z</dcterms:created>
  <dcterms:modified xsi:type="dcterms:W3CDTF">2025-06-19T02:45:00Z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54668</vt:lpwstr>
  </property>
  <property fmtid="{D5CDD505-2E9C-101B-9397-08002B2CF9AE}" pid="3" name="DocumentType">
    <vt:lpwstr>Reg</vt:lpwstr>
  </property>
  <property fmtid="{D5CDD505-2E9C-101B-9397-08002B2CF9AE}" pid="4" name="AsAtDate">
    <vt:lpwstr>22 May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2024/81</vt:lpwstr>
  </property>
  <property fmtid="{D5CDD505-2E9C-101B-9397-08002B2CF9AE}" pid="8" name="PublishDate">
    <vt:lpwstr>22 May 2024</vt:lpwstr>
  </property>
  <property fmtid="{D5CDD505-2E9C-101B-9397-08002B2CF9AE}" pid="9" name="CommencementDate">
    <vt:lpwstr>20240522</vt:lpwstr>
  </property>
  <property fmtid="{D5CDD505-2E9C-101B-9397-08002B2CF9AE}" pid="10" name="CommencementAsAt">
    <vt:filetime>2024-05-21T16:00:00Z</vt:filetime>
  </property>
  <property fmtid="{D5CDD505-2E9C-101B-9397-08002B2CF9AE}" pid="11" name="CommencementYear">
    <vt:lpwstr>2024</vt:lpwstr>
  </property>
</Properties>
</file>