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Waste Avoidance and Resource Recovery Act 2007</w:t>
      </w:r>
      <w:r>
        <w:rPr>
          <w:noProof/>
        </w:rPr>
        <w:br/>
        <w:t>Waste Avoidance and Resource Recovery Levy Act 2007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Waste Avoidance and Resource Recovery Levy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Waste Avoidance and Resource Recovery Levy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_Toc167360149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_Toc167360150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_Toc167360151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_Toc167360152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i/>
          <w:iCs/>
        </w:rPr>
        <w:t>Waste Avoidance and Resource Recovery Levy Amendment Regulations 2023</w:t>
      </w:r>
      <w:r>
        <w:t xml:space="preserve"> repealed</w:t>
      </w:r>
      <w:r>
        <w:tab/>
      </w:r>
      <w:r>
        <w:fldChar w:fldCharType="begin"/>
      </w:r>
      <w:r>
        <w:instrText xml:space="preserve"> PAGEREF _Toc167360153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Waste Avoidance and Resource Recovery Act 2007</w:t>
      </w:r>
      <w:r>
        <w:br/>
        <w:t>Waste Avoidance and Resource Recovery Levy Act 2007</w:t>
      </w:r>
    </w:p>
    <w:p>
      <w:pPr>
        <w:pStyle w:val="NameofActReg"/>
      </w:pPr>
      <w:r>
        <w:t>Waste Avoidance and Resource Recovery Levy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7359974"/>
      <w:bookmarkStart w:id="3" w:name="_Toc16736014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Waste Avoidance and Resource Recovery Levy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67359975"/>
      <w:bookmarkStart w:id="6" w:name="_Toc16736015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regulation 5 — on the day after publication day;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7359976"/>
      <w:bookmarkStart w:id="8" w:name="_Toc16736015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Waste Avoidance and Resource Recovery Levy Regulations 2008</w:t>
      </w:r>
      <w:r>
        <w:t>.</w:t>
      </w:r>
    </w:p>
    <w:p>
      <w:pPr>
        <w:pStyle w:val="Heading5"/>
      </w:pPr>
      <w:bookmarkStart w:id="9" w:name="_Toc167359977"/>
      <w:bookmarkStart w:id="10" w:name="_Toc167360152"/>
      <w:r>
        <w:rPr>
          <w:rStyle w:val="CharSectno"/>
        </w:rPr>
        <w:t>4</w:t>
      </w:r>
      <w:r>
        <w:t>.</w:t>
      </w:r>
      <w:r>
        <w:tab/>
        <w:t>Regulation 12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12(1) in the description of the variable “R”:</w:t>
      </w:r>
    </w:p>
    <w:p>
      <w:pPr>
        <w:pStyle w:val="Indenta"/>
      </w:pPr>
      <w:r>
        <w:tab/>
        <w:t>(a)</w:t>
      </w:r>
      <w:r>
        <w:tab/>
        <w:t>after paragraph (f) insert:</w:t>
      </w:r>
    </w:p>
    <w:p>
      <w:pPr>
        <w:pStyle w:val="BlankOpen"/>
      </w:pPr>
    </w:p>
    <w:p>
      <w:pPr>
        <w:pStyle w:val="zMiscellaneousBody"/>
        <w:spacing w:before="80"/>
        <w:ind w:left="2773" w:hanging="635"/>
      </w:pPr>
      <w:r>
        <w:t>(g)</w:t>
      </w:r>
      <w:r>
        <w:tab/>
        <w:t>on or after 1 July 2019 and before 1 July 2024 — $105;</w:t>
      </w:r>
    </w:p>
    <w:p>
      <w:pPr>
        <w:pStyle w:val="zMiscellaneousBody"/>
        <w:keepNext/>
        <w:spacing w:before="80"/>
        <w:ind w:left="2773" w:hanging="635"/>
      </w:pPr>
      <w:r>
        <w:lastRenderedPageBreak/>
        <w:t>(h)</w:t>
      </w:r>
      <w:r>
        <w:tab/>
        <w:t>on or after 1 July 2024 — $129;</w:t>
      </w:r>
    </w:p>
    <w:p>
      <w:pPr>
        <w:pStyle w:val="BlankClose"/>
      </w:pPr>
    </w:p>
    <w:p>
      <w:pPr>
        <w:pStyle w:val="Indenta"/>
        <w:keepNext/>
      </w:pPr>
      <w:r>
        <w:tab/>
        <w:t>(b)</w:t>
      </w:r>
      <w:r>
        <w:tab/>
        <w:t>delete:</w:t>
      </w:r>
    </w:p>
    <w:p>
      <w:pPr>
        <w:pStyle w:val="DeleteOpen"/>
      </w:pPr>
    </w:p>
    <w:p>
      <w:pPr>
        <w:pStyle w:val="MiscellaneousBody"/>
        <w:spacing w:before="80"/>
        <w:ind w:left="2336" w:hanging="635"/>
      </w:pPr>
      <w:r>
        <w:t>(d)</w:t>
      </w:r>
      <w:r>
        <w:tab/>
        <w:t>on or after 1 July 2019 — $105;</w:t>
      </w:r>
    </w:p>
    <w:p>
      <w:pPr>
        <w:pStyle w:val="DeleteClose"/>
      </w:pPr>
    </w:p>
    <w:p>
      <w:pPr>
        <w:pStyle w:val="Subsection"/>
        <w:keepNext/>
      </w:pPr>
      <w:r>
        <w:tab/>
        <w:t>(2)</w:t>
      </w:r>
      <w:r>
        <w:tab/>
        <w:t>In regulation 12(2) in the description of the variable “R”: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 xml:space="preserve">in paragraph (h) delete “2019 — $70.” and insert: </w:t>
      </w:r>
    </w:p>
    <w:p>
      <w:pPr>
        <w:pStyle w:val="BlankOpen"/>
      </w:pPr>
    </w:p>
    <w:p>
      <w:pPr>
        <w:pStyle w:val="Indenta"/>
      </w:pPr>
      <w:r>
        <w:tab/>
      </w:r>
      <w:r>
        <w:tab/>
        <w:t>2019 and before 1 July 2024 — $70;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(h) insert:</w:t>
      </w:r>
    </w:p>
    <w:p>
      <w:pPr>
        <w:pStyle w:val="BlankOpen"/>
      </w:pPr>
    </w:p>
    <w:p>
      <w:pPr>
        <w:pStyle w:val="zMiscellaneousBody"/>
        <w:spacing w:before="80"/>
        <w:ind w:left="2773" w:hanging="635"/>
        <w:rPr>
          <w:rStyle w:val="DraftersNotes"/>
          <w:b w:val="0"/>
          <w:i w:val="0"/>
          <w:sz w:val="24"/>
        </w:rPr>
      </w:pPr>
      <w:r>
        <w:t>(i)</w:t>
      </w:r>
      <w:r>
        <w:tab/>
        <w:t>on or after 1 July 2024 — $85.</w:t>
      </w:r>
    </w:p>
    <w:p>
      <w:pPr>
        <w:pStyle w:val="BlankClose"/>
      </w:pPr>
    </w:p>
    <w:p>
      <w:pPr>
        <w:pStyle w:val="Heading5"/>
      </w:pPr>
      <w:bookmarkStart w:id="11" w:name="_Toc167359978"/>
      <w:bookmarkStart w:id="12" w:name="_Toc167360153"/>
      <w:r>
        <w:rPr>
          <w:rStyle w:val="CharSectno"/>
        </w:rPr>
        <w:t>5</w:t>
      </w:r>
      <w:r>
        <w:t>.</w:t>
      </w:r>
      <w:r>
        <w:tab/>
      </w:r>
      <w:r>
        <w:rPr>
          <w:i/>
          <w:iCs/>
        </w:rPr>
        <w:t>Waste Avoidance and Resource Recovery Levy Amendment Regulations 2023</w:t>
      </w:r>
      <w:r>
        <w:t xml:space="preserve"> repealed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 </w:t>
      </w:r>
      <w:r>
        <w:rPr>
          <w:i/>
          <w:iCs/>
        </w:rPr>
        <w:t xml:space="preserve">Waste Avoidance and Resource Recovery Levy Amendment Regulations 2023 </w:t>
      </w:r>
      <w:r>
        <w:t>are repealed.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8312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B40E1D3" w14:textId="40785E1C" w:rsidR="0012494C" w:rsidRDefault="001249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242875" w14:textId="77777777" w:rsidR="0012494C" w:rsidRDefault="001249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30CAF2" w14:textId="559900F0" w:rsidR="0012494C" w:rsidRDefault="001249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3E699D5" w14:textId="77777777" w:rsidR="0012494C" w:rsidRDefault="0012494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231232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010942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01094241_GUID" w:val="bf673916-c15d-4a3a-82fa-235eb1a6cd22"/>
    <w:docVar w:name="WAFER_202405070940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7094052_GUID" w:val="9e650dd1-7fdc-47bb-a1a7-3ace8adcab18"/>
    <w:docVar w:name="WAFER_20240523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23123222_GUID" w:val="8e7f4771-2ec7-4d0e-9449-33efce7d6d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2171A0ED-57C8-434E-9D02-50B8DEE46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2113</Characters>
  <Application>Microsoft Office Word</Application>
  <DocSecurity>0</DocSecurity>
  <Lines>88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Avoidance and Resource Recovery Levy Amendment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2025-06-19T02:47:00Z</dcterms:created>
  <dcterms:modified xsi:type="dcterms:W3CDTF">2025-06-19T02:47:00Z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54852</vt:lpwstr>
  </property>
  <property fmtid="{D5CDD505-2E9C-101B-9397-08002B2CF9AE}" pid="3" name="DocumentType">
    <vt:lpwstr>Reg</vt:lpwstr>
  </property>
  <property fmtid="{D5CDD505-2E9C-101B-9397-08002B2CF9AE}" pid="4" name="AsAtDate">
    <vt:lpwstr>29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2024/84</vt:lpwstr>
  </property>
  <property fmtid="{D5CDD505-2E9C-101B-9397-08002B2CF9AE}" pid="8" name="PublishDate">
    <vt:lpwstr>29 May 2024</vt:lpwstr>
  </property>
  <property fmtid="{D5CDD505-2E9C-101B-9397-08002B2CF9AE}" pid="9" name="CommencementDate">
    <vt:lpwstr>20240529</vt:lpwstr>
  </property>
  <property fmtid="{D5CDD505-2E9C-101B-9397-08002B2CF9AE}" pid="10" name="CommencementAsAt">
    <vt:filetime>2024-05-28T16:00:00Z</vt:filetime>
  </property>
  <property fmtid="{D5CDD505-2E9C-101B-9397-08002B2CF9AE}" pid="11" name="CommencementYear">
    <vt:lpwstr>2024</vt:lpwstr>
  </property>
</Properties>
</file>