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_Toc167369601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_Toc167369602 \h </w:instrText>
      </w:r>
      <w:r>
        <w:fldChar w:fldCharType="separate"/>
      </w:r>
      <w:r>
        <w:t>1</w:t>
      </w:r>
      <w:r>
        <w:fldChar w:fldCharType="end"/>
      </w:r>
    </w:p>
    <w:p>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_Toc167369603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_Toc167369604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_Toc167369605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_Toc167369606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_Toc167369607 \h </w:instrText>
      </w:r>
      <w:r>
        <w:fldChar w:fldCharType="separate"/>
      </w:r>
      <w:r>
        <w:t>3</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_Toc167369608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_Toc167369609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_Toc167369610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_Toc167369611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_Toc167369612 \h </w:instrText>
      </w:r>
      <w:r>
        <w:fldChar w:fldCharType="separate"/>
      </w:r>
      <w:r>
        <w:t>5</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_Toc167369613 \h </w:instrText>
      </w:r>
      <w:r>
        <w:fldChar w:fldCharType="separate"/>
      </w:r>
      <w:r>
        <w:t>5</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_Toc167369614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_Toc167369615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_Toc167369616 \h </w:instrText>
      </w:r>
      <w:r>
        <w:fldChar w:fldCharType="separate"/>
      </w:r>
      <w:r>
        <w:t>6</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_Toc167369617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_Toc167369618 \h </w:instrText>
      </w:r>
      <w:r>
        <w:fldChar w:fldCharType="separate"/>
      </w:r>
      <w:r>
        <w:t>7</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_Toc167369619 \h </w:instrText>
      </w:r>
      <w:r>
        <w:fldChar w:fldCharType="separate"/>
      </w:r>
      <w:r>
        <w:t>7</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_Toc167369620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_Toc167369621 \h </w:instrText>
      </w:r>
      <w:r>
        <w:fldChar w:fldCharType="separate"/>
      </w:r>
      <w:r>
        <w:t>8</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_Toc167369622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_Toc167369623 \h </w:instrText>
      </w:r>
      <w:r>
        <w:fldChar w:fldCharType="separate"/>
      </w:r>
      <w:r>
        <w:t>9</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_Toc167369624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_Toc167369625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_Toc167369626 \h </w:instrText>
      </w:r>
      <w:r>
        <w:fldChar w:fldCharType="separate"/>
      </w:r>
      <w:r>
        <w:t>10</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_Toc167369627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_Toc167369628 \h </w:instrText>
      </w:r>
      <w:r>
        <w:fldChar w:fldCharType="separate"/>
      </w:r>
      <w:r>
        <w:t>11</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_Toc167369629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_Toc167369630 \h </w:instrText>
      </w:r>
      <w:r>
        <w:fldChar w:fldCharType="separate"/>
      </w:r>
      <w:r>
        <w:t>12</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_Toc167369631 \h </w:instrText>
      </w:r>
      <w:r>
        <w:fldChar w:fldCharType="separate"/>
      </w:r>
      <w:r>
        <w:t>12</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_Toc167369632 \h </w:instrText>
      </w:r>
      <w:r>
        <w:fldChar w:fldCharType="separate"/>
      </w:r>
      <w:r>
        <w:t>13</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_Toc167369633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_Toc167369634 \h </w:instrText>
      </w:r>
      <w:r>
        <w:fldChar w:fldCharType="separate"/>
      </w:r>
      <w:r>
        <w:t>14</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_Toc167369635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_Toc167369636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_Toc167369637 \h </w:instrText>
      </w:r>
      <w:r>
        <w:fldChar w:fldCharType="separate"/>
      </w:r>
      <w:r>
        <w:t>15</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_Toc167369638 \h </w:instrText>
      </w:r>
      <w:r>
        <w:fldChar w:fldCharType="separate"/>
      </w:r>
      <w:r>
        <w:t>16</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_Toc167369639 \h </w:instrText>
      </w:r>
      <w:r>
        <w:fldChar w:fldCharType="separate"/>
      </w:r>
      <w:r>
        <w:t>17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_Toc167369640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_Toc167369642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_Toc167369643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_Toc167369644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2" w:name="_Toc167369601"/>
      <w:r>
        <w:rPr>
          <w:rStyle w:val="CharSectno"/>
        </w:rPr>
        <w:t>1</w:t>
      </w:r>
      <w:r>
        <w:t>.</w:t>
      </w:r>
      <w:r>
        <w:tab/>
        <w:t>Citation</w:t>
      </w:r>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67369602"/>
      <w:r>
        <w:rPr>
          <w:rStyle w:val="CharSectno"/>
        </w:rPr>
        <w:t>2</w:t>
      </w:r>
      <w:r>
        <w:rPr>
          <w:spacing w:val="-2"/>
        </w:rPr>
        <w:t>.</w:t>
      </w:r>
      <w:r>
        <w:rPr>
          <w:spacing w:val="-2"/>
        </w:rPr>
        <w:tab/>
        <w:t>Commencement</w:t>
      </w:r>
      <w:bookmarkEnd w:id="3"/>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4" w:name="_Toc167369603"/>
      <w:r>
        <w:rPr>
          <w:rStyle w:val="CharSectno"/>
        </w:rPr>
        <w:t>2B</w:t>
      </w:r>
      <w:r>
        <w:t>.</w:t>
      </w:r>
      <w:r>
        <w:tab/>
        <w:t>Term used: tax information</w:t>
      </w:r>
      <w:bookmarkEnd w:id="4"/>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5" w:name="_Toc167369604"/>
      <w:r>
        <w:rPr>
          <w:rStyle w:val="CharSectno"/>
        </w:rPr>
        <w:lastRenderedPageBreak/>
        <w:t>3A</w:t>
      </w:r>
      <w:r>
        <w:t>.</w:t>
      </w:r>
      <w:r>
        <w:tab/>
        <w:t>Rates of interest under compromise assessments (section 20A)</w:t>
      </w:r>
      <w:bookmarkEnd w:id="5"/>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3.7% per annum;</w:t>
      </w:r>
    </w:p>
    <w:p>
      <w:pPr>
        <w:pStyle w:val="Indenta"/>
        <w:keepNext/>
      </w:pPr>
      <w:r>
        <w:tab/>
        <w:t>(b)</w:t>
      </w:r>
      <w:r>
        <w:tab/>
        <w:t>if the agreement provides for the payment of interest by a taxpayer — 11.7% per annum.</w:t>
      </w:r>
    </w:p>
    <w:p>
      <w:pPr>
        <w:pStyle w:val="Footnotesection"/>
        <w:rPr>
          <w:b/>
          <w:i w:val="0"/>
        </w:rPr>
      </w:pPr>
      <w:r>
        <w:tab/>
        <w:t>[Regulation 3A inserted: Gazette 11 Dec 2015 p. 4962; amended: Gazette 28 Jun  2019 p. 2493; SL 2020/71 r. 6; SL 2023/70 r. 6.]</w:t>
      </w:r>
    </w:p>
    <w:p>
      <w:pPr>
        <w:pStyle w:val="Heading5"/>
        <w:spacing w:before="200"/>
      </w:pPr>
      <w:bookmarkStart w:id="6" w:name="_Toc167369605"/>
      <w:r>
        <w:rPr>
          <w:rStyle w:val="CharSectno"/>
        </w:rPr>
        <w:t>3</w:t>
      </w:r>
      <w:r>
        <w:t>.</w:t>
      </w:r>
      <w:r>
        <w:tab/>
        <w:t>Rate of interest for refunds and credits resulting from objections (section 39)</w:t>
      </w:r>
      <w:bookmarkEnd w:id="6"/>
    </w:p>
    <w:p>
      <w:pPr>
        <w:pStyle w:val="Subsection"/>
        <w:spacing w:before="140"/>
      </w:pPr>
      <w:r>
        <w:tab/>
      </w:r>
      <w:r>
        <w:tab/>
        <w:t>The rate of interest payable for the purposes of section 39(2) of the Act is 3.7% per annum.</w:t>
      </w:r>
    </w:p>
    <w:p>
      <w:pPr>
        <w:pStyle w:val="Footnotesection"/>
      </w:pPr>
      <w:r>
        <w:tab/>
        <w:t>[Regulation 3 amended: Gazette 17 May 2013 p. 1985; 17 Dec 2013 p. 6240; 26 Jun 2015 p. 2279; 11 Dec 2015 p. 4962; 28 Jun  2019 p. 2493; SL 2020/71 r. 6; SL 2023/70 r. 6.]</w:t>
      </w:r>
    </w:p>
    <w:p>
      <w:pPr>
        <w:pStyle w:val="Heading5"/>
        <w:spacing w:before="200"/>
      </w:pPr>
      <w:bookmarkStart w:id="7" w:name="_Toc167369606"/>
      <w:r>
        <w:rPr>
          <w:rStyle w:val="CharSectno"/>
        </w:rPr>
        <w:t>4</w:t>
      </w:r>
      <w:r>
        <w:t>.</w:t>
      </w:r>
      <w:r>
        <w:tab/>
        <w:t>Rate of interest for overpaid amounts (section 43)</w:t>
      </w:r>
      <w:bookmarkEnd w:id="7"/>
    </w:p>
    <w:p>
      <w:pPr>
        <w:pStyle w:val="Subsection"/>
      </w:pPr>
      <w:r>
        <w:tab/>
      </w:r>
      <w:r>
        <w:tab/>
        <w:t>The rate of interest payable for the purposes of section 43(3) of the Act is 3.7% per annum.</w:t>
      </w:r>
    </w:p>
    <w:p>
      <w:pPr>
        <w:pStyle w:val="Footnotesection"/>
        <w:ind w:left="890" w:hanging="890"/>
      </w:pPr>
      <w:r>
        <w:tab/>
        <w:t>[Regulation 4 amended: Gazette 17 May 2013 p. 1985; 17 Dec 2013 p. 6241; 26 Jun 2015 p. 2279; 11 Dec 2015 p. 4963; 28 Jun  2019 p. 2493; SL 2020/71 r. 6; SL 2023/70 r. 6.]</w:t>
      </w:r>
    </w:p>
    <w:p>
      <w:pPr>
        <w:pStyle w:val="Heading5"/>
      </w:pPr>
      <w:bookmarkStart w:id="8" w:name="_Toc167369607"/>
      <w:r>
        <w:rPr>
          <w:rStyle w:val="CharSectno"/>
        </w:rPr>
        <w:lastRenderedPageBreak/>
        <w:t>5</w:t>
      </w:r>
      <w:r>
        <w:t>.</w:t>
      </w:r>
      <w:r>
        <w:tab/>
        <w:t>Rate of interest for outstanding amounts (section 47)</w:t>
      </w:r>
      <w:bookmarkEnd w:id="8"/>
    </w:p>
    <w:p>
      <w:pPr>
        <w:pStyle w:val="Subsection"/>
        <w:keepNext/>
      </w:pPr>
      <w:r>
        <w:tab/>
      </w:r>
      <w:r>
        <w:tab/>
        <w:t>The rate of interest payable for the purposes of section 47(3) of the Act is 11.7%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w:t>
      </w:r>
    </w:p>
    <w:p>
      <w:pPr>
        <w:pStyle w:val="Heading5"/>
      </w:pPr>
      <w:bookmarkStart w:id="9" w:name="_Toc167369608"/>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lastRenderedPageBreak/>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167369609"/>
      <w:r>
        <w:rPr>
          <w:rStyle w:val="CharSectno"/>
        </w:rPr>
        <w:t>5B</w:t>
      </w:r>
      <w:r>
        <w:t>.</w:t>
      </w:r>
      <w:r>
        <w:tab/>
        <w:t>Rate of interest for refunds following interim assessments (section 54(2A))</w:t>
      </w:r>
      <w:bookmarkEnd w:id="10"/>
    </w:p>
    <w:p>
      <w:pPr>
        <w:pStyle w:val="Subsection"/>
      </w:pPr>
      <w:r>
        <w:tab/>
      </w:r>
      <w:r>
        <w:tab/>
        <w:t>The rate of interest payable for the purposes of section 54(2A) of the Act is 3.7% per annum.</w:t>
      </w:r>
    </w:p>
    <w:p>
      <w:pPr>
        <w:pStyle w:val="Footnotesection"/>
      </w:pPr>
      <w:r>
        <w:tab/>
        <w:t>[Regulation 5B inserted: Gazette 17 Dec 2013 p. 6241; amended: Gazette 26 Jun 2015 p. 2280; 11 Dec 2015 p. 4963; 28 Jun  2019 p. 2493; SL 2020/71 r. 6; SL 2023/70 r. 6.]</w:t>
      </w:r>
    </w:p>
    <w:p>
      <w:pPr>
        <w:pStyle w:val="Heading5"/>
      </w:pPr>
      <w:bookmarkStart w:id="11" w:name="_Toc167369610"/>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3.7% per annum.</w:t>
      </w:r>
    </w:p>
    <w:p>
      <w:pPr>
        <w:pStyle w:val="Footnotesection"/>
      </w:pPr>
      <w:r>
        <w:tab/>
        <w:t>[Regulation 5C inserted: Gazette 13 Aug 2019 p. 3042; amended: SL 2020/206 r. 13; SL 2023/70 r. 6.]</w:t>
      </w:r>
    </w:p>
    <w:p>
      <w:pPr>
        <w:pStyle w:val="Heading5"/>
      </w:pPr>
      <w:bookmarkStart w:id="12" w:name="_Toc167369611"/>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167369612"/>
      <w:r>
        <w:rPr>
          <w:rStyle w:val="CharSectno"/>
        </w:rPr>
        <w:lastRenderedPageBreak/>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167369613"/>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167369614"/>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167369615"/>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lastRenderedPageBreak/>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167369616"/>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167369617"/>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167369618"/>
      <w:r>
        <w:rPr>
          <w:rStyle w:val="CharSectno"/>
        </w:rPr>
        <w:lastRenderedPageBreak/>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167369619"/>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167369620"/>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lastRenderedPageBreak/>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167369621"/>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167369622"/>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keepNext/>
      </w:pPr>
      <w:r>
        <w:tab/>
        <w:t>(2)</w:t>
      </w:r>
      <w:r>
        <w:tab/>
        <w:t xml:space="preserve">If a member of the Parliament of the State or of the Commonwealth writes to the Minister on behalf of a person about the person’s taxation affairs, the Commissioner may disclose tax information that relates to the person to the Minister </w:t>
      </w:r>
      <w:r>
        <w:lastRenderedPageBreak/>
        <w:t>for the purpose of enabling the Minister to respond to the member.</w:t>
      </w:r>
    </w:p>
    <w:p>
      <w:pPr>
        <w:pStyle w:val="Footnotesection"/>
      </w:pPr>
      <w:r>
        <w:tab/>
        <w:t>[Regulation 13D inserted: Gazette 9 Sep 2011 p. 3685-6; amended: SL 2021/116 r. 5.]</w:t>
      </w:r>
    </w:p>
    <w:p>
      <w:pPr>
        <w:pStyle w:val="Heading5"/>
      </w:pPr>
      <w:bookmarkStart w:id="24" w:name="_Toc167369623"/>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167369624"/>
      <w:r>
        <w:rPr>
          <w:rStyle w:val="CharSectno"/>
        </w:rPr>
        <w:t>13F</w:t>
      </w:r>
      <w:r>
        <w:t>.</w:t>
      </w:r>
      <w:r>
        <w:tab/>
        <w:t>Disclosure of information to Australian Border Force Commissioner (s. 114(3)(g))</w:t>
      </w:r>
      <w:bookmarkEnd w:id="25"/>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6" w:name="_Toc167369625"/>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lastRenderedPageBreak/>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167369626"/>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8" w:name="_Toc16736962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w:t>
      </w:r>
      <w:r>
        <w:lastRenderedPageBreak/>
        <w:t xml:space="preserve">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167369628"/>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0" w:name="_Toc167369629"/>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167369630"/>
      <w:r>
        <w:rPr>
          <w:rStyle w:val="CharSectno"/>
        </w:rPr>
        <w:lastRenderedPageBreak/>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2" w:name="_Toc167369631"/>
      <w:r>
        <w:rPr>
          <w:rStyle w:val="CharSectno"/>
        </w:rPr>
        <w:t>13M</w:t>
      </w:r>
      <w:r>
        <w:t>.</w:t>
      </w:r>
      <w:r>
        <w:tab/>
        <w:t>Disclosure of information to Australian Building and Construction Commissioner (s. 114(3)(g))</w:t>
      </w:r>
      <w:bookmarkEnd w:id="3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w:t>
      </w:r>
      <w:r>
        <w:lastRenderedPageBreak/>
        <w:t xml:space="preserve">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3" w:name="_Toc167369632"/>
      <w:r>
        <w:rPr>
          <w:rStyle w:val="CharSectno"/>
        </w:rPr>
        <w:t>13N</w:t>
      </w:r>
      <w:r>
        <w:t>.</w:t>
      </w:r>
      <w:r>
        <w:tab/>
        <w:t>Disclosure of information to Building Commissioner (s. 114(3)(g))</w:t>
      </w:r>
      <w:bookmarkEnd w:id="33"/>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4" w:name="_Toc167369633"/>
      <w:r>
        <w:rPr>
          <w:rStyle w:val="CharSectno"/>
        </w:rPr>
        <w:t>13O</w:t>
      </w:r>
      <w:r>
        <w:t>.</w:t>
      </w:r>
      <w:r>
        <w:tab/>
        <w:t>Disclosure of information to Commissioner for Consumer Protection (s. 114(3)(g))</w:t>
      </w:r>
      <w:bookmarkEnd w:id="34"/>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35" w:name="_Toc167369634"/>
      <w:r>
        <w:rPr>
          <w:rStyle w:val="CharSectno"/>
        </w:rPr>
        <w:lastRenderedPageBreak/>
        <w:t>13P</w:t>
      </w:r>
      <w:r>
        <w:t>.</w:t>
      </w:r>
      <w:r>
        <w:tab/>
        <w:t>Disclosure of information to industrial inspectors (s. 114(3)(g))</w:t>
      </w:r>
      <w:bookmarkEnd w:id="35"/>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36" w:name="_Toc167369635"/>
      <w:r>
        <w:rPr>
          <w:rStyle w:val="CharSectno"/>
        </w:rPr>
        <w:t>13Q</w:t>
      </w:r>
      <w:r>
        <w:t>.</w:t>
      </w:r>
      <w:r>
        <w:tab/>
        <w:t>Disclosure of information about State agency suppliers (s. 114(3)(g))</w:t>
      </w:r>
      <w:bookmarkEnd w:id="36"/>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7" w:name="_Toc167369636"/>
      <w:r>
        <w:rPr>
          <w:rStyle w:val="CharSectno"/>
        </w:rPr>
        <w:lastRenderedPageBreak/>
        <w:t>13</w:t>
      </w:r>
      <w:r>
        <w:t>.</w:t>
      </w:r>
      <w:r>
        <w:tab/>
        <w:t>Disclosure of information about pastoral lessees (section 114(3)(g))</w:t>
      </w:r>
      <w:bookmarkEnd w:id="37"/>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8" w:name="_Toc167369637"/>
      <w:r>
        <w:rPr>
          <w:rStyle w:val="CharSectno"/>
        </w:rPr>
        <w:t>14A</w:t>
      </w:r>
      <w:r>
        <w:t>.</w:t>
      </w:r>
      <w:r>
        <w:tab/>
        <w:t>Disclosure of information about legal practitioners and settlement agents (s. 114(3)(g))</w:t>
      </w:r>
      <w:bookmarkEnd w:id="38"/>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lastRenderedPageBreak/>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39" w:name="_Toc167369638"/>
      <w:r>
        <w:rPr>
          <w:rStyle w:val="CharSectno"/>
        </w:rPr>
        <w:t>14</w:t>
      </w:r>
      <w:r>
        <w:t>.</w:t>
      </w:r>
      <w:r>
        <w:tab/>
        <w:t>Service on Commissioner (section 115)</w:t>
      </w:r>
      <w:bookmarkEnd w:id="39"/>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w:t>
      </w:r>
      <w:r>
        <w:lastRenderedPageBreak/>
        <w:t xml:space="preserve">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0" w:name="_Toc167369639"/>
      <w:r>
        <w:rPr>
          <w:rStyle w:val="CharSectno"/>
        </w:rPr>
        <w:t>14AA</w:t>
      </w:r>
      <w:r>
        <w:t>.</w:t>
      </w:r>
      <w:r>
        <w:tab/>
        <w:t>When documents not served personally are taken to be served (section 117(4))</w:t>
      </w:r>
      <w:bookmarkEnd w:id="40"/>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w:t>
      </w:r>
      <w:r>
        <w:lastRenderedPageBreak/>
        <w:t>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41" w:name="_Toc167369640"/>
      <w:r>
        <w:rPr>
          <w:rStyle w:val="CharSectno"/>
        </w:rPr>
        <w:t>15</w:t>
      </w:r>
      <w:r>
        <w:t>.</w:t>
      </w:r>
      <w:r>
        <w:tab/>
        <w:t>Prescription of Commissioner as State taxation officer</w:t>
      </w:r>
      <w:bookmarkEnd w:id="41"/>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2" w:name="_Toc167365280"/>
      <w:bookmarkStart w:id="43" w:name="_Toc167365939"/>
      <w:bookmarkStart w:id="44" w:name="_Toc167369641"/>
      <w:r>
        <w:lastRenderedPageBreak/>
        <w:t>Notes</w:t>
      </w:r>
      <w:bookmarkEnd w:id="42"/>
      <w:bookmarkEnd w:id="43"/>
      <w:bookmarkEnd w:id="44"/>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 w:name="_Toc167369642"/>
      <w:r>
        <w:t>Compilation table</w:t>
      </w:r>
      <w:bookmarkEnd w:id="4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bl>
    <w:p>
      <w:pPr>
        <w:pStyle w:val="nHeading3"/>
      </w:pPr>
      <w:bookmarkStart w:id="46" w:name="_Toc167369643"/>
      <w:r>
        <w:t>Uncommenced provisions table</w:t>
      </w:r>
      <w:bookmarkEnd w:id="4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Finance Regulations Amendment (Interest Rates) Regulations 2024</w:t>
            </w:r>
            <w:r>
              <w:rPr>
                <w:iCs/>
              </w:rPr>
              <w:t xml:space="preserve"> Pt. 3</w:t>
            </w:r>
          </w:p>
        </w:tc>
        <w:tc>
          <w:tcPr>
            <w:tcW w:w="1276" w:type="dxa"/>
          </w:tcPr>
          <w:p>
            <w:pPr>
              <w:pStyle w:val="nTable"/>
              <w:spacing w:after="40"/>
            </w:pPr>
            <w:r>
              <w:t>SL 2024/82 29 May 2024</w:t>
            </w:r>
          </w:p>
        </w:tc>
        <w:tc>
          <w:tcPr>
            <w:tcW w:w="2693" w:type="dxa"/>
          </w:tcPr>
          <w:p>
            <w:pPr>
              <w:pStyle w:val="nTable"/>
              <w:spacing w:after="40"/>
            </w:pPr>
            <w:r>
              <w:t>1 Jul 2024 (see r. 2(b))</w:t>
            </w:r>
          </w:p>
        </w:tc>
      </w:tr>
    </w:tbl>
    <w:p>
      <w:pPr>
        <w:pStyle w:val="nHeading3"/>
      </w:pPr>
      <w:bookmarkStart w:id="47" w:name="_Toc167369644"/>
      <w:r>
        <w:lastRenderedPageBreak/>
        <w:t>Other notes</w:t>
      </w:r>
      <w:bookmarkEnd w:id="47"/>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49" w:name="_Toc167365283"/>
      <w:bookmarkStart w:id="50" w:name="_Toc167365943"/>
      <w:bookmarkStart w:id="51" w:name="_Toc167369645"/>
      <w:r>
        <w:rPr>
          <w:sz w:val="28"/>
        </w:rPr>
        <w:lastRenderedPageBreak/>
        <w:t>Defined terms</w:t>
      </w:r>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Commissioner for Consumer Protection</w:t>
      </w:r>
      <w:r>
        <w:tab/>
        <w:t>13O(1)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industrial inspector</w:t>
      </w:r>
      <w:r>
        <w:tab/>
        <w:t>13P(1)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senior officer</w:t>
      </w:r>
      <w:r>
        <w:tab/>
        <w:t>13Q(1)</w:t>
      </w:r>
    </w:p>
    <w:p>
      <w:pPr>
        <w:pStyle w:val="DefinedTerms"/>
      </w:pPr>
      <w:r>
        <w:t>settlement agent</w:t>
      </w:r>
      <w:r>
        <w:tab/>
        <w:t>14A(1)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t>WorkCover WA</w:t>
      </w:r>
      <w:r>
        <w:tab/>
        <w:t>13J(1)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61126C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A91358" w14:textId="04342111" w:rsidR="00492668" w:rsidRDefault="007162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3921">
                        <w:rPr>
                          <w:sz w:val="16"/>
                        </w:rPr>
                        <w:t>2024</w:t>
                      </w:r>
                      <w:r>
                        <w:rPr>
                          <w:sz w:val="16"/>
                        </w:rPr>
                        <w:fldChar w:fldCharType="end"/>
                      </w:r>
                      <w:r>
                        <w:rPr>
                          <w:sz w:val="16"/>
                        </w:rPr>
                        <w:t>.</w:t>
                      </w:r>
                    </w:p>
                    <w:p w14:paraId="695808C8" w14:textId="77777777" w:rsidR="00492668" w:rsidRDefault="007162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55DD7C" w14:textId="21F3719F" w:rsidR="00492668" w:rsidRDefault="007162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3921">
                        <w:rPr>
                          <w:sz w:val="16"/>
                        </w:rPr>
                        <w:t>2024</w:t>
                      </w:r>
                      <w:r>
                        <w:rPr>
                          <w:sz w:val="16"/>
                        </w:rPr>
                        <w:fldChar w:fldCharType="end"/>
                      </w:r>
                      <w:r>
                        <w:rPr>
                          <w:sz w:val="16"/>
                        </w:rPr>
                        <w:t>.</w:t>
                      </w:r>
                    </w:p>
                    <w:p w14:paraId="061ECF6B" w14:textId="77777777" w:rsidR="00492668" w:rsidRDefault="007162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35849"/>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6247</Words>
  <Characters>31986</Characters>
  <Application>Microsoft Office Word</Application>
  <DocSecurity>0</DocSecurity>
  <Lines>1031</Lines>
  <Paragraphs>579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2003 - 04-q0-00</dc:title>
  <dc:subject/>
  <dc:creator/>
  <cp:keywords/>
  <dc:description/>
  <cp:lastModifiedBy>Master Repository Process</cp:lastModifiedBy>
  <cp:revision>4</cp:revision>
  <cp:lastPrinted>2021-11-03T06:16:00Z</cp:lastPrinted>
  <dcterms:created xsi:type="dcterms:W3CDTF">2025-06-19T02:47:00Z</dcterms:created>
  <dcterms:modified xsi:type="dcterms:W3CDTF">2025-06-19T02:48:00Z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29 May 2024</vt:lpwstr>
  </property>
  <property fmtid="{D5CDD505-2E9C-101B-9397-08002B2CF9AE}" pid="8" name="Suffix">
    <vt:lpwstr>04-q0-00</vt:lpwstr>
  </property>
  <property fmtid="{D5CDD505-2E9C-101B-9397-08002B2CF9AE}" pid="9" name="Official">
    <vt:lpwstr/>
  </property>
  <property fmtid="{D5CDD505-2E9C-101B-9397-08002B2CF9AE}" pid="10" name="CommencementDate">
    <vt:lpwstr>20240529</vt:lpwstr>
  </property>
  <property fmtid="{D5CDD505-2E9C-101B-9397-08002B2CF9AE}" pid="11" name="CommencementAsAt">
    <vt:filetime>2024-05-28T16:00:00Z</vt:filetime>
  </property>
  <property fmtid="{D5CDD505-2E9C-101B-9397-08002B2CF9AE}" pid="12" name="CommencementYear">
    <vt:lpwstr>2024</vt:lpwstr>
  </property>
</Properties>
</file>