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_Toc167439965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_Toc167439966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_Toc167439967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_Toc167439968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of 100 MW or less</w:t>
      </w:r>
      <w:r>
        <w:tab/>
      </w:r>
      <w:r>
        <w:fldChar w:fldCharType="begin"/>
      </w:r>
      <w:r>
        <w:instrText xml:space="preserve"> PAGEREF _Toc167439969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_Toc167439970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_Toc167439971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_Toc167439972 \h </w:instrText>
      </w:r>
      <w:r>
        <w:fldChar w:fldCharType="separate"/>
      </w:r>
      <w:r>
        <w:t>5</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_Toc167439973 \h </w:instrText>
      </w:r>
      <w:r>
        <w:fldChar w:fldCharType="separate"/>
      </w:r>
      <w:r>
        <w:t>6</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_Toc167439974 \h </w:instrText>
      </w:r>
      <w:r>
        <w:fldChar w:fldCharType="separate"/>
      </w:r>
      <w:r>
        <w:t>9</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_Toc167439975 \h </w:instrText>
      </w:r>
      <w:r>
        <w:fldChar w:fldCharType="separate"/>
      </w:r>
      <w:r>
        <w:t>11</w:t>
      </w:r>
      <w:r>
        <w:fldChar w:fldCharType="end"/>
      </w:r>
    </w:p>
    <w:p>
      <w:pPr>
        <w:pStyle w:val="TOC8"/>
        <w:rPr>
          <w:rFonts w:asciiTheme="minorHAnsi" w:eastAsiaTheme="minorEastAsia" w:hAnsiTheme="minorHAnsi" w:cstheme="minorBidi"/>
          <w:szCs w:val="22"/>
        </w:rPr>
      </w:pPr>
      <w:r>
        <w:t>7A.</w:t>
      </w:r>
      <w:r>
        <w:tab/>
        <w:t>Temporary exemptions for supply by Regional Power Corporation to certain Aboriginal communities</w:t>
      </w:r>
      <w:r>
        <w:tab/>
      </w:r>
      <w:r>
        <w:fldChar w:fldCharType="begin"/>
      </w:r>
      <w:r>
        <w:instrText xml:space="preserve"> PAGEREF _Toc167439976 \h </w:instrText>
      </w:r>
      <w:r>
        <w:fldChar w:fldCharType="separate"/>
      </w:r>
      <w:r>
        <w:t>12</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_Toc167439977 \h </w:instrText>
      </w:r>
      <w:r>
        <w:fldChar w:fldCharType="separate"/>
      </w:r>
      <w:r>
        <w:t>13</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_Toc167439978 \h </w:instrText>
      </w:r>
      <w:r>
        <w:fldChar w:fldCharType="separate"/>
      </w:r>
      <w:r>
        <w:t>14</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_Toc167439979 \h </w:instrText>
      </w:r>
      <w:r>
        <w:fldChar w:fldCharType="separate"/>
      </w:r>
      <w:r>
        <w:t>14</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_Toc167439980 \h </w:instrText>
      </w:r>
      <w:r>
        <w:fldChar w:fldCharType="separate"/>
      </w:r>
      <w:r>
        <w:t>16</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_Toc167439981 \h </w:instrText>
      </w:r>
      <w:r>
        <w:fldChar w:fldCharType="separate"/>
      </w:r>
      <w:r>
        <w:t>16</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_Toc167439982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15.</w:t>
      </w:r>
      <w:r>
        <w:tab/>
        <w:t>Exemptions for supply in Eucla</w:t>
      </w:r>
      <w:r>
        <w:tab/>
      </w:r>
      <w:r>
        <w:fldChar w:fldCharType="begin"/>
      </w:r>
      <w:r>
        <w:instrText xml:space="preserve"> PAGEREF _Toc167439983 \h </w:instrText>
      </w:r>
      <w:r>
        <w:fldChar w:fldCharType="separate"/>
      </w:r>
      <w:r>
        <w:t>18</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_Toc167439984 \h </w:instrText>
      </w:r>
      <w:r>
        <w:fldChar w:fldCharType="separate"/>
      </w:r>
      <w:r>
        <w:t>18</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_Toc167439985 \h </w:instrText>
      </w:r>
      <w:r>
        <w:fldChar w:fldCharType="separate"/>
      </w:r>
      <w:r>
        <w:t>19</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_Toc167439986 \h </w:instrText>
      </w:r>
      <w:r>
        <w:fldChar w:fldCharType="separate"/>
      </w:r>
      <w:r>
        <w:t>19</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_Toc167439987 \h </w:instrText>
      </w:r>
      <w:r>
        <w:fldChar w:fldCharType="separate"/>
      </w:r>
      <w:r>
        <w:t>20</w:t>
      </w:r>
      <w:r>
        <w:fldChar w:fldCharType="end"/>
      </w:r>
    </w:p>
    <w:p>
      <w:pPr>
        <w:pStyle w:val="TOC8"/>
        <w:rPr>
          <w:rFonts w:asciiTheme="minorHAnsi" w:eastAsiaTheme="minorEastAsia" w:hAnsiTheme="minorHAnsi" w:cstheme="minorBidi"/>
          <w:szCs w:val="22"/>
        </w:rPr>
      </w:pPr>
      <w:r>
        <w:t>20.</w:t>
      </w:r>
      <w:r>
        <w:tab/>
        <w:t>Exemptions for Blair Fox — Karakin Wind Farm and Beros Road Wind Farm</w:t>
      </w:r>
      <w:r>
        <w:tab/>
      </w:r>
      <w:r>
        <w:fldChar w:fldCharType="begin"/>
      </w:r>
      <w:r>
        <w:instrText xml:space="preserve"> PAGEREF _Toc167439988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_Toc167439989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_Toc167439990 \h </w:instrText>
      </w:r>
      <w:r>
        <w:fldChar w:fldCharType="separate"/>
      </w:r>
      <w:r>
        <w:t>22</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_Toc167439991 \h </w:instrText>
      </w:r>
      <w:r>
        <w:fldChar w:fldCharType="separate"/>
      </w:r>
      <w:r>
        <w:t>23</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_Toc167439992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_Toc167439993 \h </w:instrText>
      </w:r>
      <w:r>
        <w:fldChar w:fldCharType="separate"/>
      </w:r>
      <w:r>
        <w:t>23</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_Toc167439994 \h </w:instrText>
      </w:r>
      <w:r>
        <w:fldChar w:fldCharType="separate"/>
      </w:r>
      <w:r>
        <w:t>24</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_Toc167439995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1A — Aboriginal communities in relation to which Regional Power Corporation temporarily exempt</w:t>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_Toc167439999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2" w:name="_Toc167439965"/>
      <w:r>
        <w:rPr>
          <w:rStyle w:val="CharSectno"/>
        </w:rPr>
        <w:t>1</w:t>
      </w:r>
      <w:r>
        <w:t>.</w:t>
      </w:r>
      <w:r>
        <w:tab/>
        <w:t>Citation</w:t>
      </w:r>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67439966"/>
      <w:r>
        <w:rPr>
          <w:rStyle w:val="CharSectno"/>
        </w:rPr>
        <w:t>2</w:t>
      </w:r>
      <w:r>
        <w:t>.</w:t>
      </w:r>
      <w:r>
        <w:tab/>
        <w:t>Commencement</w:t>
      </w:r>
      <w:bookmarkEnd w:id="4"/>
    </w:p>
    <w:p>
      <w:pPr>
        <w:pStyle w:val="Subsection"/>
      </w:pPr>
      <w:r>
        <w:tab/>
      </w:r>
      <w:r>
        <w:tab/>
        <w:t>This order comes into operation on 1 January 2006.</w:t>
      </w:r>
    </w:p>
    <w:p>
      <w:pPr>
        <w:pStyle w:val="Heading5"/>
      </w:pPr>
      <w:bookmarkStart w:id="5" w:name="_Toc167439967"/>
      <w:r>
        <w:t>3A.</w:t>
      </w:r>
      <w:r>
        <w:tab/>
        <w:t>Terms used</w:t>
      </w:r>
      <w:bookmarkEnd w:id="5"/>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Deposited Plan</w:t>
      </w:r>
      <w:r>
        <w:t xml:space="preserve">, followed by a number, means the deposited plan of that number — </w:t>
      </w:r>
    </w:p>
    <w:p>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pPr>
        <w:pStyle w:val="Defpara"/>
      </w:pPr>
      <w:r>
        <w:tab/>
        <w:t>(b)</w:t>
      </w:r>
      <w:r>
        <w:tab/>
        <w:t xml:space="preserve">approved by an authorised land officer as defined in the </w:t>
      </w:r>
      <w:r>
        <w:rPr>
          <w:i/>
        </w:rPr>
        <w:t>Land Administration Act 1997</w:t>
      </w:r>
      <w:r>
        <w:t xml:space="preserve"> section 3(1);</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 SL 2024/3 cl. 4.]</w:t>
      </w:r>
    </w:p>
    <w:p>
      <w:pPr>
        <w:pStyle w:val="Heading5"/>
      </w:pPr>
      <w:bookmarkStart w:id="6" w:name="_Toc167439968"/>
      <w:r>
        <w:rPr>
          <w:rStyle w:val="CharSectno"/>
        </w:rPr>
        <w:t>3B</w:t>
      </w:r>
      <w:r>
        <w:t>.</w:t>
      </w:r>
      <w:r>
        <w:tab/>
        <w:t>Application of order</w:t>
      </w:r>
      <w:bookmarkEnd w:id="6"/>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7" w:name="_Toc167439969"/>
      <w:r>
        <w:rPr>
          <w:rStyle w:val="CharSectno"/>
        </w:rPr>
        <w:t>3</w:t>
      </w:r>
      <w:r>
        <w:t>.</w:t>
      </w:r>
      <w:r>
        <w:tab/>
        <w:t>Exemption for generating works of 100 MW or less</w:t>
      </w:r>
      <w:bookmarkEnd w:id="7"/>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8" w:name="_Toc167439970"/>
      <w:r>
        <w:rPr>
          <w:rStyle w:val="CharSectno"/>
        </w:rPr>
        <w:t>4A</w:t>
      </w:r>
      <w:r>
        <w:t>.</w:t>
      </w:r>
      <w:r>
        <w:tab/>
        <w:t>Exemptions for supply to non-residential property on which generating works are located</w:t>
      </w:r>
      <w:bookmarkEnd w:id="8"/>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lastRenderedPageBreak/>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9" w:name="_Toc167439971"/>
      <w:r>
        <w:rPr>
          <w:rStyle w:val="CharSectno"/>
        </w:rPr>
        <w:t>4B</w:t>
      </w:r>
      <w:r>
        <w:t>.</w:t>
      </w:r>
      <w:r>
        <w:tab/>
        <w:t>Exemption for supply to non-residential property occupied by supplier</w:t>
      </w:r>
      <w:bookmarkEnd w:id="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0" w:name="_Toc167439972"/>
      <w:r>
        <w:rPr>
          <w:rStyle w:val="CharSectno"/>
        </w:rPr>
        <w:lastRenderedPageBreak/>
        <w:t>4</w:t>
      </w:r>
      <w:r>
        <w:t>.</w:t>
      </w:r>
      <w:r>
        <w:tab/>
        <w:t>Exemptions for on</w:t>
      </w:r>
      <w:r>
        <w:noBreakHyphen/>
        <w:t>supply</w:t>
      </w:r>
      <w:bookmarkEnd w:id="10"/>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1" w:name="_Toc167439973"/>
      <w:r>
        <w:rPr>
          <w:rStyle w:val="CharSectno"/>
        </w:rPr>
        <w:lastRenderedPageBreak/>
        <w:t>6</w:t>
      </w:r>
      <w:r>
        <w:t>.</w:t>
      </w:r>
      <w:r>
        <w:tab/>
        <w:t>Conditions applying to certain exemptions under cl. 4: fees and charges</w:t>
      </w:r>
      <w:bookmarkEnd w:id="11"/>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 xml:space="preserve">Energy Operators (Electricity Generation and Retail Corporation) (Charges) </w:t>
      </w:r>
      <w:r>
        <w:rPr>
          <w:i/>
        </w:rPr>
        <w:lastRenderedPageBreak/>
        <w:t>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lastRenderedPageBreak/>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 xml:space="preserve">If information referred to in subclause (7) is not included in an account issued to an occupier of the property, the exempt </w:t>
      </w:r>
      <w:r>
        <w:lastRenderedPageBreak/>
        <w:t>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2" w:name="_Toc167439974"/>
      <w:r>
        <w:rPr>
          <w:rStyle w:val="CharSectno"/>
        </w:rPr>
        <w:t>6A</w:t>
      </w:r>
      <w:r>
        <w:t>.</w:t>
      </w:r>
      <w:r>
        <w:tab/>
        <w:t>Conditions applying to certain exemptions under cl. 4: life support equipment</w:t>
      </w:r>
      <w:bookmarkEnd w:id="12"/>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lastRenderedPageBreak/>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lastRenderedPageBreak/>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3" w:name="_Toc167439975"/>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lastRenderedPageBreak/>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14" w:name="_Toc167439976"/>
      <w:r>
        <w:rPr>
          <w:rStyle w:val="CharSectno"/>
        </w:rPr>
        <w:t>7A</w:t>
      </w:r>
      <w:r>
        <w:t>.</w:t>
      </w:r>
      <w:r>
        <w:tab/>
        <w:t>Temporary exemptions for supply by Regional Power Corporation to certain Aboriginal communities</w:t>
      </w:r>
      <w:bookmarkEnd w:id="14"/>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lastRenderedPageBreak/>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15" w:name="_Toc167439977"/>
      <w:r>
        <w:rPr>
          <w:rStyle w:val="CharSectno"/>
        </w:rPr>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lastRenderedPageBreak/>
        <w:t>[</w:t>
      </w:r>
      <w:r>
        <w:rPr>
          <w:b/>
        </w:rPr>
        <w:t>9.</w:t>
      </w:r>
      <w:r>
        <w:tab/>
        <w:t>Deleted: SL 2023/80 cl. 7.]</w:t>
      </w:r>
    </w:p>
    <w:p>
      <w:pPr>
        <w:pStyle w:val="Heading5"/>
      </w:pPr>
      <w:bookmarkStart w:id="16" w:name="_Toc167439978"/>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167439979"/>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lastRenderedPageBreak/>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lastRenderedPageBreak/>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8" w:name="_Toc167439980"/>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167439981"/>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w:t>
      </w:r>
      <w:r>
        <w:lastRenderedPageBreak/>
        <w:t>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0" w:name="_Toc167439982"/>
      <w:r>
        <w:rPr>
          <w:rStyle w:val="CharSectno"/>
        </w:rPr>
        <w:lastRenderedPageBreak/>
        <w:t>14</w:t>
      </w:r>
      <w:r>
        <w:t>.</w:t>
      </w:r>
      <w:r>
        <w:tab/>
        <w:t>Exemptions for Fremantle Port Authority</w:t>
      </w:r>
      <w:bookmarkEnd w:id="20"/>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1" w:name="_Toc167439983"/>
      <w:r>
        <w:rPr>
          <w:rStyle w:val="CharSectno"/>
        </w:rPr>
        <w:t>15</w:t>
      </w:r>
      <w:r>
        <w:t>.</w:t>
      </w:r>
      <w:r>
        <w:tab/>
        <w:t>Exemptions for supply in Eucla</w:t>
      </w:r>
      <w:bookmarkEnd w:id="21"/>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2" w:name="_Toc167439984"/>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 xml:space="preserve">the distribution system concerned is used solely for the transportation of electricity from generating works </w:t>
      </w:r>
      <w:r>
        <w:lastRenderedPageBreak/>
        <w:t>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3" w:name="_Toc167439985"/>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4" w:name="_Toc167439986"/>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5" w:name="_Toc167439987"/>
      <w:r>
        <w:rPr>
          <w:rStyle w:val="CharSectno"/>
        </w:rPr>
        <w:lastRenderedPageBreak/>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2027.</w:t>
      </w:r>
    </w:p>
    <w:p>
      <w:pPr>
        <w:pStyle w:val="Footnotesection"/>
      </w:pPr>
      <w:r>
        <w:tab/>
        <w:t>[Clause 19 inserted: Gazette 29 Jun 2012 p. 2934</w:t>
      </w:r>
      <w:r>
        <w:noBreakHyphen/>
        <w:t>5; amended: Gazette 26 Jun 2015 p. 2254; 26 Jun 2018 p. 2361; SL 2020/83 cl. 4; SL 2021/67 cl. 4; SL 2024/85 cl. 4.]</w:t>
      </w:r>
    </w:p>
    <w:p>
      <w:pPr>
        <w:pStyle w:val="Heading5"/>
      </w:pPr>
      <w:bookmarkStart w:id="26" w:name="_Toc167439988"/>
      <w:r>
        <w:rPr>
          <w:rStyle w:val="CharSectno"/>
        </w:rPr>
        <w:t>20</w:t>
      </w:r>
      <w:r>
        <w:t>.</w:t>
      </w:r>
      <w:r>
        <w:tab/>
        <w:t>Exemptions for Blair Fox — Karakin Wind Farm and Beros Road Wind Farm</w:t>
      </w:r>
      <w:bookmarkEnd w:id="26"/>
    </w:p>
    <w:p>
      <w:pPr>
        <w:pStyle w:val="Subsection"/>
      </w:pPr>
      <w:r>
        <w:tab/>
        <w:t>(1)</w:t>
      </w:r>
      <w:r>
        <w:tab/>
        <w:t xml:space="preserve">In this clause — </w:t>
      </w:r>
    </w:p>
    <w:p>
      <w:pPr>
        <w:pStyle w:val="Defstart"/>
      </w:pPr>
      <w:r>
        <w:tab/>
      </w:r>
      <w:r>
        <w:rPr>
          <w:rStyle w:val="CharDefText"/>
        </w:rPr>
        <w:t>Beros Road property</w:t>
      </w:r>
      <w:r>
        <w:t xml:space="preserve"> means the land being Lot 501 on Deposited Plan 400357;</w:t>
      </w:r>
    </w:p>
    <w:p>
      <w:pPr>
        <w:pStyle w:val="Defstart"/>
      </w:pPr>
      <w:r>
        <w:tab/>
      </w:r>
      <w:r>
        <w:rPr>
          <w:rStyle w:val="CharDefText"/>
        </w:rPr>
        <w:t>Blair Fox</w:t>
      </w:r>
      <w:r>
        <w:t xml:space="preserve"> means Blair Fox Pty Ltd (ACN 071 939 654);</w:t>
      </w:r>
    </w:p>
    <w:p>
      <w:pPr>
        <w:pStyle w:val="Defstart"/>
      </w:pPr>
      <w:r>
        <w:tab/>
      </w:r>
      <w:r>
        <w:rPr>
          <w:rStyle w:val="CharDefText"/>
        </w:rPr>
        <w:t>Chatfield Clarke Road property</w:t>
      </w:r>
      <w:r>
        <w:t xml:space="preserve"> means the land being Lot 10883 on Deposited Plan 210796;</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 </w:t>
      </w:r>
    </w:p>
    <w:p>
      <w:pPr>
        <w:pStyle w:val="Indenta"/>
      </w:pPr>
      <w:r>
        <w:tab/>
        <w:t>(a)</w:t>
      </w:r>
      <w:r>
        <w:tab/>
        <w:t xml:space="preserve">the construction and operation of a distribution system used or to be used solely for the transportation of </w:t>
      </w:r>
      <w:r>
        <w:lastRenderedPageBreak/>
        <w:t>electricity from the Karakin Wind Farm for a distance of less than 16 km; and</w:t>
      </w:r>
    </w:p>
    <w:p>
      <w:pPr>
        <w:pStyle w:val="Indenta"/>
      </w:pPr>
      <w:r>
        <w:tab/>
        <w:t>(b)</w:t>
      </w:r>
      <w:r>
        <w:tab/>
        <w:t xml:space="preserve">the construction and operation of a distribution system used or to be used solely for the transportation of electricity — </w:t>
      </w:r>
    </w:p>
    <w:p>
      <w:pPr>
        <w:pStyle w:val="Indenti"/>
      </w:pPr>
      <w:r>
        <w:tab/>
        <w:t>(i)</w:t>
      </w:r>
      <w:r>
        <w:tab/>
        <w:t>on and between the Beros Road property and the Chatfield Clarke Road property; and</w:t>
      </w:r>
    </w:p>
    <w:p>
      <w:pPr>
        <w:pStyle w:val="Indenti"/>
      </w:pPr>
      <w:r>
        <w:tab/>
        <w:t>(ii)</w:t>
      </w:r>
      <w:r>
        <w:tab/>
        <w:t>if the main connection point between the SWIS and the distribution system is not located on the Beros Road property — between the Beros Road property and the main connection point.</w:t>
      </w:r>
    </w:p>
    <w:p>
      <w:pPr>
        <w:pStyle w:val="Subsection"/>
      </w:pPr>
      <w:r>
        <w:tab/>
        <w:t>(3)</w:t>
      </w:r>
      <w:r>
        <w:tab/>
        <w:t xml:space="preserve">Blair Fox is exempt from the </w:t>
      </w:r>
      <w:r>
        <w:rPr>
          <w:i/>
        </w:rPr>
        <w:t>Electricity Industry Act 2004</w:t>
      </w:r>
      <w:r>
        <w:t xml:space="preserve"> section 7(4) in relation to the sale of electricity if the electricity — </w:t>
      </w:r>
    </w:p>
    <w:p>
      <w:pPr>
        <w:pStyle w:val="Indenta"/>
      </w:pPr>
      <w:r>
        <w:tab/>
        <w:t>(a)</w:t>
      </w:r>
      <w:r>
        <w:tab/>
        <w:t>is transported through the distribution system referred to in subclause (2)(a); and</w:t>
      </w:r>
    </w:p>
    <w:p>
      <w:pPr>
        <w:pStyle w:val="Indenta"/>
      </w:pPr>
      <w:r>
        <w:tab/>
        <w:t>(b)</w:t>
      </w:r>
      <w:r>
        <w:tab/>
        <w:t>is sold to customers each of whom consumes more than 160 MWh of electricity per annum.</w:t>
      </w:r>
    </w:p>
    <w:p>
      <w:pPr>
        <w:pStyle w:val="Footnotesection"/>
      </w:pPr>
      <w:r>
        <w:tab/>
        <w:t>[Clause 20 inserted: Gazette 29 Jun 2012 p. 2935; amended: SL 2024/3 cl. 5.]</w:t>
      </w:r>
    </w:p>
    <w:p>
      <w:pPr>
        <w:pStyle w:val="Ednotesection"/>
      </w:pPr>
      <w:r>
        <w:t>[</w:t>
      </w:r>
      <w:r>
        <w:rPr>
          <w:b/>
        </w:rPr>
        <w:t>21, 22.</w:t>
      </w:r>
      <w:r>
        <w:tab/>
        <w:t>Deleted: SL 2023/80 cl. 8.]</w:t>
      </w:r>
    </w:p>
    <w:p>
      <w:pPr>
        <w:pStyle w:val="Heading5"/>
      </w:pPr>
      <w:bookmarkStart w:id="27" w:name="_Toc167439989"/>
      <w:r>
        <w:rPr>
          <w:rStyle w:val="CharSectno"/>
        </w:rPr>
        <w:t>23</w:t>
      </w:r>
      <w:r>
        <w:t>.</w:t>
      </w:r>
      <w:r>
        <w:tab/>
        <w:t>Exemption for CSBP — Kwinana manufacturing facility</w:t>
      </w:r>
      <w:bookmarkEnd w:id="27"/>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lastRenderedPageBreak/>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28" w:name="_Toc167439990"/>
      <w:r>
        <w:rPr>
          <w:rStyle w:val="CharSectno"/>
        </w:rPr>
        <w:t>25</w:t>
      </w:r>
      <w:r>
        <w:t>.</w:t>
      </w:r>
      <w:r>
        <w:tab/>
        <w:t>Exemptions for Eastern Metropolitan Regional Council: supply to Perth Airport</w:t>
      </w:r>
      <w:bookmarkEnd w:id="28"/>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29" w:name="_Toc167439991"/>
      <w:r>
        <w:rPr>
          <w:rStyle w:val="CharSectno"/>
        </w:rPr>
        <w:lastRenderedPageBreak/>
        <w:t>26</w:t>
      </w:r>
      <w:r>
        <w:t>.</w:t>
      </w:r>
      <w:r>
        <w:tab/>
        <w:t>Exemption for certain connections to internet networks</w:t>
      </w:r>
      <w:bookmarkEnd w:id="29"/>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0" w:name="_Toc167439992"/>
      <w:r>
        <w:rPr>
          <w:rStyle w:val="CharSectno"/>
        </w:rPr>
        <w:t>27</w:t>
      </w:r>
      <w:r>
        <w:t>.</w:t>
      </w:r>
      <w:r>
        <w:tab/>
        <w:t>Exemption for Woodside Energy — Mt Wongama communications facility</w:t>
      </w:r>
      <w:bookmarkEnd w:id="30"/>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1" w:name="_Toc167439993"/>
      <w:r>
        <w:rPr>
          <w:rStyle w:val="CharSectno"/>
        </w:rPr>
        <w:t>28</w:t>
      </w:r>
      <w:r>
        <w:t>.</w:t>
      </w:r>
      <w:r>
        <w:tab/>
        <w:t>Exemption for Pilbara Energy Company — Pilbara Energy Connection</w:t>
      </w:r>
      <w:bookmarkEnd w:id="31"/>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lastRenderedPageBreak/>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2" w:name="_Toc167439994"/>
      <w:r>
        <w:rPr>
          <w:rStyle w:val="CharSectno"/>
        </w:rPr>
        <w:t>29</w:t>
      </w:r>
      <w:r>
        <w:t>.</w:t>
      </w:r>
      <w:r>
        <w:tab/>
        <w:t>Exemption for generating works connecting to Pilbara Energy Connection</w:t>
      </w:r>
      <w:bookmarkEnd w:id="32"/>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33" w:name="_Toc167439995"/>
      <w:r>
        <w:rPr>
          <w:rStyle w:val="CharSectno"/>
        </w:rPr>
        <w:t>30</w:t>
      </w:r>
      <w:r>
        <w:t>.</w:t>
      </w:r>
      <w:r>
        <w:tab/>
        <w:t>Exemption for sale of electricity — Pilbara Energy Connection</w:t>
      </w:r>
      <w:bookmarkEnd w:id="33"/>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34" w:name="_Toc167433606"/>
      <w:bookmarkStart w:id="35" w:name="_Toc167435114"/>
      <w:bookmarkStart w:id="36" w:name="_Toc167439996"/>
      <w:r>
        <w:rPr>
          <w:rStyle w:val="CharSchNo"/>
        </w:rPr>
        <w:lastRenderedPageBreak/>
        <w:t>Schedule 1A</w:t>
      </w:r>
      <w:r>
        <w:t> — </w:t>
      </w:r>
      <w:r>
        <w:rPr>
          <w:rStyle w:val="CharSchText"/>
        </w:rPr>
        <w:t>Aboriginal communities in relation to which Regional Power Corporation temporarily exempt</w:t>
      </w:r>
      <w:bookmarkEnd w:id="34"/>
      <w:bookmarkEnd w:id="35"/>
      <w:bookmarkEnd w:id="36"/>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lastRenderedPageBreak/>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lastRenderedPageBreak/>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lastRenderedPageBreak/>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lastRenderedPageBreak/>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lastRenderedPageBreak/>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lastRenderedPageBreak/>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37" w:name="_Toc167433607"/>
      <w:bookmarkStart w:id="38" w:name="_Toc167435115"/>
      <w:bookmarkStart w:id="39" w:name="_Toc167439997"/>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37"/>
      <w:bookmarkEnd w:id="38"/>
      <w:bookmarkEnd w:id="39"/>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pPr>
      <w:bookmarkStart w:id="41" w:name="_Toc167433608"/>
      <w:bookmarkStart w:id="42" w:name="_Toc167435116"/>
      <w:bookmarkStart w:id="43" w:name="_Toc167439998"/>
      <w:r>
        <w:lastRenderedPageBreak/>
        <w:t>Notes</w:t>
      </w:r>
      <w:bookmarkEnd w:id="41"/>
      <w:bookmarkEnd w:id="42"/>
      <w:bookmarkEnd w:id="43"/>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44" w:name="_Toc167439999"/>
      <w:r>
        <w:t>Compilation table</w:t>
      </w:r>
      <w:bookmarkEnd w:id="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trPr>
          <w:cantSplit/>
        </w:trPr>
        <w:tc>
          <w:tcPr>
            <w:tcW w:w="3118" w:type="dxa"/>
            <w:tcBorders>
              <w:top w:val="nil"/>
              <w:bottom w:val="nil"/>
            </w:tcBorders>
          </w:tcPr>
          <w:p>
            <w:pPr>
              <w:pStyle w:val="nTable"/>
              <w:spacing w:after="40"/>
              <w:rPr>
                <w:i/>
              </w:rPr>
            </w:pPr>
            <w:r>
              <w:rPr>
                <w:i/>
              </w:rPr>
              <w:t>Electricity Industry Exemption Amendment Order 2024</w:t>
            </w:r>
          </w:p>
        </w:tc>
        <w:tc>
          <w:tcPr>
            <w:tcW w:w="1276" w:type="dxa"/>
            <w:tcBorders>
              <w:top w:val="nil"/>
              <w:bottom w:val="nil"/>
            </w:tcBorders>
          </w:tcPr>
          <w:p>
            <w:pPr>
              <w:pStyle w:val="nTable"/>
              <w:keepNext/>
              <w:spacing w:after="40"/>
            </w:pPr>
            <w:r>
              <w:t>SL 2024/3 10 Jan 2024</w:t>
            </w:r>
          </w:p>
        </w:tc>
        <w:tc>
          <w:tcPr>
            <w:tcW w:w="2693" w:type="dxa"/>
            <w:tcBorders>
              <w:top w:val="nil"/>
              <w:bottom w:val="nil"/>
            </w:tcBorders>
          </w:tcPr>
          <w:p>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trPr>
          <w:cantSplit/>
        </w:trPr>
        <w:tc>
          <w:tcPr>
            <w:tcW w:w="3118" w:type="dxa"/>
            <w:tcBorders>
              <w:top w:val="nil"/>
              <w:bottom w:val="single" w:sz="4" w:space="0" w:color="auto"/>
            </w:tcBorders>
          </w:tcPr>
          <w:p>
            <w:pPr>
              <w:pStyle w:val="nTable"/>
              <w:spacing w:after="40"/>
              <w:rPr>
                <w:i/>
              </w:rPr>
            </w:pPr>
            <w:r>
              <w:rPr>
                <w:i/>
              </w:rPr>
              <w:lastRenderedPageBreak/>
              <w:t>Electricity Industry Exemption Amendment Order (No. 2) 2024</w:t>
            </w:r>
          </w:p>
        </w:tc>
        <w:tc>
          <w:tcPr>
            <w:tcW w:w="1276" w:type="dxa"/>
            <w:tcBorders>
              <w:top w:val="nil"/>
              <w:bottom w:val="single" w:sz="4" w:space="0" w:color="auto"/>
            </w:tcBorders>
          </w:tcPr>
          <w:p>
            <w:pPr>
              <w:pStyle w:val="nTable"/>
              <w:keepNext/>
              <w:spacing w:after="40"/>
            </w:pPr>
            <w:r>
              <w:t>SL 2024/85 29 May 2024</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29 May 2024 (see cl. 2(a));</w:t>
            </w:r>
            <w:r>
              <w:rPr>
                <w:snapToGrid w:val="0"/>
                <w:spacing w:val="-2"/>
              </w:rPr>
              <w:br/>
              <w:t>Order other than cl. 1 and 2: 30 May 2024 (see cl.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6" w:name="_Toc167433610"/>
      <w:bookmarkStart w:id="47" w:name="_Toc167435118"/>
      <w:bookmarkStart w:id="48" w:name="_Toc167440000"/>
      <w:r>
        <w:rPr>
          <w:sz w:val="28"/>
        </w:rPr>
        <w:lastRenderedPageBreak/>
        <w:t>Defined terms</w:t>
      </w:r>
      <w:bookmarkEnd w:id="46"/>
      <w:bookmarkEnd w:id="47"/>
      <w:bookmarkEnd w:id="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3A</w:t>
      </w:r>
    </w:p>
    <w:p>
      <w:pPr>
        <w:pStyle w:val="DefinedTerms"/>
      </w:pPr>
      <w:r>
        <w:t>Aboriginal community premises</w:t>
      </w:r>
      <w:r>
        <w:tab/>
        <w:t>7(1)</w:t>
      </w:r>
    </w:p>
    <w:p>
      <w:pPr>
        <w:pStyle w:val="DefinedTerms"/>
      </w:pPr>
      <w:r>
        <w:t>appropriately qualified medical practitioner</w:t>
      </w:r>
      <w:r>
        <w:tab/>
        <w:t>6A(1)</w:t>
      </w:r>
    </w:p>
    <w:p>
      <w:pPr>
        <w:pStyle w:val="DefinedTerms"/>
      </w:pPr>
      <w:r>
        <w:t>Beros Road property</w:t>
      </w:r>
      <w:r>
        <w:tab/>
        <w:t>20(1)</w:t>
      </w:r>
    </w:p>
    <w:p>
      <w:pPr>
        <w:pStyle w:val="DefinedTerms"/>
      </w:pPr>
      <w:r>
        <w:t>Blair Fox</w:t>
      </w:r>
      <w:r>
        <w:tab/>
        <w:t>20(1)</w:t>
      </w:r>
    </w:p>
    <w:p>
      <w:pPr>
        <w:pStyle w:val="DefinedTerms"/>
      </w:pPr>
      <w:r>
        <w:t>Chatfield Clarke Road property</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Deposited Plan</w:t>
      </w:r>
      <w:r>
        <w:tab/>
        <w:t>3A</w:t>
      </w:r>
    </w:p>
    <w:p>
      <w:pPr>
        <w:pStyle w:val="DefinedTerms"/>
      </w:pPr>
      <w:r>
        <w:t>Eastern Metropolitan Regional Council</w:t>
      </w:r>
      <w:r>
        <w:tab/>
        <w:t>25(1)</w:t>
      </w:r>
    </w:p>
    <w:p>
      <w:pPr>
        <w:pStyle w:val="DefinedTerms"/>
      </w:pPr>
      <w:r>
        <w:t>electricity reticulation system</w:t>
      </w:r>
      <w:r>
        <w:tab/>
        <w:t>6(1)</w:t>
      </w:r>
    </w:p>
    <w:p>
      <w:pPr>
        <w:pStyle w:val="DefinedTerms"/>
      </w:pPr>
      <w:r>
        <w:t>electric vehicle</w:t>
      </w:r>
      <w:r>
        <w:tab/>
        <w:t>19(1)</w:t>
      </w:r>
    </w:p>
    <w:p>
      <w:pPr>
        <w:pStyle w:val="DefinedTerms"/>
      </w:pPr>
      <w:r>
        <w:t>Eucla</w:t>
      </w:r>
      <w:r>
        <w:tab/>
        <w:t>15(1)</w:t>
      </w:r>
    </w:p>
    <w:p>
      <w:pPr>
        <w:pStyle w:val="DefinedTerms"/>
      </w:pPr>
      <w:r>
        <w:t>exempt supplier</w:t>
      </w:r>
      <w:r>
        <w:tab/>
        <w:t>6(1), 6A(1)</w:t>
      </w:r>
    </w:p>
    <w:p>
      <w:pPr>
        <w:pStyle w:val="DefinedTerms"/>
      </w:pPr>
      <w:r>
        <w:t>FMG entity</w:t>
      </w:r>
      <w:r>
        <w:tab/>
        <w:t>30(1)</w:t>
      </w:r>
    </w:p>
    <w:p>
      <w:pPr>
        <w:pStyle w:val="DefinedTerms"/>
      </w:pPr>
      <w:r>
        <w:t>Fremantle Port Authority</w:t>
      </w:r>
      <w:r>
        <w:tab/>
        <w:t>14(1)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w:t>
      </w:r>
    </w:p>
    <w:p>
      <w:pPr>
        <w:pStyle w:val="DefinedTerms"/>
      </w:pPr>
      <w:r>
        <w:t>life support equipment</w:t>
      </w:r>
      <w:r>
        <w:tab/>
        <w:t>6A(1)</w:t>
      </w:r>
    </w:p>
    <w:p>
      <w:pPr>
        <w:pStyle w:val="DefinedTerms"/>
      </w:pPr>
      <w:r>
        <w:t>Mt Wongama communications facility</w:t>
      </w:r>
      <w:r>
        <w:tab/>
        <w:t>27(1)</w:t>
      </w:r>
    </w:p>
    <w:p>
      <w:pPr>
        <w:pStyle w:val="DefinedTerms"/>
      </w:pPr>
      <w:r>
        <w:t>non-residential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3A</w:t>
      </w:r>
    </w:p>
    <w:p>
      <w:pPr>
        <w:pStyle w:val="DefinedTerms"/>
      </w:pPr>
      <w:r>
        <w:t>property</w:t>
      </w:r>
      <w:r>
        <w:tab/>
        <w:t>3A</w:t>
      </w:r>
    </w:p>
    <w:p>
      <w:pPr>
        <w:pStyle w:val="DefinedTerms"/>
      </w:pPr>
      <w:r>
        <w:t>registered property</w:t>
      </w:r>
      <w:r>
        <w:tab/>
        <w:t>6A(1)</w:t>
      </w:r>
    </w:p>
    <w:p>
      <w:pPr>
        <w:pStyle w:val="DefinedTerms"/>
      </w:pPr>
      <w:r>
        <w:t>relevant Aboriginal community premises</w:t>
      </w:r>
      <w:r>
        <w:tab/>
        <w:t>7A(1)</w:t>
      </w:r>
    </w:p>
    <w:p>
      <w:pPr>
        <w:pStyle w:val="DefinedTerms"/>
      </w:pPr>
      <w:r>
        <w:t>relevant agreement</w:t>
      </w:r>
      <w:r>
        <w:tab/>
        <w:t>10(1)</w:t>
      </w:r>
    </w:p>
    <w:p>
      <w:pPr>
        <w:pStyle w:val="DefinedTerms"/>
      </w:pPr>
      <w:r>
        <w:t>residential property</w:t>
      </w:r>
      <w:r>
        <w:tab/>
        <w:t>3A</w:t>
      </w:r>
    </w:p>
    <w:p>
      <w:pPr>
        <w:pStyle w:val="DefinedTerms"/>
      </w:pPr>
      <w:r>
        <w:lastRenderedPageBreak/>
        <w:t>retailer</w:t>
      </w:r>
      <w:r>
        <w:tab/>
        <w:t>6(1)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D62E28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052FF21" w14:textId="306BAE8B" w:rsidR="00954314" w:rsidRDefault="00FB569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32564">
                        <w:rPr>
                          <w:sz w:val="16"/>
                        </w:rPr>
                        <w:t>2024</w:t>
                      </w:r>
                      <w:r>
                        <w:rPr>
                          <w:sz w:val="16"/>
                        </w:rPr>
                        <w:fldChar w:fldCharType="end"/>
                      </w:r>
                      <w:r>
                        <w:rPr>
                          <w:sz w:val="16"/>
                        </w:rPr>
                        <w:t>.</w:t>
                      </w:r>
                    </w:p>
                    <w:p w14:paraId="7B127485" w14:textId="77777777" w:rsidR="00954314" w:rsidRDefault="00FB569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E0D02DD" w14:textId="337AA49A" w:rsidR="00954314" w:rsidRDefault="00FB569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32564">
                        <w:rPr>
                          <w:sz w:val="16"/>
                        </w:rPr>
                        <w:t>2024</w:t>
                      </w:r>
                      <w:r>
                        <w:rPr>
                          <w:sz w:val="16"/>
                        </w:rPr>
                        <w:fldChar w:fldCharType="end"/>
                      </w:r>
                      <w:r>
                        <w:rPr>
                          <w:sz w:val="16"/>
                        </w:rPr>
                        <w:t>.</w:t>
                      </w:r>
                    </w:p>
                    <w:p w14:paraId="2433852B" w14:textId="77777777" w:rsidR="00954314" w:rsidRDefault="00FB569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0" w:name="Schedule"/>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9" w:name="DefinedTerms"/>
    <w:bookmarkEnd w:id="4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 w:name="Coversheet"/>
    <w:bookmarkEnd w:id="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408575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7743</Words>
  <Characters>38953</Characters>
  <Application>Microsoft Office Word</Application>
  <DocSecurity>0</DocSecurity>
  <Lines>1391</Lines>
  <Paragraphs>915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2005 - 00-ad0-00</dc:title>
  <dc:subject/>
  <dc:creator/>
  <cp:keywords/>
  <dc:description/>
  <cp:lastModifiedBy>Master Repository Process</cp:lastModifiedBy>
  <cp:revision>4</cp:revision>
  <cp:lastPrinted>2017-02-10T03:48:00Z</cp:lastPrinted>
  <dcterms:created xsi:type="dcterms:W3CDTF">2025-06-19T02:54:00Z</dcterms:created>
  <dcterms:modified xsi:type="dcterms:W3CDTF">2025-06-19T02:54:00Z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30 May 2024</vt:lpwstr>
  </property>
  <property fmtid="{D5CDD505-2E9C-101B-9397-08002B2CF9AE}" pid="6" name="Suffix">
    <vt:lpwstr>00-ad0-00</vt:lpwstr>
  </property>
  <property fmtid="{D5CDD505-2E9C-101B-9397-08002B2CF9AE}" pid="7" name="Official">
    <vt:lpwstr/>
  </property>
  <property fmtid="{D5CDD505-2E9C-101B-9397-08002B2CF9AE}" pid="8" name="CommencementDate">
    <vt:lpwstr>20240530</vt:lpwstr>
  </property>
  <property fmtid="{D5CDD505-2E9C-101B-9397-08002B2CF9AE}" pid="9" name="CommencementAsAt">
    <vt:filetime>2024-05-29T16:00:00Z</vt:filetime>
  </property>
  <property fmtid="{D5CDD505-2E9C-101B-9397-08002B2CF9AE}" pid="10" name="CommencementYear">
    <vt:lpwstr>2024</vt:lpwstr>
  </property>
</Properties>
</file>