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(Sales)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(Sales)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_Toc168393059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_Toc168393060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Forms</w:t>
      </w:r>
    </w:p>
    <w:p>
      <w:pPr>
        <w:pStyle w:val="TOC8"/>
        <w:rPr>
          <w:rFonts w:asciiTheme="minorHAnsi" w:eastAsiaTheme="minorEastAsia" w:hAnsiTheme="minorHAnsi" w:cstheme="minorBidi"/>
          <w:szCs w:val="22"/>
        </w:rPr>
      </w:pPr>
      <w:r>
        <w:t>3.</w:t>
      </w:r>
      <w:r>
        <w:tab/>
        <w:t>Form of register of transactions</w:t>
      </w:r>
      <w:r>
        <w:tab/>
      </w:r>
      <w:r>
        <w:fldChar w:fldCharType="begin"/>
      </w:r>
      <w:r>
        <w:instrText xml:space="preserve"> PAGEREF _Toc168393062 \h </w:instrText>
      </w:r>
      <w:r>
        <w:fldChar w:fldCharType="separate"/>
      </w:r>
      <w:r>
        <w:t>3</w:t>
      </w:r>
      <w:r>
        <w:fldChar w:fldCharType="end"/>
      </w:r>
    </w:p>
    <w:p>
      <w:pPr>
        <w:pStyle w:val="TOC8"/>
        <w:rPr>
          <w:rFonts w:asciiTheme="minorHAnsi" w:eastAsiaTheme="minorEastAsia" w:hAnsiTheme="minorHAnsi" w:cstheme="minorBidi"/>
          <w:szCs w:val="22"/>
        </w:rPr>
      </w:pPr>
      <w:r>
        <w:t>4.</w:t>
      </w:r>
      <w:r>
        <w:tab/>
        <w:t>Registers kept in writing</w:t>
      </w:r>
      <w:r>
        <w:tab/>
      </w:r>
      <w:r>
        <w:fldChar w:fldCharType="begin"/>
      </w:r>
      <w:r>
        <w:instrText xml:space="preserve"> PAGEREF _Toc168393063 \h </w:instrText>
      </w:r>
      <w:r>
        <w:fldChar w:fldCharType="separate"/>
      </w:r>
      <w:r>
        <w:t>3</w:t>
      </w:r>
      <w:r>
        <w:fldChar w:fldCharType="end"/>
      </w:r>
    </w:p>
    <w:p>
      <w:pPr>
        <w:pStyle w:val="TOC8"/>
        <w:rPr>
          <w:rFonts w:asciiTheme="minorHAnsi" w:eastAsiaTheme="minorEastAsia" w:hAnsiTheme="minorHAnsi" w:cstheme="minorBidi"/>
          <w:szCs w:val="22"/>
        </w:rPr>
      </w:pPr>
      <w:r>
        <w:t>4A.</w:t>
      </w:r>
      <w:r>
        <w:tab/>
        <w:t>Registers kept in electronic form</w:t>
      </w:r>
      <w:r>
        <w:tab/>
      </w:r>
      <w:r>
        <w:fldChar w:fldCharType="begin"/>
      </w:r>
      <w:r>
        <w:instrText xml:space="preserve"> PAGEREF _Toc168393064 \h </w:instrText>
      </w:r>
      <w:r>
        <w:fldChar w:fldCharType="separate"/>
      </w:r>
      <w:r>
        <w:t>4</w:t>
      </w:r>
      <w:r>
        <w:fldChar w:fldCharType="end"/>
      </w:r>
    </w:p>
    <w:p>
      <w:pPr>
        <w:pStyle w:val="TOC8"/>
        <w:rPr>
          <w:rFonts w:asciiTheme="minorHAnsi" w:eastAsiaTheme="minorEastAsia" w:hAnsiTheme="minorHAnsi" w:cstheme="minorBidi"/>
          <w:szCs w:val="22"/>
        </w:rPr>
      </w:pPr>
      <w:r>
        <w:t>5.</w:t>
      </w:r>
      <w:r>
        <w:tab/>
        <w:t>Notice of required particulars (section 33)</w:t>
      </w:r>
      <w:r>
        <w:tab/>
      </w:r>
      <w:r>
        <w:fldChar w:fldCharType="begin"/>
      </w:r>
      <w:r>
        <w:instrText xml:space="preserve"> PAGEREF _Toc168393065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excluded defects (Form 5)</w:t>
      </w:r>
      <w:r>
        <w:tab/>
      </w:r>
      <w:r>
        <w:fldChar w:fldCharType="begin"/>
      </w:r>
      <w:r>
        <w:instrText xml:space="preserve"> PAGEREF _Toc168393066 \h </w:instrText>
      </w:r>
      <w:r>
        <w:fldChar w:fldCharType="separate"/>
      </w:r>
      <w:r>
        <w:t>5</w:t>
      </w:r>
      <w:r>
        <w:fldChar w:fldCharType="end"/>
      </w:r>
    </w:p>
    <w:p>
      <w:pPr>
        <w:pStyle w:val="TOC8"/>
        <w:rPr>
          <w:rFonts w:asciiTheme="minorHAnsi" w:eastAsiaTheme="minorEastAsia" w:hAnsiTheme="minorHAnsi" w:cstheme="minorBidi"/>
          <w:szCs w:val="22"/>
        </w:rPr>
      </w:pPr>
      <w:r>
        <w:t>7.</w:t>
      </w:r>
      <w:r>
        <w:tab/>
        <w:t>Information statement to be given before sale</w:t>
      </w:r>
      <w:r>
        <w:tab/>
      </w:r>
      <w:r>
        <w:fldChar w:fldCharType="begin"/>
      </w:r>
      <w:r>
        <w:instrText xml:space="preserve"> PAGEREF _Toc168393067 \h </w:instrText>
      </w:r>
      <w:r>
        <w:fldChar w:fldCharType="separate"/>
      </w:r>
      <w:r>
        <w:t>6</w:t>
      </w:r>
      <w:r>
        <w:fldChar w:fldCharType="end"/>
      </w:r>
    </w:p>
    <w:p>
      <w:pPr>
        <w:pStyle w:val="TOC8"/>
        <w:rPr>
          <w:rFonts w:asciiTheme="minorHAnsi" w:eastAsiaTheme="minorEastAsia" w:hAnsiTheme="minorHAnsi" w:cstheme="minorBidi"/>
          <w:szCs w:val="22"/>
        </w:rPr>
      </w:pPr>
      <w:r>
        <w:t>8.</w:t>
      </w:r>
      <w:r>
        <w:tab/>
        <w:t>Details to be included in copies of notice after sale</w:t>
      </w:r>
      <w:r>
        <w:tab/>
      </w:r>
      <w:r>
        <w:fldChar w:fldCharType="begin"/>
      </w:r>
      <w:r>
        <w:instrText xml:space="preserve"> PAGEREF _Toc168393068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Trust accounts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10A.</w:t>
      </w:r>
      <w:r>
        <w:tab/>
      </w:r>
      <w:r>
        <w:rPr>
          <w:snapToGrid w:val="0"/>
        </w:rPr>
        <w:t>Application</w:t>
      </w:r>
      <w:r>
        <w:tab/>
      </w:r>
      <w:r>
        <w:fldChar w:fldCharType="begin"/>
      </w:r>
      <w:r>
        <w:instrText xml:space="preserve"> PAGEREF _Toc168393071 \h </w:instrText>
      </w:r>
      <w:r>
        <w:fldChar w:fldCharType="separate"/>
      </w:r>
      <w:r>
        <w:t>7</w:t>
      </w:r>
      <w:r>
        <w:fldChar w:fldCharType="end"/>
      </w:r>
    </w:p>
    <w:p>
      <w:pPr>
        <w:pStyle w:val="TOC8"/>
        <w:rPr>
          <w:rFonts w:asciiTheme="minorHAnsi" w:eastAsiaTheme="minorEastAsia" w:hAnsiTheme="minorHAnsi" w:cstheme="minorBidi"/>
          <w:szCs w:val="22"/>
        </w:rPr>
      </w:pPr>
      <w:r>
        <w:t>10B.</w:t>
      </w:r>
      <w:r>
        <w:tab/>
        <w:t>Prescribed financial institutions (section 32C)</w:t>
      </w:r>
      <w:r>
        <w:tab/>
      </w:r>
      <w:r>
        <w:fldChar w:fldCharType="begin"/>
      </w:r>
      <w:r>
        <w:instrText xml:space="preserve"> PAGEREF _Toc168393072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Keeping and management of trust accounts</w:t>
      </w:r>
    </w:p>
    <w:p>
      <w:pPr>
        <w:pStyle w:val="TOC8"/>
        <w:rPr>
          <w:rFonts w:asciiTheme="minorHAnsi" w:eastAsiaTheme="minorEastAsia" w:hAnsiTheme="minorHAnsi" w:cstheme="minorBidi"/>
          <w:szCs w:val="22"/>
        </w:rPr>
      </w:pPr>
      <w:r>
        <w:t>10C.</w:t>
      </w:r>
      <w:r>
        <w:tab/>
        <w:t>Information to be given by the dealer to the Commissioner</w:t>
      </w:r>
      <w:r>
        <w:tab/>
      </w:r>
      <w:r>
        <w:fldChar w:fldCharType="begin"/>
      </w:r>
      <w:r>
        <w:instrText xml:space="preserve"> PAGEREF _Toc168393074 \h </w:instrText>
      </w:r>
      <w:r>
        <w:fldChar w:fldCharType="separate"/>
      </w:r>
      <w:r>
        <w:t>7</w:t>
      </w:r>
      <w:r>
        <w:fldChar w:fldCharType="end"/>
      </w:r>
    </w:p>
    <w:p>
      <w:pPr>
        <w:pStyle w:val="TOC8"/>
        <w:rPr>
          <w:rFonts w:asciiTheme="minorHAnsi" w:eastAsiaTheme="minorEastAsia" w:hAnsiTheme="minorHAnsi" w:cstheme="minorBidi"/>
          <w:szCs w:val="22"/>
        </w:rPr>
      </w:pPr>
      <w:r>
        <w:t>10D.</w:t>
      </w:r>
      <w:r>
        <w:tab/>
        <w:t>Trust accounts records</w:t>
      </w:r>
      <w:r>
        <w:tab/>
      </w:r>
      <w:r>
        <w:fldChar w:fldCharType="begin"/>
      </w:r>
      <w:r>
        <w:instrText xml:space="preserve"> PAGEREF _Toc168393075 \h </w:instrText>
      </w:r>
      <w:r>
        <w:fldChar w:fldCharType="separate"/>
      </w:r>
      <w:r>
        <w:t>8</w:t>
      </w:r>
      <w:r>
        <w:fldChar w:fldCharType="end"/>
      </w:r>
    </w:p>
    <w:p>
      <w:pPr>
        <w:pStyle w:val="TOC8"/>
        <w:rPr>
          <w:rFonts w:asciiTheme="minorHAnsi" w:eastAsiaTheme="minorEastAsia" w:hAnsiTheme="minorHAnsi" w:cstheme="minorBidi"/>
          <w:szCs w:val="22"/>
        </w:rPr>
      </w:pPr>
      <w:r>
        <w:t>10E.</w:t>
      </w:r>
      <w:r>
        <w:tab/>
        <w:t>Manner of accounting for moneys received</w:t>
      </w:r>
      <w:r>
        <w:tab/>
      </w:r>
      <w:r>
        <w:fldChar w:fldCharType="begin"/>
      </w:r>
      <w:r>
        <w:instrText xml:space="preserve"> PAGEREF _Toc168393076 \h </w:instrText>
      </w:r>
      <w:r>
        <w:fldChar w:fldCharType="separate"/>
      </w:r>
      <w:r>
        <w:t>8</w:t>
      </w:r>
      <w:r>
        <w:fldChar w:fldCharType="end"/>
      </w:r>
    </w:p>
    <w:p>
      <w:pPr>
        <w:pStyle w:val="TOC8"/>
        <w:rPr>
          <w:rFonts w:asciiTheme="minorHAnsi" w:eastAsiaTheme="minorEastAsia" w:hAnsiTheme="minorHAnsi" w:cstheme="minorBidi"/>
          <w:szCs w:val="22"/>
        </w:rPr>
      </w:pPr>
      <w:r>
        <w:t>10F.</w:t>
      </w:r>
      <w:r>
        <w:tab/>
        <w:t>Prescribed period for giving of statutory declaration</w:t>
      </w:r>
      <w:r>
        <w:tab/>
      </w:r>
      <w:r>
        <w:fldChar w:fldCharType="begin"/>
      </w:r>
      <w:r>
        <w:instrText xml:space="preserve"> PAGEREF _Toc168393077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Duties of financial institutions</w:t>
      </w:r>
    </w:p>
    <w:p>
      <w:pPr>
        <w:pStyle w:val="TOC8"/>
        <w:rPr>
          <w:rFonts w:asciiTheme="minorHAnsi" w:eastAsiaTheme="minorEastAsia" w:hAnsiTheme="minorHAnsi" w:cstheme="minorBidi"/>
          <w:szCs w:val="22"/>
        </w:rPr>
      </w:pPr>
      <w:r>
        <w:t>10G.</w:t>
      </w:r>
      <w:r>
        <w:tab/>
        <w:t>Reporting overdrawn accounts</w:t>
      </w:r>
      <w:r>
        <w:tab/>
      </w:r>
      <w:r>
        <w:fldChar w:fldCharType="begin"/>
      </w:r>
      <w:r>
        <w:instrText xml:space="preserve"> PAGEREF _Toc168393079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Auditing of trust accounts</w:t>
      </w:r>
    </w:p>
    <w:p>
      <w:pPr>
        <w:pStyle w:val="TOC8"/>
        <w:rPr>
          <w:rFonts w:asciiTheme="minorHAnsi" w:eastAsiaTheme="minorEastAsia" w:hAnsiTheme="minorHAnsi" w:cstheme="minorBidi"/>
          <w:szCs w:val="22"/>
        </w:rPr>
      </w:pPr>
      <w:r>
        <w:t>10H.</w:t>
      </w:r>
      <w:r>
        <w:tab/>
        <w:t>Appointment of auditors</w:t>
      </w:r>
      <w:r>
        <w:tab/>
      </w:r>
      <w:r>
        <w:fldChar w:fldCharType="begin"/>
      </w:r>
      <w:r>
        <w:instrText xml:space="preserve"> PAGEREF _Toc168393081 \h </w:instrText>
      </w:r>
      <w:r>
        <w:fldChar w:fldCharType="separate"/>
      </w:r>
      <w:r>
        <w:t>9</w:t>
      </w:r>
      <w:r>
        <w:fldChar w:fldCharType="end"/>
      </w:r>
    </w:p>
    <w:p>
      <w:pPr>
        <w:pStyle w:val="TOC8"/>
        <w:rPr>
          <w:rFonts w:asciiTheme="minorHAnsi" w:eastAsiaTheme="minorEastAsia" w:hAnsiTheme="minorHAnsi" w:cstheme="minorBidi"/>
          <w:szCs w:val="22"/>
        </w:rPr>
      </w:pPr>
      <w:r>
        <w:t>10I.</w:t>
      </w:r>
      <w:r>
        <w:tab/>
        <w:t>Production of records to auditors</w:t>
      </w:r>
      <w:r>
        <w:tab/>
      </w:r>
      <w:r>
        <w:fldChar w:fldCharType="begin"/>
      </w:r>
      <w:r>
        <w:instrText xml:space="preserve"> PAGEREF _Toc168393082 \h </w:instrText>
      </w:r>
      <w:r>
        <w:fldChar w:fldCharType="separate"/>
      </w:r>
      <w:r>
        <w:t>10</w:t>
      </w:r>
      <w:r>
        <w:fldChar w:fldCharType="end"/>
      </w:r>
    </w:p>
    <w:p>
      <w:pPr>
        <w:pStyle w:val="TOC8"/>
        <w:rPr>
          <w:rFonts w:asciiTheme="minorHAnsi" w:eastAsiaTheme="minorEastAsia" w:hAnsiTheme="minorHAnsi" w:cstheme="minorBidi"/>
          <w:szCs w:val="22"/>
        </w:rPr>
      </w:pPr>
      <w:r>
        <w:t>10J.</w:t>
      </w:r>
      <w:r>
        <w:tab/>
        <w:t>Conduct of audits</w:t>
      </w:r>
      <w:r>
        <w:tab/>
      </w:r>
      <w:r>
        <w:fldChar w:fldCharType="begin"/>
      </w:r>
      <w:r>
        <w:instrText xml:space="preserve"> PAGEREF _Toc168393083 \h </w:instrText>
      </w:r>
      <w:r>
        <w:fldChar w:fldCharType="separate"/>
      </w:r>
      <w:r>
        <w:t>10</w:t>
      </w:r>
      <w:r>
        <w:fldChar w:fldCharType="end"/>
      </w:r>
    </w:p>
    <w:p>
      <w:pPr>
        <w:pStyle w:val="TOC8"/>
        <w:rPr>
          <w:rFonts w:asciiTheme="minorHAnsi" w:eastAsiaTheme="minorEastAsia" w:hAnsiTheme="minorHAnsi" w:cstheme="minorBidi"/>
          <w:szCs w:val="22"/>
        </w:rPr>
      </w:pPr>
      <w:r>
        <w:t>10K.</w:t>
      </w:r>
      <w:r>
        <w:tab/>
        <w:t>Auditors’ reports, contents of</w:t>
      </w:r>
      <w:r>
        <w:tab/>
      </w:r>
      <w:r>
        <w:fldChar w:fldCharType="begin"/>
      </w:r>
      <w:r>
        <w:instrText xml:space="preserve"> PAGEREF _Toc168393084 \h </w:instrText>
      </w:r>
      <w:r>
        <w:fldChar w:fldCharType="separate"/>
      </w:r>
      <w:r>
        <w:t>10</w:t>
      </w:r>
      <w:r>
        <w:fldChar w:fldCharType="end"/>
      </w:r>
    </w:p>
    <w:p>
      <w:pPr>
        <w:pStyle w:val="TOC8"/>
        <w:rPr>
          <w:rFonts w:asciiTheme="minorHAnsi" w:eastAsiaTheme="minorEastAsia" w:hAnsiTheme="minorHAnsi" w:cstheme="minorBidi"/>
          <w:szCs w:val="22"/>
        </w:rPr>
      </w:pPr>
      <w:r>
        <w:t>10L.</w:t>
      </w:r>
      <w:r>
        <w:tab/>
        <w:t>Obligation of auditor to disclose certain information</w:t>
      </w:r>
      <w:r>
        <w:tab/>
      </w:r>
      <w:r>
        <w:fldChar w:fldCharType="begin"/>
      </w:r>
      <w:r>
        <w:instrText xml:space="preserve"> PAGEREF _Toc168393085 \h </w:instrText>
      </w:r>
      <w:r>
        <w:fldChar w:fldCharType="separate"/>
      </w:r>
      <w:r>
        <w:t>11</w:t>
      </w:r>
      <w:r>
        <w:fldChar w:fldCharType="end"/>
      </w:r>
    </w:p>
    <w:p>
      <w:pPr>
        <w:pStyle w:val="TOC8"/>
        <w:rPr>
          <w:rFonts w:asciiTheme="minorHAnsi" w:eastAsiaTheme="minorEastAsia" w:hAnsiTheme="minorHAnsi" w:cstheme="minorBidi"/>
          <w:szCs w:val="22"/>
        </w:rPr>
      </w:pPr>
      <w:r>
        <w:t>10M.</w:t>
      </w:r>
      <w:r>
        <w:tab/>
        <w:t>Costs of auditing</w:t>
      </w:r>
      <w:r>
        <w:tab/>
      </w:r>
      <w:r>
        <w:fldChar w:fldCharType="begin"/>
      </w:r>
      <w:r>
        <w:instrText xml:space="preserve"> PAGEREF _Toc168393086 \h </w:instrText>
      </w:r>
      <w:r>
        <w:fldChar w:fldCharType="separate"/>
      </w:r>
      <w:r>
        <w:t>11</w:t>
      </w:r>
      <w:r>
        <w:fldChar w:fldCharType="end"/>
      </w:r>
    </w:p>
    <w:p>
      <w:pPr>
        <w:pStyle w:val="TOC8"/>
        <w:rPr>
          <w:rFonts w:asciiTheme="minorHAnsi" w:eastAsiaTheme="minorEastAsia" w:hAnsiTheme="minorHAnsi" w:cstheme="minorBidi"/>
          <w:szCs w:val="22"/>
        </w:rPr>
      </w:pPr>
      <w:r>
        <w:t>10N.</w:t>
      </w:r>
      <w:r>
        <w:tab/>
        <w:t>When and to whom the auditor must report</w:t>
      </w:r>
      <w:r>
        <w:tab/>
      </w:r>
      <w:r>
        <w:fldChar w:fldCharType="begin"/>
      </w:r>
      <w:r>
        <w:instrText xml:space="preserve"> PAGEREF _Toc168393087 \h </w:instrText>
      </w:r>
      <w:r>
        <w:fldChar w:fldCharType="separate"/>
      </w:r>
      <w:r>
        <w:t>11</w:t>
      </w:r>
      <w:r>
        <w:fldChar w:fldCharType="end"/>
      </w:r>
    </w:p>
    <w:p>
      <w:pPr>
        <w:pStyle w:val="TOC8"/>
        <w:rPr>
          <w:rFonts w:asciiTheme="minorHAnsi" w:eastAsiaTheme="minorEastAsia" w:hAnsiTheme="minorHAnsi" w:cstheme="minorBidi"/>
          <w:szCs w:val="22"/>
        </w:rPr>
      </w:pPr>
      <w:r>
        <w:t>10NA.</w:t>
      </w:r>
      <w:r>
        <w:tab/>
        <w:t>Transitional audit arrangements</w:t>
      </w:r>
      <w:r>
        <w:tab/>
      </w:r>
      <w:r>
        <w:fldChar w:fldCharType="begin"/>
      </w:r>
      <w:r>
        <w:instrText xml:space="preserve"> PAGEREF _Toc168393088 \h </w:instrText>
      </w:r>
      <w:r>
        <w:fldChar w:fldCharType="separate"/>
      </w:r>
      <w:r>
        <w:t>12</w:t>
      </w:r>
      <w:r>
        <w:fldChar w:fldCharType="end"/>
      </w:r>
    </w:p>
    <w:p>
      <w:pPr>
        <w:pStyle w:val="TOC8"/>
        <w:rPr>
          <w:rFonts w:asciiTheme="minorHAnsi" w:eastAsiaTheme="minorEastAsia" w:hAnsiTheme="minorHAnsi" w:cstheme="minorBidi"/>
          <w:szCs w:val="22"/>
        </w:rPr>
      </w:pPr>
      <w:r>
        <w:t>10O.</w:t>
      </w:r>
      <w:r>
        <w:tab/>
        <w:t>Confidentiality of audit information</w:t>
      </w:r>
      <w:r>
        <w:tab/>
      </w:r>
      <w:r>
        <w:fldChar w:fldCharType="begin"/>
      </w:r>
      <w:r>
        <w:instrText xml:space="preserve"> PAGEREF _Toc168393089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11</w:t>
      </w:r>
      <w:r>
        <w:rPr>
          <w:snapToGrid w:val="0"/>
        </w:rPr>
        <w:t>.</w:t>
      </w:r>
      <w:r>
        <w:rPr>
          <w:snapToGrid w:val="0"/>
        </w:rPr>
        <w:tab/>
        <w:t>Advertising</w:t>
      </w:r>
      <w:r>
        <w:tab/>
      </w:r>
      <w:r>
        <w:fldChar w:fldCharType="begin"/>
      </w:r>
      <w:r>
        <w:instrText xml:space="preserve"> PAGEREF _Toc168393091 \h </w:instrText>
      </w:r>
      <w:r>
        <w:fldChar w:fldCharType="separate"/>
      </w:r>
      <w:r>
        <w:t>14</w:t>
      </w:r>
      <w:r>
        <w:fldChar w:fldCharType="end"/>
      </w:r>
    </w:p>
    <w:p>
      <w:pPr>
        <w:pStyle w:val="TOC8"/>
        <w:rPr>
          <w:rFonts w:asciiTheme="minorHAnsi" w:eastAsiaTheme="minorEastAsia" w:hAnsiTheme="minorHAnsi" w:cstheme="minorBidi"/>
          <w:szCs w:val="22"/>
        </w:rPr>
      </w:pPr>
      <w:r>
        <w:t>13A.</w:t>
      </w:r>
      <w:r>
        <w:tab/>
        <w:t>Prescribed requirements</w:t>
      </w:r>
      <w:r>
        <w:rPr>
          <w:snapToGrid w:val="0"/>
        </w:rPr>
        <w:t xml:space="preserve"> for vehicle consignment agreements (Schedule 4)</w:t>
      </w:r>
      <w:r>
        <w:tab/>
      </w:r>
      <w:r>
        <w:fldChar w:fldCharType="begin"/>
      </w:r>
      <w:r>
        <w:instrText xml:space="preserve"> PAGEREF _Toc168393092 \h </w:instrText>
      </w:r>
      <w:r>
        <w:fldChar w:fldCharType="separate"/>
      </w:r>
      <w:r>
        <w:t>14</w:t>
      </w:r>
      <w:r>
        <w:fldChar w:fldCharType="end"/>
      </w:r>
    </w:p>
    <w:p>
      <w:pPr>
        <w:pStyle w:val="TOC8"/>
        <w:rPr>
          <w:rFonts w:asciiTheme="minorHAnsi" w:eastAsiaTheme="minorEastAsia" w:hAnsiTheme="minorHAnsi" w:cstheme="minorBidi"/>
          <w:szCs w:val="22"/>
        </w:rPr>
      </w:pPr>
      <w:r>
        <w:t>13B.</w:t>
      </w:r>
      <w:r>
        <w:tab/>
        <w:t>Prescribed requirements for vehicle sale agreements (Schedule 5)</w:t>
      </w:r>
      <w:r>
        <w:tab/>
      </w:r>
      <w:r>
        <w:fldChar w:fldCharType="begin"/>
      </w:r>
      <w:r>
        <w:instrText xml:space="preserve"> PAGEREF _Toc168393093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Penalties</w:t>
      </w:r>
      <w:r>
        <w:tab/>
      </w:r>
      <w:r>
        <w:fldChar w:fldCharType="begin"/>
      </w:r>
      <w:r>
        <w:instrText xml:space="preserve"> PAGEREF _Toc168393094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t>Form 1 — Register of transactions</w:t>
      </w:r>
    </w:p>
    <w:p>
      <w:pPr>
        <w:pStyle w:val="TOC4"/>
        <w:tabs>
          <w:tab w:val="right" w:leader="dot" w:pos="7077"/>
        </w:tabs>
        <w:rPr>
          <w:rFonts w:asciiTheme="minorHAnsi" w:eastAsiaTheme="minorEastAsia" w:hAnsiTheme="minorHAnsi" w:cstheme="minorBidi"/>
          <w:b w:val="0"/>
          <w:szCs w:val="22"/>
        </w:rPr>
      </w:pPr>
      <w:r>
        <w:t>Form 4 — Vehicle particulars</w:t>
      </w:r>
    </w:p>
    <w:p>
      <w:pPr>
        <w:pStyle w:val="TOC4"/>
        <w:tabs>
          <w:tab w:val="right" w:leader="dot" w:pos="7077"/>
        </w:tabs>
        <w:rPr>
          <w:rFonts w:asciiTheme="minorHAnsi" w:eastAsiaTheme="minorEastAsia" w:hAnsiTheme="minorHAnsi" w:cstheme="minorBidi"/>
          <w:b w:val="0"/>
          <w:szCs w:val="22"/>
        </w:rPr>
      </w:pPr>
      <w:r>
        <w:t>Form 5</w:t>
      </w:r>
      <w:r>
        <w:rPr>
          <w:b w:val="0"/>
        </w:rPr>
        <w:t> — </w:t>
      </w:r>
      <w:r>
        <w:t>Notice of defects excluded from warranty</w:t>
      </w:r>
    </w:p>
    <w:p>
      <w:pPr>
        <w:pStyle w:val="TOC4"/>
        <w:tabs>
          <w:tab w:val="right" w:leader="dot" w:pos="7077"/>
        </w:tabs>
        <w:rPr>
          <w:rFonts w:asciiTheme="minorHAnsi" w:eastAsiaTheme="minorEastAsia" w:hAnsiTheme="minorHAnsi" w:cstheme="minorBidi"/>
          <w:b w:val="0"/>
          <w:szCs w:val="22"/>
        </w:rPr>
      </w:pPr>
      <w:r>
        <w:t>Form 5A — Information statement — statutory warranty</w:t>
      </w:r>
    </w:p>
    <w:p>
      <w:pPr>
        <w:pStyle w:val="TOC4"/>
        <w:tabs>
          <w:tab w:val="right" w:leader="dot" w:pos="7077"/>
        </w:tabs>
        <w:rPr>
          <w:rFonts w:asciiTheme="minorHAnsi" w:eastAsiaTheme="minorEastAsia" w:hAnsiTheme="minorHAnsi" w:cstheme="minorBidi"/>
          <w:b w:val="0"/>
          <w:szCs w:val="22"/>
        </w:rPr>
      </w:pPr>
      <w:r>
        <w:t>Form 6</w:t>
      </w:r>
      <w:r>
        <w:rPr>
          <w:b w:val="0"/>
        </w:rPr>
        <w:t> — </w:t>
      </w:r>
      <w:r>
        <w:rPr>
          <w:bCs/>
        </w:rPr>
        <w:t>Information statement — no statutory</w:t>
      </w:r>
      <w:r>
        <w:t xml:space="preserve"> warranty</w:t>
      </w:r>
    </w:p>
    <w:p>
      <w:pPr>
        <w:pStyle w:val="TOC2"/>
        <w:tabs>
          <w:tab w:val="right" w:leader="dot" w:pos="7077"/>
        </w:tabs>
        <w:rPr>
          <w:rFonts w:asciiTheme="minorHAnsi" w:eastAsiaTheme="minorEastAsia" w:hAnsiTheme="minorHAnsi" w:cstheme="minorBidi"/>
          <w:b w:val="0"/>
          <w:sz w:val="22"/>
          <w:szCs w:val="22"/>
        </w:rPr>
      </w:pPr>
      <w:r>
        <w:t>Schedule 4 — Vehicle consignment contract</w:t>
      </w:r>
    </w:p>
    <w:p>
      <w:pPr>
        <w:pStyle w:val="TOC2"/>
        <w:tabs>
          <w:tab w:val="right" w:leader="dot" w:pos="7077"/>
        </w:tabs>
        <w:rPr>
          <w:rFonts w:asciiTheme="minorHAnsi" w:eastAsiaTheme="minorEastAsia" w:hAnsiTheme="minorHAnsi" w:cstheme="minorBidi"/>
          <w:b w:val="0"/>
          <w:sz w:val="22"/>
          <w:szCs w:val="22"/>
        </w:rPr>
      </w:pPr>
      <w:r>
        <w:t>Schedule 5 — Vehicle sale contract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_Toc168393104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spacing w:before="400" w:after="480"/>
      </w:pPr>
      <w:r>
        <w:t>Motor Vehicle Dealers (Sales) Regulations 1974</w:t>
      </w:r>
    </w:p>
    <w:p>
      <w:pPr>
        <w:pStyle w:val="Heading2"/>
        <w:pageBreakBefore w:val="0"/>
      </w:pPr>
      <w:bookmarkStart w:id="2" w:name="_Toc168386232"/>
      <w:bookmarkStart w:id="3" w:name="_Toc168391334"/>
      <w:bookmarkStart w:id="4" w:name="_Toc168391444"/>
      <w:bookmarkStart w:id="5" w:name="_Toc168393058"/>
      <w:r>
        <w:rPr>
          <w:rStyle w:val="CharPartNo"/>
        </w:rPr>
        <w:t>Part 1</w:t>
      </w:r>
      <w:r>
        <w:t xml:space="preserve"> — </w:t>
      </w:r>
      <w:r>
        <w:rPr>
          <w:rStyle w:val="CharPartText"/>
        </w:rPr>
        <w:t>Preliminary</w:t>
      </w:r>
      <w:bookmarkEnd w:id="2"/>
      <w:bookmarkEnd w:id="3"/>
      <w:bookmarkEnd w:id="4"/>
      <w:bookmarkEnd w:id="5"/>
    </w:p>
    <w:p>
      <w:pPr>
        <w:pStyle w:val="Footnoteheading"/>
        <w:tabs>
          <w:tab w:val="left" w:pos="851"/>
        </w:tabs>
      </w:pPr>
      <w:r>
        <w:tab/>
        <w:t>[Heading inserted: Gazette 13 Aug 2002 p. 4159.]</w:t>
      </w:r>
    </w:p>
    <w:p>
      <w:pPr>
        <w:pStyle w:val="Heading5"/>
        <w:spacing w:before="180"/>
        <w:rPr>
          <w:snapToGrid w:val="0"/>
        </w:rPr>
      </w:pPr>
      <w:bookmarkStart w:id="6" w:name="_Toc168393059"/>
      <w:r>
        <w:rPr>
          <w:rStyle w:val="CharSectno"/>
        </w:rPr>
        <w:t>1</w:t>
      </w:r>
      <w:r>
        <w:rPr>
          <w:snapToGrid w:val="0"/>
        </w:rPr>
        <w:t>.</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Motor Vehicle Dealers (Sales) Regulations 1974</w:t>
      </w:r>
      <w:r>
        <w:rPr>
          <w:snapToGrid w:val="0"/>
        </w:rPr>
        <w:t>.</w:t>
      </w:r>
    </w:p>
    <w:p>
      <w:pPr>
        <w:pStyle w:val="Heading5"/>
        <w:spacing w:before="180"/>
      </w:pPr>
      <w:bookmarkStart w:id="7" w:name="_Toc168393060"/>
      <w:r>
        <w:rPr>
          <w:rStyle w:val="CharSectno"/>
        </w:rPr>
        <w:t>2</w:t>
      </w:r>
      <w:r>
        <w:t>.</w:t>
      </w:r>
      <w:r>
        <w:tab/>
        <w:t>Terms used</w:t>
      </w:r>
      <w:bookmarkEnd w:id="7"/>
    </w:p>
    <w:p>
      <w:pPr>
        <w:pStyle w:val="Subsection"/>
        <w:spacing w:before="120"/>
        <w:rPr>
          <w:snapToGrid w:val="0"/>
        </w:rPr>
      </w:pPr>
      <w:r>
        <w:rPr>
          <w:snapToGrid w:val="0"/>
        </w:rPr>
        <w:tab/>
      </w:r>
      <w:r>
        <w:rPr>
          <w:snapToGrid w:val="0"/>
        </w:rPr>
        <w:tab/>
        <w:t xml:space="preserve">In these </w:t>
      </w:r>
      <w:r>
        <w:t xml:space="preserve">regulations — </w:t>
      </w:r>
    </w:p>
    <w:p>
      <w:pPr>
        <w:pStyle w:val="Defstart"/>
      </w:pPr>
      <w:r>
        <w:tab/>
      </w:r>
      <w:r>
        <w:rPr>
          <w:rStyle w:val="CharDefText"/>
        </w:rPr>
        <w:t>corresponding</w:t>
      </w:r>
      <w:r>
        <w:t xml:space="preserve">, in relation to the law of another jurisdiction and a law of this State, has the meaning given in the </w:t>
      </w:r>
      <w:r>
        <w:rPr>
          <w:i/>
        </w:rPr>
        <w:t>Road Traffic (Administration) Act 2008</w:t>
      </w:r>
      <w:r>
        <w:t xml:space="preserve"> section 4;</w:t>
      </w:r>
    </w:p>
    <w:p>
      <w:pPr>
        <w:pStyle w:val="Defstart"/>
      </w:pPr>
      <w:r>
        <w:rPr>
          <w:b/>
        </w:rPr>
        <w:tab/>
      </w:r>
      <w:r>
        <w:rPr>
          <w:rStyle w:val="CharDefText"/>
        </w:rPr>
        <w:t>Form</w:t>
      </w:r>
      <w:r>
        <w:t xml:space="preserve"> means a form in Schedule 1;</w:t>
      </w:r>
    </w:p>
    <w:p>
      <w:pPr>
        <w:pStyle w:val="Defstart"/>
      </w:pPr>
      <w:r>
        <w:tab/>
      </w:r>
      <w:r>
        <w:rPr>
          <w:rStyle w:val="CharDefText"/>
        </w:rPr>
        <w:t>interstate written</w:t>
      </w:r>
      <w:r>
        <w:rPr>
          <w:rStyle w:val="CharDefText"/>
        </w:rPr>
        <w:noBreakHyphen/>
        <w:t>off vehicle register</w:t>
      </w:r>
      <w:r>
        <w:t xml:space="preserve"> means a register (however described) established and maintained under a law of another jurisdiction corresponding to the </w:t>
      </w:r>
      <w:r>
        <w:rPr>
          <w:i/>
        </w:rPr>
        <w:t>Road Traffic (Vehicles) Regulations 2014</w:t>
      </w:r>
      <w:r>
        <w:t xml:space="preserve"> Part 7;</w:t>
      </w:r>
    </w:p>
    <w:p>
      <w:pPr>
        <w:pStyle w:val="Defstart"/>
      </w:pPr>
      <w:r>
        <w:tab/>
      </w:r>
      <w:r>
        <w:rPr>
          <w:rStyle w:val="CharDefText"/>
        </w:rPr>
        <w:t>jurisdiction</w:t>
      </w:r>
      <w:r>
        <w:t xml:space="preserve"> has the meaning given in the </w:t>
      </w:r>
      <w:r>
        <w:rPr>
          <w:i/>
        </w:rPr>
        <w:t>Road Traffic (Administration) Act 2008</w:t>
      </w:r>
      <w:r>
        <w:t xml:space="preserve"> section 4;</w:t>
      </w:r>
    </w:p>
    <w:p>
      <w:pPr>
        <w:pStyle w:val="Defstart"/>
      </w:pPr>
      <w:r>
        <w:tab/>
      </w:r>
      <w:r>
        <w:rPr>
          <w:rStyle w:val="CharDefText"/>
        </w:rPr>
        <w:t>registered repairable write</w:t>
      </w:r>
      <w:r>
        <w:rPr>
          <w:rStyle w:val="CharDefText"/>
        </w:rPr>
        <w:noBreakHyphen/>
        <w:t>off</w:t>
      </w:r>
      <w:r>
        <w:t xml:space="preserve"> means a vehicle that is —</w:t>
      </w:r>
    </w:p>
    <w:p>
      <w:pPr>
        <w:pStyle w:val="Defpara"/>
      </w:pPr>
      <w:r>
        <w:tab/>
        <w:t>(a)</w:t>
      </w:r>
      <w:r>
        <w:tab/>
        <w:t>registered in the Written</w:t>
      </w:r>
      <w:r>
        <w:noBreakHyphen/>
        <w:t>Off Vehicle Register (WA) as a repairable write</w:t>
      </w:r>
      <w:r>
        <w:noBreakHyphen/>
        <w:t>off; or</w:t>
      </w:r>
    </w:p>
    <w:p>
      <w:pPr>
        <w:pStyle w:val="Defpara"/>
      </w:pPr>
      <w:r>
        <w:tab/>
        <w:t>(b)</w:t>
      </w:r>
      <w:r>
        <w:tab/>
        <w:t>registered in an interstate written</w:t>
      </w:r>
      <w:r>
        <w:noBreakHyphen/>
        <w:t>off vehicle register in a category that substantially corresponds to repairable write</w:t>
      </w:r>
      <w:r>
        <w:noBreakHyphen/>
        <w:t>off;</w:t>
      </w:r>
    </w:p>
    <w:p>
      <w:pPr>
        <w:pStyle w:val="Defstart"/>
      </w:pPr>
      <w:r>
        <w:tab/>
      </w:r>
      <w:r>
        <w:rPr>
          <w:rStyle w:val="CharDefText"/>
        </w:rPr>
        <w:t>repairable write</w:t>
      </w:r>
      <w:r>
        <w:rPr>
          <w:rStyle w:val="CharDefText"/>
        </w:rPr>
        <w:noBreakHyphen/>
        <w:t>off</w:t>
      </w:r>
      <w:r>
        <w:t xml:space="preserve"> has the meaning given in the </w:t>
      </w:r>
      <w:r>
        <w:rPr>
          <w:i/>
        </w:rPr>
        <w:t xml:space="preserve">Road Traffic (Vehicles) Regulations 2014 </w:t>
      </w:r>
      <w:r>
        <w:t>regulation 151;</w:t>
      </w:r>
    </w:p>
    <w:p>
      <w:pPr>
        <w:pStyle w:val="Defstart"/>
      </w:pPr>
      <w:r>
        <w:rPr>
          <w:b/>
        </w:rPr>
        <w:lastRenderedPageBreak/>
        <w:tab/>
      </w:r>
      <w:r>
        <w:rPr>
          <w:rStyle w:val="CharDefText"/>
        </w:rPr>
        <w:t>section</w:t>
      </w:r>
      <w:r>
        <w:t xml:space="preserve"> means a section of the Act;</w:t>
      </w:r>
    </w:p>
    <w:p>
      <w:pPr>
        <w:pStyle w:val="Defstart"/>
      </w:pPr>
      <w:r>
        <w:tab/>
      </w:r>
      <w:r>
        <w:rPr>
          <w:rStyle w:val="CharDefText"/>
        </w:rPr>
        <w:t>VIN</w:t>
      </w:r>
      <w:r>
        <w:t xml:space="preserve">, in relation to a vehicle, means the vehicle identification number that is required under the </w:t>
      </w:r>
      <w:r>
        <w:rPr>
          <w:i/>
        </w:rPr>
        <w:t xml:space="preserve">Road Traffic (Vehicles) Regulations 2014 </w:t>
      </w:r>
      <w:r>
        <w:t>regulation 274(4) for the vehicle;</w:t>
      </w:r>
    </w:p>
    <w:p>
      <w:pPr>
        <w:pStyle w:val="Defstart"/>
      </w:pPr>
      <w:r>
        <w:tab/>
      </w:r>
      <w:r>
        <w:rPr>
          <w:rStyle w:val="CharDefText"/>
        </w:rPr>
        <w:t>Written</w:t>
      </w:r>
      <w:r>
        <w:rPr>
          <w:rStyle w:val="CharDefText"/>
        </w:rPr>
        <w:noBreakHyphen/>
        <w:t>Off Vehicle Register (WA)</w:t>
      </w:r>
      <w:r>
        <w:t xml:space="preserve"> means the Written</w:t>
      </w:r>
      <w:r>
        <w:noBreakHyphen/>
        <w:t xml:space="preserve">Off Vehicle Register established and maintained under the </w:t>
      </w:r>
      <w:r>
        <w:rPr>
          <w:i/>
        </w:rPr>
        <w:t>Road Traffic (Vehicles) Regulations 2014</w:t>
      </w:r>
      <w:r>
        <w:t xml:space="preserve"> regulation 156(1).</w:t>
      </w:r>
    </w:p>
    <w:p>
      <w:pPr>
        <w:pStyle w:val="Footnotesection"/>
      </w:pPr>
      <w:r>
        <w:tab/>
        <w:t>[Regulation 2 amended: Gazette 13 Aug 2002 p. 4159; 17 Nov 2006 p. 4750; SL 2024/33 r. 4.]</w:t>
      </w:r>
    </w:p>
    <w:p>
      <w:pPr>
        <w:pStyle w:val="Heading2"/>
      </w:pPr>
      <w:bookmarkStart w:id="8" w:name="_Toc168386235"/>
      <w:bookmarkStart w:id="9" w:name="_Toc168391337"/>
      <w:bookmarkStart w:id="10" w:name="_Toc168391447"/>
      <w:bookmarkStart w:id="11" w:name="_Toc168393061"/>
      <w:r>
        <w:rPr>
          <w:rStyle w:val="CharPartNo"/>
        </w:rPr>
        <w:lastRenderedPageBreak/>
        <w:t>Part 2</w:t>
      </w:r>
      <w:r>
        <w:t xml:space="preserve"> — </w:t>
      </w:r>
      <w:r>
        <w:rPr>
          <w:rStyle w:val="CharPartText"/>
        </w:rPr>
        <w:t>Forms</w:t>
      </w:r>
      <w:bookmarkEnd w:id="8"/>
      <w:bookmarkEnd w:id="9"/>
      <w:bookmarkEnd w:id="10"/>
      <w:bookmarkEnd w:id="11"/>
    </w:p>
    <w:p>
      <w:pPr>
        <w:pStyle w:val="Footnoteheading"/>
        <w:tabs>
          <w:tab w:val="left" w:pos="851"/>
        </w:tabs>
      </w:pPr>
      <w:r>
        <w:tab/>
        <w:t>[Heading inserted: Gazette 13 Aug 2002 p. 4159.]</w:t>
      </w:r>
    </w:p>
    <w:p>
      <w:pPr>
        <w:pStyle w:val="Heading5"/>
      </w:pPr>
      <w:bookmarkStart w:id="12" w:name="_Toc168393062"/>
      <w:r>
        <w:rPr>
          <w:rStyle w:val="CharSectno"/>
        </w:rPr>
        <w:t>3</w:t>
      </w:r>
      <w:r>
        <w:t>.</w:t>
      </w:r>
      <w:r>
        <w:tab/>
        <w:t>Form of register of transactions</w:t>
      </w:r>
      <w:bookmarkEnd w:id="12"/>
    </w:p>
    <w:p>
      <w:pPr>
        <w:pStyle w:val="Subsection"/>
        <w:rPr>
          <w:snapToGrid w:val="0"/>
        </w:rPr>
      </w:pPr>
      <w:r>
        <w:rPr>
          <w:snapToGrid w:val="0"/>
        </w:rPr>
        <w:tab/>
      </w:r>
      <w:r>
        <w:rPr>
          <w:snapToGrid w:val="0"/>
        </w:rPr>
        <w:tab/>
        <w:t xml:space="preserve">For </w:t>
      </w:r>
      <w:r>
        <w:t>the</w:t>
      </w:r>
      <w:r>
        <w:rPr>
          <w:snapToGrid w:val="0"/>
        </w:rPr>
        <w:t xml:space="preserve"> purposes of section 25 the register of prescribed transactions —</w:t>
      </w:r>
    </w:p>
    <w:p>
      <w:pPr>
        <w:pStyle w:val="Indenta"/>
        <w:rPr>
          <w:snapToGrid w:val="0"/>
        </w:rPr>
      </w:pPr>
      <w:r>
        <w:rPr>
          <w:snapToGrid w:val="0"/>
        </w:rPr>
        <w:tab/>
        <w:t>(a)</w:t>
      </w:r>
      <w:r>
        <w:rPr>
          <w:snapToGrid w:val="0"/>
        </w:rPr>
        <w:tab/>
        <w:t>is to be in the form of Form 1; and</w:t>
      </w:r>
    </w:p>
    <w:p>
      <w:pPr>
        <w:pStyle w:val="Indenta"/>
        <w:rPr>
          <w:snapToGrid w:val="0"/>
        </w:rPr>
      </w:pPr>
      <w:r>
        <w:rPr>
          <w:snapToGrid w:val="0"/>
        </w:rPr>
        <w:tab/>
        <w:t>(b)</w:t>
      </w:r>
      <w:r>
        <w:rPr>
          <w:snapToGrid w:val="0"/>
        </w:rPr>
        <w:tab/>
        <w:t>may be kept —</w:t>
      </w:r>
    </w:p>
    <w:p>
      <w:pPr>
        <w:pStyle w:val="Indenti"/>
        <w:rPr>
          <w:snapToGrid w:val="0"/>
        </w:rPr>
      </w:pPr>
      <w:r>
        <w:rPr>
          <w:snapToGrid w:val="0"/>
        </w:rPr>
        <w:tab/>
        <w:t>(i)</w:t>
      </w:r>
      <w:r>
        <w:rPr>
          <w:snapToGrid w:val="0"/>
        </w:rPr>
        <w:tab/>
        <w:t>in writing in accordance with regulation 4; or</w:t>
      </w:r>
    </w:p>
    <w:p>
      <w:pPr>
        <w:pStyle w:val="Indenti"/>
        <w:rPr>
          <w:snapToGrid w:val="0"/>
        </w:rPr>
      </w:pPr>
      <w:r>
        <w:rPr>
          <w:snapToGrid w:val="0"/>
        </w:rPr>
        <w:tab/>
        <w:t>(ii)</w:t>
      </w:r>
      <w:r>
        <w:rPr>
          <w:snapToGrid w:val="0"/>
        </w:rPr>
        <w:tab/>
        <w:t>in an electronic form in accordance with regulation 4A.</w:t>
      </w:r>
    </w:p>
    <w:p>
      <w:pPr>
        <w:pStyle w:val="Footnotesection"/>
      </w:pPr>
      <w:r>
        <w:tab/>
        <w:t>[Regulation 3 inserted: Gazette 17 Nov 2006 p. 4750.]</w:t>
      </w:r>
    </w:p>
    <w:p>
      <w:pPr>
        <w:pStyle w:val="Heading5"/>
      </w:pPr>
      <w:bookmarkStart w:id="13" w:name="_Toc168393063"/>
      <w:r>
        <w:rPr>
          <w:rStyle w:val="CharSectno"/>
        </w:rPr>
        <w:t>4</w:t>
      </w:r>
      <w:r>
        <w:t>.</w:t>
      </w:r>
      <w:r>
        <w:tab/>
        <w:t>Registers kept in writing</w:t>
      </w:r>
      <w:bookmarkEnd w:id="13"/>
    </w:p>
    <w:p>
      <w:pPr>
        <w:pStyle w:val="Subsection"/>
      </w:pPr>
      <w:r>
        <w:tab/>
        <w:t>(1)</w:t>
      </w:r>
      <w:r>
        <w:tab/>
        <w:t>A register that is kept in writing is to be kept in a series of books each of which —</w:t>
      </w:r>
    </w:p>
    <w:p>
      <w:pPr>
        <w:pStyle w:val="Indenta"/>
      </w:pPr>
      <w:r>
        <w:tab/>
        <w:t>(a)</w:t>
      </w:r>
      <w:r>
        <w:tab/>
      </w:r>
      <w:r>
        <w:rPr>
          <w:snapToGrid w:val="0"/>
        </w:rPr>
        <w:t>consist</w:t>
      </w:r>
      <w:r>
        <w:t xml:space="preserve"> of pages permanently bound together; and</w:t>
      </w:r>
    </w:p>
    <w:p>
      <w:pPr>
        <w:pStyle w:val="Indenta"/>
      </w:pPr>
      <w:r>
        <w:tab/>
        <w:t>(b)</w:t>
      </w:r>
      <w:r>
        <w:tab/>
        <w:t>bear on the front cover a number corresponding to the book’s number in the series; and</w:t>
      </w:r>
    </w:p>
    <w:p>
      <w:pPr>
        <w:pStyle w:val="Indenta"/>
      </w:pPr>
      <w:r>
        <w:tab/>
        <w:t>(c)</w:t>
      </w:r>
      <w:r>
        <w:tab/>
        <w:t>are used for the purposes of the register and for no other purpose.</w:t>
      </w:r>
    </w:p>
    <w:p>
      <w:pPr>
        <w:pStyle w:val="Subsection"/>
      </w:pPr>
      <w:r>
        <w:tab/>
        <w:t>(2)</w:t>
      </w:r>
      <w:r>
        <w:tab/>
      </w:r>
      <w:r>
        <w:rPr>
          <w:snapToGrid w:val="0"/>
        </w:rPr>
        <w:t>Each</w:t>
      </w:r>
      <w:r>
        <w:t xml:space="preserve"> page in a book of the register is to consist of white paper of a size not less than 297 mm by 210 mm.</w:t>
      </w:r>
    </w:p>
    <w:p>
      <w:pPr>
        <w:pStyle w:val="Subsection"/>
      </w:pPr>
      <w:r>
        <w:tab/>
        <w:t>(3)</w:t>
      </w:r>
      <w:r>
        <w:tab/>
        <w:t>Each record (which consists of one or more entries) in respect of a vehicle is to be consecutively numbered (the Register No. in Form 1).</w:t>
      </w:r>
    </w:p>
    <w:p>
      <w:pPr>
        <w:pStyle w:val="Subsection"/>
      </w:pPr>
      <w:r>
        <w:tab/>
        <w:t>(4)</w:t>
      </w:r>
      <w:r>
        <w:tab/>
        <w:t>Each person who makes an entry in the register (including an amendment or deletion of a previous entry) must record the person’s name in the Entered by column and the date of the entry in the Date entered column (see Form 1).</w:t>
      </w:r>
    </w:p>
    <w:p>
      <w:pPr>
        <w:pStyle w:val="Subsection"/>
      </w:pPr>
      <w:r>
        <w:lastRenderedPageBreak/>
        <w:tab/>
        <w:t>(5)</w:t>
      </w:r>
      <w:r>
        <w:tab/>
      </w:r>
      <w:r>
        <w:rPr>
          <w:snapToGrid w:val="0"/>
        </w:rPr>
        <w:t>The</w:t>
      </w:r>
      <w:r>
        <w:t xml:space="preserve"> register is to be clearly legible.</w:t>
      </w:r>
    </w:p>
    <w:p>
      <w:pPr>
        <w:pStyle w:val="Subsection"/>
      </w:pPr>
      <w:r>
        <w:tab/>
        <w:t>(6)</w:t>
      </w:r>
      <w:r>
        <w:tab/>
      </w:r>
      <w:r>
        <w:rPr>
          <w:snapToGrid w:val="0"/>
        </w:rPr>
        <w:t>Any</w:t>
      </w:r>
      <w:r>
        <w:t xml:space="preserve"> amendment or deletion to the register is to be made so as to leave the amended or deleted particulars decipherable.</w:t>
      </w:r>
    </w:p>
    <w:p>
      <w:pPr>
        <w:pStyle w:val="Footnotesection"/>
      </w:pPr>
      <w:r>
        <w:tab/>
        <w:t>[Regulation 4 inserted: Gazette 17 Nov 2006 p. 4751; amended: SL 2021/164 r. 12.]</w:t>
      </w:r>
    </w:p>
    <w:p>
      <w:pPr>
        <w:pStyle w:val="Heading5"/>
      </w:pPr>
      <w:bookmarkStart w:id="14" w:name="_Toc168393064"/>
      <w:r>
        <w:rPr>
          <w:rStyle w:val="CharSectno"/>
        </w:rPr>
        <w:t>4A</w:t>
      </w:r>
      <w:r>
        <w:t>.</w:t>
      </w:r>
      <w:r>
        <w:tab/>
        <w:t>Registers kept in electronic form</w:t>
      </w:r>
      <w:bookmarkEnd w:id="14"/>
    </w:p>
    <w:p>
      <w:pPr>
        <w:pStyle w:val="Subsection"/>
        <w:spacing w:before="120"/>
      </w:pPr>
      <w:r>
        <w:tab/>
        <w:t>(1)</w:t>
      </w:r>
      <w:r>
        <w:tab/>
        <w:t xml:space="preserve">A </w:t>
      </w:r>
      <w:r>
        <w:rPr>
          <w:snapToGrid w:val="0"/>
        </w:rPr>
        <w:t>register</w:t>
      </w:r>
      <w:r>
        <w:t xml:space="preserve"> that is kept in electronic form is to be kept by means of software that ensures that —</w:t>
      </w:r>
    </w:p>
    <w:p>
      <w:pPr>
        <w:pStyle w:val="Indenta"/>
      </w:pPr>
      <w:r>
        <w:tab/>
        <w:t>(a)</w:t>
      </w:r>
      <w:r>
        <w:tab/>
        <w:t xml:space="preserve">the </w:t>
      </w:r>
      <w:r>
        <w:rPr>
          <w:snapToGrid w:val="0"/>
        </w:rPr>
        <w:t>information</w:t>
      </w:r>
      <w:r>
        <w:t xml:space="preserve"> in the register —</w:t>
      </w:r>
    </w:p>
    <w:p>
      <w:pPr>
        <w:pStyle w:val="Indenti"/>
      </w:pPr>
      <w:r>
        <w:tab/>
        <w:t>(i)</w:t>
      </w:r>
      <w:r>
        <w:tab/>
        <w:t>is capable of being displayed and printed at any time at each place of business to which the dealer’s licence relates; and</w:t>
      </w:r>
    </w:p>
    <w:p>
      <w:pPr>
        <w:pStyle w:val="Indenti"/>
      </w:pPr>
      <w:r>
        <w:tab/>
        <w:t>(ii)</w:t>
      </w:r>
      <w:r>
        <w:tab/>
        <w:t>when displayed or printed, is displayed or printed in the form of Form 1; and</w:t>
      </w:r>
    </w:p>
    <w:p>
      <w:pPr>
        <w:pStyle w:val="Indenti"/>
      </w:pPr>
      <w:r>
        <w:tab/>
        <w:t>(iii)</w:t>
      </w:r>
      <w:r>
        <w:tab/>
      </w:r>
      <w:r>
        <w:rPr>
          <w:snapToGrid w:val="0"/>
        </w:rPr>
        <w:t>includes</w:t>
      </w:r>
      <w:r>
        <w:t xml:space="preserve"> the date on which each entry in the register was made and who made it; and</w:t>
      </w:r>
    </w:p>
    <w:p>
      <w:pPr>
        <w:pStyle w:val="Indenti"/>
      </w:pPr>
      <w:r>
        <w:tab/>
        <w:t>(iv)</w:t>
      </w:r>
      <w:r>
        <w:tab/>
        <w:t xml:space="preserve">is </w:t>
      </w:r>
      <w:r>
        <w:rPr>
          <w:snapToGrid w:val="0"/>
        </w:rPr>
        <w:t>backed</w:t>
      </w:r>
      <w:r>
        <w:t xml:space="preserve"> up to an electronic storage facility kept at separate premises on a weekly basis;</w:t>
      </w:r>
    </w:p>
    <w:p>
      <w:pPr>
        <w:pStyle w:val="Indenta"/>
      </w:pPr>
      <w:r>
        <w:tab/>
      </w:r>
      <w:r>
        <w:tab/>
      </w:r>
      <w:r>
        <w:rPr>
          <w:snapToGrid w:val="0"/>
        </w:rPr>
        <w:t>and</w:t>
      </w:r>
    </w:p>
    <w:p>
      <w:pPr>
        <w:pStyle w:val="Indenta"/>
      </w:pPr>
      <w:r>
        <w:tab/>
        <w:t>(b)</w:t>
      </w:r>
      <w:r>
        <w:tab/>
        <w:t>if any information in the register is amended or deleted, a record is kept —</w:t>
      </w:r>
    </w:p>
    <w:p>
      <w:pPr>
        <w:pStyle w:val="Indenti"/>
      </w:pPr>
      <w:r>
        <w:tab/>
        <w:t>(i)</w:t>
      </w:r>
      <w:r>
        <w:tab/>
        <w:t>of the information in the form in which it was before it was amended or deleted; and</w:t>
      </w:r>
    </w:p>
    <w:p>
      <w:pPr>
        <w:pStyle w:val="Indenti"/>
      </w:pPr>
      <w:r>
        <w:tab/>
        <w:t>(ii)</w:t>
      </w:r>
      <w:r>
        <w:tab/>
        <w:t>of the date on which the information was amended or deleted and who amended it.</w:t>
      </w:r>
    </w:p>
    <w:p>
      <w:pPr>
        <w:pStyle w:val="Subsection"/>
        <w:spacing w:before="120"/>
      </w:pPr>
      <w:r>
        <w:tab/>
        <w:t>(2)</w:t>
      </w:r>
      <w:r>
        <w:tab/>
        <w:t>Each record (which consists of one or more entries) in respect of a vehicle is to be consecutively numbered (the Register No. in Form 1).</w:t>
      </w:r>
    </w:p>
    <w:p>
      <w:pPr>
        <w:pStyle w:val="Footnotesection"/>
      </w:pPr>
      <w:r>
        <w:tab/>
        <w:t>[Regulation 4A inserted: Gazette 17 Nov 2006 p. 4751</w:t>
      </w:r>
      <w:r>
        <w:noBreakHyphen/>
        <w:t>2.]</w:t>
      </w:r>
    </w:p>
    <w:p>
      <w:pPr>
        <w:pStyle w:val="Heading5"/>
      </w:pPr>
      <w:bookmarkStart w:id="15" w:name="_Toc168393065"/>
      <w:r>
        <w:rPr>
          <w:rStyle w:val="CharSectno"/>
        </w:rPr>
        <w:lastRenderedPageBreak/>
        <w:t>5</w:t>
      </w:r>
      <w:r>
        <w:t>.</w:t>
      </w:r>
      <w:r>
        <w:tab/>
        <w:t>Notice of required particulars (section 33)</w:t>
      </w:r>
      <w:bookmarkEnd w:id="15"/>
    </w:p>
    <w:p>
      <w:pPr>
        <w:pStyle w:val="Subsection"/>
      </w:pPr>
      <w:r>
        <w:tab/>
        <w:t>(1A)</w:t>
      </w:r>
      <w:r>
        <w:tab/>
        <w:t>For the purposes of section 33(1), the notice must be —</w:t>
      </w:r>
    </w:p>
    <w:p>
      <w:pPr>
        <w:pStyle w:val="Indenta"/>
      </w:pPr>
      <w:r>
        <w:tab/>
        <w:t>(a)</w:t>
      </w:r>
      <w:r>
        <w:tab/>
        <w:t>in the form of Form 4; and</w:t>
      </w:r>
    </w:p>
    <w:p>
      <w:pPr>
        <w:pStyle w:val="Indenta"/>
      </w:pPr>
      <w:r>
        <w:tab/>
        <w:t>(b)</w:t>
      </w:r>
      <w:r>
        <w:tab/>
        <w:t>printed, typed or written in a clear and legible manner.</w:t>
      </w:r>
    </w:p>
    <w:p>
      <w:pPr>
        <w:pStyle w:val="Subsection"/>
        <w:keepNext/>
        <w:spacing w:before="120"/>
      </w:pPr>
      <w:r>
        <w:tab/>
        <w:t>(1)</w:t>
      </w:r>
      <w:r>
        <w:tab/>
        <w:t xml:space="preserve">For the purposes of section 33(3)(g), the other particulars are — </w:t>
      </w:r>
    </w:p>
    <w:p>
      <w:pPr>
        <w:pStyle w:val="Indenta"/>
      </w:pPr>
      <w:r>
        <w:tab/>
        <w:t>(a)</w:t>
      </w:r>
      <w:r>
        <w:tab/>
        <w:t>the make and model of the vehicle; and</w:t>
      </w:r>
    </w:p>
    <w:p>
      <w:pPr>
        <w:pStyle w:val="Indenta"/>
      </w:pPr>
      <w:r>
        <w:tab/>
        <w:t>(b)</w:t>
      </w:r>
      <w:r>
        <w:tab/>
        <w:t>whether the vehicle is one to which the obligations imposed by section 34 will apply; and</w:t>
      </w:r>
    </w:p>
    <w:p>
      <w:pPr>
        <w:pStyle w:val="Indenta"/>
      </w:pPr>
      <w:r>
        <w:tab/>
        <w:t>(c)</w:t>
      </w:r>
      <w:r>
        <w:tab/>
        <w:t>whether the vehicle is a registered repairable write</w:t>
      </w:r>
      <w:r>
        <w:noBreakHyphen/>
        <w:t>off; and</w:t>
      </w:r>
    </w:p>
    <w:p>
      <w:pPr>
        <w:pStyle w:val="Indenta"/>
      </w:pPr>
      <w:r>
        <w:tab/>
        <w:t>(d)</w:t>
      </w:r>
      <w:r>
        <w:tab/>
        <w:t>the VIN of the vehicle; and</w:t>
      </w:r>
    </w:p>
    <w:p>
      <w:pPr>
        <w:pStyle w:val="Indenta"/>
      </w:pPr>
      <w:r>
        <w:tab/>
        <w:t>(e)</w:t>
      </w:r>
      <w:r>
        <w:tab/>
        <w:t>the engine number (if any) of the vehicle; and</w:t>
      </w:r>
    </w:p>
    <w:p>
      <w:pPr>
        <w:pStyle w:val="Indenta"/>
      </w:pPr>
      <w:r>
        <w:tab/>
        <w:t>(f)</w:t>
      </w:r>
      <w:r>
        <w:tab/>
        <w:t xml:space="preserve">if a vehicle licence has been granted in respect of the vehicle under the </w:t>
      </w:r>
      <w:r>
        <w:rPr>
          <w:i/>
          <w:iCs/>
        </w:rPr>
        <w:t>Road Traffic (Vehicles) Act 2012</w:t>
      </w:r>
      <w:r>
        <w:t xml:space="preserve"> and is current, the date on which that vehicle licence expires; and</w:t>
      </w:r>
    </w:p>
    <w:p>
      <w:pPr>
        <w:pStyle w:val="Indenta"/>
      </w:pPr>
      <w:r>
        <w:tab/>
        <w:t>(g)</w:t>
      </w:r>
      <w:r>
        <w:tab/>
        <w:t>the register reference number or stock number assigned to the vehicle by the dealer.</w:t>
      </w:r>
    </w:p>
    <w:p>
      <w:pPr>
        <w:pStyle w:val="Footnotesection"/>
      </w:pPr>
      <w:r>
        <w:tab/>
        <w:t>[Regulation 5 inserted: Gazette 26 Jun 1998 p. 3375</w:t>
      </w:r>
      <w:r>
        <w:noBreakHyphen/>
        <w:t>6; amended: Gazette 18 Sep 1998 p. 5158; 30 Jun 2015 p. 2331; SL 2024/33 r. 5.]</w:t>
      </w:r>
    </w:p>
    <w:p>
      <w:pPr>
        <w:pStyle w:val="Ednotesection"/>
        <w:rPr>
          <w:b/>
        </w:rPr>
      </w:pPr>
      <w:r>
        <w:t>[</w:t>
      </w:r>
      <w:r>
        <w:rPr>
          <w:b/>
        </w:rPr>
        <w:t>5A.</w:t>
      </w:r>
      <w:r>
        <w:rPr>
          <w:b/>
        </w:rPr>
        <w:tab/>
      </w:r>
      <w:r>
        <w:t>Deleted: Gazette 13 Aug 2002 p. 4160.]</w:t>
      </w:r>
    </w:p>
    <w:p>
      <w:pPr>
        <w:pStyle w:val="Heading5"/>
        <w:rPr>
          <w:snapToGrid w:val="0"/>
        </w:rPr>
      </w:pPr>
      <w:bookmarkStart w:id="16" w:name="_Toc168393066"/>
      <w:r>
        <w:rPr>
          <w:rStyle w:val="CharSectno"/>
        </w:rPr>
        <w:t>6</w:t>
      </w:r>
      <w:r>
        <w:rPr>
          <w:snapToGrid w:val="0"/>
        </w:rPr>
        <w:t>.</w:t>
      </w:r>
      <w:r>
        <w:rPr>
          <w:snapToGrid w:val="0"/>
        </w:rPr>
        <w:tab/>
        <w:t>Notice of excluded defects (Form 5)</w:t>
      </w:r>
      <w:bookmarkEnd w:id="16"/>
    </w:p>
    <w:p>
      <w:pPr>
        <w:pStyle w:val="Subsection"/>
        <w:spacing w:before="120"/>
        <w:rPr>
          <w:snapToGrid w:val="0"/>
        </w:rPr>
      </w:pPr>
      <w:r>
        <w:rPr>
          <w:snapToGrid w:val="0"/>
        </w:rPr>
        <w:tab/>
        <w:t>(1)</w:t>
      </w:r>
      <w:r>
        <w:rPr>
          <w:snapToGrid w:val="0"/>
        </w:rPr>
        <w:tab/>
        <w:t>The form of notice for the purposes of section 35(1) shall be in the form of Form 5.</w:t>
      </w:r>
    </w:p>
    <w:p>
      <w:pPr>
        <w:pStyle w:val="Subsection"/>
        <w:spacing w:before="120"/>
        <w:rPr>
          <w:snapToGrid w:val="0"/>
        </w:rPr>
      </w:pPr>
      <w:r>
        <w:rPr>
          <w:snapToGrid w:val="0"/>
        </w:rPr>
        <w:tab/>
        <w:t>(2)</w:t>
      </w:r>
      <w:r>
        <w:rPr>
          <w:snapToGrid w:val="0"/>
        </w:rPr>
        <w:tab/>
        <w:t>The notice prescribed by subregulation (1) of this regulation —</w:t>
      </w:r>
    </w:p>
    <w:p>
      <w:pPr>
        <w:pStyle w:val="Indenta"/>
        <w:rPr>
          <w:snapToGrid w:val="0"/>
        </w:rPr>
      </w:pPr>
      <w:r>
        <w:rPr>
          <w:snapToGrid w:val="0"/>
        </w:rPr>
        <w:tab/>
        <w:t>(a)</w:t>
      </w:r>
      <w:r>
        <w:rPr>
          <w:snapToGrid w:val="0"/>
        </w:rPr>
        <w:tab/>
        <w:t>shall be printed on paper that is not less than 170 mm long and 210 mm wide; and</w:t>
      </w:r>
    </w:p>
    <w:p>
      <w:pPr>
        <w:pStyle w:val="Indenta"/>
        <w:keepNext/>
        <w:rPr>
          <w:snapToGrid w:val="0"/>
        </w:rPr>
      </w:pPr>
      <w:r>
        <w:rPr>
          <w:snapToGrid w:val="0"/>
        </w:rPr>
        <w:lastRenderedPageBreak/>
        <w:tab/>
        <w:t>(b)</w:t>
      </w:r>
      <w:r>
        <w:rPr>
          <w:snapToGrid w:val="0"/>
        </w:rPr>
        <w:tab/>
        <w:t>shall be printed in the type, size and manner to conform to Form 5.</w:t>
      </w:r>
    </w:p>
    <w:p>
      <w:pPr>
        <w:pStyle w:val="Footnotesection"/>
      </w:pPr>
      <w:r>
        <w:tab/>
        <w:t>[Regulation 6 amended: Gazette 11 Oct 1974 p. 3885; 17 Nov 2006 p. 4752.]</w:t>
      </w:r>
    </w:p>
    <w:p>
      <w:pPr>
        <w:pStyle w:val="Heading5"/>
      </w:pPr>
      <w:bookmarkStart w:id="17" w:name="_Toc160101096"/>
      <w:bookmarkStart w:id="18" w:name="_Toc160616650"/>
      <w:bookmarkStart w:id="19" w:name="_Toc168393067"/>
      <w:r>
        <w:rPr>
          <w:rStyle w:val="CharSectno"/>
        </w:rPr>
        <w:t>7</w:t>
      </w:r>
      <w:r>
        <w:t>.</w:t>
      </w:r>
      <w:r>
        <w:tab/>
        <w:t>Information statement to be given before sale</w:t>
      </w:r>
      <w:bookmarkEnd w:id="17"/>
      <w:bookmarkEnd w:id="18"/>
      <w:bookmarkEnd w:id="19"/>
    </w:p>
    <w:p>
      <w:pPr>
        <w:pStyle w:val="Subsection"/>
      </w:pPr>
      <w:r>
        <w:tab/>
        <w:t>(1)</w:t>
      </w:r>
      <w:r>
        <w:tab/>
        <w:t>Before a dealer sells a vehicle to which the obligations imposed by section 34 will apply, the dealer must ensure that the purchaser is given an information statement that —</w:t>
      </w:r>
    </w:p>
    <w:p>
      <w:pPr>
        <w:pStyle w:val="Indenta"/>
      </w:pPr>
      <w:r>
        <w:tab/>
        <w:t>(a)</w:t>
      </w:r>
      <w:r>
        <w:tab/>
        <w:t>is in the form of Form 5A; and</w:t>
      </w:r>
    </w:p>
    <w:p>
      <w:pPr>
        <w:pStyle w:val="Indenta"/>
      </w:pPr>
      <w:r>
        <w:tab/>
        <w:t>(b)</w:t>
      </w:r>
      <w:r>
        <w:tab/>
        <w:t>includes whichever of the following is applicable —</w:t>
      </w:r>
    </w:p>
    <w:p>
      <w:pPr>
        <w:pStyle w:val="Indenti"/>
      </w:pPr>
      <w:r>
        <w:tab/>
        <w:t>(i)</w:t>
      </w:r>
      <w:r>
        <w:tab/>
        <w:t>if the vehicle is not a motor cycle — the illustration in Form 5A entitled “The Used Car Warranty”;</w:t>
      </w:r>
    </w:p>
    <w:p>
      <w:pPr>
        <w:pStyle w:val="Indenti"/>
      </w:pPr>
      <w:r>
        <w:tab/>
        <w:t>(ii)</w:t>
      </w:r>
      <w:r>
        <w:tab/>
        <w:t>if the vehicle is a motor cycle — the illustration in Form 5A entitled “The Used Bike Warranty”.</w:t>
      </w:r>
    </w:p>
    <w:p>
      <w:pPr>
        <w:pStyle w:val="Subsection"/>
      </w:pPr>
      <w:r>
        <w:tab/>
        <w:t>(2)</w:t>
      </w:r>
      <w:r>
        <w:tab/>
        <w:t>Before a dealer sells a vehicle to which the obligations imposed by section 34 will not apply, the dealer must ensure that the purchaser is given an information statement in the form of Form 6.</w:t>
      </w:r>
    </w:p>
    <w:p>
      <w:pPr>
        <w:pStyle w:val="Footnotesection"/>
      </w:pPr>
      <w:r>
        <w:tab/>
        <w:t>[Regulation 7 inserted: SL 2024/33 r. 6.]</w:t>
      </w:r>
    </w:p>
    <w:p>
      <w:pPr>
        <w:pStyle w:val="Heading5"/>
      </w:pPr>
      <w:bookmarkStart w:id="20" w:name="_Toc160101097"/>
      <w:bookmarkStart w:id="21" w:name="_Toc160616651"/>
      <w:bookmarkStart w:id="22" w:name="_Toc168393068"/>
      <w:r>
        <w:rPr>
          <w:rStyle w:val="CharSectno"/>
        </w:rPr>
        <w:t>8</w:t>
      </w:r>
      <w:r>
        <w:t>.</w:t>
      </w:r>
      <w:r>
        <w:tab/>
        <w:t>Details to be included in copies of notice after sale</w:t>
      </w:r>
      <w:bookmarkEnd w:id="20"/>
      <w:bookmarkEnd w:id="21"/>
      <w:bookmarkEnd w:id="22"/>
    </w:p>
    <w:p>
      <w:pPr>
        <w:pStyle w:val="Subsection"/>
      </w:pPr>
      <w:r>
        <w:tab/>
      </w:r>
      <w:r>
        <w:tab/>
        <w:t>If a dealer sells a vehicle, the dealer must ensure that each copy of the notice required under section 33(7) includes —</w:t>
      </w:r>
    </w:p>
    <w:p>
      <w:pPr>
        <w:pStyle w:val="Indenta"/>
      </w:pPr>
      <w:r>
        <w:tab/>
        <w:t>(a)</w:t>
      </w:r>
      <w:r>
        <w:tab/>
        <w:t>the date of the sale; and</w:t>
      </w:r>
    </w:p>
    <w:p>
      <w:pPr>
        <w:pStyle w:val="Indenta"/>
      </w:pPr>
      <w:r>
        <w:tab/>
        <w:t>(b)</w:t>
      </w:r>
      <w:r>
        <w:tab/>
        <w:t>if the vehicle is equipped with an odometer — the reading on the odometer at the time of the sale.</w:t>
      </w:r>
    </w:p>
    <w:p>
      <w:pPr>
        <w:pStyle w:val="Footnotesection"/>
      </w:pPr>
      <w:r>
        <w:tab/>
        <w:t>[Regulation 8 inserted: SL 2024/33 r. 6.]</w:t>
      </w:r>
    </w:p>
    <w:p>
      <w:pPr>
        <w:pStyle w:val="Ednotesection"/>
      </w:pPr>
      <w:r>
        <w:t>[</w:t>
      </w:r>
      <w:r>
        <w:rPr>
          <w:b/>
          <w:bCs/>
        </w:rPr>
        <w:t>9, 10.</w:t>
      </w:r>
      <w:r>
        <w:rPr>
          <w:b/>
          <w:bCs/>
        </w:rPr>
        <w:tab/>
      </w:r>
      <w:r>
        <w:t>Deleted: Gazette 17 Nov 2006 p. 4752.]</w:t>
      </w:r>
    </w:p>
    <w:p>
      <w:pPr>
        <w:pStyle w:val="Heading2"/>
      </w:pPr>
      <w:bookmarkStart w:id="23" w:name="_Toc168386242"/>
      <w:bookmarkStart w:id="24" w:name="_Toc168391345"/>
      <w:bookmarkStart w:id="25" w:name="_Toc168391455"/>
      <w:bookmarkStart w:id="26" w:name="_Toc168393069"/>
      <w:r>
        <w:rPr>
          <w:rStyle w:val="CharPartNo"/>
        </w:rPr>
        <w:lastRenderedPageBreak/>
        <w:t>Part 3</w:t>
      </w:r>
      <w:r>
        <w:t xml:space="preserve"> — </w:t>
      </w:r>
      <w:r>
        <w:rPr>
          <w:rStyle w:val="CharPartText"/>
        </w:rPr>
        <w:t>Trust accounts</w:t>
      </w:r>
      <w:bookmarkEnd w:id="23"/>
      <w:bookmarkEnd w:id="24"/>
      <w:bookmarkEnd w:id="25"/>
      <w:bookmarkEnd w:id="26"/>
    </w:p>
    <w:p>
      <w:pPr>
        <w:pStyle w:val="Footnoteheading"/>
        <w:tabs>
          <w:tab w:val="left" w:pos="851"/>
        </w:tabs>
      </w:pPr>
      <w:r>
        <w:tab/>
        <w:t>[Heading inserted: Gazette 13 Aug 2002 p. 4160.]</w:t>
      </w:r>
    </w:p>
    <w:p>
      <w:pPr>
        <w:pStyle w:val="Heading3"/>
      </w:pPr>
      <w:bookmarkStart w:id="27" w:name="_Toc168386243"/>
      <w:bookmarkStart w:id="28" w:name="_Toc168391346"/>
      <w:bookmarkStart w:id="29" w:name="_Toc168391456"/>
      <w:bookmarkStart w:id="30" w:name="_Toc168393070"/>
      <w:r>
        <w:rPr>
          <w:rStyle w:val="CharDivNo"/>
        </w:rPr>
        <w:t>Division 1</w:t>
      </w:r>
      <w:r>
        <w:t xml:space="preserve"> — </w:t>
      </w:r>
      <w:r>
        <w:rPr>
          <w:rStyle w:val="CharDivText"/>
        </w:rPr>
        <w:t>General</w:t>
      </w:r>
      <w:bookmarkEnd w:id="27"/>
      <w:bookmarkEnd w:id="28"/>
      <w:bookmarkEnd w:id="29"/>
      <w:bookmarkEnd w:id="30"/>
    </w:p>
    <w:p>
      <w:pPr>
        <w:pStyle w:val="Footnoteheading"/>
        <w:tabs>
          <w:tab w:val="left" w:pos="851"/>
        </w:tabs>
      </w:pPr>
      <w:r>
        <w:tab/>
        <w:t>[Heading inserted: Gazette 13 Aug 2002 p. 4160.]</w:t>
      </w:r>
    </w:p>
    <w:p>
      <w:pPr>
        <w:pStyle w:val="Heading5"/>
      </w:pPr>
      <w:bookmarkStart w:id="31" w:name="_Toc168393071"/>
      <w:r>
        <w:rPr>
          <w:rStyle w:val="CharSectno"/>
        </w:rPr>
        <w:t>10A</w:t>
      </w:r>
      <w:r>
        <w:t>.</w:t>
      </w:r>
      <w:r>
        <w:tab/>
      </w:r>
      <w:r>
        <w:rPr>
          <w:snapToGrid w:val="0"/>
        </w:rPr>
        <w:t>Application</w:t>
      </w:r>
      <w:bookmarkEnd w:id="31"/>
    </w:p>
    <w:p>
      <w:pPr>
        <w:pStyle w:val="Subsection"/>
      </w:pPr>
      <w:r>
        <w:tab/>
      </w:r>
      <w:r>
        <w:tab/>
        <w:t>This Part applies to trust accounts required to be maintained by a dealer under section 32C.</w:t>
      </w:r>
    </w:p>
    <w:p>
      <w:pPr>
        <w:pStyle w:val="Footnotesection"/>
      </w:pPr>
      <w:r>
        <w:tab/>
        <w:t>[Regulation 10A inserted: Gazette 13 Aug 2002 p. 4160.]</w:t>
      </w:r>
    </w:p>
    <w:p>
      <w:pPr>
        <w:pStyle w:val="Heading5"/>
      </w:pPr>
      <w:bookmarkStart w:id="32" w:name="_Toc168393072"/>
      <w:r>
        <w:rPr>
          <w:rStyle w:val="CharSectno"/>
        </w:rPr>
        <w:t>10B</w:t>
      </w:r>
      <w:r>
        <w:t>.</w:t>
      </w:r>
      <w:r>
        <w:tab/>
        <w:t>Prescribed financial institutions (section 32C)</w:t>
      </w:r>
      <w:bookmarkEnd w:id="32"/>
    </w:p>
    <w:p>
      <w:pPr>
        <w:pStyle w:val="Subsection"/>
      </w:pPr>
      <w:r>
        <w:tab/>
      </w:r>
      <w:r>
        <w:tab/>
        <w:t>For the purposes of section 32C all banks, building societies and credit societies are prescribed financial institutions.</w:t>
      </w:r>
    </w:p>
    <w:p>
      <w:pPr>
        <w:pStyle w:val="Footnotesection"/>
      </w:pPr>
      <w:r>
        <w:tab/>
        <w:t>[Regulation 10B inserted: Gazette 13 Aug 2002 p. 4160.]</w:t>
      </w:r>
    </w:p>
    <w:p>
      <w:pPr>
        <w:pStyle w:val="Heading3"/>
      </w:pPr>
      <w:bookmarkStart w:id="33" w:name="_Toc168386246"/>
      <w:bookmarkStart w:id="34" w:name="_Toc168391349"/>
      <w:bookmarkStart w:id="35" w:name="_Toc168391459"/>
      <w:bookmarkStart w:id="36" w:name="_Toc168393073"/>
      <w:r>
        <w:rPr>
          <w:rStyle w:val="CharDivNo"/>
        </w:rPr>
        <w:t>Division 2</w:t>
      </w:r>
      <w:r>
        <w:t xml:space="preserve"> — </w:t>
      </w:r>
      <w:r>
        <w:rPr>
          <w:rStyle w:val="CharDivText"/>
        </w:rPr>
        <w:t>Keeping and management of trust accounts</w:t>
      </w:r>
      <w:bookmarkEnd w:id="33"/>
      <w:bookmarkEnd w:id="34"/>
      <w:bookmarkEnd w:id="35"/>
      <w:bookmarkEnd w:id="36"/>
    </w:p>
    <w:p>
      <w:pPr>
        <w:pStyle w:val="Footnoteheading"/>
        <w:tabs>
          <w:tab w:val="left" w:pos="851"/>
        </w:tabs>
      </w:pPr>
      <w:r>
        <w:tab/>
        <w:t>[Heading inserted: Gazette 13 Aug 2002 p. 4160.]</w:t>
      </w:r>
    </w:p>
    <w:p>
      <w:pPr>
        <w:pStyle w:val="Heading5"/>
      </w:pPr>
      <w:bookmarkStart w:id="37" w:name="_Toc168393074"/>
      <w:r>
        <w:rPr>
          <w:rStyle w:val="CharSectno"/>
        </w:rPr>
        <w:t>10C</w:t>
      </w:r>
      <w:r>
        <w:t>.</w:t>
      </w:r>
      <w:r>
        <w:tab/>
        <w:t>Information to be given by the dealer to the Commissioner</w:t>
      </w:r>
      <w:bookmarkEnd w:id="37"/>
    </w:p>
    <w:p>
      <w:pPr>
        <w:pStyle w:val="Subsection"/>
      </w:pPr>
      <w:r>
        <w:tab/>
        <w:t>(1)</w:t>
      </w:r>
      <w:r>
        <w:tab/>
        <w:t>When a dealer opens a trust account the dealer must ensure that the name of the trust account includes —</w:t>
      </w:r>
    </w:p>
    <w:p>
      <w:pPr>
        <w:pStyle w:val="Indenta"/>
      </w:pPr>
      <w:r>
        <w:tab/>
        <w:t>(a)</w:t>
      </w:r>
      <w:r>
        <w:tab/>
        <w:t>the full name of the dealer;</w:t>
      </w:r>
    </w:p>
    <w:p>
      <w:pPr>
        <w:pStyle w:val="Indenta"/>
      </w:pPr>
      <w:r>
        <w:tab/>
        <w:t>(b)</w:t>
      </w:r>
      <w:r>
        <w:tab/>
        <w:t>the dealer’s licence number;</w:t>
      </w:r>
    </w:p>
    <w:p>
      <w:pPr>
        <w:pStyle w:val="Indenta"/>
      </w:pPr>
      <w:r>
        <w:tab/>
        <w:t>(c)</w:t>
      </w:r>
      <w:r>
        <w:tab/>
        <w:t>the trading name (if any); and</w:t>
      </w:r>
    </w:p>
    <w:p>
      <w:pPr>
        <w:pStyle w:val="Indenta"/>
      </w:pPr>
      <w:r>
        <w:tab/>
        <w:t>(d)</w:t>
      </w:r>
      <w:r>
        <w:tab/>
        <w:t>the words “consignment trust account”.</w:t>
      </w:r>
    </w:p>
    <w:p>
      <w:pPr>
        <w:pStyle w:val="Subsection"/>
      </w:pPr>
      <w:r>
        <w:tab/>
        <w:t>(2)</w:t>
      </w:r>
      <w:r>
        <w:tab/>
        <w:t>When a dealer opens or closes a trust account the dealer must, as soon as is practicable, inform the Commissioner in writing of the opening or closure of the trust account and, in doing so, must specify —</w:t>
      </w:r>
    </w:p>
    <w:p>
      <w:pPr>
        <w:pStyle w:val="Indenta"/>
      </w:pPr>
      <w:r>
        <w:tab/>
        <w:t>(a)</w:t>
      </w:r>
      <w:r>
        <w:tab/>
        <w:t>the name and number of the trust account; and</w:t>
      </w:r>
    </w:p>
    <w:p>
      <w:pPr>
        <w:pStyle w:val="Indenta"/>
      </w:pPr>
      <w:r>
        <w:lastRenderedPageBreak/>
        <w:tab/>
        <w:t>(b)</w:t>
      </w:r>
      <w:r>
        <w:tab/>
        <w:t>the name and address of the financial institution with which the trust account is or was maintained.</w:t>
      </w:r>
    </w:p>
    <w:p>
      <w:pPr>
        <w:pStyle w:val="Footnotesection"/>
      </w:pPr>
      <w:r>
        <w:tab/>
        <w:t>[Regulation 10C inserted: Gazette 13 Aug 2002 p. 4160; amended: Gazette 30 Jun 2011 p. 2660.]</w:t>
      </w:r>
    </w:p>
    <w:p>
      <w:pPr>
        <w:pStyle w:val="Heading5"/>
      </w:pPr>
      <w:bookmarkStart w:id="38" w:name="_Toc168393075"/>
      <w:r>
        <w:rPr>
          <w:rStyle w:val="CharSectno"/>
        </w:rPr>
        <w:t>10D</w:t>
      </w:r>
      <w:r>
        <w:t>.</w:t>
      </w:r>
      <w:r>
        <w:tab/>
        <w:t>Trust accounts records</w:t>
      </w:r>
      <w:bookmarkEnd w:id="38"/>
    </w:p>
    <w:p>
      <w:pPr>
        <w:pStyle w:val="Subsection"/>
      </w:pPr>
      <w:r>
        <w:tab/>
        <w:t>(1)</w:t>
      </w:r>
      <w:r>
        <w:tab/>
        <w:t>A dealer must ensure that a record is kept relating to a trust account.</w:t>
      </w:r>
    </w:p>
    <w:p>
      <w:pPr>
        <w:pStyle w:val="Subsection"/>
      </w:pPr>
      <w:r>
        <w:tab/>
        <w:t>(2)</w:t>
      </w:r>
      <w:r>
        <w:tab/>
        <w:t>The record must be —</w:t>
      </w:r>
    </w:p>
    <w:p>
      <w:pPr>
        <w:pStyle w:val="Indenta"/>
      </w:pPr>
      <w:r>
        <w:tab/>
        <w:t>(a)</w:t>
      </w:r>
      <w:r>
        <w:tab/>
        <w:t>kept in written form;</w:t>
      </w:r>
    </w:p>
    <w:p>
      <w:pPr>
        <w:pStyle w:val="Indenta"/>
      </w:pPr>
      <w:r>
        <w:tab/>
        <w:t>(b)</w:t>
      </w:r>
      <w:r>
        <w:tab/>
        <w:t>kept for a period of not less than 6 years from the date on which the money was received; and</w:t>
      </w:r>
    </w:p>
    <w:p>
      <w:pPr>
        <w:pStyle w:val="Indenta"/>
      </w:pPr>
      <w:r>
        <w:tab/>
        <w:t>(c)</w:t>
      </w:r>
      <w:r>
        <w:tab/>
        <w:t>readily accessible.</w:t>
      </w:r>
    </w:p>
    <w:p>
      <w:pPr>
        <w:pStyle w:val="Subsection"/>
      </w:pPr>
      <w:r>
        <w:tab/>
        <w:t>(3)</w:t>
      </w:r>
      <w:r>
        <w:tab/>
        <w:t>The record must contain the information contained on every receipt issued for money received, and may take the form of a duplicate copy of the receipt.</w:t>
      </w:r>
    </w:p>
    <w:p>
      <w:pPr>
        <w:pStyle w:val="Footnotesection"/>
      </w:pPr>
      <w:r>
        <w:tab/>
        <w:t>[Regulation 10D inserted: Gazette 13 Aug 2002 p. 4160</w:t>
      </w:r>
      <w:r>
        <w:noBreakHyphen/>
        <w:t>1.]</w:t>
      </w:r>
    </w:p>
    <w:p>
      <w:pPr>
        <w:pStyle w:val="Heading5"/>
      </w:pPr>
      <w:bookmarkStart w:id="39" w:name="_Toc168393076"/>
      <w:r>
        <w:rPr>
          <w:rStyle w:val="CharSectno"/>
        </w:rPr>
        <w:t>10E</w:t>
      </w:r>
      <w:r>
        <w:t>.</w:t>
      </w:r>
      <w:r>
        <w:tab/>
        <w:t>Manner of accounting for moneys received</w:t>
      </w:r>
      <w:bookmarkEnd w:id="39"/>
    </w:p>
    <w:p>
      <w:pPr>
        <w:pStyle w:val="Subsection"/>
      </w:pPr>
      <w:r>
        <w:tab/>
        <w:t>(1)</w:t>
      </w:r>
      <w:r>
        <w:tab/>
        <w:t>Where money has been received the dealer must ensure that a written receipt is issued to the person giving the money.</w:t>
      </w:r>
    </w:p>
    <w:p>
      <w:pPr>
        <w:pStyle w:val="Subsection"/>
      </w:pPr>
      <w:r>
        <w:tab/>
        <w:t>(2)</w:t>
      </w:r>
      <w:r>
        <w:tab/>
        <w:t>However the receipt may be in an electronic form where the money is received by electronic transfer.</w:t>
      </w:r>
    </w:p>
    <w:p>
      <w:pPr>
        <w:pStyle w:val="Subsection"/>
      </w:pPr>
      <w:r>
        <w:tab/>
        <w:t>(3)</w:t>
      </w:r>
      <w:r>
        <w:tab/>
        <w:t>The receipt must contain —</w:t>
      </w:r>
    </w:p>
    <w:p>
      <w:pPr>
        <w:pStyle w:val="Indenta"/>
      </w:pPr>
      <w:r>
        <w:tab/>
        <w:t>(a)</w:t>
      </w:r>
      <w:r>
        <w:tab/>
        <w:t>the name of the dealer and the dealer’s licence number;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lastRenderedPageBreak/>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10E inserted: Gazette 13 Aug 2002 p. 4161.]</w:t>
      </w:r>
    </w:p>
    <w:p>
      <w:pPr>
        <w:pStyle w:val="Heading5"/>
      </w:pPr>
      <w:bookmarkStart w:id="40" w:name="_Toc168393077"/>
      <w:r>
        <w:rPr>
          <w:rStyle w:val="CharSectno"/>
        </w:rPr>
        <w:t>10F</w:t>
      </w:r>
      <w:r>
        <w:t>.</w:t>
      </w:r>
      <w:r>
        <w:tab/>
        <w:t>Prescribed period for giving of statutory declaration</w:t>
      </w:r>
      <w:bookmarkEnd w:id="40"/>
    </w:p>
    <w:p>
      <w:pPr>
        <w:pStyle w:val="Subsection"/>
      </w:pPr>
      <w:r>
        <w:tab/>
      </w:r>
      <w:r>
        <w:tab/>
        <w:t>For the purposes of section 32I(2)(c) of the Act, the period for giving a statutory declaration in respect of a year is the period of 3 months commencing at the end of the year.</w:t>
      </w:r>
    </w:p>
    <w:p>
      <w:pPr>
        <w:pStyle w:val="Footnotesection"/>
      </w:pPr>
      <w:r>
        <w:tab/>
        <w:t>[Regulation 10F inserted: Gazette 27 Jun 2017 p. 3415.]</w:t>
      </w:r>
    </w:p>
    <w:p>
      <w:pPr>
        <w:pStyle w:val="Heading3"/>
      </w:pPr>
      <w:bookmarkStart w:id="41" w:name="_Toc168386251"/>
      <w:bookmarkStart w:id="42" w:name="_Toc168391354"/>
      <w:bookmarkStart w:id="43" w:name="_Toc168391464"/>
      <w:bookmarkStart w:id="44" w:name="_Toc168393078"/>
      <w:r>
        <w:rPr>
          <w:rStyle w:val="CharDivNo"/>
        </w:rPr>
        <w:t>Division 3</w:t>
      </w:r>
      <w:r>
        <w:t xml:space="preserve"> — </w:t>
      </w:r>
      <w:r>
        <w:rPr>
          <w:rStyle w:val="CharDivText"/>
        </w:rPr>
        <w:t>Duties of financial institutions</w:t>
      </w:r>
      <w:bookmarkEnd w:id="41"/>
      <w:bookmarkEnd w:id="42"/>
      <w:bookmarkEnd w:id="43"/>
      <w:bookmarkEnd w:id="44"/>
    </w:p>
    <w:p>
      <w:pPr>
        <w:pStyle w:val="Footnoteheading"/>
        <w:tabs>
          <w:tab w:val="left" w:pos="851"/>
        </w:tabs>
      </w:pPr>
      <w:r>
        <w:tab/>
        <w:t>[Heading inserted: Gazette 13 Aug 2002 p. 4161.]</w:t>
      </w:r>
    </w:p>
    <w:p>
      <w:pPr>
        <w:pStyle w:val="Heading5"/>
      </w:pPr>
      <w:bookmarkStart w:id="45" w:name="_Toc168393079"/>
      <w:r>
        <w:rPr>
          <w:rStyle w:val="CharSectno"/>
        </w:rPr>
        <w:t>10G</w:t>
      </w:r>
      <w:r>
        <w:t>.</w:t>
      </w:r>
      <w:r>
        <w:tab/>
        <w:t>Reporting overdrawn accounts</w:t>
      </w:r>
      <w:bookmarkEnd w:id="45"/>
    </w:p>
    <w:p>
      <w:pPr>
        <w:pStyle w:val="Subsection"/>
      </w:pPr>
      <w:r>
        <w:tab/>
      </w:r>
      <w:r>
        <w:tab/>
        <w:t>If a dealer’s trust account is overdrawn the relevant financial institution must, as soon as is practicable, inform the Commissioner in writing of —</w:t>
      </w:r>
    </w:p>
    <w:p>
      <w:pPr>
        <w:pStyle w:val="Indenta"/>
      </w:pPr>
      <w:r>
        <w:tab/>
        <w:t>(a)</w:t>
      </w:r>
      <w:r>
        <w:tab/>
        <w:t>the name and number of the trust account; and</w:t>
      </w:r>
    </w:p>
    <w:p>
      <w:pPr>
        <w:pStyle w:val="Indenta"/>
      </w:pPr>
      <w:r>
        <w:tab/>
        <w:t>(b)</w:t>
      </w:r>
      <w:r>
        <w:tab/>
        <w:t>the amount by which the trust account is overdrawn.</w:t>
      </w:r>
    </w:p>
    <w:p>
      <w:pPr>
        <w:pStyle w:val="Footnotesection"/>
      </w:pPr>
      <w:r>
        <w:tab/>
        <w:t>[Regulation 10G inserted: Gazette 13 Aug 2002 p. 4161; amended: Gazette 30 Jun 2011 p. 2660.]</w:t>
      </w:r>
    </w:p>
    <w:p>
      <w:pPr>
        <w:pStyle w:val="Heading3"/>
      </w:pPr>
      <w:bookmarkStart w:id="46" w:name="_Toc168386253"/>
      <w:bookmarkStart w:id="47" w:name="_Toc168391356"/>
      <w:bookmarkStart w:id="48" w:name="_Toc168391466"/>
      <w:bookmarkStart w:id="49" w:name="_Toc168393080"/>
      <w:r>
        <w:rPr>
          <w:rStyle w:val="CharDivNo"/>
        </w:rPr>
        <w:t>Division 4</w:t>
      </w:r>
      <w:r>
        <w:t xml:space="preserve"> — </w:t>
      </w:r>
      <w:r>
        <w:rPr>
          <w:rStyle w:val="CharDivText"/>
        </w:rPr>
        <w:t>Auditing of trust accounts</w:t>
      </w:r>
      <w:bookmarkEnd w:id="46"/>
      <w:bookmarkEnd w:id="47"/>
      <w:bookmarkEnd w:id="48"/>
      <w:bookmarkEnd w:id="49"/>
    </w:p>
    <w:p>
      <w:pPr>
        <w:pStyle w:val="Footnoteheading"/>
        <w:tabs>
          <w:tab w:val="left" w:pos="851"/>
        </w:tabs>
      </w:pPr>
      <w:r>
        <w:tab/>
        <w:t>[Heading inserted: Gazette 13 Aug 2002 p. 4161.]</w:t>
      </w:r>
    </w:p>
    <w:p>
      <w:pPr>
        <w:pStyle w:val="Heading5"/>
      </w:pPr>
      <w:bookmarkStart w:id="50" w:name="_Toc168393081"/>
      <w:r>
        <w:rPr>
          <w:rStyle w:val="CharSectno"/>
        </w:rPr>
        <w:t>10H</w:t>
      </w:r>
      <w:r>
        <w:t>.</w:t>
      </w:r>
      <w:r>
        <w:tab/>
        <w:t>Appointment of auditors</w:t>
      </w:r>
      <w:bookmarkEnd w:id="50"/>
    </w:p>
    <w:p>
      <w:pPr>
        <w:pStyle w:val="Subsection"/>
      </w:pPr>
      <w:r>
        <w:tab/>
        <w:t>(1)</w:t>
      </w:r>
      <w:r>
        <w:tab/>
        <w:t>A dealer must appoint an auditor, approved by the Commissioner, at the time of opening a trust account.</w:t>
      </w:r>
    </w:p>
    <w:p>
      <w:pPr>
        <w:pStyle w:val="Subsection"/>
      </w:pPr>
      <w:r>
        <w:lastRenderedPageBreak/>
        <w:tab/>
        <w:t>(2)</w:t>
      </w:r>
      <w:r>
        <w:tab/>
        <w:t>An auditor’s appointment under this section is continuous unless the Commissioner approves a subsequent change in the appointment.</w:t>
      </w:r>
    </w:p>
    <w:p>
      <w:pPr>
        <w:pStyle w:val="Footnotesection"/>
      </w:pPr>
      <w:r>
        <w:tab/>
        <w:t>[Regulation 10H inserted: Gazette 13 Aug 2002 p. 4161</w:t>
      </w:r>
      <w:r>
        <w:noBreakHyphen/>
        <w:t>2; amended: Gazette 30 Jun 2011 p. 2660.]</w:t>
      </w:r>
    </w:p>
    <w:p>
      <w:pPr>
        <w:pStyle w:val="Heading5"/>
      </w:pPr>
      <w:bookmarkStart w:id="51" w:name="_Toc168393082"/>
      <w:r>
        <w:rPr>
          <w:rStyle w:val="CharSectno"/>
        </w:rPr>
        <w:t>10I</w:t>
      </w:r>
      <w:r>
        <w:t>.</w:t>
      </w:r>
      <w:r>
        <w:tab/>
        <w:t>Production of records to auditors</w:t>
      </w:r>
      <w:bookmarkEnd w:id="51"/>
    </w:p>
    <w:p>
      <w:pPr>
        <w:pStyle w:val="Subsection"/>
      </w:pPr>
      <w:r>
        <w:tab/>
      </w:r>
      <w:r>
        <w:tab/>
        <w:t>The dealer and the relevant financial institution must, at the request of an auditor engaged in the audit of the dealer’s trust account, produce to that auditor all such books, papers, accounts, documents and securities in their possession, custody, or power as may be reasonably necessary for the purposes of the audit.</w:t>
      </w:r>
    </w:p>
    <w:p>
      <w:pPr>
        <w:pStyle w:val="Footnotesection"/>
      </w:pPr>
      <w:r>
        <w:tab/>
        <w:t>[Regulation 10I inserted: Gazette 13 Aug 2002 p. 4162.]</w:t>
      </w:r>
    </w:p>
    <w:p>
      <w:pPr>
        <w:pStyle w:val="Heading5"/>
      </w:pPr>
      <w:bookmarkStart w:id="52" w:name="_Toc168393083"/>
      <w:r>
        <w:rPr>
          <w:rStyle w:val="CharSectno"/>
        </w:rPr>
        <w:t>10J</w:t>
      </w:r>
      <w:r>
        <w:t>.</w:t>
      </w:r>
      <w:r>
        <w:tab/>
        <w:t>Conduct of audits</w:t>
      </w:r>
      <w:bookmarkEnd w:id="52"/>
    </w:p>
    <w:p>
      <w:pPr>
        <w:pStyle w:val="Subsection"/>
      </w:pPr>
      <w:r>
        <w:tab/>
      </w:r>
      <w:r>
        <w:tab/>
        <w:t xml:space="preserve">The auditor must conduct the audit in accordance with — </w:t>
      </w:r>
    </w:p>
    <w:p>
      <w:pPr>
        <w:pStyle w:val="Indenta"/>
      </w:pPr>
      <w:r>
        <w:tab/>
        <w:t>(a)</w:t>
      </w:r>
      <w:r>
        <w:tab/>
        <w:t>accepted auditing practice, including selective testing when the auditor considers it appropriate; and</w:t>
      </w:r>
    </w:p>
    <w:p>
      <w:pPr>
        <w:pStyle w:val="Indenta"/>
      </w:pPr>
      <w:r>
        <w:tab/>
        <w:t>(b)</w:t>
      </w:r>
      <w:r>
        <w:tab/>
        <w:t>any requirements specified by the Commissioner.</w:t>
      </w:r>
    </w:p>
    <w:p>
      <w:pPr>
        <w:pStyle w:val="Footnotesection"/>
      </w:pPr>
      <w:r>
        <w:tab/>
        <w:t>[Regulation 10J inserted: SL 2021/164 r. 13.]</w:t>
      </w:r>
    </w:p>
    <w:p>
      <w:pPr>
        <w:pStyle w:val="Heading5"/>
      </w:pPr>
      <w:bookmarkStart w:id="53" w:name="_Toc168393084"/>
      <w:r>
        <w:rPr>
          <w:rStyle w:val="CharSectno"/>
        </w:rPr>
        <w:t>10K</w:t>
      </w:r>
      <w:r>
        <w:t>.</w:t>
      </w:r>
      <w:r>
        <w:tab/>
        <w:t>Auditors’ reports, contents of</w:t>
      </w:r>
      <w:bookmarkEnd w:id="53"/>
    </w:p>
    <w:p>
      <w:pPr>
        <w:pStyle w:val="Subsection"/>
      </w:pPr>
      <w:r>
        <w:tab/>
      </w:r>
      <w:r>
        <w:tab/>
        <w:t>An auditor’s report must contain a statement as to the following matters —</w:t>
      </w:r>
    </w:p>
    <w:p>
      <w:pPr>
        <w:pStyle w:val="Indenta"/>
      </w:pPr>
      <w:r>
        <w:tab/>
        <w:t>(a)</w:t>
      </w:r>
      <w:r>
        <w:tab/>
        <w:t>whether the trust account has, in the opinion of the auditor, been kept regularly and properly written up;</w:t>
      </w:r>
    </w:p>
    <w:p>
      <w:pPr>
        <w:pStyle w:val="Indenta"/>
      </w:pPr>
      <w:r>
        <w:tab/>
        <w:t>(b)</w:t>
      </w:r>
      <w:r>
        <w:tab/>
        <w:t>whether the trust account has been ready for examination at the periods appointed by the auditor;</w:t>
      </w:r>
    </w:p>
    <w:p>
      <w:pPr>
        <w:pStyle w:val="Indenta"/>
      </w:pPr>
      <w:r>
        <w:tab/>
        <w:t>(c)</w:t>
      </w:r>
      <w:r>
        <w:tab/>
        <w:t>whether the dealer has complied with the auditor’s requirements;</w:t>
      </w:r>
    </w:p>
    <w:p>
      <w:pPr>
        <w:pStyle w:val="Indenta"/>
      </w:pPr>
      <w:r>
        <w:lastRenderedPageBreak/>
        <w:tab/>
        <w:t>(d)</w:t>
      </w:r>
      <w:r>
        <w:tab/>
        <w:t>whether the trust account is, or has been during the period of the audit, overdrawn;</w:t>
      </w:r>
    </w:p>
    <w:p>
      <w:pPr>
        <w:pStyle w:val="Indenta"/>
      </w:pPr>
      <w:r>
        <w:tab/>
        <w:t>(e)</w:t>
      </w:r>
      <w:r>
        <w:tab/>
        <w:t>whether in the opinion of the auditor the trust account is, and has been during the period of the audit, in order or otherwise;</w:t>
      </w:r>
    </w:p>
    <w:p>
      <w:pPr>
        <w:pStyle w:val="Indenta"/>
      </w:pPr>
      <w:r>
        <w:tab/>
        <w:t>(f)</w:t>
      </w:r>
      <w:r>
        <w:tab/>
        <w:t>any matter or thing in relation to the trust account that should in the opinion of the auditor be communicated to the Commissioner.</w:t>
      </w:r>
    </w:p>
    <w:p>
      <w:pPr>
        <w:pStyle w:val="Footnotesection"/>
      </w:pPr>
      <w:r>
        <w:tab/>
        <w:t>[Regulation 10K inserted: Gazette 13 Aug 2002 p. 4162; amended: Gazette 30 Jun 2011 p. 2660.]</w:t>
      </w:r>
    </w:p>
    <w:p>
      <w:pPr>
        <w:pStyle w:val="Heading5"/>
      </w:pPr>
      <w:bookmarkStart w:id="54" w:name="_Toc168393085"/>
      <w:r>
        <w:rPr>
          <w:rStyle w:val="CharSectno"/>
        </w:rPr>
        <w:t>10L</w:t>
      </w:r>
      <w:r>
        <w:t>.</w:t>
      </w:r>
      <w:r>
        <w:tab/>
        <w:t>Obligation of auditor to disclose certain information</w:t>
      </w:r>
      <w:bookmarkEnd w:id="54"/>
    </w:p>
    <w:p>
      <w:pPr>
        <w:pStyle w:val="Subsection"/>
      </w:pPr>
      <w:r>
        <w:tab/>
      </w:r>
      <w:r>
        <w:tab/>
        <w:t>An auditor must disclose to the Commissioner —</w:t>
      </w:r>
    </w:p>
    <w:p>
      <w:pPr>
        <w:pStyle w:val="Indenta"/>
      </w:pPr>
      <w:r>
        <w:tab/>
        <w:t>(a)</w:t>
      </w:r>
      <w:r>
        <w:tab/>
        <w:t>any de facto relationship or close relationship by blood or marriage that he or she has with a dealer whose trust accounts the auditor has been appointed to audit; or</w:t>
      </w:r>
    </w:p>
    <w:p>
      <w:pPr>
        <w:pStyle w:val="Indenta"/>
      </w:pPr>
      <w:r>
        <w:tab/>
        <w:t>(b)</w:t>
      </w:r>
      <w:r>
        <w:tab/>
        <w:t>any business dealings the auditor has with or through the dealer at any time during the auditor’s appointment,</w:t>
      </w:r>
    </w:p>
    <w:p>
      <w:pPr>
        <w:pStyle w:val="Subsection"/>
      </w:pPr>
      <w:r>
        <w:tab/>
      </w:r>
      <w:r>
        <w:tab/>
        <w:t>and the Commissioner may, if the Commissioner thinks fit, disqualify that auditor from acting in that particular case.</w:t>
      </w:r>
    </w:p>
    <w:p>
      <w:pPr>
        <w:pStyle w:val="Footnotesection"/>
      </w:pPr>
      <w:r>
        <w:tab/>
        <w:t>[Regulation 10L inserted: Gazette 13 Aug 2002 p. 4162; amended: Gazette 30 Jun 2011 p. 2659 and 2660; SL 2021/164 r. 14.]</w:t>
      </w:r>
    </w:p>
    <w:p>
      <w:pPr>
        <w:pStyle w:val="Heading5"/>
      </w:pPr>
      <w:bookmarkStart w:id="55" w:name="_Toc168393086"/>
      <w:r>
        <w:rPr>
          <w:rStyle w:val="CharSectno"/>
        </w:rPr>
        <w:t>10M</w:t>
      </w:r>
      <w:r>
        <w:t>.</w:t>
      </w:r>
      <w:r>
        <w:tab/>
        <w:t>Costs of auditing</w:t>
      </w:r>
      <w:bookmarkEnd w:id="55"/>
    </w:p>
    <w:p>
      <w:pPr>
        <w:pStyle w:val="Subsection"/>
      </w:pPr>
      <w:r>
        <w:tab/>
      </w:r>
      <w:r>
        <w:tab/>
        <w:t>The reasonable fees and expenses of an auditor for an audit under section 32I are payable by the dealer.</w:t>
      </w:r>
    </w:p>
    <w:p>
      <w:pPr>
        <w:pStyle w:val="Footnotesection"/>
      </w:pPr>
      <w:r>
        <w:tab/>
        <w:t>[Regulation 10M inserted: Gazette 13 Aug 2002 p. 4163.]</w:t>
      </w:r>
    </w:p>
    <w:p>
      <w:pPr>
        <w:pStyle w:val="Heading5"/>
      </w:pPr>
      <w:bookmarkStart w:id="56" w:name="_Toc168393087"/>
      <w:r>
        <w:rPr>
          <w:rStyle w:val="CharSectno"/>
        </w:rPr>
        <w:t>10N</w:t>
      </w:r>
      <w:r>
        <w:t>.</w:t>
      </w:r>
      <w:r>
        <w:tab/>
        <w:t>When and to whom the auditor must report</w:t>
      </w:r>
      <w:bookmarkEnd w:id="56"/>
    </w:p>
    <w:p>
      <w:pPr>
        <w:pStyle w:val="Ednotesubsection"/>
      </w:pPr>
      <w:r>
        <w:tab/>
        <w:t>[(1)</w:t>
      </w:r>
      <w:r>
        <w:tab/>
        <w:t>deleted]</w:t>
      </w:r>
    </w:p>
    <w:p>
      <w:pPr>
        <w:pStyle w:val="Subsection"/>
        <w:keepNext/>
      </w:pPr>
      <w:r>
        <w:lastRenderedPageBreak/>
        <w:tab/>
        <w:t>(2)</w:t>
      </w:r>
      <w:r>
        <w:tab/>
        <w:t>The auditor must within 3 months after the end of each year —</w:t>
      </w:r>
    </w:p>
    <w:p>
      <w:pPr>
        <w:pStyle w:val="Indenta"/>
      </w:pPr>
      <w:r>
        <w:tab/>
        <w:t>(a)</w:t>
      </w:r>
      <w:r>
        <w:tab/>
        <w:t>deliver to the Commissioner a report of the result of the audit, verified by a statutory declaration of the auditor, in an approved form; and</w:t>
      </w:r>
    </w:p>
    <w:p>
      <w:pPr>
        <w:pStyle w:val="Indenta"/>
      </w:pPr>
      <w:r>
        <w:tab/>
        <w:t>(b)</w:t>
      </w:r>
      <w:r>
        <w:tab/>
        <w:t>deliver a copy of the report so verified to the dealer.</w:t>
      </w:r>
    </w:p>
    <w:p>
      <w:pPr>
        <w:pStyle w:val="Subsection"/>
      </w:pPr>
      <w:r>
        <w:tab/>
        <w:t>(3)</w:t>
      </w:r>
      <w:r>
        <w:tab/>
        <w:t>The dealer must retain the copy of the report and produce it on demand to the auditor making the next succeeding audit of the dealer’s trust account.</w:t>
      </w:r>
    </w:p>
    <w:p>
      <w:pPr>
        <w:pStyle w:val="Footnotesection"/>
      </w:pPr>
      <w:r>
        <w:tab/>
        <w:t>[Regulation 10N inserted: Gazette 13 Aug 2002 p. 4163; amended: Gazette 30 Jun 2011 p. 2660; 27 Jun 2017 p. 3415.]</w:t>
      </w:r>
    </w:p>
    <w:p>
      <w:pPr>
        <w:pStyle w:val="Heading5"/>
      </w:pPr>
      <w:bookmarkStart w:id="57" w:name="_Toc168393088"/>
      <w:r>
        <w:rPr>
          <w:rStyle w:val="CharSectno"/>
        </w:rPr>
        <w:t>10NA</w:t>
      </w:r>
      <w:r>
        <w:t>.</w:t>
      </w:r>
      <w:r>
        <w:tab/>
        <w:t>Transitional audit arrangements</w:t>
      </w:r>
      <w:bookmarkEnd w:id="57"/>
    </w:p>
    <w:p>
      <w:pPr>
        <w:pStyle w:val="Subsection"/>
      </w:pPr>
      <w:r>
        <w:tab/>
        <w:t>(1)</w:t>
      </w:r>
      <w:r>
        <w:tab/>
        <w:t xml:space="preserve">In this regulation — </w:t>
      </w:r>
    </w:p>
    <w:p>
      <w:pPr>
        <w:pStyle w:val="Defstart"/>
      </w:pPr>
      <w:r>
        <w:tab/>
      </w:r>
      <w:r>
        <w:rPr>
          <w:rStyle w:val="CharDefText"/>
        </w:rPr>
        <w:t>existing trust account</w:t>
      </w:r>
      <w:r>
        <w:t xml:space="preserve"> means a trust account that was open immediately before the day on which the </w:t>
      </w:r>
      <w:r>
        <w:rPr>
          <w:i/>
        </w:rPr>
        <w:t xml:space="preserve">Licensing Provisions Regulations Amendment Regulations 2017 </w:t>
      </w:r>
      <w:r>
        <w:t>regulation 23 comes into operation;</w:t>
      </w:r>
    </w:p>
    <w:p>
      <w:pPr>
        <w:pStyle w:val="Defstart"/>
      </w:pPr>
      <w:r>
        <w:tab/>
      </w:r>
      <w:r>
        <w:rPr>
          <w:rStyle w:val="CharDefText"/>
        </w:rPr>
        <w:t>previous audit period</w:t>
      </w:r>
      <w:r>
        <w:t>, in relation to an existing trust account, means the audit period for the trust account that ends on a day in the period between 1 July 2016 and 30 June 2017.</w:t>
      </w:r>
    </w:p>
    <w:p>
      <w:pPr>
        <w:pStyle w:val="Subsection"/>
      </w:pPr>
      <w:r>
        <w:tab/>
        <w:t>(2)</w:t>
      </w:r>
      <w:r>
        <w:tab/>
        <w:t xml:space="preserve">This regulation applies to a report of the result of an audit of an existing trust account if — </w:t>
      </w:r>
    </w:p>
    <w:p>
      <w:pPr>
        <w:pStyle w:val="Indenta"/>
      </w:pPr>
      <w:r>
        <w:tab/>
        <w:t>(a)</w:t>
      </w:r>
      <w:r>
        <w:tab/>
        <w:t>an audit of the account was conducted for the previous audit period for the account; and</w:t>
      </w:r>
    </w:p>
    <w:p>
      <w:pPr>
        <w:pStyle w:val="Indenta"/>
      </w:pPr>
      <w:r>
        <w:tab/>
        <w:t>(b)</w:t>
      </w:r>
      <w:r>
        <w:tab/>
        <w:t>a report of the result of the audit, verified by a statutory declaration of the auditor, has been delivered to the Commissioner.</w:t>
      </w:r>
    </w:p>
    <w:p>
      <w:pPr>
        <w:pStyle w:val="Subsection"/>
      </w:pPr>
      <w:r>
        <w:tab/>
        <w:t>(3)</w:t>
      </w:r>
      <w:r>
        <w:tab/>
        <w:t xml:space="preserve">If this regulation applies — </w:t>
      </w:r>
    </w:p>
    <w:p>
      <w:pPr>
        <w:pStyle w:val="Indenta"/>
      </w:pPr>
      <w:r>
        <w:tab/>
        <w:t>(a)</w:t>
      </w:r>
      <w:r>
        <w:tab/>
        <w:t xml:space="preserve">an auditor is not required to deliver a report of the result of the audit of the existing trust account for the part of the year between the end of the previous audit period </w:t>
      </w:r>
      <w:r>
        <w:lastRenderedPageBreak/>
        <w:t xml:space="preserve">and 30 June 2017 until 3 months after the end of the year ending 30 June 2018; and </w:t>
      </w:r>
    </w:p>
    <w:p>
      <w:pPr>
        <w:pStyle w:val="Indenta"/>
      </w:pPr>
      <w:r>
        <w:tab/>
        <w:t>(b)</w:t>
      </w:r>
      <w:r>
        <w:tab/>
        <w:t>the report on the result of the audit for the period between the end of the previous audit period and 30 June 2017 may be included as part of the report for the year ending 30 June 2018.</w:t>
      </w:r>
    </w:p>
    <w:p>
      <w:pPr>
        <w:pStyle w:val="Footnotesection"/>
      </w:pPr>
      <w:r>
        <w:tab/>
        <w:t>[Regulation 10NA inserted: Gazette 27 Jun 2017 p. 3415</w:t>
      </w:r>
      <w:r>
        <w:noBreakHyphen/>
        <w:t>16.]</w:t>
      </w:r>
    </w:p>
    <w:p>
      <w:pPr>
        <w:pStyle w:val="Heading5"/>
      </w:pPr>
      <w:bookmarkStart w:id="58" w:name="_Toc168393089"/>
      <w:r>
        <w:rPr>
          <w:rStyle w:val="CharSectno"/>
        </w:rPr>
        <w:t>10O</w:t>
      </w:r>
      <w:r>
        <w:t>.</w:t>
      </w:r>
      <w:r>
        <w:tab/>
        <w:t>Confidentiality of audit information</w:t>
      </w:r>
      <w:bookmarkEnd w:id="58"/>
    </w:p>
    <w:p>
      <w:pPr>
        <w:pStyle w:val="Subsection"/>
      </w:pPr>
      <w:r>
        <w:tab/>
        <w:t>(1)</w:t>
      </w:r>
      <w:r>
        <w:tab/>
        <w:t>An auditor must not, directly or indirectly, record, disclose or make use of any information obtained in the course of conducting any audit except —</w:t>
      </w:r>
    </w:p>
    <w:p>
      <w:pPr>
        <w:pStyle w:val="Indenta"/>
      </w:pPr>
      <w:r>
        <w:tab/>
        <w:t>(a)</w:t>
      </w:r>
      <w:r>
        <w:tab/>
        <w:t>for the purpose of performing functions under the Act;</w:t>
      </w:r>
    </w:p>
    <w:p>
      <w:pPr>
        <w:pStyle w:val="Indenta"/>
      </w:pPr>
      <w:r>
        <w:tab/>
        <w:t>(b)</w:t>
      </w:r>
      <w:r>
        <w:tab/>
        <w:t>as required or allowed by the Act or under another law.</w:t>
      </w:r>
    </w:p>
    <w:p>
      <w:pPr>
        <w:pStyle w:val="Subsection"/>
      </w:pPr>
      <w:r>
        <w:tab/>
        <w:t>(2)</w:t>
      </w:r>
      <w:r>
        <w:tab/>
        <w:t>However the Commissioner may divulge the information to an interested person or to an auditor making a succeeding audit of the dealer’s trust account.</w:t>
      </w:r>
    </w:p>
    <w:p>
      <w:pPr>
        <w:pStyle w:val="Footnotesection"/>
      </w:pPr>
      <w:r>
        <w:tab/>
        <w:t>[Regulation 10O inserted: Gazette 13 Aug 2002 p. 4163; amended: Gazette 30 Jun 2011 p. 2660.]</w:t>
      </w:r>
    </w:p>
    <w:p>
      <w:pPr>
        <w:pStyle w:val="Heading2"/>
      </w:pPr>
      <w:bookmarkStart w:id="59" w:name="_Toc168386263"/>
      <w:bookmarkStart w:id="60" w:name="_Toc168391366"/>
      <w:bookmarkStart w:id="61" w:name="_Toc168391476"/>
      <w:bookmarkStart w:id="62" w:name="_Toc168393090"/>
      <w:r>
        <w:rPr>
          <w:rStyle w:val="CharPartNo"/>
        </w:rPr>
        <w:lastRenderedPageBreak/>
        <w:t>Part 4</w:t>
      </w:r>
      <w:r>
        <w:rPr>
          <w:rStyle w:val="CharDivText"/>
        </w:rPr>
        <w:t xml:space="preserve"> </w:t>
      </w:r>
      <w:r>
        <w:t>—</w:t>
      </w:r>
      <w:r>
        <w:rPr>
          <w:rStyle w:val="CharDivNo"/>
        </w:rPr>
        <w:t xml:space="preserve"> </w:t>
      </w:r>
      <w:r>
        <w:rPr>
          <w:rStyle w:val="CharPartText"/>
        </w:rPr>
        <w:t>Miscellaneous</w:t>
      </w:r>
      <w:bookmarkEnd w:id="59"/>
      <w:bookmarkEnd w:id="60"/>
      <w:bookmarkEnd w:id="61"/>
      <w:bookmarkEnd w:id="62"/>
    </w:p>
    <w:p>
      <w:pPr>
        <w:pStyle w:val="Footnoteheading"/>
        <w:tabs>
          <w:tab w:val="left" w:pos="851"/>
        </w:tabs>
      </w:pPr>
      <w:r>
        <w:tab/>
        <w:t>[Heading inserted: Gazette 13 Aug 2002 p. 4163.]</w:t>
      </w:r>
    </w:p>
    <w:p>
      <w:pPr>
        <w:pStyle w:val="Heading5"/>
        <w:spacing w:before="180"/>
        <w:rPr>
          <w:snapToGrid w:val="0"/>
        </w:rPr>
      </w:pPr>
      <w:bookmarkStart w:id="63" w:name="_Toc168393091"/>
      <w:r>
        <w:rPr>
          <w:rStyle w:val="CharSectno"/>
        </w:rPr>
        <w:t>11</w:t>
      </w:r>
      <w:r>
        <w:rPr>
          <w:snapToGrid w:val="0"/>
        </w:rPr>
        <w:t>.</w:t>
      </w:r>
      <w:r>
        <w:rPr>
          <w:snapToGrid w:val="0"/>
        </w:rPr>
        <w:tab/>
        <w:t>Advertising</w:t>
      </w:r>
      <w:bookmarkEnd w:id="63"/>
    </w:p>
    <w:p>
      <w:pPr>
        <w:pStyle w:val="Subsection"/>
        <w:spacing w:before="120"/>
        <w:rPr>
          <w:snapToGrid w:val="0"/>
        </w:rPr>
      </w:pPr>
      <w:r>
        <w:rPr>
          <w:snapToGrid w:val="0"/>
        </w:rPr>
        <w:tab/>
        <w:t>(1)</w:t>
      </w:r>
      <w:r>
        <w:rPr>
          <w:snapToGrid w:val="0"/>
        </w:rPr>
        <w:tab/>
        <w:t>Every advertisement referring to a specified second</w:t>
      </w:r>
      <w:r>
        <w:rPr>
          <w:snapToGrid w:val="0"/>
        </w:rPr>
        <w:noBreakHyphen/>
        <w:t>hand vehicle or to any specified second</w:t>
      </w:r>
      <w:r>
        <w:rPr>
          <w:snapToGrid w:val="0"/>
        </w:rPr>
        <w:noBreakHyphen/>
        <w:t>hand vehicles shall clearly and accurately specify —</w:t>
      </w:r>
    </w:p>
    <w:p>
      <w:pPr>
        <w:pStyle w:val="Indenta"/>
        <w:rPr>
          <w:snapToGrid w:val="0"/>
        </w:rPr>
      </w:pPr>
      <w:r>
        <w:rPr>
          <w:snapToGrid w:val="0"/>
        </w:rPr>
        <w:tab/>
        <w:t>(a)</w:t>
      </w:r>
      <w:r>
        <w:rPr>
          <w:snapToGrid w:val="0"/>
        </w:rPr>
        <w:tab/>
        <w:t>the registration number of the second</w:t>
      </w:r>
      <w:r>
        <w:rPr>
          <w:snapToGrid w:val="0"/>
        </w:rPr>
        <w:noBreakHyphen/>
        <w:t>hand vehicle;</w:t>
      </w:r>
    </w:p>
    <w:p>
      <w:pPr>
        <w:pStyle w:val="Indenta"/>
        <w:rPr>
          <w:snapToGrid w:val="0"/>
        </w:rPr>
      </w:pPr>
      <w:r>
        <w:rPr>
          <w:snapToGrid w:val="0"/>
        </w:rPr>
        <w:tab/>
        <w:t>(b)</w:t>
      </w:r>
      <w:r>
        <w:rPr>
          <w:snapToGrid w:val="0"/>
        </w:rPr>
        <w:tab/>
        <w:t>the year of manufacture;</w:t>
      </w:r>
    </w:p>
    <w:p>
      <w:pPr>
        <w:pStyle w:val="Indenta"/>
        <w:rPr>
          <w:snapToGrid w:val="0"/>
        </w:rPr>
      </w:pPr>
      <w:r>
        <w:rPr>
          <w:snapToGrid w:val="0"/>
        </w:rPr>
        <w:tab/>
        <w:t>(c)</w:t>
      </w:r>
      <w:r>
        <w:rPr>
          <w:snapToGrid w:val="0"/>
        </w:rPr>
        <w:tab/>
        <w:t>the cash price; and</w:t>
      </w:r>
    </w:p>
    <w:p>
      <w:pPr>
        <w:pStyle w:val="Indenta"/>
        <w:rPr>
          <w:snapToGrid w:val="0"/>
        </w:rPr>
      </w:pPr>
      <w:r>
        <w:rPr>
          <w:snapToGrid w:val="0"/>
        </w:rPr>
        <w:tab/>
        <w:t>(d)</w:t>
      </w:r>
      <w:r>
        <w:rPr>
          <w:snapToGrid w:val="0"/>
        </w:rPr>
        <w:tab/>
        <w:t>address of the registered premises of the dealer at which the vehicle is offered for sale.</w:t>
      </w:r>
    </w:p>
    <w:p>
      <w:pPr>
        <w:pStyle w:val="Subsection"/>
        <w:spacing w:before="120"/>
        <w:rPr>
          <w:snapToGrid w:val="0"/>
        </w:rPr>
      </w:pPr>
      <w:r>
        <w:rPr>
          <w:snapToGrid w:val="0"/>
        </w:rPr>
        <w:tab/>
        <w:t>(2)</w:t>
      </w:r>
      <w:r>
        <w:rPr>
          <w:snapToGrid w:val="0"/>
        </w:rPr>
        <w:tab/>
        <w:t>A dealer shall not advertise a second</w:t>
      </w:r>
      <w:r>
        <w:rPr>
          <w:snapToGrid w:val="0"/>
        </w:rPr>
        <w:noBreakHyphen/>
        <w:t>hand vehicle or cause or permit a second</w:t>
      </w:r>
      <w:r>
        <w:rPr>
          <w:snapToGrid w:val="0"/>
        </w:rPr>
        <w:noBreakHyphen/>
        <w:t>hand vehicle to be advertised unless the advertisement conforms to the provisions of subregulation (1).</w:t>
      </w:r>
    </w:p>
    <w:p>
      <w:pPr>
        <w:pStyle w:val="Ednotesection"/>
      </w:pPr>
      <w:r>
        <w:t>[</w:t>
      </w:r>
      <w:r>
        <w:rPr>
          <w:b/>
        </w:rPr>
        <w:t>12, 13.</w:t>
      </w:r>
      <w:r>
        <w:tab/>
        <w:t>Deleted: SL 2021/164 r. 15.]</w:t>
      </w:r>
    </w:p>
    <w:p>
      <w:pPr>
        <w:pStyle w:val="Heading5"/>
      </w:pPr>
      <w:bookmarkStart w:id="64" w:name="_Toc168393092"/>
      <w:r>
        <w:rPr>
          <w:rStyle w:val="CharSectno"/>
        </w:rPr>
        <w:t>13A</w:t>
      </w:r>
      <w:r>
        <w:t>.</w:t>
      </w:r>
      <w:r>
        <w:tab/>
        <w:t>Prescribed requirements</w:t>
      </w:r>
      <w:r>
        <w:rPr>
          <w:snapToGrid w:val="0"/>
        </w:rPr>
        <w:t xml:space="preserve"> for vehicle consignment agreements (Schedule 4)</w:t>
      </w:r>
      <w:bookmarkEnd w:id="64"/>
    </w:p>
    <w:p>
      <w:pPr>
        <w:pStyle w:val="Subsection"/>
      </w:pPr>
      <w:r>
        <w:tab/>
      </w:r>
      <w:r>
        <w:tab/>
        <w:t>For the purposes of section 32B the prescribed particulars, terms and conditions are those set out in Schedule 4.</w:t>
      </w:r>
    </w:p>
    <w:p>
      <w:pPr>
        <w:pStyle w:val="Footnotesection"/>
      </w:pPr>
      <w:r>
        <w:tab/>
        <w:t>[Regulation 13A inserted: Gazette 13 Aug 2002 p. 4163; amended: Gazette 17 Nov 2006 p. 4753.]</w:t>
      </w:r>
    </w:p>
    <w:p>
      <w:pPr>
        <w:pStyle w:val="Heading5"/>
        <w:rPr>
          <w:snapToGrid w:val="0"/>
        </w:rPr>
      </w:pPr>
      <w:bookmarkStart w:id="65" w:name="_Toc168393093"/>
      <w:r>
        <w:rPr>
          <w:rStyle w:val="CharSectno"/>
        </w:rPr>
        <w:t>13B</w:t>
      </w:r>
      <w:r>
        <w:t>.</w:t>
      </w:r>
      <w:r>
        <w:tab/>
        <w:t>Prescribed requirements for vehicle sale agreements (Schedule 5)</w:t>
      </w:r>
      <w:bookmarkEnd w:id="65"/>
    </w:p>
    <w:p>
      <w:pPr>
        <w:pStyle w:val="Subsection"/>
      </w:pPr>
      <w:r>
        <w:tab/>
      </w:r>
      <w:r>
        <w:tab/>
        <w:t>For the purposes of section 42A the prescribed particulars, terms and conditions are those set out in Schedule 5.</w:t>
      </w:r>
    </w:p>
    <w:p>
      <w:pPr>
        <w:pStyle w:val="Footnotesection"/>
      </w:pPr>
      <w:r>
        <w:tab/>
        <w:t>[Regulation 13B inserted: Gazette 13 Aug 2002 p. 4164; amended: Gazette 17 Nov 2006 p. 4753.]</w:t>
      </w:r>
    </w:p>
    <w:p>
      <w:pPr>
        <w:pStyle w:val="Heading5"/>
        <w:spacing w:before="180"/>
        <w:rPr>
          <w:snapToGrid w:val="0"/>
        </w:rPr>
      </w:pPr>
      <w:bookmarkStart w:id="66" w:name="_Toc168393094"/>
      <w:r>
        <w:rPr>
          <w:rStyle w:val="CharSectno"/>
        </w:rPr>
        <w:lastRenderedPageBreak/>
        <w:t>14</w:t>
      </w:r>
      <w:r>
        <w:rPr>
          <w:snapToGrid w:val="0"/>
        </w:rPr>
        <w:t>.</w:t>
      </w:r>
      <w:r>
        <w:rPr>
          <w:snapToGrid w:val="0"/>
        </w:rPr>
        <w:tab/>
        <w:t>Penalties</w:t>
      </w:r>
      <w:bookmarkEnd w:id="66"/>
    </w:p>
    <w:p>
      <w:pPr>
        <w:pStyle w:val="Subsection"/>
        <w:spacing w:before="120"/>
        <w:rPr>
          <w:snapToGrid w:val="0"/>
        </w:rPr>
      </w:pPr>
      <w:r>
        <w:rPr>
          <w:snapToGrid w:val="0"/>
        </w:rPr>
        <w:tab/>
      </w:r>
      <w:r>
        <w:rPr>
          <w:snapToGrid w:val="0"/>
        </w:rPr>
        <w:tab/>
        <w:t>A person who contravenes or fails to comply with the provisions of these regulations commits an offence and is liable to a penalty of $2 000.</w:t>
      </w:r>
    </w:p>
    <w:p>
      <w:pPr>
        <w:pStyle w:val="Footnotesection"/>
      </w:pPr>
      <w:r>
        <w:tab/>
        <w:t>[Regulation 14 amended: Gazette 13 Aug 2002 p. 4164.]</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7" w:name="_Toc168386268"/>
      <w:bookmarkStart w:id="68" w:name="_Toc168391371"/>
      <w:bookmarkStart w:id="69" w:name="_Toc168391481"/>
      <w:bookmarkStart w:id="70" w:name="_Toc168393095"/>
      <w:r>
        <w:rPr>
          <w:rStyle w:val="CharSchNo"/>
        </w:rPr>
        <w:lastRenderedPageBreak/>
        <w:t>Schedule 1</w:t>
      </w:r>
      <w:r>
        <w:t> — </w:t>
      </w:r>
      <w:r>
        <w:rPr>
          <w:rStyle w:val="CharSchText"/>
        </w:rPr>
        <w:t>Forms</w:t>
      </w:r>
      <w:bookmarkEnd w:id="67"/>
      <w:bookmarkEnd w:id="68"/>
      <w:bookmarkEnd w:id="69"/>
      <w:bookmarkEnd w:id="70"/>
    </w:p>
    <w:p>
      <w:pPr>
        <w:pStyle w:val="yFootnoteheading"/>
        <w:spacing w:before="40"/>
      </w:pPr>
      <w:r>
        <w:tab/>
        <w:t>[Heading inserted: Gazette 17 Nov 2006 p. 4753.]</w:t>
      </w:r>
    </w:p>
    <w:p>
      <w:pPr>
        <w:pStyle w:val="yHeading3"/>
        <w:spacing w:before="120"/>
      </w:pPr>
      <w:bookmarkStart w:id="71" w:name="_Toc168386269"/>
      <w:bookmarkStart w:id="72" w:name="_Toc168391372"/>
      <w:bookmarkStart w:id="73" w:name="_Toc168391482"/>
      <w:bookmarkStart w:id="74" w:name="_Toc168393096"/>
      <w:r>
        <w:t>Form 1 — Register of transactions</w:t>
      </w:r>
      <w:bookmarkEnd w:id="71"/>
      <w:bookmarkEnd w:id="72"/>
      <w:bookmarkEnd w:id="73"/>
      <w:bookmarkEnd w:id="74"/>
    </w:p>
    <w:p>
      <w:pPr>
        <w:pStyle w:val="yShoulderClause"/>
      </w:pPr>
      <w:r>
        <w:t>[r. 3]</w:t>
      </w:r>
    </w:p>
    <w:tbl>
      <w:tblPr>
        <w:tblW w:w="6455" w:type="dxa"/>
        <w:tblInd w:w="623"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985"/>
        <w:gridCol w:w="850"/>
        <w:gridCol w:w="1210"/>
        <w:gridCol w:w="2410"/>
      </w:tblGrid>
      <w:tr>
        <w:trPr>
          <w:cantSplit/>
          <w:trHeight w:val="579"/>
        </w:trPr>
        <w:tc>
          <w:tcPr>
            <w:tcW w:w="1985" w:type="dxa"/>
            <w:vMerge w:val="restart"/>
            <w:noWrap/>
            <w:textDirection w:val="btLr"/>
          </w:tcPr>
          <w:p>
            <w:pPr>
              <w:pStyle w:val="yTableNAm"/>
              <w:ind w:left="113" w:right="113"/>
              <w:jc w:val="center"/>
              <w:rPr>
                <w:snapToGrid w:val="0"/>
                <w:sz w:val="16"/>
                <w:szCs w:val="16"/>
              </w:rPr>
            </w:pPr>
            <w:r>
              <w:rPr>
                <w:snapToGrid w:val="0"/>
                <w:sz w:val="16"/>
                <w:szCs w:val="16"/>
              </w:rPr>
              <w:t>Western Australia</w:t>
            </w:r>
          </w:p>
          <w:p>
            <w:pPr>
              <w:pStyle w:val="yTableNAm"/>
              <w:ind w:left="113" w:right="113"/>
              <w:jc w:val="center"/>
              <w:rPr>
                <w:snapToGrid w:val="0"/>
                <w:sz w:val="16"/>
                <w:szCs w:val="16"/>
              </w:rPr>
            </w:pPr>
            <w:r>
              <w:rPr>
                <w:i/>
                <w:snapToGrid w:val="0"/>
                <w:sz w:val="16"/>
                <w:szCs w:val="16"/>
              </w:rPr>
              <w:t xml:space="preserve">Motor Vehicle Dealers Act 1973 </w:t>
            </w:r>
            <w:r>
              <w:rPr>
                <w:iCs/>
                <w:snapToGrid w:val="0"/>
                <w:sz w:val="16"/>
                <w:szCs w:val="16"/>
              </w:rPr>
              <w:t>section 25</w:t>
            </w:r>
          </w:p>
          <w:p>
            <w:pPr>
              <w:pStyle w:val="yTableNAm"/>
              <w:ind w:left="113" w:right="113"/>
              <w:jc w:val="center"/>
              <w:rPr>
                <w:snapToGrid w:val="0"/>
                <w:sz w:val="16"/>
                <w:szCs w:val="16"/>
              </w:rPr>
            </w:pPr>
            <w:r>
              <w:rPr>
                <w:i/>
                <w:snapToGrid w:val="0"/>
                <w:sz w:val="16"/>
                <w:szCs w:val="16"/>
              </w:rPr>
              <w:t>Motor Vehicle Dealers (Sales) Regulations 1974</w:t>
            </w:r>
            <w:r>
              <w:rPr>
                <w:snapToGrid w:val="0"/>
                <w:sz w:val="16"/>
                <w:szCs w:val="16"/>
              </w:rPr>
              <w:t xml:space="preserve"> regulation 3</w:t>
            </w:r>
          </w:p>
          <w:p>
            <w:pPr>
              <w:pStyle w:val="yTableNAm"/>
              <w:ind w:left="113" w:right="113"/>
              <w:jc w:val="center"/>
              <w:rPr>
                <w:b/>
                <w:bCs/>
                <w:snapToGrid w:val="0"/>
                <w:sz w:val="16"/>
                <w:szCs w:val="16"/>
              </w:rPr>
            </w:pPr>
            <w:r>
              <w:rPr>
                <w:b/>
                <w:bCs/>
                <w:snapToGrid w:val="0"/>
                <w:sz w:val="16"/>
                <w:szCs w:val="16"/>
              </w:rPr>
              <w:t>Dealers register of transactions for registered premises situated at:</w:t>
            </w:r>
          </w:p>
          <w:p>
            <w:pPr>
              <w:pStyle w:val="yTableNAm"/>
              <w:ind w:left="113" w:right="113"/>
              <w:jc w:val="center"/>
              <w:rPr>
                <w:snapToGrid w:val="0"/>
                <w:sz w:val="16"/>
                <w:szCs w:val="16"/>
              </w:rPr>
            </w:pPr>
            <w:r>
              <w:rPr>
                <w:snapToGrid w:val="0"/>
                <w:sz w:val="16"/>
                <w:szCs w:val="16"/>
              </w:rPr>
              <w:t>............................................................................................................................</w:t>
            </w:r>
            <w:r>
              <w:rPr>
                <w:snapToGrid w:val="0"/>
                <w:sz w:val="16"/>
                <w:szCs w:val="16"/>
              </w:rPr>
              <w:br/>
              <w:t xml:space="preserve">(This register is to be produced on demand by any person mentioned in the </w:t>
            </w:r>
            <w:r>
              <w:rPr>
                <w:i/>
                <w:iCs/>
                <w:snapToGrid w:val="0"/>
                <w:sz w:val="16"/>
                <w:szCs w:val="16"/>
              </w:rPr>
              <w:t>Motor Vehicle Dealers Act 1973</w:t>
            </w:r>
            <w:r>
              <w:rPr>
                <w:snapToGrid w:val="0"/>
                <w:sz w:val="16"/>
                <w:szCs w:val="16"/>
              </w:rPr>
              <w:t xml:space="preserve"> section 25(2).)</w:t>
            </w:r>
          </w:p>
        </w:tc>
        <w:tc>
          <w:tcPr>
            <w:tcW w:w="2060" w:type="dxa"/>
            <w:gridSpan w:val="2"/>
            <w:noWrap/>
            <w:textDirection w:val="btLr"/>
          </w:tcPr>
          <w:p>
            <w:pPr>
              <w:pStyle w:val="yTableNAm"/>
              <w:jc w:val="center"/>
              <w:rPr>
                <w:b/>
                <w:bCs/>
                <w:snapToGrid w:val="0"/>
                <w:sz w:val="16"/>
                <w:szCs w:val="16"/>
              </w:rPr>
            </w:pPr>
            <w:r>
              <w:rPr>
                <w:b/>
                <w:bCs/>
                <w:snapToGrid w:val="0"/>
                <w:sz w:val="16"/>
                <w:szCs w:val="16"/>
              </w:rPr>
              <w:t>Entered by</w:t>
            </w:r>
          </w:p>
        </w:tc>
        <w:tc>
          <w:tcPr>
            <w:tcW w:w="2410" w:type="dxa"/>
            <w:noWrap/>
            <w:textDirection w:val="btLr"/>
          </w:tcPr>
          <w:p>
            <w:pPr>
              <w:pStyle w:val="yTableNAm"/>
              <w:rPr>
                <w:snapToGrid w:val="0"/>
                <w:sz w:val="16"/>
                <w:szCs w:val="16"/>
              </w:rPr>
            </w:pPr>
          </w:p>
        </w:tc>
      </w:tr>
      <w:tr>
        <w:trPr>
          <w:cantSplit/>
          <w:trHeight w:val="560"/>
        </w:trPr>
        <w:tc>
          <w:tcPr>
            <w:tcW w:w="1985" w:type="dxa"/>
            <w:vMerge/>
            <w:noWrap/>
            <w:textDirection w:val="btLr"/>
          </w:tcPr>
          <w:p>
            <w:pPr>
              <w:pStyle w:val="yTableNAm"/>
              <w:ind w:left="113" w:right="113"/>
              <w:jc w:val="center"/>
              <w:rPr>
                <w:snapToGrid w:val="0"/>
                <w:sz w:val="16"/>
                <w:szCs w:val="16"/>
              </w:rPr>
            </w:pPr>
          </w:p>
        </w:tc>
        <w:tc>
          <w:tcPr>
            <w:tcW w:w="2060" w:type="dxa"/>
            <w:gridSpan w:val="2"/>
            <w:noWrap/>
            <w:textDirection w:val="btLr"/>
          </w:tcPr>
          <w:p>
            <w:pPr>
              <w:pStyle w:val="yTableNAm"/>
              <w:jc w:val="center"/>
              <w:rPr>
                <w:b/>
                <w:bCs/>
                <w:snapToGrid w:val="0"/>
                <w:sz w:val="16"/>
                <w:szCs w:val="16"/>
              </w:rPr>
            </w:pPr>
            <w:r>
              <w:rPr>
                <w:b/>
                <w:bCs/>
                <w:snapToGrid w:val="0"/>
                <w:sz w:val="16"/>
                <w:szCs w:val="16"/>
              </w:rPr>
              <w:t>Date entered</w:t>
            </w:r>
          </w:p>
        </w:tc>
        <w:tc>
          <w:tcPr>
            <w:tcW w:w="2410" w:type="dxa"/>
            <w:noWrap/>
            <w:textDirection w:val="btLr"/>
          </w:tcPr>
          <w:p>
            <w:pPr>
              <w:pStyle w:val="yTableNAm"/>
              <w:rPr>
                <w:snapToGrid w:val="0"/>
                <w:sz w:val="16"/>
                <w:szCs w:val="16"/>
              </w:rPr>
            </w:pPr>
          </w:p>
        </w:tc>
      </w:tr>
      <w:tr>
        <w:trPr>
          <w:cantSplit/>
          <w:trHeight w:val="619"/>
        </w:trPr>
        <w:tc>
          <w:tcPr>
            <w:tcW w:w="1985" w:type="dxa"/>
            <w:vMerge/>
            <w:noWrap/>
            <w:textDirection w:val="btLr"/>
          </w:tcPr>
          <w:p>
            <w:pPr>
              <w:pStyle w:val="yTableNAm"/>
              <w:ind w:left="113" w:right="113"/>
              <w:jc w:val="center"/>
              <w:rPr>
                <w:snapToGrid w:val="0"/>
                <w:sz w:val="16"/>
                <w:szCs w:val="16"/>
              </w:rPr>
            </w:pPr>
          </w:p>
        </w:tc>
        <w:tc>
          <w:tcPr>
            <w:tcW w:w="850" w:type="dxa"/>
            <w:vMerge w:val="restart"/>
            <w:noWrap/>
            <w:textDirection w:val="btLr"/>
          </w:tcPr>
          <w:p>
            <w:pPr>
              <w:pStyle w:val="yTableNAm"/>
              <w:jc w:val="center"/>
              <w:rPr>
                <w:b/>
                <w:bCs/>
                <w:snapToGrid w:val="0"/>
                <w:sz w:val="16"/>
                <w:szCs w:val="16"/>
              </w:rPr>
            </w:pPr>
            <w:r>
              <w:rPr>
                <w:b/>
                <w:bCs/>
                <w:snapToGrid w:val="0"/>
                <w:sz w:val="16"/>
                <w:szCs w:val="16"/>
              </w:rPr>
              <w:t>Purchaser of vehicle</w:t>
            </w:r>
          </w:p>
        </w:tc>
        <w:tc>
          <w:tcPr>
            <w:tcW w:w="1210" w:type="dxa"/>
            <w:noWrap/>
            <w:textDirection w:val="btLr"/>
          </w:tcPr>
          <w:p>
            <w:pPr>
              <w:pStyle w:val="yTableNAm"/>
              <w:jc w:val="center"/>
              <w:rPr>
                <w:b/>
                <w:bCs/>
                <w:snapToGrid w:val="0"/>
                <w:sz w:val="16"/>
                <w:szCs w:val="16"/>
              </w:rPr>
            </w:pPr>
            <w:r>
              <w:rPr>
                <w:snapToGrid w:val="0"/>
                <w:sz w:val="16"/>
                <w:szCs w:val="16"/>
              </w:rPr>
              <w:t>Address</w:t>
            </w:r>
          </w:p>
        </w:tc>
        <w:tc>
          <w:tcPr>
            <w:tcW w:w="2410" w:type="dxa"/>
            <w:noWrap/>
            <w:textDirection w:val="btLr"/>
          </w:tcPr>
          <w:p>
            <w:pPr>
              <w:pStyle w:val="yTableNAm"/>
              <w:rPr>
                <w:snapToGrid w:val="0"/>
                <w:sz w:val="16"/>
                <w:szCs w:val="16"/>
              </w:rPr>
            </w:pPr>
          </w:p>
        </w:tc>
      </w:tr>
      <w:tr>
        <w:trPr>
          <w:cantSplit/>
          <w:trHeight w:val="494"/>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Name</w:t>
            </w:r>
          </w:p>
        </w:tc>
        <w:tc>
          <w:tcPr>
            <w:tcW w:w="2410" w:type="dxa"/>
            <w:noWrap/>
            <w:textDirection w:val="btLr"/>
          </w:tcPr>
          <w:p>
            <w:pPr>
              <w:pStyle w:val="yTableNAm"/>
              <w:rPr>
                <w:snapToGrid w:val="0"/>
                <w:sz w:val="16"/>
                <w:szCs w:val="16"/>
              </w:rPr>
            </w:pPr>
          </w:p>
        </w:tc>
      </w:tr>
      <w:tr>
        <w:trPr>
          <w:cantSplit/>
          <w:trHeight w:val="675"/>
        </w:trPr>
        <w:tc>
          <w:tcPr>
            <w:tcW w:w="1985" w:type="dxa"/>
            <w:vMerge/>
            <w:noWrap/>
            <w:textDirection w:val="btLr"/>
          </w:tcPr>
          <w:p>
            <w:pPr>
              <w:pStyle w:val="yTableNAm"/>
              <w:ind w:left="113" w:right="113"/>
              <w:jc w:val="center"/>
              <w:rPr>
                <w:snapToGrid w:val="0"/>
                <w:sz w:val="16"/>
                <w:szCs w:val="16"/>
              </w:rPr>
            </w:pPr>
          </w:p>
        </w:tc>
        <w:tc>
          <w:tcPr>
            <w:tcW w:w="2060" w:type="dxa"/>
            <w:gridSpan w:val="2"/>
            <w:noWrap/>
            <w:textDirection w:val="btLr"/>
          </w:tcPr>
          <w:p>
            <w:pPr>
              <w:pStyle w:val="yTableNAm"/>
              <w:jc w:val="center"/>
              <w:rPr>
                <w:b/>
                <w:bCs/>
                <w:snapToGrid w:val="0"/>
                <w:sz w:val="16"/>
                <w:szCs w:val="16"/>
              </w:rPr>
            </w:pPr>
            <w:r>
              <w:rPr>
                <w:b/>
                <w:bCs/>
                <w:snapToGrid w:val="0"/>
                <w:sz w:val="16"/>
                <w:szCs w:val="16"/>
              </w:rPr>
              <w:t>Date sold</w:t>
            </w:r>
          </w:p>
        </w:tc>
        <w:tc>
          <w:tcPr>
            <w:tcW w:w="2410" w:type="dxa"/>
            <w:noWrap/>
            <w:textDirection w:val="btLr"/>
          </w:tcPr>
          <w:p>
            <w:pPr>
              <w:pStyle w:val="yTableNAm"/>
              <w:rPr>
                <w:snapToGrid w:val="0"/>
                <w:sz w:val="16"/>
                <w:szCs w:val="16"/>
              </w:rPr>
            </w:pPr>
          </w:p>
        </w:tc>
      </w:tr>
      <w:tr>
        <w:trPr>
          <w:cantSplit/>
          <w:trHeight w:val="773"/>
        </w:trPr>
        <w:tc>
          <w:tcPr>
            <w:tcW w:w="1985" w:type="dxa"/>
            <w:vMerge/>
            <w:noWrap/>
            <w:textDirection w:val="btLr"/>
          </w:tcPr>
          <w:p>
            <w:pPr>
              <w:pStyle w:val="yTableNAm"/>
              <w:ind w:left="113" w:right="113"/>
              <w:jc w:val="center"/>
              <w:rPr>
                <w:snapToGrid w:val="0"/>
                <w:sz w:val="16"/>
                <w:szCs w:val="16"/>
              </w:rPr>
            </w:pPr>
          </w:p>
        </w:tc>
        <w:tc>
          <w:tcPr>
            <w:tcW w:w="2060" w:type="dxa"/>
            <w:gridSpan w:val="2"/>
            <w:noWrap/>
            <w:textDirection w:val="btLr"/>
          </w:tcPr>
          <w:p>
            <w:pPr>
              <w:pStyle w:val="yTableNAm"/>
              <w:jc w:val="center"/>
              <w:rPr>
                <w:b/>
                <w:bCs/>
                <w:snapToGrid w:val="0"/>
                <w:sz w:val="16"/>
                <w:szCs w:val="16"/>
              </w:rPr>
            </w:pPr>
            <w:r>
              <w:rPr>
                <w:b/>
                <w:bCs/>
                <w:snapToGrid w:val="0"/>
                <w:sz w:val="16"/>
                <w:szCs w:val="16"/>
              </w:rPr>
              <w:t>Date purchased</w:t>
            </w:r>
          </w:p>
        </w:tc>
        <w:tc>
          <w:tcPr>
            <w:tcW w:w="2410" w:type="dxa"/>
            <w:noWrap/>
            <w:textDirection w:val="btLr"/>
          </w:tcPr>
          <w:p>
            <w:pPr>
              <w:pStyle w:val="yTableNAm"/>
              <w:rPr>
                <w:snapToGrid w:val="0"/>
                <w:sz w:val="16"/>
                <w:szCs w:val="16"/>
              </w:rPr>
            </w:pPr>
          </w:p>
        </w:tc>
      </w:tr>
      <w:tr>
        <w:trPr>
          <w:cantSplit/>
          <w:trHeight w:val="773"/>
        </w:trPr>
        <w:tc>
          <w:tcPr>
            <w:tcW w:w="1985" w:type="dxa"/>
            <w:vMerge/>
            <w:noWrap/>
            <w:textDirection w:val="btLr"/>
          </w:tcPr>
          <w:p>
            <w:pPr>
              <w:pStyle w:val="yTableNAm"/>
              <w:ind w:left="113" w:right="113"/>
              <w:jc w:val="center"/>
              <w:rPr>
                <w:snapToGrid w:val="0"/>
                <w:sz w:val="16"/>
                <w:szCs w:val="16"/>
              </w:rPr>
            </w:pPr>
          </w:p>
        </w:tc>
        <w:tc>
          <w:tcPr>
            <w:tcW w:w="2060" w:type="dxa"/>
            <w:gridSpan w:val="2"/>
            <w:noWrap/>
            <w:textDirection w:val="btLr"/>
          </w:tcPr>
          <w:p>
            <w:pPr>
              <w:pStyle w:val="yTableNAm"/>
              <w:jc w:val="center"/>
              <w:rPr>
                <w:b/>
                <w:bCs/>
                <w:snapToGrid w:val="0"/>
                <w:sz w:val="16"/>
                <w:szCs w:val="16"/>
              </w:rPr>
            </w:pPr>
            <w:r>
              <w:rPr>
                <w:b/>
                <w:bCs/>
                <w:snapToGrid w:val="0"/>
                <w:sz w:val="16"/>
                <w:szCs w:val="16"/>
              </w:rPr>
              <w:t>Person in whose name vehicle is registered (if different from seller)</w:t>
            </w:r>
          </w:p>
        </w:tc>
        <w:tc>
          <w:tcPr>
            <w:tcW w:w="2410" w:type="dxa"/>
            <w:noWrap/>
            <w:textDirection w:val="btLr"/>
          </w:tcPr>
          <w:p>
            <w:pPr>
              <w:pStyle w:val="yTableNAm"/>
              <w:rPr>
                <w:snapToGrid w:val="0"/>
                <w:sz w:val="16"/>
                <w:szCs w:val="16"/>
              </w:rPr>
            </w:pPr>
          </w:p>
        </w:tc>
      </w:tr>
      <w:tr>
        <w:trPr>
          <w:cantSplit/>
          <w:trHeight w:val="647"/>
        </w:trPr>
        <w:tc>
          <w:tcPr>
            <w:tcW w:w="1985" w:type="dxa"/>
            <w:vMerge/>
            <w:noWrap/>
            <w:textDirection w:val="btLr"/>
          </w:tcPr>
          <w:p>
            <w:pPr>
              <w:pStyle w:val="yTableNAm"/>
              <w:ind w:left="113" w:right="113"/>
              <w:jc w:val="center"/>
              <w:rPr>
                <w:snapToGrid w:val="0"/>
                <w:sz w:val="16"/>
                <w:szCs w:val="16"/>
              </w:rPr>
            </w:pPr>
          </w:p>
        </w:tc>
        <w:tc>
          <w:tcPr>
            <w:tcW w:w="850" w:type="dxa"/>
            <w:vMerge w:val="restart"/>
            <w:noWrap/>
            <w:textDirection w:val="btLr"/>
          </w:tcPr>
          <w:p>
            <w:pPr>
              <w:pStyle w:val="yTableNAm"/>
              <w:jc w:val="center"/>
              <w:rPr>
                <w:b/>
                <w:bCs/>
                <w:snapToGrid w:val="0"/>
                <w:sz w:val="16"/>
                <w:szCs w:val="16"/>
              </w:rPr>
            </w:pPr>
            <w:r>
              <w:rPr>
                <w:b/>
                <w:bCs/>
                <w:snapToGrid w:val="0"/>
                <w:sz w:val="16"/>
                <w:szCs w:val="16"/>
              </w:rPr>
              <w:t>Seller of vehicle</w:t>
            </w:r>
          </w:p>
        </w:tc>
        <w:tc>
          <w:tcPr>
            <w:tcW w:w="1210" w:type="dxa"/>
            <w:noWrap/>
            <w:textDirection w:val="btLr"/>
          </w:tcPr>
          <w:p>
            <w:pPr>
              <w:pStyle w:val="yTableNAm"/>
              <w:jc w:val="center"/>
              <w:rPr>
                <w:b/>
                <w:bCs/>
                <w:snapToGrid w:val="0"/>
                <w:sz w:val="16"/>
                <w:szCs w:val="16"/>
              </w:rPr>
            </w:pPr>
            <w:r>
              <w:rPr>
                <w:snapToGrid w:val="0"/>
                <w:sz w:val="16"/>
                <w:szCs w:val="16"/>
              </w:rPr>
              <w:t>Address</w:t>
            </w:r>
          </w:p>
        </w:tc>
        <w:tc>
          <w:tcPr>
            <w:tcW w:w="2410" w:type="dxa"/>
            <w:noWrap/>
            <w:textDirection w:val="btLr"/>
          </w:tcPr>
          <w:p>
            <w:pPr>
              <w:pStyle w:val="yTableNAm"/>
              <w:rPr>
                <w:snapToGrid w:val="0"/>
                <w:sz w:val="16"/>
                <w:szCs w:val="16"/>
              </w:rPr>
            </w:pPr>
          </w:p>
        </w:tc>
      </w:tr>
      <w:tr>
        <w:trPr>
          <w:cantSplit/>
          <w:trHeight w:val="514"/>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Name</w:t>
            </w:r>
          </w:p>
        </w:tc>
        <w:tc>
          <w:tcPr>
            <w:tcW w:w="2410" w:type="dxa"/>
            <w:noWrap/>
            <w:textDirection w:val="btLr"/>
          </w:tcPr>
          <w:p>
            <w:pPr>
              <w:pStyle w:val="yTableNAm"/>
              <w:rPr>
                <w:snapToGrid w:val="0"/>
                <w:sz w:val="16"/>
                <w:szCs w:val="16"/>
              </w:rPr>
            </w:pPr>
          </w:p>
        </w:tc>
      </w:tr>
      <w:tr>
        <w:trPr>
          <w:cantSplit/>
          <w:trHeight w:val="535"/>
        </w:trPr>
        <w:tc>
          <w:tcPr>
            <w:tcW w:w="1985" w:type="dxa"/>
            <w:vMerge/>
            <w:noWrap/>
            <w:textDirection w:val="btLr"/>
          </w:tcPr>
          <w:p>
            <w:pPr>
              <w:pStyle w:val="yTableNAm"/>
              <w:ind w:left="113" w:right="113"/>
              <w:jc w:val="center"/>
              <w:rPr>
                <w:snapToGrid w:val="0"/>
                <w:sz w:val="16"/>
                <w:szCs w:val="16"/>
              </w:rPr>
            </w:pPr>
          </w:p>
        </w:tc>
        <w:tc>
          <w:tcPr>
            <w:tcW w:w="850" w:type="dxa"/>
            <w:vMerge w:val="restart"/>
            <w:noWrap/>
            <w:textDirection w:val="btLr"/>
          </w:tcPr>
          <w:p>
            <w:pPr>
              <w:pStyle w:val="yTableNAm"/>
              <w:jc w:val="center"/>
              <w:rPr>
                <w:b/>
                <w:bCs/>
                <w:snapToGrid w:val="0"/>
                <w:sz w:val="16"/>
                <w:szCs w:val="16"/>
              </w:rPr>
            </w:pPr>
            <w:r>
              <w:rPr>
                <w:b/>
                <w:bCs/>
                <w:snapToGrid w:val="0"/>
                <w:sz w:val="16"/>
                <w:szCs w:val="16"/>
              </w:rPr>
              <w:t>Vehicle</w:t>
            </w:r>
          </w:p>
        </w:tc>
        <w:tc>
          <w:tcPr>
            <w:tcW w:w="1210" w:type="dxa"/>
            <w:noWrap/>
            <w:textDirection w:val="btLr"/>
          </w:tcPr>
          <w:p>
            <w:pPr>
              <w:pStyle w:val="yTableNAm"/>
              <w:jc w:val="center"/>
              <w:rPr>
                <w:snapToGrid w:val="0"/>
                <w:sz w:val="16"/>
                <w:szCs w:val="16"/>
              </w:rPr>
            </w:pPr>
            <w:r>
              <w:rPr>
                <w:snapToGrid w:val="0"/>
                <w:sz w:val="16"/>
                <w:szCs w:val="16"/>
              </w:rPr>
              <w:t>Model</w:t>
            </w:r>
          </w:p>
        </w:tc>
        <w:tc>
          <w:tcPr>
            <w:tcW w:w="2410" w:type="dxa"/>
            <w:noWrap/>
            <w:textDirection w:val="btLr"/>
          </w:tcPr>
          <w:p>
            <w:pPr>
              <w:pStyle w:val="yTableNAm"/>
              <w:rPr>
                <w:snapToGrid w:val="0"/>
                <w:sz w:val="16"/>
                <w:szCs w:val="16"/>
              </w:rPr>
            </w:pPr>
          </w:p>
        </w:tc>
      </w:tr>
      <w:tr>
        <w:trPr>
          <w:cantSplit/>
          <w:trHeight w:val="444"/>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Make</w:t>
            </w:r>
          </w:p>
        </w:tc>
        <w:tc>
          <w:tcPr>
            <w:tcW w:w="2410" w:type="dxa"/>
            <w:noWrap/>
            <w:textDirection w:val="btLr"/>
          </w:tcPr>
          <w:p>
            <w:pPr>
              <w:pStyle w:val="yTableNAm"/>
              <w:rPr>
                <w:snapToGrid w:val="0"/>
                <w:sz w:val="16"/>
                <w:szCs w:val="16"/>
              </w:rPr>
            </w:pPr>
          </w:p>
        </w:tc>
      </w:tr>
      <w:tr>
        <w:trPr>
          <w:cantSplit/>
          <w:trHeight w:val="553"/>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Engine No.</w:t>
            </w:r>
          </w:p>
        </w:tc>
        <w:tc>
          <w:tcPr>
            <w:tcW w:w="2410" w:type="dxa"/>
            <w:noWrap/>
          </w:tcPr>
          <w:p>
            <w:pPr>
              <w:pStyle w:val="yTableNAm"/>
              <w:rPr>
                <w:snapToGrid w:val="0"/>
                <w:sz w:val="16"/>
                <w:szCs w:val="16"/>
              </w:rPr>
            </w:pPr>
          </w:p>
        </w:tc>
      </w:tr>
      <w:tr>
        <w:trPr>
          <w:cantSplit/>
          <w:trHeight w:val="589"/>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VIN/ Chassis No.</w:t>
            </w:r>
          </w:p>
        </w:tc>
        <w:tc>
          <w:tcPr>
            <w:tcW w:w="2410" w:type="dxa"/>
            <w:noWrap/>
            <w:textDirection w:val="btLr"/>
          </w:tcPr>
          <w:p>
            <w:pPr>
              <w:pStyle w:val="yTableNAm"/>
              <w:rPr>
                <w:snapToGrid w:val="0"/>
                <w:sz w:val="16"/>
                <w:szCs w:val="16"/>
              </w:rPr>
            </w:pPr>
          </w:p>
        </w:tc>
      </w:tr>
      <w:tr>
        <w:trPr>
          <w:cantSplit/>
          <w:trHeight w:val="563"/>
        </w:trPr>
        <w:tc>
          <w:tcPr>
            <w:tcW w:w="1985" w:type="dxa"/>
            <w:vMerge/>
            <w:noWrap/>
            <w:textDirection w:val="btLr"/>
          </w:tcPr>
          <w:p>
            <w:pPr>
              <w:pStyle w:val="yTableNAm"/>
              <w:ind w:left="113" w:right="113"/>
              <w:jc w:val="center"/>
              <w:rPr>
                <w:snapToGrid w:val="0"/>
                <w:sz w:val="16"/>
                <w:szCs w:val="16"/>
              </w:rPr>
            </w:pPr>
          </w:p>
        </w:tc>
        <w:tc>
          <w:tcPr>
            <w:tcW w:w="850" w:type="dxa"/>
            <w:vMerge/>
            <w:noWrap/>
            <w:textDirection w:val="btLr"/>
          </w:tcPr>
          <w:p>
            <w:pPr>
              <w:pStyle w:val="yTableNAm"/>
              <w:rPr>
                <w:snapToGrid w:val="0"/>
                <w:sz w:val="16"/>
                <w:szCs w:val="16"/>
              </w:rPr>
            </w:pPr>
          </w:p>
        </w:tc>
        <w:tc>
          <w:tcPr>
            <w:tcW w:w="1210" w:type="dxa"/>
            <w:noWrap/>
            <w:textDirection w:val="btLr"/>
          </w:tcPr>
          <w:p>
            <w:pPr>
              <w:pStyle w:val="yTableNAm"/>
              <w:jc w:val="center"/>
              <w:rPr>
                <w:snapToGrid w:val="0"/>
                <w:sz w:val="16"/>
                <w:szCs w:val="16"/>
              </w:rPr>
            </w:pPr>
            <w:r>
              <w:rPr>
                <w:snapToGrid w:val="0"/>
                <w:sz w:val="16"/>
                <w:szCs w:val="16"/>
              </w:rPr>
              <w:t>Licence Plate No.</w:t>
            </w:r>
          </w:p>
        </w:tc>
        <w:tc>
          <w:tcPr>
            <w:tcW w:w="2410" w:type="dxa"/>
            <w:noWrap/>
            <w:textDirection w:val="btLr"/>
          </w:tcPr>
          <w:p>
            <w:pPr>
              <w:pStyle w:val="yTableNAm"/>
              <w:rPr>
                <w:snapToGrid w:val="0"/>
                <w:sz w:val="16"/>
                <w:szCs w:val="16"/>
              </w:rPr>
            </w:pPr>
          </w:p>
        </w:tc>
      </w:tr>
      <w:tr>
        <w:trPr>
          <w:cantSplit/>
          <w:trHeight w:val="572"/>
        </w:trPr>
        <w:tc>
          <w:tcPr>
            <w:tcW w:w="1985" w:type="dxa"/>
            <w:vMerge/>
            <w:noWrap/>
            <w:textDirection w:val="btLr"/>
          </w:tcPr>
          <w:p>
            <w:pPr>
              <w:pStyle w:val="yTableNAm"/>
              <w:ind w:left="113" w:right="113"/>
              <w:jc w:val="center"/>
              <w:rPr>
                <w:snapToGrid w:val="0"/>
                <w:sz w:val="16"/>
                <w:szCs w:val="16"/>
              </w:rPr>
            </w:pPr>
          </w:p>
        </w:tc>
        <w:tc>
          <w:tcPr>
            <w:tcW w:w="2060" w:type="dxa"/>
            <w:gridSpan w:val="2"/>
            <w:noWrap/>
            <w:textDirection w:val="btLr"/>
          </w:tcPr>
          <w:p>
            <w:pPr>
              <w:pStyle w:val="yTableNAm"/>
              <w:jc w:val="center"/>
              <w:rPr>
                <w:b/>
                <w:bCs/>
                <w:snapToGrid w:val="0"/>
                <w:sz w:val="16"/>
                <w:szCs w:val="16"/>
              </w:rPr>
            </w:pPr>
            <w:r>
              <w:rPr>
                <w:b/>
                <w:bCs/>
                <w:snapToGrid w:val="0"/>
                <w:sz w:val="16"/>
                <w:szCs w:val="16"/>
              </w:rPr>
              <w:t>Register No.</w:t>
            </w:r>
          </w:p>
        </w:tc>
        <w:tc>
          <w:tcPr>
            <w:tcW w:w="2410" w:type="dxa"/>
            <w:noWrap/>
            <w:textDirection w:val="btLr"/>
          </w:tcPr>
          <w:p>
            <w:pPr>
              <w:pStyle w:val="yTableNAm"/>
              <w:rPr>
                <w:snapToGrid w:val="0"/>
                <w:sz w:val="16"/>
                <w:szCs w:val="16"/>
              </w:rPr>
            </w:pPr>
          </w:p>
        </w:tc>
      </w:tr>
    </w:tbl>
    <w:p>
      <w:pPr>
        <w:pStyle w:val="yFootnotesection"/>
        <w:spacing w:before="60"/>
      </w:pPr>
      <w:r>
        <w:tab/>
        <w:t>[Form 1 inserted: SL 2021/164 r. 16.]</w:t>
      </w:r>
    </w:p>
    <w:p>
      <w:pPr>
        <w:pStyle w:val="MiscellaneousBody"/>
        <w:tabs>
          <w:tab w:val="left" w:pos="910"/>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Forms 2 and 3 have been deliberately omitted.</w:t>
      </w:r>
    </w:p>
    <w:p>
      <w:pPr>
        <w:pStyle w:val="yHeading3"/>
      </w:pPr>
      <w:bookmarkStart w:id="75" w:name="_Toc160101099"/>
      <w:bookmarkStart w:id="76" w:name="_Toc160101193"/>
      <w:bookmarkStart w:id="77" w:name="_Toc160101316"/>
      <w:bookmarkStart w:id="78" w:name="_Toc160616653"/>
      <w:bookmarkStart w:id="79" w:name="_Toc168391373"/>
      <w:bookmarkStart w:id="80" w:name="_Toc168391483"/>
      <w:bookmarkStart w:id="81" w:name="_Toc168393097"/>
      <w:bookmarkStart w:id="82" w:name="_Toc168386270"/>
      <w:r>
        <w:t>Form 4 — Vehicle particulars</w:t>
      </w:r>
      <w:bookmarkEnd w:id="75"/>
      <w:bookmarkEnd w:id="76"/>
      <w:bookmarkEnd w:id="77"/>
      <w:bookmarkEnd w:id="78"/>
      <w:bookmarkEnd w:id="79"/>
      <w:bookmarkEnd w:id="80"/>
      <w:bookmarkEnd w:id="81"/>
    </w:p>
    <w:bookmarkEnd w:id="82"/>
    <w:p>
      <w:pPr>
        <w:pStyle w:val="yShoulderClause"/>
      </w:pPr>
      <w:r>
        <w:t>[r. 5]</w:t>
      </w:r>
    </w:p>
    <w:tbl>
      <w:tblPr>
        <w:tblW w:w="6521" w:type="dxa"/>
        <w:tblInd w:w="623" w:type="dxa"/>
        <w:tblBorders>
          <w:insideV w:val="single" w:sz="4" w:space="0" w:color="auto"/>
        </w:tblBorders>
        <w:tblLayout w:type="fixed"/>
        <w:tblCellMar>
          <w:left w:w="56" w:type="dxa"/>
          <w:right w:w="56" w:type="dxa"/>
        </w:tblCellMar>
        <w:tblLook w:val="0000" w:firstRow="0" w:lastRow="0" w:firstColumn="0" w:lastColumn="0" w:noHBand="0" w:noVBand="0"/>
      </w:tblPr>
      <w:tblGrid>
        <w:gridCol w:w="2173"/>
        <w:gridCol w:w="2174"/>
        <w:gridCol w:w="2174"/>
      </w:tblGrid>
      <w:tr>
        <w:trPr>
          <w:cantSplit/>
          <w:trHeight w:val="189"/>
        </w:trPr>
        <w:tc>
          <w:tcPr>
            <w:tcW w:w="6521" w:type="dxa"/>
            <w:gridSpan w:val="3"/>
            <w:tcBorders>
              <w:bottom w:val="single" w:sz="4" w:space="0" w:color="auto"/>
            </w:tcBorders>
          </w:tcPr>
          <w:p>
            <w:pPr>
              <w:pStyle w:val="yMiscellaneousHeading"/>
              <w:keepNext w:val="0"/>
              <w:tabs>
                <w:tab w:val="left" w:pos="2410"/>
              </w:tabs>
              <w:spacing w:before="60"/>
            </w:pPr>
            <w:r>
              <w:rPr>
                <w:snapToGrid w:val="0"/>
              </w:rPr>
              <w:t>WESTERN</w:t>
            </w:r>
            <w:r>
              <w:t xml:space="preserve"> AUSTRALIA</w:t>
            </w:r>
          </w:p>
          <w:p>
            <w:pPr>
              <w:pStyle w:val="yMiscellaneousHeading"/>
              <w:spacing w:before="60"/>
              <w:rPr>
                <w:iCs/>
              </w:rPr>
            </w:pPr>
            <w:r>
              <w:rPr>
                <w:i/>
              </w:rPr>
              <w:t>Motor Vehicle Dealers Act 1973</w:t>
            </w:r>
            <w:r>
              <w:rPr>
                <w:iCs/>
              </w:rPr>
              <w:t xml:space="preserve"> section 33</w:t>
            </w:r>
          </w:p>
          <w:p>
            <w:pPr>
              <w:pStyle w:val="yMiscellaneousHeading"/>
              <w:spacing w:before="60"/>
            </w:pPr>
            <w:r>
              <w:rPr>
                <w:i/>
              </w:rPr>
              <w:t xml:space="preserve">Motor Vehicle </w:t>
            </w:r>
            <w:r>
              <w:rPr>
                <w:i/>
                <w:snapToGrid w:val="0"/>
              </w:rPr>
              <w:t>Dealers</w:t>
            </w:r>
            <w:r>
              <w:rPr>
                <w:i/>
              </w:rPr>
              <w:t xml:space="preserve"> (Sales) Regulations 1974</w:t>
            </w:r>
            <w:r>
              <w:t xml:space="preserve"> </w:t>
            </w:r>
            <w:r>
              <w:rPr>
                <w:szCs w:val="18"/>
              </w:rPr>
              <w:t>regulation 5</w:t>
            </w:r>
          </w:p>
          <w:p>
            <w:pPr>
              <w:pStyle w:val="yMiscellaneousHeading"/>
              <w:keepNext w:val="0"/>
              <w:spacing w:after="160" w:line="260" w:lineRule="atLeast"/>
              <w:rPr>
                <w:snapToGrid w:val="0"/>
                <w:sz w:val="16"/>
              </w:rPr>
            </w:pPr>
            <w:r>
              <w:rPr>
                <w:b/>
              </w:rPr>
              <w:t>VEHICLE PARTICULARS</w:t>
            </w:r>
          </w:p>
        </w:tc>
      </w:tr>
      <w:tr>
        <w:trPr>
          <w:cantSplit/>
          <w:trHeight w:val="189"/>
        </w:trPr>
        <w:tc>
          <w:tcPr>
            <w:tcW w:w="2173" w:type="dxa"/>
            <w:tcBorders>
              <w:top w:val="single" w:sz="4" w:space="0" w:color="auto"/>
              <w:left w:val="single" w:sz="4" w:space="0" w:color="auto"/>
              <w:bottom w:val="single" w:sz="4" w:space="0" w:color="auto"/>
            </w:tcBorders>
          </w:tcPr>
          <w:p>
            <w:pPr>
              <w:pStyle w:val="yMiscellaneousBody"/>
              <w:spacing w:before="40"/>
              <w:jc w:val="center"/>
              <w:rPr>
                <w:b/>
                <w:snapToGrid w:val="0"/>
                <w:sz w:val="18"/>
              </w:rPr>
            </w:pPr>
            <w:r>
              <w:rPr>
                <w:b/>
                <w:snapToGrid w:val="0"/>
                <w:sz w:val="18"/>
              </w:rPr>
              <w:t>YEAR OF MANUFACTURE</w:t>
            </w:r>
          </w:p>
          <w:p>
            <w:pPr>
              <w:pStyle w:val="yMiscellaneousBody"/>
              <w:spacing w:before="0"/>
              <w:jc w:val="center"/>
              <w:rPr>
                <w:snapToGrid w:val="0"/>
              </w:rPr>
            </w:pPr>
            <w:r>
              <w:rPr>
                <w:snapToGrid w:val="0"/>
              </w:rPr>
              <w:t>(</w:t>
            </w:r>
            <w:r>
              <w:rPr>
                <w:snapToGrid w:val="0"/>
                <w:sz w:val="18"/>
              </w:rPr>
              <w:t>Compliance Plate</w:t>
            </w:r>
            <w:r>
              <w:rPr>
                <w:snapToGrid w:val="0"/>
              </w:rPr>
              <w:t>)</w:t>
            </w:r>
          </w:p>
          <w:p>
            <w:pPr>
              <w:pStyle w:val="yMiscellaneousHeading"/>
              <w:keepNext w:val="0"/>
              <w:tabs>
                <w:tab w:val="left" w:pos="2410"/>
              </w:tabs>
              <w:spacing w:before="60"/>
              <w:rPr>
                <w:snapToGrid w:val="0"/>
              </w:rPr>
            </w:pPr>
            <w:r>
              <w:rPr>
                <w:sz w:val="18"/>
              </w:rPr>
              <w:t>.......................................</w:t>
            </w:r>
          </w:p>
        </w:tc>
        <w:tc>
          <w:tcPr>
            <w:tcW w:w="2174" w:type="dxa"/>
            <w:tcBorders>
              <w:top w:val="single" w:sz="4" w:space="0" w:color="auto"/>
              <w:bottom w:val="single" w:sz="4" w:space="0" w:color="auto"/>
            </w:tcBorders>
          </w:tcPr>
          <w:p>
            <w:pPr>
              <w:pStyle w:val="yMiscellaneousBody"/>
              <w:spacing w:before="40"/>
              <w:jc w:val="center"/>
              <w:rPr>
                <w:b/>
                <w:snapToGrid w:val="0"/>
                <w:sz w:val="18"/>
              </w:rPr>
            </w:pPr>
            <w:r>
              <w:rPr>
                <w:b/>
                <w:snapToGrid w:val="0"/>
                <w:sz w:val="18"/>
              </w:rPr>
              <w:t>ODOMETER READING</w:t>
            </w:r>
          </w:p>
          <w:p>
            <w:pPr>
              <w:pStyle w:val="yMiscellaneousBody"/>
              <w:spacing w:before="0"/>
              <w:jc w:val="center"/>
              <w:rPr>
                <w:snapToGrid w:val="0"/>
                <w:sz w:val="18"/>
              </w:rPr>
            </w:pPr>
            <w:r>
              <w:rPr>
                <w:snapToGrid w:val="0"/>
                <w:sz w:val="18"/>
              </w:rPr>
              <w:t>(at time vehicle acquired from last owner)</w:t>
            </w:r>
          </w:p>
          <w:p>
            <w:pPr>
              <w:pStyle w:val="yMiscellaneousBody"/>
              <w:spacing w:before="0"/>
              <w:jc w:val="center"/>
              <w:rPr>
                <w:snapToGrid w:val="0"/>
                <w:sz w:val="18"/>
              </w:rPr>
            </w:pPr>
            <w:r>
              <w:rPr>
                <w:sz w:val="18"/>
              </w:rPr>
              <w:t>.......................................</w:t>
            </w:r>
          </w:p>
          <w:p>
            <w:pPr>
              <w:pStyle w:val="yMiscellaneousBody"/>
              <w:spacing w:before="0"/>
              <w:jc w:val="center"/>
              <w:rPr>
                <w:snapToGrid w:val="0"/>
                <w:sz w:val="16"/>
              </w:rPr>
            </w:pPr>
            <w:r>
              <w:rPr>
                <w:sz w:val="18"/>
                <w:szCs w:val="18"/>
              </w:rPr>
              <w:t>kms/miles</w:t>
            </w:r>
          </w:p>
        </w:tc>
        <w:tc>
          <w:tcPr>
            <w:tcW w:w="2174" w:type="dxa"/>
            <w:tcBorders>
              <w:top w:val="single" w:sz="4" w:space="0" w:color="auto"/>
              <w:bottom w:val="single" w:sz="4" w:space="0" w:color="auto"/>
              <w:right w:val="single" w:sz="4" w:space="0" w:color="auto"/>
            </w:tcBorders>
          </w:tcPr>
          <w:p>
            <w:pPr>
              <w:pStyle w:val="yMiscellaneousBody"/>
              <w:spacing w:before="40"/>
              <w:jc w:val="center"/>
              <w:rPr>
                <w:b/>
                <w:snapToGrid w:val="0"/>
                <w:sz w:val="18"/>
              </w:rPr>
            </w:pPr>
            <w:r>
              <w:rPr>
                <w:b/>
                <w:snapToGrid w:val="0"/>
                <w:sz w:val="18"/>
              </w:rPr>
              <w:t xml:space="preserve">CASH PRICE </w:t>
            </w:r>
            <w:r>
              <w:rPr>
                <w:b/>
                <w:sz w:val="18"/>
              </w:rPr>
              <w:t>(INC. GST)</w:t>
            </w:r>
          </w:p>
          <w:p>
            <w:pPr>
              <w:pStyle w:val="yMiscellaneousBody"/>
              <w:spacing w:before="0"/>
              <w:jc w:val="center"/>
              <w:rPr>
                <w:snapToGrid w:val="0"/>
                <w:sz w:val="18"/>
              </w:rPr>
            </w:pPr>
          </w:p>
          <w:p>
            <w:pPr>
              <w:pStyle w:val="yMiscellaneousBody"/>
              <w:spacing w:before="0"/>
              <w:jc w:val="center"/>
              <w:rPr>
                <w:snapToGrid w:val="0"/>
                <w:sz w:val="16"/>
              </w:rPr>
            </w:pPr>
            <w:r>
              <w:rPr>
                <w:snapToGrid w:val="0"/>
                <w:sz w:val="18"/>
              </w:rPr>
              <w:t xml:space="preserve">$ </w:t>
            </w:r>
            <w:r>
              <w:rPr>
                <w:sz w:val="18"/>
              </w:rPr>
              <w:t>.......................................</w:t>
            </w:r>
          </w:p>
        </w:tc>
      </w:tr>
      <w:tr>
        <w:trPr>
          <w:cantSplit/>
          <w:trHeight w:val="189"/>
        </w:trPr>
        <w:tc>
          <w:tcPr>
            <w:tcW w:w="6521" w:type="dxa"/>
            <w:gridSpan w:val="3"/>
            <w:tcBorders>
              <w:top w:val="single" w:sz="4" w:space="0" w:color="auto"/>
            </w:tcBorders>
          </w:tcPr>
          <w:p>
            <w:pPr>
              <w:pStyle w:val="yTable"/>
              <w:spacing w:after="60"/>
              <w:rPr>
                <w:sz w:val="18"/>
              </w:rPr>
            </w:pPr>
            <w:r>
              <w:rPr>
                <w:sz w:val="18"/>
              </w:rPr>
              <w:t>Make ........................................................  Model ..............................................................</w:t>
            </w:r>
          </w:p>
          <w:p>
            <w:pPr>
              <w:pStyle w:val="yTable"/>
              <w:spacing w:after="60"/>
              <w:rPr>
                <w:sz w:val="18"/>
              </w:rPr>
            </w:pPr>
            <w:r>
              <w:rPr>
                <w:sz w:val="18"/>
                <w:szCs w:val="18"/>
              </w:rPr>
              <w:t>VIN</w:t>
            </w:r>
            <w:r>
              <w:rPr>
                <w:sz w:val="18"/>
              </w:rPr>
              <w:t xml:space="preserve"> ...........................................  Engine No. ..............................................</w:t>
            </w:r>
          </w:p>
          <w:p>
            <w:pPr>
              <w:pStyle w:val="yTable"/>
              <w:spacing w:after="60"/>
              <w:rPr>
                <w:sz w:val="18"/>
              </w:rPr>
            </w:pPr>
            <w:r>
              <w:rPr>
                <w:sz w:val="18"/>
              </w:rPr>
              <w:t>Licence Plate No. .............................................</w:t>
            </w:r>
          </w:p>
          <w:p>
            <w:pPr>
              <w:pStyle w:val="yTable"/>
              <w:spacing w:after="60"/>
              <w:rPr>
                <w:sz w:val="18"/>
              </w:rPr>
            </w:pPr>
            <w:r>
              <w:rPr>
                <w:sz w:val="18"/>
              </w:rPr>
              <w:t xml:space="preserve">Year of first registration ......................  </w:t>
            </w:r>
            <w:r>
              <w:rPr>
                <w:sz w:val="18"/>
                <w:szCs w:val="14"/>
              </w:rPr>
              <w:t>Vehicle licence</w:t>
            </w:r>
            <w:r>
              <w:rPr>
                <w:sz w:val="18"/>
              </w:rPr>
              <w:t xml:space="preserve"> expires on ........................................</w:t>
            </w:r>
          </w:p>
          <w:p>
            <w:pPr>
              <w:pStyle w:val="yTable"/>
              <w:spacing w:after="60"/>
              <w:rPr>
                <w:sz w:val="18"/>
              </w:rPr>
            </w:pPr>
            <w:r>
              <w:rPr>
                <w:sz w:val="18"/>
              </w:rPr>
              <w:t xml:space="preserve">(If vehicle not licensed under </w:t>
            </w:r>
            <w:r>
              <w:rPr>
                <w:i/>
                <w:iCs/>
                <w:sz w:val="18"/>
              </w:rPr>
              <w:t>Road Traffic (Vehicles) Act 2012</w:t>
            </w:r>
            <w:r>
              <w:rPr>
                <w:sz w:val="18"/>
              </w:rPr>
              <w:t>, insert “Unlicensed”)</w:t>
            </w:r>
          </w:p>
        </w:tc>
      </w:tr>
      <w:tr>
        <w:trPr>
          <w:cantSplit/>
          <w:trHeight w:val="189"/>
        </w:trPr>
        <w:tc>
          <w:tcPr>
            <w:tcW w:w="6521" w:type="dxa"/>
            <w:gridSpan w:val="3"/>
          </w:tcPr>
          <w:p>
            <w:pPr>
              <w:pStyle w:val="yTable"/>
              <w:spacing w:after="60"/>
              <w:rPr>
                <w:sz w:val="18"/>
              </w:rPr>
            </w:pPr>
            <w:r>
              <w:rPr>
                <w:sz w:val="18"/>
              </w:rPr>
              <w:t xml:space="preserve">Vehicle will be covered by the statutory warranty under section 34 of the </w:t>
            </w:r>
            <w:r>
              <w:rPr>
                <w:i/>
                <w:iCs/>
                <w:sz w:val="18"/>
              </w:rPr>
              <w:t>Motor Vehicle Dealers Act 1973</w:t>
            </w:r>
            <w:r>
              <w:rPr>
                <w:sz w:val="18"/>
              </w:rPr>
              <w:t xml:space="preserve">..........................................................................................YES </w:t>
            </w:r>
            <w:r>
              <w:rPr>
                <w:sz w:val="18"/>
              </w:rPr>
              <w:t xml:space="preserve"> NO </w:t>
            </w:r>
            <w:r>
              <w:rPr>
                <w:sz w:val="18"/>
              </w:rPr>
              <w:t></w:t>
            </w:r>
          </w:p>
          <w:p>
            <w:pPr>
              <w:pStyle w:val="yTable"/>
              <w:spacing w:after="60"/>
              <w:rPr>
                <w:sz w:val="18"/>
              </w:rPr>
            </w:pPr>
            <w:r>
              <w:rPr>
                <w:sz w:val="18"/>
              </w:rPr>
              <w:t>Vehicle is a registered repairable write</w:t>
            </w:r>
            <w:r>
              <w:rPr>
                <w:sz w:val="18"/>
              </w:rPr>
              <w:noBreakHyphen/>
              <w:t xml:space="preserve">off..................................................YES </w:t>
            </w:r>
            <w:r>
              <w:rPr>
                <w:sz w:val="18"/>
              </w:rPr>
              <w:t xml:space="preserve"> NO </w:t>
            </w:r>
            <w:r>
              <w:rPr>
                <w:sz w:val="18"/>
              </w:rPr>
              <w:t></w:t>
            </w:r>
          </w:p>
        </w:tc>
      </w:tr>
      <w:tr>
        <w:trPr>
          <w:cantSplit/>
          <w:trHeight w:val="189"/>
        </w:trPr>
        <w:tc>
          <w:tcPr>
            <w:tcW w:w="6521" w:type="dxa"/>
            <w:gridSpan w:val="3"/>
          </w:tcPr>
          <w:p>
            <w:pPr>
              <w:pStyle w:val="yTable"/>
              <w:spacing w:after="60"/>
              <w:rPr>
                <w:sz w:val="18"/>
              </w:rPr>
            </w:pPr>
            <w:r>
              <w:rPr>
                <w:sz w:val="18"/>
              </w:rPr>
              <w:t>Date of sale .......................... Odometer reading at time of sale ........................ kms/miles</w:t>
            </w:r>
          </w:p>
          <w:p>
            <w:pPr>
              <w:pStyle w:val="yTable"/>
              <w:spacing w:after="60"/>
              <w:rPr>
                <w:sz w:val="18"/>
              </w:rPr>
            </w:pPr>
            <w:r>
              <w:rPr>
                <w:sz w:val="18"/>
              </w:rPr>
              <w:t>Register reference/Stock No. ............</w:t>
            </w:r>
          </w:p>
          <w:p>
            <w:pPr>
              <w:pStyle w:val="yTable"/>
              <w:spacing w:after="60"/>
              <w:rPr>
                <w:sz w:val="18"/>
              </w:rPr>
            </w:pPr>
            <w:r>
              <w:rPr>
                <w:sz w:val="18"/>
              </w:rPr>
              <w:t>Dealer — Name and address ..............................................................................................</w:t>
            </w:r>
          </w:p>
          <w:p>
            <w:pPr>
              <w:pStyle w:val="yTable"/>
              <w:spacing w:after="60"/>
              <w:rPr>
                <w:sz w:val="18"/>
              </w:rPr>
            </w:pPr>
            <w:r>
              <w:rPr>
                <w:sz w:val="18"/>
              </w:rPr>
              <w:t>.............................................................................................................................................</w:t>
            </w:r>
          </w:p>
          <w:p>
            <w:pPr>
              <w:pStyle w:val="yTable"/>
              <w:tabs>
                <w:tab w:val="left" w:pos="3346"/>
              </w:tabs>
              <w:spacing w:before="240"/>
              <w:rPr>
                <w:sz w:val="18"/>
              </w:rPr>
            </w:pPr>
            <w:r>
              <w:rPr>
                <w:sz w:val="18"/>
              </w:rPr>
              <w:t>.............................................................</w:t>
            </w:r>
            <w:r>
              <w:rPr>
                <w:sz w:val="18"/>
              </w:rPr>
              <w:tab/>
              <w:t>...................................................................</w:t>
            </w:r>
          </w:p>
          <w:p>
            <w:pPr>
              <w:pStyle w:val="yTable"/>
              <w:tabs>
                <w:tab w:val="left" w:pos="3913"/>
              </w:tabs>
              <w:spacing w:before="0"/>
              <w:rPr>
                <w:sz w:val="18"/>
              </w:rPr>
            </w:pPr>
            <w:r>
              <w:rPr>
                <w:sz w:val="18"/>
              </w:rPr>
              <w:t>Signature of dealer, yard manager</w:t>
            </w:r>
            <w:r>
              <w:rPr>
                <w:sz w:val="18"/>
              </w:rPr>
              <w:tab/>
              <w:t>Signature of purchaser</w:t>
            </w:r>
          </w:p>
          <w:p>
            <w:pPr>
              <w:pStyle w:val="yTable"/>
              <w:tabs>
                <w:tab w:val="left" w:pos="653"/>
              </w:tabs>
              <w:spacing w:before="0"/>
              <w:rPr>
                <w:sz w:val="18"/>
              </w:rPr>
            </w:pPr>
            <w:r>
              <w:rPr>
                <w:sz w:val="18"/>
              </w:rPr>
              <w:tab/>
              <w:t>or salesperson</w:t>
            </w:r>
          </w:p>
        </w:tc>
      </w:tr>
    </w:tbl>
    <w:p>
      <w:pPr>
        <w:pStyle w:val="yFootnotesection"/>
      </w:pPr>
      <w:r>
        <w:tab/>
        <w:t>[Form 4 inserted: Gazette 17 Nov 2006 p. 4754</w:t>
      </w:r>
      <w:r>
        <w:noBreakHyphen/>
        <w:t>5; amended: Gazette 8 Jan 2015 p. 89; SL 2021/164 r. 17; SL 2024/33 r. 7.]</w:t>
      </w:r>
    </w:p>
    <w:p>
      <w:pPr>
        <w:pStyle w:val="yHeading3"/>
      </w:pPr>
      <w:bookmarkStart w:id="83" w:name="_Toc168386271"/>
      <w:bookmarkStart w:id="84" w:name="_Toc168391374"/>
      <w:bookmarkStart w:id="85" w:name="_Toc168391484"/>
      <w:bookmarkStart w:id="86" w:name="_Toc168393098"/>
      <w:r>
        <w:lastRenderedPageBreak/>
        <w:t>Form 5</w:t>
      </w:r>
      <w:r>
        <w:rPr>
          <w:b w:val="0"/>
        </w:rPr>
        <w:t> — </w:t>
      </w:r>
      <w:r>
        <w:t>Notice of defects excluded from warranty</w:t>
      </w:r>
      <w:bookmarkEnd w:id="83"/>
      <w:bookmarkEnd w:id="84"/>
      <w:bookmarkEnd w:id="85"/>
      <w:bookmarkEnd w:id="86"/>
    </w:p>
    <w:p>
      <w:pPr>
        <w:pStyle w:val="yShoulderClause"/>
      </w:pPr>
      <w:r>
        <w:t>[r. 6]</w:t>
      </w:r>
    </w:p>
    <w:tbl>
      <w:tblPr>
        <w:tblW w:w="6521"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21"/>
      </w:tblGrid>
      <w:tr>
        <w:trPr>
          <w:cantSplit/>
          <w:trHeight w:val="189"/>
        </w:trPr>
        <w:tc>
          <w:tcPr>
            <w:tcW w:w="6521" w:type="dxa"/>
            <w:tcBorders>
              <w:top w:val="nil"/>
              <w:left w:val="nil"/>
              <w:bottom w:val="single" w:sz="4" w:space="0" w:color="auto"/>
              <w:right w:val="nil"/>
            </w:tcBorders>
          </w:tcPr>
          <w:p>
            <w:pPr>
              <w:pStyle w:val="yMiscellaneousHeading"/>
              <w:keepNext w:val="0"/>
              <w:tabs>
                <w:tab w:val="left" w:pos="2410"/>
              </w:tabs>
              <w:spacing w:before="120"/>
            </w:pPr>
            <w:r>
              <w:rPr>
                <w:snapToGrid w:val="0"/>
              </w:rPr>
              <w:t>WESTERN</w:t>
            </w:r>
            <w:r>
              <w:t xml:space="preserve"> AUSTRALIA</w:t>
            </w:r>
          </w:p>
          <w:p>
            <w:pPr>
              <w:pStyle w:val="yMiscellaneousHeading"/>
              <w:keepNext w:val="0"/>
              <w:spacing w:before="60"/>
              <w:rPr>
                <w:iCs/>
              </w:rPr>
            </w:pPr>
            <w:r>
              <w:rPr>
                <w:i/>
              </w:rPr>
              <w:t>Motor Vehicle Dealers Act 1973</w:t>
            </w:r>
            <w:r>
              <w:rPr>
                <w:iCs/>
              </w:rPr>
              <w:t xml:space="preserve"> section 35</w:t>
            </w:r>
          </w:p>
          <w:p>
            <w:pPr>
              <w:pStyle w:val="yMiscellaneousHeading"/>
              <w:keepNext w:val="0"/>
              <w:spacing w:before="60"/>
            </w:pPr>
            <w:r>
              <w:rPr>
                <w:i/>
              </w:rPr>
              <w:t xml:space="preserve">Motor Vehicle </w:t>
            </w:r>
            <w:r>
              <w:rPr>
                <w:i/>
                <w:snapToGrid w:val="0"/>
              </w:rPr>
              <w:t>Dealers</w:t>
            </w:r>
            <w:r>
              <w:rPr>
                <w:i/>
              </w:rPr>
              <w:t xml:space="preserve"> (Sales) Regulations 1974</w:t>
            </w:r>
            <w:r>
              <w:t xml:space="preserve"> regulation 6</w:t>
            </w:r>
          </w:p>
          <w:p>
            <w:pPr>
              <w:pStyle w:val="yMiscellaneousHeading"/>
              <w:keepNext w:val="0"/>
              <w:spacing w:line="260" w:lineRule="atLeast"/>
              <w:rPr>
                <w:b/>
              </w:rPr>
            </w:pPr>
            <w:r>
              <w:rPr>
                <w:b/>
              </w:rPr>
              <w:t xml:space="preserve">NOTICE OF DEFECTS </w:t>
            </w:r>
            <w:r>
              <w:rPr>
                <w:b/>
                <w:u w:val="single"/>
              </w:rPr>
              <w:t>EXCLUDED</w:t>
            </w:r>
            <w:r>
              <w:rPr>
                <w:b/>
              </w:rPr>
              <w:t xml:space="preserve"> FROM WARRANTY</w:t>
            </w:r>
          </w:p>
          <w:p>
            <w:pPr>
              <w:pStyle w:val="yMiscellaneousHeading"/>
              <w:keepNext w:val="0"/>
              <w:spacing w:line="260" w:lineRule="atLeast"/>
              <w:rPr>
                <w:i/>
                <w:sz w:val="20"/>
              </w:rPr>
            </w:pPr>
            <w:r>
              <w:rPr>
                <w:i/>
                <w:sz w:val="20"/>
              </w:rPr>
              <w:t xml:space="preserve">This vehicle is provided with a warranty under the </w:t>
            </w:r>
            <w:r>
              <w:rPr>
                <w:i/>
                <w:sz w:val="20"/>
                <w:u w:val="single"/>
              </w:rPr>
              <w:t>Motor Vehicle Dealers Act 1973</w:t>
            </w:r>
            <w:r>
              <w:rPr>
                <w:i/>
                <w:sz w:val="20"/>
              </w:rPr>
              <w:t>, except for the defects stated below</w:t>
            </w:r>
          </w:p>
          <w:p>
            <w:pPr>
              <w:pStyle w:val="Table"/>
              <w:spacing w:before="0" w:line="240" w:lineRule="auto"/>
              <w:ind w:left="6" w:right="6"/>
              <w:rPr>
                <w:snapToGrid w:val="0"/>
                <w:sz w:val="16"/>
              </w:rPr>
            </w:pPr>
          </w:p>
        </w:tc>
      </w:tr>
      <w:tr>
        <w:trPr>
          <w:cantSplit/>
          <w:trHeight w:val="189"/>
        </w:trPr>
        <w:tc>
          <w:tcPr>
            <w:tcW w:w="6521" w:type="dxa"/>
            <w:tcBorders>
              <w:bottom w:val="single" w:sz="4" w:space="0" w:color="auto"/>
            </w:tcBorders>
          </w:tcPr>
          <w:p>
            <w:pPr>
              <w:pStyle w:val="yTable"/>
              <w:rPr>
                <w:sz w:val="18"/>
              </w:rPr>
            </w:pPr>
            <w:r>
              <w:rPr>
                <w:sz w:val="18"/>
              </w:rPr>
              <w:t>THIS VEHICLE CONTAINS THE DEFECTS STATED BELOW. THE COST OF REPAIR, UP TO THE ESTIMATES SHOWN, BECOME THE RESPONSIBILITY OF THE PURCHASER.</w:t>
            </w:r>
          </w:p>
          <w:p>
            <w:pPr>
              <w:pStyle w:val="Table"/>
              <w:spacing w:before="0" w:line="240" w:lineRule="auto"/>
              <w:ind w:left="6" w:right="6"/>
              <w:rPr>
                <w:snapToGrid w:val="0"/>
                <w:sz w:val="16"/>
              </w:rPr>
            </w:pPr>
            <w:r>
              <w:rPr>
                <w:sz w:val="18"/>
              </w:rPr>
              <w:t>THE DEALER REMAINS LIABLE FOR THE REPAIR OF ANY DEFECTS NOT LISTED.</w:t>
            </w:r>
          </w:p>
        </w:tc>
      </w:tr>
      <w:tr>
        <w:trPr>
          <w:cantSplit/>
          <w:trHeight w:val="189"/>
        </w:trPr>
        <w:tc>
          <w:tcPr>
            <w:tcW w:w="6521" w:type="dxa"/>
            <w:tcBorders>
              <w:top w:val="single" w:sz="4" w:space="0" w:color="auto"/>
              <w:left w:val="nil"/>
              <w:bottom w:val="nil"/>
              <w:right w:val="nil"/>
            </w:tcBorders>
          </w:tcPr>
          <w:p>
            <w:pPr>
              <w:pStyle w:val="yTable"/>
              <w:rPr>
                <w:sz w:val="20"/>
              </w:rPr>
            </w:pPr>
            <w:r>
              <w:rPr>
                <w:sz w:val="20"/>
              </w:rPr>
              <w:t xml:space="preserve">Dealer — name and address </w:t>
            </w:r>
            <w:r>
              <w:rPr>
                <w:sz w:val="18"/>
              </w:rPr>
              <w:t>...........................................................................................</w:t>
            </w:r>
          </w:p>
          <w:p>
            <w:pPr>
              <w:pStyle w:val="yTable"/>
              <w:rPr>
                <w:sz w:val="20"/>
              </w:rPr>
            </w:pPr>
            <w:r>
              <w:rPr>
                <w:sz w:val="18"/>
              </w:rPr>
              <w:t>..............................................................................................................................................</w:t>
            </w:r>
          </w:p>
          <w:p>
            <w:pPr>
              <w:pStyle w:val="yTable"/>
              <w:rPr>
                <w:sz w:val="20"/>
              </w:rPr>
            </w:pPr>
            <w:r>
              <w:rPr>
                <w:sz w:val="20"/>
              </w:rPr>
              <w:t xml:space="preserve">Make </w:t>
            </w:r>
            <w:r>
              <w:rPr>
                <w:sz w:val="18"/>
              </w:rPr>
              <w:t>...................................................................................................................................</w:t>
            </w:r>
          </w:p>
          <w:p>
            <w:pPr>
              <w:pStyle w:val="yTable"/>
              <w:rPr>
                <w:sz w:val="18"/>
              </w:rPr>
            </w:pPr>
            <w:r>
              <w:rPr>
                <w:sz w:val="20"/>
              </w:rPr>
              <w:t xml:space="preserve">Model </w:t>
            </w:r>
            <w:r>
              <w:rPr>
                <w:sz w:val="18"/>
              </w:rPr>
              <w:t>.................................................................................................................................</w:t>
            </w:r>
          </w:p>
        </w:tc>
      </w:tr>
      <w:tr>
        <w:trPr>
          <w:cantSplit/>
          <w:trHeight w:val="189"/>
        </w:trPr>
        <w:tc>
          <w:tcPr>
            <w:tcW w:w="6521" w:type="dxa"/>
            <w:tcBorders>
              <w:top w:val="nil"/>
              <w:left w:val="nil"/>
              <w:bottom w:val="single" w:sz="4" w:space="0" w:color="auto"/>
              <w:right w:val="nil"/>
            </w:tcBorders>
          </w:tcPr>
          <w:p>
            <w:pPr>
              <w:pStyle w:val="yTable"/>
              <w:rPr>
                <w:sz w:val="20"/>
              </w:rPr>
            </w:pPr>
            <w:r>
              <w:rPr>
                <w:sz w:val="20"/>
              </w:rPr>
              <w:t xml:space="preserve">VIN </w:t>
            </w:r>
            <w:r>
              <w:rPr>
                <w:sz w:val="18"/>
              </w:rPr>
              <w:t>...........................................................................................................</w:t>
            </w:r>
          </w:p>
          <w:p>
            <w:pPr>
              <w:pStyle w:val="yTable"/>
              <w:rPr>
                <w:sz w:val="20"/>
              </w:rPr>
            </w:pPr>
            <w:r>
              <w:rPr>
                <w:sz w:val="20"/>
              </w:rPr>
              <w:t xml:space="preserve">Licence Plate No. </w:t>
            </w:r>
            <w:r>
              <w:rPr>
                <w:sz w:val="18"/>
              </w:rPr>
              <w:t>......................................................</w:t>
            </w:r>
            <w:r>
              <w:rPr>
                <w:sz w:val="20"/>
              </w:rPr>
              <w:t xml:space="preserve">  Engine No. </w:t>
            </w:r>
            <w:r>
              <w:rPr>
                <w:sz w:val="18"/>
              </w:rPr>
              <w:t>................................</w:t>
            </w:r>
          </w:p>
          <w:p>
            <w:pPr>
              <w:pStyle w:val="yTable"/>
              <w:rPr>
                <w:sz w:val="20"/>
              </w:rPr>
            </w:pPr>
            <w:r>
              <w:rPr>
                <w:sz w:val="20"/>
              </w:rPr>
              <w:t xml:space="preserve">Date of sale </w:t>
            </w:r>
            <w:r>
              <w:rPr>
                <w:sz w:val="18"/>
              </w:rPr>
              <w:t>........................................................................................................................</w:t>
            </w:r>
          </w:p>
          <w:p>
            <w:pPr>
              <w:pStyle w:val="yTable"/>
              <w:rPr>
                <w:sz w:val="18"/>
              </w:rPr>
            </w:pPr>
            <w:r>
              <w:rPr>
                <w:sz w:val="20"/>
              </w:rPr>
              <w:t xml:space="preserve">Odometer reading at time of sale </w:t>
            </w:r>
            <w:r>
              <w:rPr>
                <w:sz w:val="18"/>
              </w:rPr>
              <w:t>....................................................</w:t>
            </w:r>
            <w:r>
              <w:rPr>
                <w:sz w:val="20"/>
              </w:rPr>
              <w:t xml:space="preserve"> kms/miles</w:t>
            </w:r>
          </w:p>
        </w:tc>
      </w:tr>
      <w:tr>
        <w:trPr>
          <w:cantSplit/>
          <w:trHeight w:val="189"/>
        </w:trPr>
        <w:tc>
          <w:tcPr>
            <w:tcW w:w="6521" w:type="dxa"/>
            <w:tcBorders>
              <w:top w:val="single" w:sz="4" w:space="0" w:color="auto"/>
              <w:bottom w:val="single" w:sz="4" w:space="0" w:color="auto"/>
            </w:tcBorders>
          </w:tcPr>
          <w:p>
            <w:pPr>
              <w:pStyle w:val="yTable"/>
              <w:tabs>
                <w:tab w:val="left" w:pos="4820"/>
              </w:tabs>
              <w:rPr>
                <w:sz w:val="20"/>
              </w:rPr>
            </w:pPr>
            <w:r>
              <w:rPr>
                <w:sz w:val="20"/>
              </w:rPr>
              <w:t>Details of defect</w:t>
            </w:r>
            <w:r>
              <w:rPr>
                <w:sz w:val="20"/>
              </w:rPr>
              <w:tab/>
              <w:t>Estimated cost of</w:t>
            </w:r>
            <w:r>
              <w:rPr>
                <w:sz w:val="20"/>
              </w:rPr>
              <w:br/>
            </w:r>
            <w:r>
              <w:rPr>
                <w:sz w:val="20"/>
              </w:rPr>
              <w:tab/>
              <w:t xml:space="preserve">repair    </w:t>
            </w:r>
            <w:r>
              <w:rPr>
                <w:bCs/>
                <w:sz w:val="18"/>
              </w:rPr>
              <w:t>(inc. GST)</w:t>
            </w:r>
          </w:p>
          <w:p>
            <w:pPr>
              <w:pStyle w:val="yTable"/>
              <w:tabs>
                <w:tab w:val="left" w:pos="4820"/>
              </w:tabs>
              <w:rPr>
                <w:sz w:val="20"/>
              </w:rPr>
            </w:pPr>
            <w:r>
              <w:rPr>
                <w:sz w:val="18"/>
              </w:rPr>
              <w:t>..........................................................................................</w:t>
            </w:r>
            <w:r>
              <w:rPr>
                <w:sz w:val="20"/>
              </w:rPr>
              <w:tab/>
              <w:t xml:space="preserve">$ </w:t>
            </w:r>
            <w:r>
              <w:rPr>
                <w:sz w:val="18"/>
              </w:rPr>
              <w:t>...............................</w:t>
            </w:r>
          </w:p>
          <w:p>
            <w:pPr>
              <w:pStyle w:val="yTable"/>
              <w:tabs>
                <w:tab w:val="left" w:pos="4820"/>
              </w:tabs>
              <w:rPr>
                <w:sz w:val="20"/>
              </w:rPr>
            </w:pPr>
            <w:r>
              <w:rPr>
                <w:sz w:val="18"/>
              </w:rPr>
              <w:t>..........................................................................................</w:t>
            </w:r>
            <w:r>
              <w:rPr>
                <w:sz w:val="20"/>
              </w:rPr>
              <w:tab/>
              <w:t xml:space="preserve">$ </w:t>
            </w:r>
            <w:r>
              <w:rPr>
                <w:sz w:val="18"/>
              </w:rPr>
              <w:t>...............................</w:t>
            </w:r>
          </w:p>
          <w:p>
            <w:pPr>
              <w:pStyle w:val="yTable"/>
              <w:tabs>
                <w:tab w:val="left" w:pos="4820"/>
              </w:tabs>
              <w:rPr>
                <w:sz w:val="20"/>
              </w:rPr>
            </w:pPr>
            <w:r>
              <w:rPr>
                <w:sz w:val="18"/>
              </w:rPr>
              <w:t>..........................................................................................</w:t>
            </w:r>
            <w:r>
              <w:rPr>
                <w:sz w:val="20"/>
              </w:rPr>
              <w:tab/>
              <w:t xml:space="preserve">$ </w:t>
            </w:r>
            <w:r>
              <w:rPr>
                <w:sz w:val="18"/>
              </w:rPr>
              <w:t>...............................</w:t>
            </w:r>
          </w:p>
          <w:p>
            <w:pPr>
              <w:pStyle w:val="yTable"/>
              <w:tabs>
                <w:tab w:val="left" w:pos="4820"/>
              </w:tabs>
              <w:rPr>
                <w:sz w:val="20"/>
              </w:rPr>
            </w:pPr>
            <w:r>
              <w:rPr>
                <w:sz w:val="18"/>
              </w:rPr>
              <w:t>..........................................................................................</w:t>
            </w:r>
            <w:r>
              <w:rPr>
                <w:sz w:val="20"/>
              </w:rPr>
              <w:tab/>
              <w:t xml:space="preserve">$ </w:t>
            </w:r>
            <w:r>
              <w:rPr>
                <w:sz w:val="18"/>
              </w:rPr>
              <w:t>...............................</w:t>
            </w:r>
          </w:p>
          <w:p>
            <w:pPr>
              <w:pStyle w:val="yTable"/>
              <w:tabs>
                <w:tab w:val="left" w:pos="4820"/>
              </w:tabs>
              <w:spacing w:after="60"/>
              <w:rPr>
                <w:sz w:val="20"/>
              </w:rPr>
            </w:pPr>
            <w:r>
              <w:rPr>
                <w:sz w:val="18"/>
              </w:rPr>
              <w:t>..........................................................................................</w:t>
            </w:r>
            <w:r>
              <w:rPr>
                <w:sz w:val="20"/>
              </w:rPr>
              <w:tab/>
              <w:t xml:space="preserve">$ </w:t>
            </w:r>
            <w:r>
              <w:rPr>
                <w:sz w:val="18"/>
              </w:rPr>
              <w:t>...............................</w:t>
            </w:r>
          </w:p>
        </w:tc>
      </w:tr>
      <w:tr>
        <w:trPr>
          <w:cantSplit/>
          <w:trHeight w:val="189"/>
        </w:trPr>
        <w:tc>
          <w:tcPr>
            <w:tcW w:w="6521" w:type="dxa"/>
            <w:tcBorders>
              <w:top w:val="nil"/>
              <w:left w:val="nil"/>
              <w:bottom w:val="single" w:sz="4" w:space="0" w:color="auto"/>
              <w:right w:val="nil"/>
            </w:tcBorders>
          </w:tcPr>
          <w:p>
            <w:pPr>
              <w:pStyle w:val="yTable"/>
              <w:rPr>
                <w:spacing w:val="-2"/>
                <w:sz w:val="20"/>
              </w:rPr>
            </w:pPr>
            <w:r>
              <w:rPr>
                <w:b/>
                <w:spacing w:val="-2"/>
                <w:sz w:val="20"/>
              </w:rPr>
              <w:lastRenderedPageBreak/>
              <w:t>UNDERESTIMATED REPAIR COSTS</w:t>
            </w:r>
          </w:p>
          <w:p>
            <w:pPr>
              <w:pStyle w:val="yTable"/>
              <w:rPr>
                <w:spacing w:val="-2"/>
                <w:sz w:val="20"/>
              </w:rPr>
            </w:pPr>
            <w:r>
              <w:rPr>
                <w:spacing w:val="-2"/>
                <w:sz w:val="20"/>
              </w:rPr>
              <w:t>If the amount estimated by the dealer as the fair cost of repairing or making good the defect is underestimated, then you may claim the difference between the fair cost of repair and the amount stated by the dealer on this form as the cost of repair.</w:t>
            </w:r>
          </w:p>
          <w:p>
            <w:pPr>
              <w:pStyle w:val="yTable"/>
              <w:tabs>
                <w:tab w:val="left" w:pos="3913"/>
              </w:tabs>
              <w:spacing w:before="240"/>
              <w:rPr>
                <w:sz w:val="20"/>
              </w:rPr>
            </w:pPr>
            <w:r>
              <w:rPr>
                <w:sz w:val="20"/>
              </w:rPr>
              <w:t>.............................................................</w:t>
            </w:r>
            <w:r>
              <w:rPr>
                <w:sz w:val="20"/>
              </w:rPr>
              <w:tab/>
              <w:t>.................................................</w:t>
            </w:r>
          </w:p>
          <w:p>
            <w:pPr>
              <w:pStyle w:val="yTable"/>
              <w:tabs>
                <w:tab w:val="left" w:pos="4253"/>
              </w:tabs>
              <w:spacing w:before="0"/>
              <w:rPr>
                <w:sz w:val="20"/>
              </w:rPr>
            </w:pPr>
            <w:r>
              <w:rPr>
                <w:sz w:val="20"/>
              </w:rPr>
              <w:t>Signature of dealer, yard manager</w:t>
            </w:r>
            <w:r>
              <w:rPr>
                <w:sz w:val="20"/>
              </w:rPr>
              <w:tab/>
              <w:t>Signature of purchaser</w:t>
            </w:r>
            <w:r>
              <w:rPr>
                <w:sz w:val="20"/>
              </w:rPr>
              <w:br/>
              <w:t xml:space="preserve">              or salesperson</w:t>
            </w:r>
          </w:p>
          <w:p>
            <w:pPr>
              <w:pStyle w:val="yTable"/>
              <w:tabs>
                <w:tab w:val="left" w:pos="4820"/>
              </w:tabs>
              <w:spacing w:before="240"/>
              <w:jc w:val="center"/>
              <w:rPr>
                <w:sz w:val="20"/>
              </w:rPr>
            </w:pPr>
          </w:p>
        </w:tc>
      </w:tr>
      <w:tr>
        <w:trPr>
          <w:cantSplit/>
          <w:trHeight w:val="189"/>
        </w:trPr>
        <w:tc>
          <w:tcPr>
            <w:tcW w:w="6521" w:type="dxa"/>
            <w:tcBorders>
              <w:top w:val="single" w:sz="4" w:space="0" w:color="auto"/>
              <w:left w:val="single" w:sz="4" w:space="0" w:color="auto"/>
              <w:bottom w:val="single" w:sz="4" w:space="0" w:color="auto"/>
              <w:right w:val="single" w:sz="4" w:space="0" w:color="auto"/>
            </w:tcBorders>
          </w:tcPr>
          <w:p>
            <w:pPr>
              <w:pStyle w:val="yTable"/>
              <w:jc w:val="center"/>
              <w:rPr>
                <w:b/>
                <w:spacing w:val="-2"/>
                <w:sz w:val="20"/>
              </w:rPr>
            </w:pPr>
            <w:r>
              <w:rPr>
                <w:sz w:val="20"/>
              </w:rPr>
              <w:t>PLEASE SEE REVERSE FOR IMPORTANT INFORMATION ABOUT THIS VEHICLE PURCHASE</w:t>
            </w:r>
          </w:p>
        </w:tc>
      </w:tr>
      <w:tr>
        <w:trPr>
          <w:cantSplit/>
          <w:trHeight w:val="189"/>
        </w:trPr>
        <w:tc>
          <w:tcPr>
            <w:tcW w:w="6521" w:type="dxa"/>
            <w:tcBorders>
              <w:top w:val="single" w:sz="4" w:space="0" w:color="auto"/>
              <w:left w:val="nil"/>
              <w:bottom w:val="nil"/>
              <w:right w:val="nil"/>
            </w:tcBorders>
          </w:tcPr>
          <w:p>
            <w:pPr>
              <w:pStyle w:val="yTable"/>
              <w:jc w:val="center"/>
              <w:rPr>
                <w:i/>
                <w:sz w:val="18"/>
              </w:rPr>
            </w:pPr>
            <w:r>
              <w:rPr>
                <w:i/>
                <w:sz w:val="18"/>
              </w:rPr>
              <w:t>(reverse)</w:t>
            </w:r>
          </w:p>
          <w:p>
            <w:pPr>
              <w:pStyle w:val="yTable"/>
              <w:spacing w:before="240"/>
              <w:rPr>
                <w:spacing w:val="-2"/>
                <w:sz w:val="20"/>
              </w:rPr>
            </w:pPr>
            <w:r>
              <w:rPr>
                <w:b/>
                <w:spacing w:val="-2"/>
                <w:sz w:val="20"/>
              </w:rPr>
              <w:t xml:space="preserve">ITEMS </w:t>
            </w:r>
            <w:r>
              <w:rPr>
                <w:b/>
                <w:i/>
                <w:spacing w:val="-2"/>
                <w:sz w:val="20"/>
                <w:u w:val="single"/>
              </w:rPr>
              <w:t>COVERED</w:t>
            </w:r>
            <w:r>
              <w:rPr>
                <w:b/>
                <w:spacing w:val="-2"/>
                <w:sz w:val="20"/>
              </w:rPr>
              <w:t xml:space="preserve"> BY THE STATUTORY WARRANTY</w:t>
            </w:r>
          </w:p>
          <w:p>
            <w:pPr>
              <w:pStyle w:val="yTable"/>
              <w:rPr>
                <w:spacing w:val="-2"/>
                <w:sz w:val="20"/>
              </w:rPr>
            </w:pPr>
            <w:r>
              <w:rPr>
                <w:spacing w:val="-2"/>
                <w:sz w:val="20"/>
              </w:rPr>
              <w:t xml:space="preserve">This vehicle is covered by the terms of the statutory warranty under section 34 of the </w:t>
            </w:r>
            <w:r>
              <w:rPr>
                <w:i/>
                <w:spacing w:val="-2"/>
                <w:sz w:val="20"/>
              </w:rPr>
              <w:t>Motor Vehicle Dealers Act 1973</w:t>
            </w:r>
            <w:r>
              <w:rPr>
                <w:spacing w:val="-2"/>
                <w:sz w:val="20"/>
              </w:rPr>
              <w:t>.  This means the dealer must repair or make good all defects which make or are likely to make the vehicle unroadworthy or unserviceable.  For more information on warranty defects, refer to the vehicle diagram on the reverse side of the “Vehicle Particulars and Warranty” Form 4.</w:t>
            </w:r>
          </w:p>
          <w:p>
            <w:pPr>
              <w:pStyle w:val="yTable"/>
              <w:spacing w:before="120"/>
              <w:rPr>
                <w:bCs/>
                <w:snapToGrid w:val="0"/>
                <w:sz w:val="20"/>
              </w:rPr>
            </w:pPr>
            <w:r>
              <w:rPr>
                <w:bCs/>
                <w:snapToGrid w:val="0"/>
                <w:sz w:val="20"/>
              </w:rPr>
              <w:t>This vehicle is also covered by the Australian Consumer Law, which requires a warranty against defects that includes the following text: “Our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pPr>
              <w:pStyle w:val="yTable"/>
              <w:spacing w:before="120"/>
              <w:rPr>
                <w:spacing w:val="-2"/>
                <w:sz w:val="20"/>
              </w:rPr>
            </w:pPr>
            <w:r>
              <w:rPr>
                <w:b/>
                <w:spacing w:val="-2"/>
                <w:sz w:val="20"/>
              </w:rPr>
              <w:t xml:space="preserve">ITEMS </w:t>
            </w:r>
            <w:r>
              <w:rPr>
                <w:b/>
                <w:i/>
                <w:spacing w:val="-2"/>
                <w:sz w:val="20"/>
                <w:u w:val="single"/>
              </w:rPr>
              <w:t>NOT</w:t>
            </w:r>
            <w:r>
              <w:rPr>
                <w:b/>
                <w:spacing w:val="-2"/>
                <w:sz w:val="20"/>
              </w:rPr>
              <w:t xml:space="preserve"> COVERED BY THE STATUTORY WARRANTY</w:t>
            </w:r>
          </w:p>
          <w:p>
            <w:pPr>
              <w:pStyle w:val="yTable"/>
              <w:rPr>
                <w:spacing w:val="-2"/>
                <w:sz w:val="20"/>
              </w:rPr>
            </w:pPr>
            <w:r>
              <w:rPr>
                <w:spacing w:val="-2"/>
                <w:sz w:val="20"/>
              </w:rPr>
              <w:t xml:space="preserve">The defects which are </w:t>
            </w:r>
            <w:r>
              <w:rPr>
                <w:spacing w:val="-2"/>
                <w:sz w:val="20"/>
                <w:u w:val="single"/>
              </w:rPr>
              <w:t>not</w:t>
            </w:r>
            <w:r>
              <w:rPr>
                <w:spacing w:val="-2"/>
                <w:sz w:val="20"/>
              </w:rPr>
              <w:t xml:space="preserve"> required to be repaired by the dealer are those stated on the front of this form, provided —</w:t>
            </w:r>
          </w:p>
          <w:p>
            <w:pPr>
              <w:pStyle w:val="yTable"/>
              <w:tabs>
                <w:tab w:val="left" w:pos="567"/>
              </w:tabs>
              <w:ind w:left="567" w:hanging="350"/>
              <w:rPr>
                <w:b/>
                <w:spacing w:val="-2"/>
                <w:sz w:val="20"/>
              </w:rPr>
            </w:pPr>
            <w:r>
              <w:rPr>
                <w:spacing w:val="-2"/>
                <w:sz w:val="20"/>
              </w:rPr>
              <w:t>•</w:t>
            </w:r>
            <w:r>
              <w:rPr>
                <w:spacing w:val="-2"/>
                <w:sz w:val="20"/>
              </w:rPr>
              <w:tab/>
              <w:t>this form was filled out and displayed on the vehicle before you negotiated to purchase it; and</w:t>
            </w:r>
          </w:p>
        </w:tc>
      </w:tr>
      <w:tr>
        <w:trPr>
          <w:cantSplit/>
          <w:trHeight w:val="189"/>
        </w:trPr>
        <w:tc>
          <w:tcPr>
            <w:tcW w:w="6521" w:type="dxa"/>
            <w:tcBorders>
              <w:top w:val="nil"/>
              <w:left w:val="nil"/>
              <w:bottom w:val="nil"/>
              <w:right w:val="nil"/>
            </w:tcBorders>
          </w:tcPr>
          <w:p>
            <w:pPr>
              <w:pStyle w:val="yTable"/>
              <w:tabs>
                <w:tab w:val="left" w:pos="567"/>
              </w:tabs>
              <w:ind w:left="567" w:hanging="350"/>
              <w:rPr>
                <w:spacing w:val="-2"/>
                <w:sz w:val="20"/>
              </w:rPr>
            </w:pPr>
            <w:r>
              <w:rPr>
                <w:spacing w:val="-2"/>
                <w:sz w:val="20"/>
              </w:rPr>
              <w:t>•</w:t>
            </w:r>
            <w:r>
              <w:rPr>
                <w:spacing w:val="-2"/>
                <w:sz w:val="20"/>
              </w:rPr>
              <w:tab/>
              <w:t>an accurate and detailed description of the defect, and an accurate estimate of the repair cost has been stated; and</w:t>
            </w:r>
          </w:p>
          <w:p>
            <w:pPr>
              <w:pStyle w:val="yTable"/>
              <w:tabs>
                <w:tab w:val="left" w:pos="567"/>
              </w:tabs>
              <w:ind w:left="567" w:hanging="350"/>
              <w:rPr>
                <w:spacing w:val="-2"/>
                <w:sz w:val="20"/>
              </w:rPr>
            </w:pPr>
            <w:r>
              <w:rPr>
                <w:spacing w:val="-2"/>
                <w:sz w:val="20"/>
              </w:rPr>
              <w:t>•</w:t>
            </w:r>
            <w:r>
              <w:rPr>
                <w:spacing w:val="-2"/>
                <w:sz w:val="20"/>
              </w:rPr>
              <w:tab/>
              <w:t>you are given a signed copy of this notice before, or at the time of, sale.</w:t>
            </w:r>
          </w:p>
          <w:p>
            <w:pPr>
              <w:pStyle w:val="yTable"/>
              <w:jc w:val="center"/>
              <w:rPr>
                <w:i/>
                <w:sz w:val="18"/>
              </w:rPr>
            </w:pPr>
            <w:r>
              <w:rPr>
                <w:b/>
                <w:sz w:val="20"/>
              </w:rPr>
              <w:t>Remember, it will be your responsibility to repair the defects listed on the front of this notice.</w:t>
            </w:r>
          </w:p>
        </w:tc>
      </w:tr>
      <w:tr>
        <w:trPr>
          <w:cantSplit/>
          <w:trHeight w:val="189"/>
        </w:trPr>
        <w:tc>
          <w:tcPr>
            <w:tcW w:w="6521" w:type="dxa"/>
            <w:tcBorders>
              <w:top w:val="nil"/>
              <w:left w:val="nil"/>
              <w:bottom w:val="nil"/>
              <w:right w:val="nil"/>
            </w:tcBorders>
          </w:tcPr>
          <w:p>
            <w:pPr>
              <w:pStyle w:val="yTable"/>
              <w:rPr>
                <w:spacing w:val="-2"/>
                <w:sz w:val="20"/>
              </w:rPr>
            </w:pPr>
            <w:r>
              <w:rPr>
                <w:b/>
                <w:spacing w:val="-2"/>
                <w:sz w:val="20"/>
              </w:rPr>
              <w:lastRenderedPageBreak/>
              <w:t>DESCRIPTION OF DEFECTS</w:t>
            </w:r>
          </w:p>
          <w:p>
            <w:pPr>
              <w:pStyle w:val="yTable"/>
              <w:rPr>
                <w:b/>
                <w:spacing w:val="-2"/>
                <w:sz w:val="20"/>
              </w:rPr>
            </w:pPr>
            <w:r>
              <w:rPr>
                <w:spacing w:val="-2"/>
                <w:sz w:val="20"/>
              </w:rPr>
              <w:t>The “Details of Defect” should set out (with reasonable particularity) a description of the nature of the defect.  For example, it would not be considered reasonable for a dealer to state “engine” as the defect and estimate $800 as the cost of repairs.  What should be stated is the particular defect with the engine, such as “excessive exhaust smoke — piston rings require replacement” together with the estimated cost of repairs.</w:t>
            </w:r>
          </w:p>
        </w:tc>
      </w:tr>
      <w:tr>
        <w:trPr>
          <w:cantSplit/>
          <w:trHeight w:val="189"/>
        </w:trPr>
        <w:tc>
          <w:tcPr>
            <w:tcW w:w="6521" w:type="dxa"/>
            <w:tcBorders>
              <w:top w:val="nil"/>
              <w:left w:val="nil"/>
              <w:bottom w:val="nil"/>
              <w:right w:val="nil"/>
            </w:tcBorders>
          </w:tcPr>
          <w:p>
            <w:pPr>
              <w:pStyle w:val="yMiscellaneousHeading"/>
              <w:ind w:left="30"/>
            </w:pPr>
            <w:r>
              <w:t>MORE INFORMATION</w:t>
            </w:r>
          </w:p>
          <w:p>
            <w:pPr>
              <w:pStyle w:val="yMiscellaneousBody"/>
              <w:spacing w:before="60"/>
              <w:ind w:left="28"/>
              <w:rPr>
                <w:snapToGrid w:val="0"/>
                <w:szCs w:val="22"/>
              </w:rPr>
            </w:pPr>
            <w:r>
              <w:rPr>
                <w:snapToGrid w:val="0"/>
                <w:szCs w:val="22"/>
              </w:rPr>
              <w:t>If you have any questions or require further information about warranties or this notice, contact the Consumer Protection Call Centre on 1300 304 054 (Mon to Fri). TTY 13 36 77 (hearing impaired). 13 14 50 (interpreter service).</w:t>
            </w:r>
          </w:p>
          <w:p>
            <w:pPr>
              <w:pStyle w:val="yMiscellaneousBody"/>
              <w:jc w:val="center"/>
            </w:pPr>
            <w:r>
              <w:rPr>
                <w:i/>
                <w:iCs/>
                <w:sz w:val="18"/>
                <w:szCs w:val="18"/>
              </w:rPr>
              <w:t>Internet: www.demirs.wa.gov.au</w:t>
            </w:r>
          </w:p>
        </w:tc>
      </w:tr>
    </w:tbl>
    <w:p>
      <w:pPr>
        <w:pStyle w:val="yFootnotesection"/>
      </w:pPr>
      <w:r>
        <w:tab/>
        <w:t>[Form 5 inserted: Gazette 17 Nov 2006 p. 4755</w:t>
      </w:r>
      <w:r>
        <w:noBreakHyphen/>
        <w:t>7; amended: SL 2021/164 r. 18; SL 2024/33 r. 8.]</w:t>
      </w:r>
    </w:p>
    <w:p>
      <w:pPr>
        <w:pStyle w:val="yHeading3"/>
      </w:pPr>
      <w:bookmarkStart w:id="87" w:name="_Toc160101102"/>
      <w:bookmarkStart w:id="88" w:name="_Toc160101196"/>
      <w:bookmarkStart w:id="89" w:name="_Toc160101319"/>
      <w:bookmarkStart w:id="90" w:name="_Toc160616656"/>
      <w:bookmarkStart w:id="91" w:name="_Toc168391375"/>
      <w:bookmarkStart w:id="92" w:name="_Toc168391485"/>
      <w:bookmarkStart w:id="93" w:name="_Toc168393099"/>
      <w:r>
        <w:t>Form 5A — Information statement — statutory warranty</w:t>
      </w:r>
      <w:bookmarkEnd w:id="87"/>
      <w:bookmarkEnd w:id="88"/>
      <w:bookmarkEnd w:id="89"/>
      <w:bookmarkEnd w:id="90"/>
      <w:bookmarkEnd w:id="91"/>
      <w:bookmarkEnd w:id="92"/>
      <w:bookmarkEnd w:id="93"/>
    </w:p>
    <w:p>
      <w:pPr>
        <w:pStyle w:val="yShoulderClause"/>
      </w:pPr>
      <w:r>
        <w:t>[r. 7]</w:t>
      </w:r>
    </w:p>
    <w:tbl>
      <w:tblPr>
        <w:tblW w:w="652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21"/>
      </w:tblGrid>
      <w:tr>
        <w:trPr>
          <w:trHeight w:val="189"/>
        </w:trPr>
        <w:tc>
          <w:tcPr>
            <w:tcW w:w="6521" w:type="dxa"/>
            <w:tcBorders>
              <w:top w:val="nil"/>
              <w:left w:val="nil"/>
              <w:bottom w:val="nil"/>
              <w:right w:val="nil"/>
            </w:tcBorders>
            <w:noWrap/>
          </w:tcPr>
          <w:p>
            <w:pPr>
              <w:pStyle w:val="yTableNAm"/>
              <w:jc w:val="center"/>
            </w:pPr>
            <w:r>
              <w:rPr>
                <w:snapToGrid w:val="0"/>
              </w:rPr>
              <w:t>WESTERN</w:t>
            </w:r>
            <w:r>
              <w:t xml:space="preserve"> AUSTRALIA</w:t>
            </w:r>
          </w:p>
          <w:p>
            <w:pPr>
              <w:pStyle w:val="yTableNAm"/>
              <w:jc w:val="center"/>
              <w:rPr>
                <w:iCs/>
              </w:rPr>
            </w:pPr>
            <w:r>
              <w:rPr>
                <w:i/>
              </w:rPr>
              <w:t xml:space="preserve">Motor Vehicle Dealers Act 1973 </w:t>
            </w:r>
            <w:r>
              <w:t>section 56</w:t>
            </w:r>
          </w:p>
          <w:p>
            <w:pPr>
              <w:pStyle w:val="yTableNAm"/>
              <w:jc w:val="center"/>
              <w:rPr>
                <w:rStyle w:val="DraftersNotes"/>
              </w:rPr>
            </w:pPr>
            <w:r>
              <w:rPr>
                <w:i/>
              </w:rPr>
              <w:t xml:space="preserve">Motor Vehicle </w:t>
            </w:r>
            <w:r>
              <w:rPr>
                <w:i/>
                <w:snapToGrid w:val="0"/>
              </w:rPr>
              <w:t>Dealers</w:t>
            </w:r>
            <w:r>
              <w:rPr>
                <w:i/>
              </w:rPr>
              <w:t xml:space="preserve"> (Sales) Regulations 1974</w:t>
            </w:r>
            <w:r>
              <w:t xml:space="preserve"> regulation 7</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jc w:val="center"/>
              <w:rPr>
                <w:b/>
                <w:bCs/>
                <w:snapToGrid w:val="0"/>
                <w:sz w:val="18"/>
                <w:szCs w:val="16"/>
              </w:rPr>
            </w:pPr>
            <w:r>
              <w:rPr>
                <w:b/>
                <w:bCs/>
                <w:snapToGrid w:val="0"/>
                <w:sz w:val="18"/>
                <w:szCs w:val="16"/>
              </w:rPr>
              <w:t>STATUTORY WARRANTY</w:t>
            </w:r>
          </w:p>
          <w:p>
            <w:pPr>
              <w:pStyle w:val="yTableNAm"/>
              <w:rPr>
                <w:snapToGrid w:val="0"/>
                <w:sz w:val="18"/>
                <w:szCs w:val="16"/>
              </w:rPr>
            </w:pPr>
            <w:r>
              <w:rPr>
                <w:snapToGrid w:val="0"/>
                <w:sz w:val="18"/>
                <w:szCs w:val="16"/>
              </w:rPr>
              <w:t xml:space="preserve">A motor vehicle is covered by the terms of a statutory warranty under the </w:t>
            </w:r>
            <w:r>
              <w:rPr>
                <w:i/>
                <w:snapToGrid w:val="0"/>
                <w:sz w:val="18"/>
                <w:szCs w:val="16"/>
              </w:rPr>
              <w:t>Motor Vehicle Dealers Act 1973</w:t>
            </w:r>
            <w:r>
              <w:rPr>
                <w:snapToGrid w:val="0"/>
                <w:sz w:val="18"/>
                <w:szCs w:val="16"/>
              </w:rPr>
              <w:t xml:space="preserve"> if the cash price (inc. GST) paid is $4 000 or more and the vehicle is not more than 12 years old and has travelled not more than 180 000 km. The length of time the vehicle is covered under warranty is determined by the age of the vehicle and kilometres it has travelled at the time of sale. Where a vehicle is —</w:t>
            </w:r>
          </w:p>
          <w:p>
            <w:pPr>
              <w:pStyle w:val="yTableNAm"/>
              <w:ind w:left="567" w:hanging="567"/>
              <w:rPr>
                <w:sz w:val="18"/>
                <w:szCs w:val="16"/>
              </w:rPr>
            </w:pPr>
            <w:r>
              <w:rPr>
                <w:spacing w:val="-2"/>
                <w:sz w:val="18"/>
                <w:szCs w:val="16"/>
              </w:rPr>
              <w:t>•</w:t>
            </w:r>
            <w:r>
              <w:rPr>
                <w:spacing w:val="-2"/>
                <w:sz w:val="18"/>
                <w:szCs w:val="16"/>
              </w:rPr>
              <w:tab/>
            </w:r>
            <w:r>
              <w:rPr>
                <w:snapToGrid w:val="0"/>
                <w:sz w:val="18"/>
                <w:szCs w:val="16"/>
              </w:rPr>
              <w:t>not more than 10 years old and has travelled not more than 150 000 km at the time of sale — the warranty is for 3 months or 5 000 km, whichever happens first; or</w:t>
            </w:r>
          </w:p>
          <w:p>
            <w:pPr>
              <w:pStyle w:val="yTableNAm"/>
              <w:ind w:left="567" w:hanging="567"/>
              <w:rPr>
                <w:rStyle w:val="DraftersNotes"/>
                <w:sz w:val="18"/>
                <w:szCs w:val="16"/>
              </w:rPr>
            </w:pPr>
            <w:r>
              <w:rPr>
                <w:spacing w:val="-2"/>
                <w:sz w:val="18"/>
                <w:szCs w:val="16"/>
              </w:rPr>
              <w:t>•</w:t>
            </w:r>
            <w:r>
              <w:rPr>
                <w:spacing w:val="-2"/>
                <w:sz w:val="18"/>
                <w:szCs w:val="16"/>
              </w:rPr>
              <w:tab/>
            </w:r>
            <w:r>
              <w:rPr>
                <w:snapToGrid w:val="0"/>
                <w:sz w:val="18"/>
                <w:szCs w:val="16"/>
              </w:rPr>
              <w:t>more than 10 years but not more than</w:t>
            </w:r>
            <w:r>
              <w:rPr>
                <w:spacing w:val="-2"/>
                <w:sz w:val="18"/>
                <w:szCs w:val="16"/>
              </w:rPr>
              <w:t xml:space="preserve"> </w:t>
            </w:r>
            <w:r>
              <w:rPr>
                <w:snapToGrid w:val="0"/>
                <w:sz w:val="18"/>
                <w:szCs w:val="16"/>
              </w:rPr>
              <w:t>12 years old or has travelled more than 150 000 km but not more than 180 000 km at the time of sale — the warranty is for 1 month or 1 500 km, whichever happens first.</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rPr>
                <w:b/>
                <w:i/>
                <w:snapToGrid w:val="0"/>
                <w:sz w:val="18"/>
                <w:szCs w:val="16"/>
              </w:rPr>
            </w:pPr>
            <w:r>
              <w:rPr>
                <w:snapToGrid w:val="0"/>
                <w:sz w:val="18"/>
                <w:szCs w:val="16"/>
              </w:rPr>
              <w:t>A motor cycle is covered by the terms of a statutory warranty if the cash price (inc. GST) paid is $3 500 or more and the motor cycle is not more than 8 years old and has travelled not more than 80 000 km. The warranty is for 3 months or 5 000 km, whichever happens first.</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rPr>
                <w:snapToGrid w:val="0"/>
                <w:sz w:val="18"/>
                <w:szCs w:val="16"/>
              </w:rPr>
            </w:pPr>
            <w:r>
              <w:rPr>
                <w:snapToGrid w:val="0"/>
                <w:sz w:val="18"/>
                <w:szCs w:val="16"/>
              </w:rPr>
              <w:lastRenderedPageBreak/>
              <w:t>The warranty means that the selling dealer must repair or make good all defects which make or are likely to make the vehicle unroadworthy or unserviceable. The repair should make the vehicle roadworthy and in a reasonable condition having regard to its age.</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Height w:val="189"/>
        </w:trPr>
        <w:tc>
          <w:tcPr>
            <w:tcW w:w="6521" w:type="dxa"/>
            <w:noWrap/>
          </w:tcPr>
          <w:p>
            <w:pPr>
              <w:pStyle w:val="yTableNAm"/>
              <w:jc w:val="center"/>
              <w:rPr>
                <w:b/>
                <w:bCs/>
                <w:sz w:val="18"/>
                <w:szCs w:val="16"/>
              </w:rPr>
            </w:pPr>
            <w:r>
              <w:rPr>
                <w:b/>
                <w:bCs/>
                <w:sz w:val="18"/>
                <w:szCs w:val="16"/>
              </w:rPr>
              <w:t xml:space="preserve">WARRANTY AGAINST DEFECTS </w:t>
            </w:r>
            <w:r>
              <w:rPr>
                <w:b/>
                <w:bCs/>
                <w:snapToGrid w:val="0"/>
                <w:sz w:val="18"/>
                <w:szCs w:val="16"/>
              </w:rPr>
              <w:t>UNDER</w:t>
            </w:r>
            <w:r>
              <w:rPr>
                <w:b/>
                <w:bCs/>
                <w:sz w:val="18"/>
                <w:szCs w:val="16"/>
              </w:rPr>
              <w:t xml:space="preserve"> AUSTRALIAN CONSUMER LAW</w:t>
            </w:r>
          </w:p>
          <w:p>
            <w:pPr>
              <w:pStyle w:val="yTableNAm"/>
              <w:rPr>
                <w:sz w:val="18"/>
                <w:szCs w:val="16"/>
              </w:rPr>
            </w:pPr>
            <w:r>
              <w:rPr>
                <w:sz w:val="18"/>
                <w:szCs w:val="16"/>
              </w:rPr>
              <w:t>A motor vehicle is also covered by the Australian Consumer Law, which requires a warranty against defects that includes the following text: “Our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Height w:val="189"/>
        </w:trPr>
        <w:tc>
          <w:tcPr>
            <w:tcW w:w="6521" w:type="dxa"/>
            <w:noWrap/>
          </w:tcPr>
          <w:p>
            <w:pPr>
              <w:pStyle w:val="yTableNAm"/>
              <w:jc w:val="center"/>
              <w:rPr>
                <w:b/>
                <w:bCs/>
                <w:sz w:val="18"/>
                <w:szCs w:val="16"/>
              </w:rPr>
            </w:pPr>
            <w:r>
              <w:rPr>
                <w:b/>
                <w:bCs/>
                <w:sz w:val="18"/>
                <w:szCs w:val="16"/>
              </w:rPr>
              <w:t xml:space="preserve">MORE </w:t>
            </w:r>
            <w:r>
              <w:rPr>
                <w:b/>
                <w:bCs/>
                <w:snapToGrid w:val="0"/>
                <w:sz w:val="18"/>
                <w:szCs w:val="16"/>
              </w:rPr>
              <w:t>INFORMATION</w:t>
            </w:r>
          </w:p>
          <w:p>
            <w:pPr>
              <w:pStyle w:val="yTableNAm"/>
              <w:rPr>
                <w:sz w:val="18"/>
                <w:szCs w:val="16"/>
              </w:rPr>
            </w:pPr>
            <w:r>
              <w:rPr>
                <w:snapToGrid w:val="0"/>
                <w:sz w:val="18"/>
                <w:szCs w:val="16"/>
              </w:rPr>
              <w:t>If you have any questions or require further information about warranties, contact the Consumer Protection Call Centre on 1300 304 054 (Mon to Fri). TTY 13 36 77 (hearing impaired). 13 14 </w:t>
            </w:r>
            <w:r>
              <w:rPr>
                <w:sz w:val="18"/>
                <w:szCs w:val="16"/>
              </w:rPr>
              <w:t>50</w:t>
            </w:r>
            <w:r>
              <w:rPr>
                <w:snapToGrid w:val="0"/>
                <w:sz w:val="18"/>
                <w:szCs w:val="16"/>
              </w:rPr>
              <w:t xml:space="preserve"> (interpreter service).</w:t>
            </w:r>
          </w:p>
          <w:p>
            <w:pPr>
              <w:pStyle w:val="yTableNAm"/>
              <w:jc w:val="center"/>
              <w:rPr>
                <w:i/>
                <w:iCs/>
                <w:sz w:val="18"/>
                <w:szCs w:val="16"/>
              </w:rPr>
            </w:pPr>
            <w:r>
              <w:rPr>
                <w:i/>
                <w:iCs/>
                <w:sz w:val="18"/>
                <w:szCs w:val="16"/>
              </w:rPr>
              <w:t>Internet: www.demirs.wa.gov.au</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jc w:val="center"/>
              <w:rPr>
                <w:b/>
                <w:bCs/>
                <w:snapToGrid w:val="0"/>
                <w:sz w:val="20"/>
                <w:szCs w:val="18"/>
              </w:rPr>
            </w:pPr>
            <w:r>
              <w:rPr>
                <w:b/>
                <w:bCs/>
                <w:snapToGrid w:val="0"/>
                <w:sz w:val="20"/>
                <w:szCs w:val="18"/>
              </w:rPr>
              <w:t>ALWAYS CONTACT THE DEALER FIRST TO DISCUSS WARRANTY REPAIRS</w:t>
            </w:r>
          </w:p>
          <w:p>
            <w:pPr>
              <w:pStyle w:val="yTableNAm"/>
              <w:jc w:val="center"/>
              <w:rPr>
                <w:rStyle w:val="DraftersNotes"/>
              </w:rPr>
            </w:pPr>
            <w:r>
              <w:rPr>
                <w:snapToGrid w:val="0"/>
                <w:sz w:val="20"/>
                <w:szCs w:val="18"/>
              </w:rPr>
              <w:t>Please see reverse for a “Quick Guide to Warranty Items”</w:t>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jc w:val="center"/>
              <w:rPr>
                <w:i/>
                <w:iCs/>
                <w:snapToGrid w:val="0"/>
                <w:sz w:val="18"/>
                <w:szCs w:val="16"/>
              </w:rPr>
            </w:pPr>
            <w:r>
              <w:rPr>
                <w:i/>
                <w:iCs/>
                <w:snapToGrid w:val="0"/>
                <w:sz w:val="18"/>
                <w:szCs w:val="16"/>
              </w:rPr>
              <w:t>(reverse — for cars)</w:t>
            </w:r>
          </w:p>
          <w:p>
            <w:pPr>
              <w:pStyle w:val="yTableNAm"/>
              <w:jc w:val="center"/>
              <w:rPr>
                <w:b/>
                <w:snapToGrid w:val="0"/>
              </w:rPr>
            </w:pPr>
            <w:r>
              <w:rPr>
                <w:noProof/>
              </w:rPr>
              <w:drawing>
                <wp:inline distT="0" distB="0" distL="0" distR="0">
                  <wp:extent cx="4130040" cy="2687955"/>
                  <wp:effectExtent l="0" t="0" r="3810" b="0"/>
                  <wp:docPr id="5" name="Picture 5" descr="MT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RS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30040" cy="268795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tblBorders>
        </w:tblPrEx>
        <w:trPr>
          <w:trHeight w:val="189"/>
        </w:trPr>
        <w:tc>
          <w:tcPr>
            <w:tcW w:w="6521" w:type="dxa"/>
            <w:noWrap/>
          </w:tcPr>
          <w:p>
            <w:pPr>
              <w:pStyle w:val="yTableNAm"/>
              <w:keepNext/>
              <w:jc w:val="center"/>
              <w:rPr>
                <w:i/>
                <w:iCs/>
                <w:snapToGrid w:val="0"/>
                <w:sz w:val="18"/>
                <w:szCs w:val="16"/>
              </w:rPr>
            </w:pPr>
            <w:r>
              <w:rPr>
                <w:i/>
                <w:iCs/>
                <w:snapToGrid w:val="0"/>
                <w:sz w:val="18"/>
                <w:szCs w:val="16"/>
              </w:rPr>
              <w:lastRenderedPageBreak/>
              <w:t>(reverse — for bikes)</w:t>
            </w:r>
          </w:p>
          <w:p>
            <w:pPr>
              <w:pStyle w:val="yTableNAm"/>
              <w:keepNext/>
              <w:jc w:val="center"/>
            </w:pPr>
            <w:r>
              <w:rPr>
                <w:noProof/>
              </w:rPr>
              <w:drawing>
                <wp:inline distT="0" distB="0" distL="0" distR="0">
                  <wp:extent cx="3424555" cy="2552700"/>
                  <wp:effectExtent l="0" t="0" r="4445" b="0"/>
                  <wp:docPr id="6" name="Picture 6" descr="mt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rs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24555" cy="2552700"/>
                          </a:xfrm>
                          <a:prstGeom prst="rect">
                            <a:avLst/>
                          </a:prstGeom>
                          <a:noFill/>
                          <a:ln>
                            <a:noFill/>
                          </a:ln>
                        </pic:spPr>
                      </pic:pic>
                    </a:graphicData>
                  </a:graphic>
                </wp:inline>
              </w:drawing>
            </w:r>
          </w:p>
        </w:tc>
      </w:tr>
    </w:tbl>
    <w:p>
      <w:pPr>
        <w:pStyle w:val="yFootnotesection"/>
      </w:pPr>
      <w:r>
        <w:tab/>
        <w:t>[Form 5A inserted: SL 2024/33 r. 9.]</w:t>
      </w:r>
    </w:p>
    <w:p>
      <w:pPr>
        <w:pStyle w:val="yHeading3"/>
        <w:pageBreakBefore/>
      </w:pPr>
      <w:bookmarkStart w:id="94" w:name="_Toc168386272"/>
      <w:bookmarkStart w:id="95" w:name="_Toc168391376"/>
      <w:bookmarkStart w:id="96" w:name="_Toc168391486"/>
      <w:bookmarkStart w:id="97" w:name="_Toc168393100"/>
      <w:r>
        <w:lastRenderedPageBreak/>
        <w:t>Form 6</w:t>
      </w:r>
      <w:r>
        <w:rPr>
          <w:b w:val="0"/>
        </w:rPr>
        <w:t> — </w:t>
      </w:r>
      <w:r>
        <w:rPr>
          <w:bCs/>
        </w:rPr>
        <w:t>Information statement — no statutory</w:t>
      </w:r>
      <w:r>
        <w:t xml:space="preserve"> warranty</w:t>
      </w:r>
      <w:bookmarkEnd w:id="94"/>
      <w:bookmarkEnd w:id="95"/>
      <w:bookmarkEnd w:id="96"/>
      <w:bookmarkEnd w:id="97"/>
    </w:p>
    <w:p>
      <w:pPr>
        <w:pStyle w:val="yShoulderClause"/>
      </w:pPr>
      <w:r>
        <w:t>[r. 7]</w:t>
      </w:r>
    </w:p>
    <w:tbl>
      <w:tblPr>
        <w:tblW w:w="6521"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9"/>
        <w:gridCol w:w="5812"/>
      </w:tblGrid>
      <w:tr>
        <w:trPr>
          <w:cantSplit/>
          <w:trHeight w:val="189"/>
        </w:trPr>
        <w:tc>
          <w:tcPr>
            <w:tcW w:w="6521" w:type="dxa"/>
            <w:gridSpan w:val="2"/>
            <w:tcBorders>
              <w:top w:val="nil"/>
              <w:left w:val="nil"/>
              <w:bottom w:val="single" w:sz="4" w:space="0" w:color="auto"/>
              <w:right w:val="nil"/>
            </w:tcBorders>
          </w:tcPr>
          <w:p>
            <w:pPr>
              <w:pStyle w:val="yMiscellaneousHeading"/>
              <w:keepNext w:val="0"/>
              <w:tabs>
                <w:tab w:val="left" w:pos="2410"/>
              </w:tabs>
              <w:spacing w:before="120"/>
            </w:pPr>
            <w:r>
              <w:rPr>
                <w:snapToGrid w:val="0"/>
              </w:rPr>
              <w:t>WESTERN</w:t>
            </w:r>
            <w:r>
              <w:t xml:space="preserve"> AUSTRALIA</w:t>
            </w:r>
          </w:p>
          <w:p>
            <w:pPr>
              <w:pStyle w:val="yMiscellaneousHeading"/>
              <w:spacing w:before="60"/>
              <w:rPr>
                <w:iCs/>
              </w:rPr>
            </w:pPr>
            <w:r>
              <w:rPr>
                <w:i/>
              </w:rPr>
              <w:t>Motor Vehicle Dealers Act 1973</w:t>
            </w:r>
            <w:r>
              <w:rPr>
                <w:iCs/>
              </w:rPr>
              <w:t xml:space="preserve"> </w:t>
            </w:r>
            <w:r>
              <w:rPr>
                <w:szCs w:val="18"/>
              </w:rPr>
              <w:t>section 56</w:t>
            </w:r>
          </w:p>
          <w:p>
            <w:pPr>
              <w:pStyle w:val="yMiscellaneousHeading"/>
              <w:spacing w:before="60"/>
            </w:pPr>
            <w:r>
              <w:rPr>
                <w:i/>
              </w:rPr>
              <w:t xml:space="preserve">Motor Vehicle </w:t>
            </w:r>
            <w:r>
              <w:rPr>
                <w:i/>
                <w:snapToGrid w:val="0"/>
              </w:rPr>
              <w:t>Dealers</w:t>
            </w:r>
            <w:r>
              <w:rPr>
                <w:i/>
              </w:rPr>
              <w:t xml:space="preserve"> (Sales) Regulations 1974</w:t>
            </w:r>
            <w:r>
              <w:t xml:space="preserve"> regulation 7</w:t>
            </w:r>
          </w:p>
        </w:tc>
      </w:tr>
      <w:tr>
        <w:trPr>
          <w:trHeight w:val="189"/>
        </w:trPr>
        <w:tc>
          <w:tcPr>
            <w:tcW w:w="6521" w:type="dxa"/>
            <w:gridSpan w:val="2"/>
            <w:tcBorders>
              <w:top w:val="single" w:sz="4" w:space="0" w:color="auto"/>
              <w:left w:val="nil"/>
              <w:bottom w:val="nil"/>
              <w:right w:val="nil"/>
            </w:tcBorders>
          </w:tcPr>
          <w:p>
            <w:pPr>
              <w:pStyle w:val="yMiscellaneousHeading"/>
              <w:rPr>
                <w:b/>
                <w:snapToGrid w:val="0"/>
                <w:sz w:val="18"/>
              </w:rPr>
            </w:pPr>
            <w:r>
              <w:rPr>
                <w:b/>
                <w:snapToGrid w:val="0"/>
                <w:sz w:val="18"/>
              </w:rPr>
              <w:t>STATUTORY WARRANTY</w:t>
            </w:r>
          </w:p>
          <w:p>
            <w:pPr>
              <w:pStyle w:val="yMiscellaneousBody"/>
              <w:rPr>
                <w:snapToGrid w:val="0"/>
                <w:sz w:val="18"/>
              </w:rPr>
            </w:pPr>
            <w:r>
              <w:rPr>
                <w:snapToGrid w:val="0"/>
                <w:sz w:val="18"/>
              </w:rPr>
              <w:t xml:space="preserve">This vehicle is not covered by the terms of the statutory warranty under </w:t>
            </w:r>
            <w:r>
              <w:rPr>
                <w:sz w:val="18"/>
                <w:szCs w:val="14"/>
              </w:rPr>
              <w:t>section 34</w:t>
            </w:r>
            <w:r>
              <w:rPr>
                <w:snapToGrid w:val="0"/>
                <w:sz w:val="18"/>
              </w:rPr>
              <w:t xml:space="preserve"> of the </w:t>
            </w:r>
            <w:r>
              <w:rPr>
                <w:i/>
                <w:snapToGrid w:val="0"/>
                <w:sz w:val="18"/>
              </w:rPr>
              <w:t>Motor Vehicle Dealers Act 1973</w:t>
            </w:r>
            <w:r>
              <w:rPr>
                <w:snapToGrid w:val="0"/>
                <w:sz w:val="18"/>
              </w:rPr>
              <w:t>.  This is because —</w:t>
            </w:r>
          </w:p>
          <w:p>
            <w:pPr>
              <w:pStyle w:val="yMiscellaneousBody"/>
              <w:numPr>
                <w:ilvl w:val="0"/>
                <w:numId w:val="2"/>
              </w:numPr>
              <w:spacing w:before="60"/>
              <w:rPr>
                <w:snapToGrid w:val="0"/>
                <w:sz w:val="18"/>
              </w:rPr>
            </w:pPr>
            <w:r>
              <w:rPr>
                <w:snapToGrid w:val="0"/>
                <w:sz w:val="18"/>
              </w:rPr>
              <w:t>the cash price (inc. GST) paid in the case of a motor cycle is less than $3 500 or in the case of any other vehicle is less than $4 000; or</w:t>
            </w:r>
          </w:p>
          <w:p>
            <w:pPr>
              <w:pStyle w:val="yMiscellaneousBody"/>
              <w:numPr>
                <w:ilvl w:val="0"/>
                <w:numId w:val="2"/>
              </w:numPr>
              <w:spacing w:before="0"/>
              <w:rPr>
                <w:snapToGrid w:val="0"/>
                <w:sz w:val="18"/>
              </w:rPr>
            </w:pPr>
            <w:r>
              <w:rPr>
                <w:snapToGrid w:val="0"/>
                <w:sz w:val="18"/>
              </w:rPr>
              <w:t>in the case of a motor cycle it is more than 8 years old or has been driven more than 80 000 km or in the case of any other vehicle it is more than 12 years old or has been driven more than 180 000 km; or</w:t>
            </w:r>
          </w:p>
          <w:p>
            <w:pPr>
              <w:pStyle w:val="yMiscellaneousBody"/>
              <w:numPr>
                <w:ilvl w:val="0"/>
                <w:numId w:val="2"/>
              </w:numPr>
              <w:spacing w:before="0"/>
              <w:rPr>
                <w:snapToGrid w:val="0"/>
                <w:sz w:val="18"/>
              </w:rPr>
            </w:pPr>
            <w:r>
              <w:rPr>
                <w:snapToGrid w:val="0"/>
                <w:sz w:val="18"/>
              </w:rPr>
              <w:t>the vehicle was sold at auction on behalf of a member of the public; or</w:t>
            </w:r>
          </w:p>
          <w:p>
            <w:pPr>
              <w:pStyle w:val="yMiscellaneousBody"/>
              <w:numPr>
                <w:ilvl w:val="0"/>
                <w:numId w:val="2"/>
              </w:numPr>
              <w:spacing w:before="0"/>
              <w:rPr>
                <w:sz w:val="20"/>
              </w:rPr>
            </w:pPr>
            <w:r>
              <w:rPr>
                <w:snapToGrid w:val="0"/>
                <w:sz w:val="18"/>
              </w:rPr>
              <w:t xml:space="preserve">the vehicle is excluded from the statutory warranty under the </w:t>
            </w:r>
            <w:r>
              <w:rPr>
                <w:i/>
                <w:snapToGrid w:val="0"/>
                <w:sz w:val="18"/>
              </w:rPr>
              <w:t>Motor Vehicle Dealers Act 1973</w:t>
            </w:r>
            <w:r>
              <w:rPr>
                <w:snapToGrid w:val="0"/>
                <w:sz w:val="18"/>
              </w:rPr>
              <w:t>.</w:t>
            </w:r>
          </w:p>
        </w:tc>
      </w:tr>
      <w:tr>
        <w:trPr>
          <w:cantSplit/>
          <w:trHeight w:val="189"/>
        </w:trPr>
        <w:tc>
          <w:tcPr>
            <w:tcW w:w="6521" w:type="dxa"/>
            <w:gridSpan w:val="2"/>
            <w:tcBorders>
              <w:top w:val="nil"/>
              <w:left w:val="nil"/>
              <w:bottom w:val="nil"/>
              <w:right w:val="nil"/>
            </w:tcBorders>
          </w:tcPr>
          <w:p>
            <w:pPr>
              <w:pStyle w:val="yTable"/>
              <w:rPr>
                <w:i/>
                <w:sz w:val="16"/>
              </w:rPr>
            </w:pPr>
            <w:r>
              <w:rPr>
                <w:snapToGrid w:val="0"/>
                <w:sz w:val="18"/>
              </w:rPr>
              <w:t>The following vehicles are excluded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09" w:type="dxa"/>
          </w:tcPr>
          <w:p>
            <w:pPr>
              <w:pStyle w:val="yTable"/>
              <w:rPr>
                <w:sz w:val="18"/>
              </w:rPr>
            </w:pPr>
            <w:r>
              <w:rPr>
                <w:sz w:val="18"/>
              </w:rPr>
              <w:t>1.</w:t>
            </w:r>
          </w:p>
        </w:tc>
        <w:tc>
          <w:tcPr>
            <w:tcW w:w="5812" w:type="dxa"/>
          </w:tcPr>
          <w:p>
            <w:pPr>
              <w:pStyle w:val="yTable"/>
              <w:rPr>
                <w:sz w:val="18"/>
              </w:rPr>
            </w:pPr>
            <w:r>
              <w:rPr>
                <w:sz w:val="18"/>
              </w:rPr>
              <w:t>A caravan built to be towed by a motor vehicle.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09" w:type="dxa"/>
          </w:tcPr>
          <w:p>
            <w:pPr>
              <w:pStyle w:val="yTable"/>
              <w:rPr>
                <w:sz w:val="18"/>
              </w:rPr>
            </w:pPr>
            <w:r>
              <w:rPr>
                <w:sz w:val="18"/>
              </w:rPr>
              <w:t>2.</w:t>
            </w:r>
          </w:p>
        </w:tc>
        <w:tc>
          <w:tcPr>
            <w:tcW w:w="5812" w:type="dxa"/>
          </w:tcPr>
          <w:p>
            <w:pPr>
              <w:pStyle w:val="yTable"/>
              <w:rPr>
                <w:sz w:val="18"/>
              </w:rPr>
            </w:pPr>
            <w:r>
              <w:rPr>
                <w:sz w:val="18"/>
              </w:rPr>
              <w:t>A motor cycle —</w:t>
            </w:r>
          </w:p>
          <w:p>
            <w:pPr>
              <w:pStyle w:val="yTable"/>
              <w:tabs>
                <w:tab w:val="left" w:pos="459"/>
              </w:tabs>
              <w:ind w:left="459" w:hanging="459"/>
              <w:rPr>
                <w:sz w:val="18"/>
              </w:rPr>
            </w:pPr>
            <w:r>
              <w:rPr>
                <w:sz w:val="18"/>
              </w:rPr>
              <w:t>(a)</w:t>
            </w:r>
            <w:r>
              <w:rPr>
                <w:sz w:val="18"/>
              </w:rPr>
              <w:tab/>
              <w:t>built for off</w:t>
            </w:r>
            <w:r>
              <w:rPr>
                <w:sz w:val="18"/>
              </w:rPr>
              <w:noBreakHyphen/>
              <w:t>road use; and</w:t>
            </w:r>
          </w:p>
          <w:p>
            <w:pPr>
              <w:pStyle w:val="yTable"/>
              <w:tabs>
                <w:tab w:val="left" w:pos="459"/>
              </w:tabs>
              <w:ind w:left="459" w:hanging="459"/>
              <w:rPr>
                <w:sz w:val="18"/>
              </w:rPr>
            </w:pPr>
            <w:r>
              <w:rPr>
                <w:sz w:val="18"/>
              </w:rPr>
              <w:t>(b)</w:t>
            </w:r>
            <w:r>
              <w:rPr>
                <w:sz w:val="18"/>
              </w:rPr>
              <w:tab/>
              <w:t>not built to carry any passengers.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09" w:type="dxa"/>
          </w:tcPr>
          <w:p>
            <w:pPr>
              <w:pStyle w:val="yTable"/>
              <w:rPr>
                <w:sz w:val="18"/>
              </w:rPr>
            </w:pPr>
            <w:r>
              <w:rPr>
                <w:sz w:val="18"/>
              </w:rPr>
              <w:t>3.</w:t>
            </w:r>
          </w:p>
        </w:tc>
        <w:tc>
          <w:tcPr>
            <w:tcW w:w="5812" w:type="dxa"/>
          </w:tcPr>
          <w:p>
            <w:pPr>
              <w:pStyle w:val="yTable"/>
              <w:tabs>
                <w:tab w:val="left" w:pos="459"/>
              </w:tabs>
              <w:rPr>
                <w:sz w:val="18"/>
              </w:rPr>
            </w:pPr>
            <w:r>
              <w:rPr>
                <w:sz w:val="18"/>
              </w:rPr>
              <w:t>A motor vehicle —</w:t>
            </w:r>
          </w:p>
          <w:p>
            <w:pPr>
              <w:pStyle w:val="yTable"/>
              <w:tabs>
                <w:tab w:val="left" w:pos="459"/>
              </w:tabs>
              <w:ind w:left="459" w:hanging="459"/>
              <w:rPr>
                <w:sz w:val="18"/>
              </w:rPr>
            </w:pPr>
            <w:r>
              <w:rPr>
                <w:sz w:val="18"/>
              </w:rPr>
              <w:t>(a)</w:t>
            </w:r>
            <w:r>
              <w:rPr>
                <w:sz w:val="18"/>
              </w:rPr>
              <w:tab/>
              <w:t>built to be used primarily to carry goods or materials used in any trade, business or industry; and</w:t>
            </w:r>
          </w:p>
          <w:p>
            <w:pPr>
              <w:pStyle w:val="yTable"/>
              <w:tabs>
                <w:tab w:val="left" w:pos="459"/>
              </w:tabs>
              <w:rPr>
                <w:sz w:val="18"/>
              </w:rPr>
            </w:pPr>
            <w:r>
              <w:rPr>
                <w:sz w:val="18"/>
              </w:rPr>
              <w:t>(b)</w:t>
            </w:r>
            <w:r>
              <w:rPr>
                <w:sz w:val="18"/>
              </w:rPr>
              <w:tab/>
              <w:t>having only one row of seats.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09" w:type="dxa"/>
          </w:tcPr>
          <w:p>
            <w:pPr>
              <w:pStyle w:val="yTable"/>
              <w:rPr>
                <w:sz w:val="18"/>
              </w:rPr>
            </w:pPr>
            <w:r>
              <w:rPr>
                <w:sz w:val="18"/>
              </w:rPr>
              <w:t>4.</w:t>
            </w:r>
          </w:p>
        </w:tc>
        <w:tc>
          <w:tcPr>
            <w:tcW w:w="5812" w:type="dxa"/>
          </w:tcPr>
          <w:p>
            <w:pPr>
              <w:pStyle w:val="yTable"/>
              <w:rPr>
                <w:sz w:val="18"/>
              </w:rPr>
            </w:pPr>
            <w:r>
              <w:rPr>
                <w:sz w:val="18"/>
              </w:rPr>
              <w:t>A motor vehicle —</w:t>
            </w:r>
          </w:p>
          <w:p>
            <w:pPr>
              <w:pStyle w:val="yTable"/>
              <w:tabs>
                <w:tab w:val="left" w:pos="459"/>
              </w:tabs>
              <w:ind w:left="459" w:hanging="459"/>
              <w:rPr>
                <w:sz w:val="18"/>
              </w:rPr>
            </w:pPr>
            <w:r>
              <w:rPr>
                <w:sz w:val="18"/>
              </w:rPr>
              <w:t>(a)</w:t>
            </w:r>
            <w:r>
              <w:rPr>
                <w:sz w:val="18"/>
              </w:rPr>
              <w:tab/>
              <w:t>built to be used primarily to carry people; and</w:t>
            </w:r>
          </w:p>
          <w:p>
            <w:pPr>
              <w:pStyle w:val="yTable"/>
              <w:tabs>
                <w:tab w:val="left" w:pos="459"/>
              </w:tabs>
              <w:ind w:left="459" w:hanging="459"/>
              <w:rPr>
                <w:sz w:val="18"/>
              </w:rPr>
            </w:pPr>
            <w:r>
              <w:rPr>
                <w:sz w:val="18"/>
              </w:rPr>
              <w:t>(b)</w:t>
            </w:r>
            <w:r>
              <w:rPr>
                <w:sz w:val="18"/>
              </w:rPr>
              <w:tab/>
              <w:t>that seats more than 9 adults (including the driver).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709" w:type="dxa"/>
          </w:tcPr>
          <w:p>
            <w:pPr>
              <w:pStyle w:val="yTable"/>
              <w:rPr>
                <w:sz w:val="18"/>
              </w:rPr>
            </w:pPr>
            <w:r>
              <w:rPr>
                <w:sz w:val="18"/>
              </w:rPr>
              <w:t>5.</w:t>
            </w:r>
          </w:p>
        </w:tc>
        <w:tc>
          <w:tcPr>
            <w:tcW w:w="5812" w:type="dxa"/>
          </w:tcPr>
          <w:p>
            <w:pPr>
              <w:pStyle w:val="yTable"/>
              <w:rPr>
                <w:sz w:val="18"/>
              </w:rPr>
            </w:pPr>
            <w:r>
              <w:rPr>
                <w:sz w:val="18"/>
              </w:rPr>
              <w:t>A multi</w:t>
            </w:r>
            <w:r>
              <w:rPr>
                <w:sz w:val="18"/>
              </w:rPr>
              <w:noBreakHyphen/>
              <w:t>wheeled open motor vehicle the driver of which sits astride the vehicle or part of the vehicle in a manner similar to that customary for the driver of a motor cycle.</w:t>
            </w:r>
          </w:p>
        </w:tc>
      </w:tr>
      <w:tr>
        <w:trPr>
          <w:cantSplit/>
          <w:trHeight w:val="189"/>
        </w:trPr>
        <w:tc>
          <w:tcPr>
            <w:tcW w:w="6521" w:type="dxa"/>
            <w:gridSpan w:val="2"/>
            <w:tcBorders>
              <w:top w:val="nil"/>
              <w:left w:val="nil"/>
              <w:bottom w:val="nil"/>
              <w:right w:val="nil"/>
            </w:tcBorders>
          </w:tcPr>
          <w:p>
            <w:pPr>
              <w:pStyle w:val="yMiscellaneousBody"/>
              <w:rPr>
                <w:b/>
                <w:snapToGrid w:val="0"/>
                <w:sz w:val="18"/>
              </w:rPr>
            </w:pPr>
            <w:r>
              <w:rPr>
                <w:b/>
                <w:bCs/>
                <w:sz w:val="18"/>
              </w:rPr>
              <w:lastRenderedPageBreak/>
              <w:t>WARRANTIES UNDER FAIR TRADING AND COMPETITION AND CONSUMER LAWS</w:t>
            </w:r>
          </w:p>
          <w:p>
            <w:pPr>
              <w:pStyle w:val="yMiscellaneousBody"/>
              <w:spacing w:before="60"/>
              <w:rPr>
                <w:snapToGrid w:val="0"/>
                <w:sz w:val="18"/>
              </w:rPr>
            </w:pPr>
            <w:r>
              <w:rPr>
                <w:snapToGrid w:val="0"/>
                <w:sz w:val="18"/>
              </w:rPr>
              <w:t xml:space="preserve">The </w:t>
            </w:r>
            <w:r>
              <w:rPr>
                <w:i/>
                <w:iCs/>
                <w:sz w:val="18"/>
              </w:rPr>
              <w:t xml:space="preserve">Fair Trading Act 2010 </w:t>
            </w:r>
            <w:r>
              <w:rPr>
                <w:snapToGrid w:val="0"/>
                <w:sz w:val="18"/>
              </w:rPr>
              <w:t xml:space="preserve">and </w:t>
            </w:r>
            <w:r>
              <w:rPr>
                <w:i/>
                <w:sz w:val="18"/>
              </w:rPr>
              <w:t>Competition and Consumer Act 2010</w:t>
            </w:r>
            <w:r>
              <w:rPr>
                <w:sz w:val="18"/>
              </w:rPr>
              <w:t xml:space="preserve"> (Cwlth) </w:t>
            </w:r>
            <w:r>
              <w:rPr>
                <w:snapToGrid w:val="0"/>
                <w:sz w:val="18"/>
              </w:rPr>
              <w:t>require the dealer selling this vehicle to ensure that the vehicle matches any description given and that it is of “merchantable quality”.  This means that it must be fit for the purpose for which a vehicle of that nature is normally used.  The amount of money you have paid for the vehicle is taken into account when determining merchantable quality.</w:t>
            </w:r>
          </w:p>
          <w:p>
            <w:pPr>
              <w:pStyle w:val="yMiscellaneousBody"/>
              <w:spacing w:before="60"/>
              <w:rPr>
                <w:sz w:val="20"/>
              </w:rPr>
            </w:pPr>
            <w:r>
              <w:rPr>
                <w:snapToGrid w:val="0"/>
                <w:sz w:val="18"/>
              </w:rPr>
              <w:t xml:space="preserve">For example, even though a vehicle is not covered by the statutory warranty under the </w:t>
            </w:r>
            <w:r>
              <w:rPr>
                <w:i/>
                <w:snapToGrid w:val="0"/>
                <w:sz w:val="18"/>
              </w:rPr>
              <w:t>Motor Vehicle Dealers Act 1973</w:t>
            </w:r>
            <w:r>
              <w:rPr>
                <w:snapToGrid w:val="0"/>
                <w:sz w:val="18"/>
              </w:rPr>
              <w:t>, you are entitled to expect the dealer to repair any major defects that were present at the time of sale which prevent the vehicle from being used in the normal way.  This also applies to anything that makes the vehicle unsafe to drive (eg. faulty brakes, faulty steering or major structural rust).</w:t>
            </w:r>
          </w:p>
        </w:tc>
      </w:tr>
      <w:tr>
        <w:trPr>
          <w:trHeight w:val="189"/>
        </w:trPr>
        <w:tc>
          <w:tcPr>
            <w:tcW w:w="6521" w:type="dxa"/>
            <w:gridSpan w:val="2"/>
            <w:tcBorders>
              <w:top w:val="nil"/>
              <w:left w:val="nil"/>
              <w:bottom w:val="nil"/>
              <w:right w:val="nil"/>
            </w:tcBorders>
          </w:tcPr>
          <w:p>
            <w:pPr>
              <w:pStyle w:val="yMiscellaneousBody"/>
              <w:spacing w:before="60"/>
              <w:rPr>
                <w:snapToGrid w:val="0"/>
                <w:sz w:val="18"/>
              </w:rPr>
            </w:pPr>
            <w:r>
              <w:rPr>
                <w:snapToGrid w:val="0"/>
                <w:sz w:val="18"/>
              </w:rPr>
              <w:t>The requirement of merchantable quality does not apply —</w:t>
            </w:r>
          </w:p>
          <w:p>
            <w:pPr>
              <w:pStyle w:val="yMiscellaneousBody"/>
              <w:numPr>
                <w:ilvl w:val="0"/>
                <w:numId w:val="1"/>
              </w:numPr>
              <w:tabs>
                <w:tab w:val="num" w:pos="1446"/>
              </w:tabs>
              <w:spacing w:before="0"/>
              <w:rPr>
                <w:snapToGrid w:val="0"/>
                <w:sz w:val="18"/>
              </w:rPr>
            </w:pPr>
            <w:r>
              <w:rPr>
                <w:snapToGrid w:val="0"/>
                <w:sz w:val="18"/>
              </w:rPr>
              <w:t>to defects specifically drawn to your attention before the contract of sale is made; or</w:t>
            </w:r>
          </w:p>
          <w:p>
            <w:pPr>
              <w:pStyle w:val="yMiscellaneousBody"/>
              <w:numPr>
                <w:ilvl w:val="0"/>
                <w:numId w:val="1"/>
              </w:numPr>
              <w:tabs>
                <w:tab w:val="num" w:pos="1446"/>
              </w:tabs>
              <w:spacing w:before="0"/>
              <w:rPr>
                <w:snapToGrid w:val="0"/>
                <w:sz w:val="18"/>
              </w:rPr>
            </w:pPr>
            <w:r>
              <w:rPr>
                <w:snapToGrid w:val="0"/>
                <w:sz w:val="18"/>
              </w:rPr>
              <w:t>if you examine the vehicle for defects before the contract is made, to defects that examination should have revealed.</w:t>
            </w:r>
          </w:p>
          <w:p>
            <w:pPr>
              <w:pStyle w:val="yMiscellaneousBody"/>
              <w:rPr>
                <w:snapToGrid w:val="0"/>
                <w:sz w:val="18"/>
              </w:rPr>
            </w:pPr>
            <w:r>
              <w:rPr>
                <w:snapToGrid w:val="0"/>
                <w:sz w:val="18"/>
              </w:rPr>
              <w:t>The Australian Consumer Law also requires a warranty against defects that includes the following text: “Our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pPr>
              <w:pStyle w:val="yMiscellaneousBody"/>
              <w:keepNext/>
              <w:rPr>
                <w:snapToGrid w:val="0"/>
                <w:sz w:val="18"/>
              </w:rPr>
            </w:pPr>
            <w:r>
              <w:rPr>
                <w:b/>
                <w:snapToGrid w:val="0"/>
                <w:sz w:val="18"/>
              </w:rPr>
              <w:t>VEHICLES BOUGHT AT AUCTION</w:t>
            </w:r>
          </w:p>
          <w:p>
            <w:pPr>
              <w:pStyle w:val="yMiscellaneousBody"/>
              <w:spacing w:before="60"/>
              <w:rPr>
                <w:snapToGrid w:val="0"/>
                <w:sz w:val="18"/>
              </w:rPr>
            </w:pPr>
            <w:r>
              <w:rPr>
                <w:snapToGrid w:val="0"/>
                <w:sz w:val="18"/>
              </w:rPr>
              <w:t>Vehicles purchased at auction do not carry a “statutory warranty” if they are being auctioned on behalf of a member of the public.</w:t>
            </w:r>
          </w:p>
          <w:p>
            <w:pPr>
              <w:pStyle w:val="yMiscellaneousHeading"/>
              <w:spacing w:after="60"/>
              <w:jc w:val="left"/>
              <w:rPr>
                <w:b/>
                <w:bCs/>
                <w:sz w:val="18"/>
                <w:szCs w:val="18"/>
              </w:rPr>
            </w:pPr>
            <w:r>
              <w:rPr>
                <w:b/>
                <w:bCs/>
                <w:sz w:val="18"/>
                <w:szCs w:val="18"/>
              </w:rPr>
              <w:t>MORE INFORMATION</w:t>
            </w:r>
          </w:p>
          <w:p>
            <w:pPr>
              <w:pStyle w:val="yMiscellaneousBody"/>
              <w:spacing w:before="60"/>
              <w:ind w:left="28"/>
              <w:rPr>
                <w:snapToGrid w:val="0"/>
                <w:sz w:val="18"/>
                <w:szCs w:val="18"/>
              </w:rPr>
            </w:pPr>
            <w:r>
              <w:rPr>
                <w:snapToGrid w:val="0"/>
                <w:sz w:val="18"/>
                <w:szCs w:val="18"/>
              </w:rPr>
              <w:t>If you have any questions or require further information about warranties or this notice, contact the Consumer Protection Call Centre on 1300 304 054 (Mon to Fri). TTY 13 36 77 (hearing impaired). 13 14 50 (interpreter service).</w:t>
            </w:r>
          </w:p>
          <w:p>
            <w:pPr>
              <w:pStyle w:val="yMiscellaneousBody"/>
              <w:jc w:val="center"/>
              <w:rPr>
                <w:b/>
                <w:snapToGrid w:val="0"/>
              </w:rPr>
            </w:pPr>
            <w:r>
              <w:rPr>
                <w:i/>
                <w:iCs/>
                <w:sz w:val="18"/>
                <w:szCs w:val="18"/>
              </w:rPr>
              <w:t>Internet: www.demirs.wa.gov.au</w:t>
            </w:r>
          </w:p>
        </w:tc>
      </w:tr>
    </w:tbl>
    <w:p>
      <w:pPr>
        <w:pStyle w:val="yFootnotesection"/>
      </w:pPr>
      <w:r>
        <w:tab/>
        <w:t>[Form 6 inserted: Gazette 17 Nov 2006 p. 4757</w:t>
      </w:r>
      <w:r>
        <w:noBreakHyphen/>
        <w:t>8; amended: Gazette 30 Jun 2011 p. 2660; 8 Jan 2015 p. 89; SL 2021/164 r. 19; SL 2024/33 r. 10.]</w:t>
      </w:r>
    </w:p>
    <w:p>
      <w:pPr>
        <w:pStyle w:val="yEdnoteschedule"/>
      </w:pPr>
      <w:r>
        <w:t>[Schedules 2 and 3 deleted: SL 2021/164 r. 20.]</w:t>
      </w:r>
    </w:p>
    <w:p>
      <w:pPr>
        <w:pStyle w:val="yEdnoteschedule"/>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rPr>
          <w:snapToGrid/>
        </w:rPr>
      </w:pPr>
      <w:bookmarkStart w:id="99" w:name="_Toc168386273"/>
      <w:bookmarkStart w:id="100" w:name="_Toc168391377"/>
      <w:bookmarkStart w:id="101" w:name="_Toc168391487"/>
      <w:bookmarkStart w:id="102" w:name="_Toc168393101"/>
      <w:r>
        <w:rPr>
          <w:rStyle w:val="CharSchNo"/>
        </w:rPr>
        <w:lastRenderedPageBreak/>
        <w:t>Schedule 4</w:t>
      </w:r>
      <w:r>
        <w:t> — </w:t>
      </w:r>
      <w:r>
        <w:rPr>
          <w:rStyle w:val="CharSchText"/>
        </w:rPr>
        <w:t>Vehicle consignment contract</w:t>
      </w:r>
      <w:bookmarkEnd w:id="99"/>
      <w:bookmarkEnd w:id="100"/>
      <w:bookmarkEnd w:id="101"/>
      <w:bookmarkEnd w:id="102"/>
    </w:p>
    <w:p>
      <w:pPr>
        <w:pStyle w:val="yShoulderClause"/>
      </w:pPr>
      <w:r>
        <w:t>[r. 13A]</w:t>
      </w:r>
    </w:p>
    <w:p>
      <w:pPr>
        <w:pStyle w:val="yFootnoteheading"/>
      </w:pPr>
      <w:r>
        <w:rPr>
          <w:snapToGrid w:val="0"/>
        </w:rPr>
        <w:tab/>
        <w:t>[Heading inserted: Gazette 17 Nov 2006 p. 4759.]</w:t>
      </w:r>
    </w:p>
    <w:p>
      <w:pPr>
        <w:pStyle w:val="yMiscellaneousHeading"/>
        <w:rPr>
          <w:rFonts w:ascii="Arial" w:hAnsi="Arial" w:cs="Arial"/>
          <w:b/>
          <w:snapToGrid w:val="0"/>
        </w:rPr>
      </w:pPr>
      <w:r>
        <w:rPr>
          <w:rFonts w:ascii="Arial" w:hAnsi="Arial" w:cs="Arial"/>
          <w:b/>
          <w:snapToGrid w:val="0"/>
        </w:rPr>
        <w:t>VEHICLE CONSIGNMENT CONTRACT</w:t>
      </w:r>
    </w:p>
    <w:p>
      <w:pPr>
        <w:pStyle w:val="yMiscellaneousBody"/>
        <w:spacing w:before="60"/>
        <w:jc w:val="center"/>
        <w:rPr>
          <w:rFonts w:ascii="Arial" w:hAnsi="Arial" w:cs="Arial"/>
        </w:rPr>
      </w:pPr>
      <w:r>
        <w:rPr>
          <w:rFonts w:ascii="Arial" w:hAnsi="Arial" w:cs="Arial"/>
        </w:rPr>
        <w:t>TERMS AND CONDITIONS</w:t>
      </w:r>
    </w:p>
    <w:p>
      <w:pPr>
        <w:pStyle w:val="yMiscellaneousBody"/>
        <w:spacing w:before="60"/>
        <w:jc w:val="center"/>
        <w:rPr>
          <w:rFonts w:ascii="Arial" w:hAnsi="Arial" w:cs="Arial"/>
        </w:rPr>
      </w:pPr>
      <w:r>
        <w:rPr>
          <w:rFonts w:ascii="Arial" w:hAnsi="Arial" w:cs="Arial"/>
        </w:rPr>
        <w:t>(PLEASE READ CAREFULLY)</w:t>
      </w:r>
    </w:p>
    <w:p>
      <w:pPr>
        <w:pStyle w:val="yMiscellaneousHeading"/>
        <w:tabs>
          <w:tab w:val="left" w:pos="896"/>
        </w:tabs>
        <w:jc w:val="left"/>
        <w:rPr>
          <w:rFonts w:ascii="Arial" w:hAnsi="Arial" w:cs="Arial"/>
          <w:b/>
          <w:bCs/>
          <w:sz w:val="20"/>
        </w:rPr>
      </w:pPr>
      <w:r>
        <w:rPr>
          <w:rStyle w:val="CharSClsNo"/>
          <w:rFonts w:ascii="Arial" w:hAnsi="Arial" w:cs="Arial"/>
          <w:b/>
          <w:bCs/>
          <w:sz w:val="20"/>
        </w:rPr>
        <w:t>1</w:t>
      </w:r>
      <w:r>
        <w:rPr>
          <w:rFonts w:ascii="Arial" w:hAnsi="Arial" w:cs="Arial"/>
          <w:b/>
          <w:bCs/>
          <w:sz w:val="20"/>
        </w:rPr>
        <w:t>.</w:t>
      </w:r>
      <w:r>
        <w:rPr>
          <w:rFonts w:ascii="Arial" w:hAnsi="Arial" w:cs="Arial"/>
          <w:b/>
          <w:bCs/>
          <w:sz w:val="20"/>
        </w:rPr>
        <w:tab/>
        <w:t>FORMATION</w:t>
      </w:r>
    </w:p>
    <w:p>
      <w:pPr>
        <w:pStyle w:val="yMiscellaneousBody"/>
        <w:tabs>
          <w:tab w:val="right" w:pos="595"/>
          <w:tab w:val="left" w:pos="879"/>
        </w:tabs>
        <w:ind w:left="882" w:hanging="882"/>
        <w:rPr>
          <w:rFonts w:ascii="Arial" w:hAnsi="Arial" w:cs="Arial"/>
          <w:sz w:val="20"/>
        </w:rPr>
      </w:pPr>
      <w:r>
        <w:rPr>
          <w:rFonts w:ascii="Arial" w:hAnsi="Arial" w:cs="Arial"/>
          <w:sz w:val="20"/>
        </w:rPr>
        <w:tab/>
        <w:t>1.1</w:t>
      </w:r>
      <w:r>
        <w:rPr>
          <w:rFonts w:ascii="Arial" w:hAnsi="Arial" w:cs="Arial"/>
          <w:sz w:val="20"/>
        </w:rPr>
        <w:tab/>
        <w:t>The signing of this Contract by the Owner and the Dealer or a person authorised by the Dealer means an agreement has been made between the Owner and the Dealer for the Vehicle to be sold on the terms and conditions stated in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1.2</w:t>
      </w:r>
      <w:r>
        <w:rPr>
          <w:rFonts w:ascii="Arial" w:hAnsi="Arial" w:cs="Arial"/>
          <w:sz w:val="20"/>
        </w:rPr>
        <w:tab/>
        <w:t>No agreement is made unless the Owner is provided with a copy of this Contract at the time it is signed by the Owner and Dealer or a person authorised by the Dealer.</w:t>
      </w:r>
    </w:p>
    <w:p>
      <w:pPr>
        <w:pStyle w:val="yMiscellaneousBody"/>
        <w:tabs>
          <w:tab w:val="right" w:pos="595"/>
          <w:tab w:val="left" w:pos="879"/>
        </w:tabs>
        <w:ind w:left="882" w:hanging="882"/>
        <w:rPr>
          <w:rFonts w:ascii="Arial" w:hAnsi="Arial" w:cs="Arial"/>
          <w:sz w:val="20"/>
        </w:rPr>
      </w:pPr>
      <w:r>
        <w:rPr>
          <w:rFonts w:ascii="Arial" w:hAnsi="Arial" w:cs="Arial"/>
          <w:sz w:val="20"/>
        </w:rPr>
        <w:tab/>
        <w:t>1.3</w:t>
      </w:r>
      <w:r>
        <w:rPr>
          <w:rFonts w:ascii="Arial" w:hAnsi="Arial" w:cs="Arial"/>
          <w:sz w:val="20"/>
        </w:rPr>
        <w:tab/>
        <w:t>The Owner grants the Dealer exclusive right to sell the Vehicle for the period stated on the Contract.</w:t>
      </w:r>
    </w:p>
    <w:p>
      <w:pPr>
        <w:pStyle w:val="yMiscellaneousHeading"/>
        <w:tabs>
          <w:tab w:val="left" w:pos="896"/>
        </w:tabs>
        <w:jc w:val="left"/>
        <w:rPr>
          <w:rFonts w:ascii="Arial" w:hAnsi="Arial" w:cs="Arial"/>
          <w:b/>
          <w:bCs/>
          <w:sz w:val="20"/>
        </w:rPr>
      </w:pPr>
      <w:r>
        <w:rPr>
          <w:rStyle w:val="CharSClsNo"/>
          <w:rFonts w:ascii="Arial" w:hAnsi="Arial" w:cs="Arial"/>
          <w:b/>
          <w:bCs/>
          <w:sz w:val="20"/>
        </w:rPr>
        <w:t>2</w:t>
      </w:r>
      <w:r>
        <w:rPr>
          <w:rFonts w:ascii="Arial" w:hAnsi="Arial" w:cs="Arial"/>
          <w:b/>
          <w:bCs/>
          <w:sz w:val="20"/>
        </w:rPr>
        <w:t>.</w:t>
      </w:r>
      <w:r>
        <w:rPr>
          <w:rFonts w:ascii="Arial" w:hAnsi="Arial" w:cs="Arial"/>
          <w:b/>
          <w:bCs/>
          <w:sz w:val="20"/>
        </w:rPr>
        <w:tab/>
        <w:t>SALE PRICE</w:t>
      </w:r>
    </w:p>
    <w:p>
      <w:pPr>
        <w:pStyle w:val="yMiscellaneousBody"/>
        <w:tabs>
          <w:tab w:val="right" w:pos="595"/>
          <w:tab w:val="left" w:pos="879"/>
        </w:tabs>
        <w:ind w:left="882" w:hanging="882"/>
        <w:rPr>
          <w:rFonts w:ascii="Arial" w:hAnsi="Arial" w:cs="Arial"/>
          <w:sz w:val="20"/>
        </w:rPr>
      </w:pPr>
      <w:r>
        <w:rPr>
          <w:rFonts w:ascii="Arial" w:hAnsi="Arial" w:cs="Arial"/>
          <w:sz w:val="20"/>
        </w:rPr>
        <w:tab/>
        <w:t>2.1</w:t>
      </w:r>
      <w:r>
        <w:rPr>
          <w:rFonts w:ascii="Arial" w:hAnsi="Arial" w:cs="Arial"/>
          <w:sz w:val="20"/>
        </w:rPr>
        <w:tab/>
        <w:t>The Dealer may sell the Vehicle for more than the amount agreed to as the Minimum Sale Price for the Vehicle.  The Dealer will be entitled to retain any amount in excess of the Minimum Sale Price as Commission.</w:t>
      </w:r>
    </w:p>
    <w:p>
      <w:pPr>
        <w:pStyle w:val="yMiscellaneousHeading"/>
        <w:tabs>
          <w:tab w:val="left" w:pos="896"/>
        </w:tabs>
        <w:jc w:val="left"/>
        <w:rPr>
          <w:rFonts w:ascii="Arial" w:hAnsi="Arial" w:cs="Arial"/>
          <w:b/>
          <w:bCs/>
          <w:sz w:val="20"/>
        </w:rPr>
      </w:pPr>
      <w:r>
        <w:rPr>
          <w:rStyle w:val="CharSClsNo"/>
          <w:rFonts w:ascii="Arial" w:hAnsi="Arial" w:cs="Arial"/>
          <w:b/>
          <w:bCs/>
          <w:sz w:val="20"/>
        </w:rPr>
        <w:t>3</w:t>
      </w:r>
      <w:r>
        <w:rPr>
          <w:rFonts w:ascii="Arial" w:hAnsi="Arial" w:cs="Arial"/>
          <w:b/>
          <w:bCs/>
          <w:sz w:val="20"/>
        </w:rPr>
        <w:t>.</w:t>
      </w:r>
      <w:r>
        <w:rPr>
          <w:rFonts w:ascii="Arial" w:hAnsi="Arial" w:cs="Arial"/>
          <w:b/>
          <w:bCs/>
          <w:sz w:val="20"/>
        </w:rPr>
        <w:tab/>
        <w:t>SETTLEMENT</w:t>
      </w:r>
    </w:p>
    <w:p>
      <w:pPr>
        <w:pStyle w:val="yMiscellaneousBody"/>
        <w:tabs>
          <w:tab w:val="right" w:pos="595"/>
          <w:tab w:val="left" w:pos="879"/>
        </w:tabs>
        <w:ind w:left="882" w:hanging="882"/>
        <w:rPr>
          <w:rFonts w:ascii="Arial" w:hAnsi="Arial" w:cs="Arial"/>
          <w:sz w:val="20"/>
        </w:rPr>
      </w:pPr>
      <w:r>
        <w:rPr>
          <w:rFonts w:ascii="Arial" w:hAnsi="Arial" w:cs="Arial"/>
          <w:sz w:val="20"/>
        </w:rPr>
        <w:tab/>
        <w:t>3.1</w:t>
      </w:r>
      <w:r>
        <w:rPr>
          <w:rFonts w:ascii="Arial" w:hAnsi="Arial" w:cs="Arial"/>
          <w:sz w:val="20"/>
        </w:rPr>
        <w:tab/>
        <w:t>If the Dealer sells the Vehicle, the Dealer will pay any Total Net Proceeds to the Owner within two business days of receiving payment.</w:t>
      </w:r>
    </w:p>
    <w:p>
      <w:pPr>
        <w:pStyle w:val="yMiscellaneousBody"/>
        <w:tabs>
          <w:tab w:val="right" w:pos="595"/>
          <w:tab w:val="left" w:pos="879"/>
        </w:tabs>
        <w:ind w:left="882" w:hanging="882"/>
        <w:rPr>
          <w:rFonts w:ascii="Arial" w:hAnsi="Arial" w:cs="Arial"/>
          <w:sz w:val="20"/>
        </w:rPr>
      </w:pPr>
      <w:r>
        <w:rPr>
          <w:rFonts w:ascii="Arial" w:hAnsi="Arial" w:cs="Arial"/>
          <w:sz w:val="20"/>
        </w:rPr>
        <w:tab/>
        <w:t>3.2</w:t>
      </w:r>
      <w:r>
        <w:rPr>
          <w:rFonts w:ascii="Arial" w:hAnsi="Arial" w:cs="Arial"/>
          <w:sz w:val="20"/>
        </w:rPr>
        <w:tab/>
        <w:t>If the payment for all or part of the Sale Price of the Vehicle has been made by cheque, the payment will not be considered to have been received by the Dealer until the cheque has been honoured.</w:t>
      </w:r>
    </w:p>
    <w:p>
      <w:pPr>
        <w:pStyle w:val="yMiscellaneousBody"/>
        <w:tabs>
          <w:tab w:val="right" w:pos="595"/>
          <w:tab w:val="left" w:pos="879"/>
        </w:tabs>
        <w:ind w:left="882" w:hanging="882"/>
        <w:rPr>
          <w:rFonts w:ascii="Arial" w:hAnsi="Arial" w:cs="Arial"/>
          <w:sz w:val="20"/>
        </w:rPr>
      </w:pPr>
      <w:r>
        <w:rPr>
          <w:rFonts w:ascii="Arial" w:hAnsi="Arial" w:cs="Arial"/>
          <w:sz w:val="20"/>
        </w:rPr>
        <w:tab/>
        <w:t>3.3</w:t>
      </w:r>
      <w:r>
        <w:rPr>
          <w:rFonts w:ascii="Arial" w:hAnsi="Arial" w:cs="Arial"/>
          <w:sz w:val="20"/>
        </w:rPr>
        <w:tab/>
        <w:t>The Dealer will not release the Vehicle to the Purchaser until the Purchase Price has been paid in full to the Dealer.</w:t>
      </w:r>
    </w:p>
    <w:p>
      <w:pPr>
        <w:pStyle w:val="yMiscellaneousHeading"/>
        <w:tabs>
          <w:tab w:val="left" w:pos="896"/>
        </w:tabs>
        <w:jc w:val="left"/>
        <w:rPr>
          <w:rFonts w:ascii="Arial" w:hAnsi="Arial" w:cs="Arial"/>
          <w:b/>
          <w:bCs/>
          <w:sz w:val="20"/>
        </w:rPr>
      </w:pPr>
      <w:r>
        <w:rPr>
          <w:rStyle w:val="CharSClsNo"/>
          <w:rFonts w:ascii="Arial" w:hAnsi="Arial" w:cs="Arial"/>
          <w:b/>
          <w:bCs/>
          <w:sz w:val="20"/>
        </w:rPr>
        <w:lastRenderedPageBreak/>
        <w:t>4</w:t>
      </w:r>
      <w:r>
        <w:rPr>
          <w:rFonts w:ascii="Arial" w:hAnsi="Arial" w:cs="Arial"/>
          <w:b/>
          <w:bCs/>
          <w:sz w:val="20"/>
        </w:rPr>
        <w:t>.</w:t>
      </w:r>
      <w:r>
        <w:rPr>
          <w:rFonts w:ascii="Arial" w:hAnsi="Arial" w:cs="Arial"/>
          <w:b/>
          <w:bCs/>
          <w:sz w:val="20"/>
        </w:rPr>
        <w:tab/>
        <w:t>OWNERSHIP</w:t>
      </w:r>
    </w:p>
    <w:p>
      <w:pPr>
        <w:pStyle w:val="yMiscellaneousBody"/>
        <w:keepNext/>
        <w:tabs>
          <w:tab w:val="right" w:pos="595"/>
          <w:tab w:val="left" w:pos="879"/>
        </w:tabs>
        <w:ind w:left="882" w:hanging="882"/>
        <w:rPr>
          <w:rFonts w:ascii="Arial" w:hAnsi="Arial" w:cs="Arial"/>
          <w:sz w:val="20"/>
        </w:rPr>
      </w:pPr>
      <w:r>
        <w:rPr>
          <w:rFonts w:ascii="Arial" w:hAnsi="Arial" w:cs="Arial"/>
          <w:sz w:val="20"/>
        </w:rPr>
        <w:tab/>
        <w:t>4.1</w:t>
      </w:r>
      <w:r>
        <w:rPr>
          <w:rFonts w:ascii="Arial" w:hAnsi="Arial" w:cs="Arial"/>
          <w:sz w:val="20"/>
        </w:rPr>
        <w:tab/>
        <w:t>The Owner will retain ownership and property in the Vehicle until such time as the Purchase Price has been paid in full to the Dealer.</w:t>
      </w:r>
    </w:p>
    <w:p>
      <w:pPr>
        <w:pStyle w:val="yMiscellaneousHeading"/>
        <w:tabs>
          <w:tab w:val="left" w:pos="896"/>
        </w:tabs>
        <w:jc w:val="left"/>
        <w:rPr>
          <w:rFonts w:ascii="Arial" w:hAnsi="Arial" w:cs="Arial"/>
          <w:b/>
          <w:bCs/>
          <w:sz w:val="20"/>
        </w:rPr>
      </w:pPr>
      <w:r>
        <w:rPr>
          <w:rStyle w:val="CharSClsNo"/>
          <w:rFonts w:ascii="Arial" w:hAnsi="Arial" w:cs="Arial"/>
          <w:b/>
          <w:bCs/>
          <w:sz w:val="20"/>
        </w:rPr>
        <w:t>5</w:t>
      </w:r>
      <w:r>
        <w:rPr>
          <w:rFonts w:ascii="Arial" w:hAnsi="Arial" w:cs="Arial"/>
          <w:b/>
          <w:bCs/>
          <w:sz w:val="20"/>
        </w:rPr>
        <w:t>.</w:t>
      </w:r>
      <w:r>
        <w:rPr>
          <w:rFonts w:ascii="Arial" w:hAnsi="Arial" w:cs="Arial"/>
          <w:b/>
          <w:bCs/>
          <w:sz w:val="20"/>
        </w:rPr>
        <w:tab/>
        <w:t>RESPONSIBILITY FOR REPAIRS</w:t>
      </w:r>
    </w:p>
    <w:p>
      <w:pPr>
        <w:pStyle w:val="yMiscellaneousBody"/>
        <w:tabs>
          <w:tab w:val="right" w:pos="595"/>
          <w:tab w:val="left" w:pos="879"/>
        </w:tabs>
        <w:ind w:left="882" w:hanging="882"/>
        <w:rPr>
          <w:rFonts w:ascii="Arial" w:hAnsi="Arial" w:cs="Arial"/>
          <w:sz w:val="20"/>
        </w:rPr>
      </w:pPr>
      <w:r>
        <w:rPr>
          <w:rFonts w:ascii="Arial" w:hAnsi="Arial" w:cs="Arial"/>
          <w:sz w:val="20"/>
        </w:rPr>
        <w:tab/>
        <w:t>5.1</w:t>
      </w:r>
      <w:r>
        <w:rPr>
          <w:rFonts w:ascii="Arial" w:hAnsi="Arial" w:cs="Arial"/>
          <w:sz w:val="20"/>
        </w:rPr>
        <w:tab/>
        <w:t>Subject to Clause 8.1, the Owner will be responsible for the cost of repairing any defects or faults identified prior to the Sale of the Vehicle.</w:t>
      </w:r>
    </w:p>
    <w:p>
      <w:pPr>
        <w:pStyle w:val="yMiscellaneousHeading"/>
        <w:tabs>
          <w:tab w:val="left" w:pos="896"/>
        </w:tabs>
        <w:jc w:val="left"/>
        <w:rPr>
          <w:rFonts w:ascii="Arial" w:hAnsi="Arial" w:cs="Arial"/>
          <w:b/>
          <w:bCs/>
          <w:sz w:val="20"/>
        </w:rPr>
      </w:pPr>
      <w:r>
        <w:rPr>
          <w:rStyle w:val="CharSClsNo"/>
          <w:rFonts w:ascii="Arial" w:hAnsi="Arial" w:cs="Arial"/>
          <w:b/>
          <w:bCs/>
          <w:sz w:val="20"/>
        </w:rPr>
        <w:t>6</w:t>
      </w:r>
      <w:r>
        <w:rPr>
          <w:rFonts w:ascii="Arial" w:hAnsi="Arial" w:cs="Arial"/>
          <w:b/>
          <w:bCs/>
          <w:sz w:val="20"/>
        </w:rPr>
        <w:t>.</w:t>
      </w:r>
      <w:r>
        <w:rPr>
          <w:rFonts w:ascii="Arial" w:hAnsi="Arial" w:cs="Arial"/>
          <w:b/>
          <w:bCs/>
          <w:sz w:val="20"/>
        </w:rPr>
        <w:tab/>
        <w:t>VEHICLE DECLARED UNFIT FOR SALE</w:t>
      </w:r>
    </w:p>
    <w:p>
      <w:pPr>
        <w:pStyle w:val="yMiscellaneousBody"/>
        <w:tabs>
          <w:tab w:val="right" w:pos="595"/>
          <w:tab w:val="left" w:pos="879"/>
        </w:tabs>
        <w:ind w:left="882" w:hanging="882"/>
        <w:rPr>
          <w:rFonts w:ascii="Arial" w:hAnsi="Arial" w:cs="Arial"/>
          <w:sz w:val="20"/>
        </w:rPr>
      </w:pPr>
      <w:r>
        <w:rPr>
          <w:rFonts w:ascii="Arial" w:hAnsi="Arial" w:cs="Arial"/>
          <w:sz w:val="20"/>
        </w:rPr>
        <w:tab/>
        <w:t>6.1</w:t>
      </w:r>
      <w:r>
        <w:rPr>
          <w:rFonts w:ascii="Arial" w:hAnsi="Arial" w:cs="Arial"/>
          <w:sz w:val="20"/>
        </w:rPr>
        <w:tab/>
        <w:t>The Dealer will give Notice to the Owner if the Vehicle is declared unfit for Sale by any Government Authority.</w:t>
      </w:r>
    </w:p>
    <w:p>
      <w:pPr>
        <w:pStyle w:val="yMiscellaneousBody"/>
        <w:tabs>
          <w:tab w:val="right" w:pos="595"/>
          <w:tab w:val="left" w:pos="879"/>
        </w:tabs>
        <w:ind w:left="882" w:hanging="882"/>
        <w:rPr>
          <w:rFonts w:ascii="Arial" w:hAnsi="Arial" w:cs="Arial"/>
          <w:sz w:val="20"/>
        </w:rPr>
      </w:pPr>
      <w:r>
        <w:rPr>
          <w:rFonts w:ascii="Arial" w:hAnsi="Arial" w:cs="Arial"/>
          <w:sz w:val="20"/>
        </w:rPr>
        <w:tab/>
        <w:t>6.2</w:t>
      </w:r>
      <w:r>
        <w:rPr>
          <w:rFonts w:ascii="Arial" w:hAnsi="Arial" w:cs="Arial"/>
          <w:sz w:val="20"/>
        </w:rPr>
        <w:tab/>
        <w:t>The Owner will be responsible for any costs or actions necessary to have the Vehicle declared fit for sale or to remove the Vehicle from the Dealer’s premises.</w:t>
      </w:r>
    </w:p>
    <w:p>
      <w:pPr>
        <w:pStyle w:val="yMiscellaneousHeading"/>
        <w:tabs>
          <w:tab w:val="left" w:pos="896"/>
        </w:tabs>
        <w:jc w:val="left"/>
        <w:rPr>
          <w:rFonts w:ascii="Arial" w:hAnsi="Arial" w:cs="Arial"/>
          <w:b/>
          <w:bCs/>
          <w:sz w:val="20"/>
        </w:rPr>
      </w:pPr>
      <w:r>
        <w:rPr>
          <w:rStyle w:val="CharSClsNo"/>
          <w:rFonts w:ascii="Arial" w:hAnsi="Arial" w:cs="Arial"/>
          <w:b/>
          <w:bCs/>
          <w:sz w:val="20"/>
        </w:rPr>
        <w:t>7</w:t>
      </w:r>
      <w:r>
        <w:rPr>
          <w:rFonts w:ascii="Arial" w:hAnsi="Arial" w:cs="Arial"/>
          <w:b/>
          <w:bCs/>
          <w:sz w:val="20"/>
        </w:rPr>
        <w:t>.</w:t>
      </w:r>
      <w:r>
        <w:rPr>
          <w:rFonts w:ascii="Arial" w:hAnsi="Arial" w:cs="Arial"/>
          <w:b/>
          <w:bCs/>
          <w:sz w:val="20"/>
        </w:rPr>
        <w:tab/>
        <w:t>PAYMENT FOR REPAIRS</w:t>
      </w:r>
    </w:p>
    <w:p>
      <w:pPr>
        <w:pStyle w:val="yMiscellaneousBody"/>
        <w:tabs>
          <w:tab w:val="right" w:pos="595"/>
          <w:tab w:val="left" w:pos="879"/>
        </w:tabs>
        <w:ind w:left="882" w:hanging="882"/>
        <w:rPr>
          <w:rFonts w:ascii="Arial" w:hAnsi="Arial" w:cs="Arial"/>
          <w:sz w:val="20"/>
        </w:rPr>
      </w:pPr>
      <w:r>
        <w:rPr>
          <w:rFonts w:ascii="Arial" w:hAnsi="Arial" w:cs="Arial"/>
          <w:sz w:val="20"/>
        </w:rPr>
        <w:tab/>
        <w:t>7.1</w:t>
      </w:r>
      <w:r>
        <w:rPr>
          <w:rFonts w:ascii="Arial" w:hAnsi="Arial" w:cs="Arial"/>
          <w:sz w:val="20"/>
        </w:rPr>
        <w:tab/>
        <w:t>The Dealer will not carry out any work on the Vehicle without the prior written consent of the Owner.  The Owner may authorise the Dealer to deduct the cost of repairs from the Proceeds Payable after the Sale of the Vehicle.</w:t>
      </w:r>
    </w:p>
    <w:p>
      <w:pPr>
        <w:pStyle w:val="yMiscellaneousHeading"/>
        <w:tabs>
          <w:tab w:val="left" w:pos="896"/>
        </w:tabs>
        <w:jc w:val="left"/>
        <w:rPr>
          <w:rFonts w:ascii="Arial" w:hAnsi="Arial" w:cs="Arial"/>
          <w:b/>
          <w:bCs/>
          <w:sz w:val="20"/>
        </w:rPr>
      </w:pPr>
      <w:r>
        <w:rPr>
          <w:rStyle w:val="CharSClsNo"/>
          <w:rFonts w:ascii="Arial" w:hAnsi="Arial" w:cs="Arial"/>
          <w:b/>
          <w:bCs/>
          <w:sz w:val="20"/>
        </w:rPr>
        <w:t>8</w:t>
      </w:r>
      <w:r>
        <w:rPr>
          <w:rFonts w:ascii="Arial" w:hAnsi="Arial" w:cs="Arial"/>
          <w:b/>
          <w:bCs/>
          <w:sz w:val="20"/>
        </w:rPr>
        <w:t>.</w:t>
      </w:r>
      <w:r>
        <w:rPr>
          <w:rFonts w:ascii="Arial" w:hAnsi="Arial" w:cs="Arial"/>
          <w:b/>
          <w:bCs/>
          <w:sz w:val="20"/>
        </w:rPr>
        <w:tab/>
        <w:t>DEALER’S RESPONSIBILITY</w:t>
      </w:r>
    </w:p>
    <w:p>
      <w:pPr>
        <w:pStyle w:val="yMiscellaneousBody"/>
        <w:tabs>
          <w:tab w:val="right" w:pos="595"/>
          <w:tab w:val="left" w:pos="879"/>
        </w:tabs>
        <w:ind w:left="882" w:hanging="882"/>
        <w:rPr>
          <w:rFonts w:ascii="Arial" w:hAnsi="Arial" w:cs="Arial"/>
          <w:sz w:val="20"/>
        </w:rPr>
      </w:pPr>
      <w:r>
        <w:rPr>
          <w:rFonts w:ascii="Arial" w:hAnsi="Arial" w:cs="Arial"/>
          <w:sz w:val="20"/>
        </w:rPr>
        <w:tab/>
        <w:t>8.1</w:t>
      </w:r>
      <w:r>
        <w:rPr>
          <w:rFonts w:ascii="Arial" w:hAnsi="Arial" w:cs="Arial"/>
          <w:sz w:val="20"/>
        </w:rPr>
        <w:tab/>
        <w:t>The Dealer will not be liable for any loss or damage which may occur to the Vehicle while on Consignment except for:</w:t>
      </w:r>
    </w:p>
    <w:p>
      <w:pPr>
        <w:pStyle w:val="yMiscellaneousBody"/>
        <w:tabs>
          <w:tab w:val="right" w:pos="1332"/>
          <w:tab w:val="left" w:pos="1616"/>
        </w:tabs>
        <w:ind w:left="1624" w:hanging="1624"/>
        <w:rPr>
          <w:rFonts w:ascii="Arial" w:hAnsi="Arial" w:cs="Arial"/>
          <w:sz w:val="20"/>
        </w:rPr>
      </w:pPr>
      <w:r>
        <w:rPr>
          <w:rFonts w:ascii="Arial" w:hAnsi="Arial" w:cs="Arial"/>
          <w:sz w:val="20"/>
        </w:rPr>
        <w:tab/>
        <w:t>(a)</w:t>
      </w:r>
      <w:r>
        <w:rPr>
          <w:rFonts w:ascii="Arial" w:hAnsi="Arial" w:cs="Arial"/>
          <w:sz w:val="20"/>
        </w:rPr>
        <w:tab/>
        <w:t>any theft, loss or damage which may arise out of any negligent act or omission on the part of the Dealer or any person acting on behalf of the Dealer; or</w:t>
      </w:r>
    </w:p>
    <w:p>
      <w:pPr>
        <w:pStyle w:val="yMiscellaneousBody"/>
        <w:tabs>
          <w:tab w:val="right" w:pos="1332"/>
          <w:tab w:val="left" w:pos="1616"/>
        </w:tabs>
        <w:ind w:left="1624" w:hanging="1624"/>
        <w:rPr>
          <w:rFonts w:ascii="Arial" w:hAnsi="Arial" w:cs="Arial"/>
          <w:sz w:val="20"/>
        </w:rPr>
      </w:pPr>
      <w:r>
        <w:rPr>
          <w:rFonts w:ascii="Arial" w:hAnsi="Arial" w:cs="Arial"/>
          <w:sz w:val="20"/>
        </w:rPr>
        <w:tab/>
        <w:t>(b)</w:t>
      </w:r>
      <w:r>
        <w:rPr>
          <w:rFonts w:ascii="Arial" w:hAnsi="Arial" w:cs="Arial"/>
          <w:sz w:val="20"/>
        </w:rPr>
        <w:tab/>
        <w:t xml:space="preserve">any breach of the </w:t>
      </w:r>
      <w:r>
        <w:rPr>
          <w:rFonts w:ascii="Arial" w:hAnsi="Arial" w:cs="Arial"/>
          <w:i/>
          <w:iCs/>
          <w:sz w:val="20"/>
        </w:rPr>
        <w:t xml:space="preserve">Fair Trading Act 2010 </w:t>
      </w:r>
      <w:r>
        <w:rPr>
          <w:rFonts w:ascii="Arial" w:hAnsi="Arial" w:cs="Arial"/>
          <w:sz w:val="20"/>
        </w:rPr>
        <w:t xml:space="preserve">or </w:t>
      </w:r>
      <w:r>
        <w:rPr>
          <w:rFonts w:ascii="Arial" w:hAnsi="Arial" w:cs="Arial"/>
          <w:i/>
          <w:sz w:val="20"/>
        </w:rPr>
        <w:t>Competition and Consumer Act 2010</w:t>
      </w:r>
      <w:r>
        <w:rPr>
          <w:rFonts w:ascii="Arial" w:hAnsi="Arial" w:cs="Arial"/>
          <w:sz w:val="20"/>
        </w:rPr>
        <w:t xml:space="preserve"> (Cwlth), the liability and remedies for which cannot be excluded by agreement.</w:t>
      </w:r>
    </w:p>
    <w:p>
      <w:pPr>
        <w:pStyle w:val="yMiscellaneousHeading"/>
        <w:tabs>
          <w:tab w:val="left" w:pos="896"/>
        </w:tabs>
        <w:jc w:val="left"/>
        <w:rPr>
          <w:rFonts w:ascii="Arial" w:hAnsi="Arial" w:cs="Arial"/>
          <w:b/>
          <w:bCs/>
          <w:sz w:val="20"/>
        </w:rPr>
      </w:pPr>
      <w:r>
        <w:rPr>
          <w:rStyle w:val="CharSClsNo"/>
          <w:rFonts w:ascii="Arial" w:hAnsi="Arial" w:cs="Arial"/>
          <w:b/>
          <w:bCs/>
          <w:sz w:val="20"/>
        </w:rPr>
        <w:t>9</w:t>
      </w:r>
      <w:r>
        <w:rPr>
          <w:rFonts w:ascii="Arial" w:hAnsi="Arial" w:cs="Arial"/>
          <w:b/>
          <w:bCs/>
          <w:sz w:val="20"/>
        </w:rPr>
        <w:t>.</w:t>
      </w:r>
      <w:r>
        <w:rPr>
          <w:rFonts w:ascii="Arial" w:hAnsi="Arial" w:cs="Arial"/>
          <w:b/>
          <w:bCs/>
          <w:sz w:val="20"/>
        </w:rPr>
        <w:tab/>
        <w:t>WARRANTY CLAIMS</w:t>
      </w:r>
    </w:p>
    <w:p>
      <w:pPr>
        <w:pStyle w:val="yMiscellaneousBody"/>
        <w:tabs>
          <w:tab w:val="right" w:pos="595"/>
          <w:tab w:val="left" w:pos="879"/>
        </w:tabs>
        <w:ind w:left="882" w:hanging="882"/>
        <w:rPr>
          <w:rFonts w:ascii="Arial" w:hAnsi="Arial" w:cs="Arial"/>
          <w:sz w:val="20"/>
        </w:rPr>
      </w:pPr>
      <w:r>
        <w:rPr>
          <w:rFonts w:ascii="Arial" w:hAnsi="Arial" w:cs="Arial"/>
          <w:sz w:val="20"/>
        </w:rPr>
        <w:tab/>
        <w:t>9.1</w:t>
      </w:r>
      <w:r>
        <w:rPr>
          <w:rFonts w:ascii="Arial" w:hAnsi="Arial" w:cs="Arial"/>
          <w:sz w:val="20"/>
        </w:rPr>
        <w:tab/>
        <w:t xml:space="preserve">The Dealer will be responsible to pay for warranty claims which arise about the quality or fitness of the Vehicle in accordance with the Dealer’s statutory responsibility under the </w:t>
      </w:r>
      <w:r>
        <w:rPr>
          <w:rFonts w:ascii="Arial" w:hAnsi="Arial" w:cs="Arial"/>
          <w:i/>
          <w:iCs/>
          <w:sz w:val="20"/>
        </w:rPr>
        <w:t>Motor Vehicle Dealers Act 1973</w:t>
      </w:r>
      <w:r>
        <w:rPr>
          <w:rFonts w:ascii="Arial" w:hAnsi="Arial" w:cs="Arial"/>
          <w:sz w:val="20"/>
        </w:rPr>
        <w:t xml:space="preserve">, </w:t>
      </w:r>
      <w:r>
        <w:rPr>
          <w:rFonts w:ascii="Arial" w:hAnsi="Arial" w:cs="Arial"/>
          <w:i/>
          <w:iCs/>
          <w:sz w:val="20"/>
        </w:rPr>
        <w:t xml:space="preserve">Fair Trading Act 2010 </w:t>
      </w:r>
      <w:r>
        <w:rPr>
          <w:rFonts w:ascii="Arial" w:hAnsi="Arial" w:cs="Arial"/>
          <w:sz w:val="20"/>
        </w:rPr>
        <w:t xml:space="preserve">or the </w:t>
      </w:r>
      <w:r>
        <w:rPr>
          <w:rFonts w:ascii="Arial" w:hAnsi="Arial" w:cs="Arial"/>
          <w:i/>
          <w:sz w:val="20"/>
        </w:rPr>
        <w:t>Competition and Consumer Act 2010</w:t>
      </w:r>
      <w:r>
        <w:rPr>
          <w:rFonts w:ascii="Arial" w:hAnsi="Arial" w:cs="Arial"/>
          <w:sz w:val="20"/>
        </w:rPr>
        <w:t xml:space="preserve"> (Cwlth).</w:t>
      </w:r>
    </w:p>
    <w:p>
      <w:pPr>
        <w:pStyle w:val="yMiscellaneousBody"/>
        <w:tabs>
          <w:tab w:val="right" w:pos="595"/>
          <w:tab w:val="left" w:pos="879"/>
        </w:tabs>
        <w:ind w:left="882" w:hanging="882"/>
        <w:rPr>
          <w:rFonts w:ascii="Arial" w:hAnsi="Arial" w:cs="Arial"/>
          <w:sz w:val="20"/>
        </w:rPr>
      </w:pPr>
      <w:r>
        <w:rPr>
          <w:rFonts w:ascii="Arial" w:hAnsi="Arial" w:cs="Arial"/>
          <w:sz w:val="20"/>
        </w:rPr>
        <w:lastRenderedPageBreak/>
        <w:tab/>
        <w:t>9.2</w:t>
      </w:r>
      <w:r>
        <w:rPr>
          <w:rFonts w:ascii="Arial" w:hAnsi="Arial" w:cs="Arial"/>
          <w:sz w:val="20"/>
        </w:rPr>
        <w:tab/>
        <w:t>The Dealer can not claim from the Owner any costs arising for such repairs, either directly, or by way of deduction from the Total Net Proceeds retained in a Trust Account.</w:t>
      </w:r>
    </w:p>
    <w:p>
      <w:pPr>
        <w:pStyle w:val="yMiscellaneousHeading"/>
        <w:tabs>
          <w:tab w:val="left" w:pos="896"/>
        </w:tabs>
        <w:jc w:val="left"/>
        <w:rPr>
          <w:rFonts w:ascii="Arial" w:hAnsi="Arial" w:cs="Arial"/>
          <w:b/>
          <w:bCs/>
          <w:sz w:val="20"/>
        </w:rPr>
      </w:pPr>
      <w:r>
        <w:rPr>
          <w:rStyle w:val="CharSClsNo"/>
          <w:rFonts w:ascii="Arial" w:hAnsi="Arial" w:cs="Arial"/>
          <w:b/>
          <w:bCs/>
          <w:sz w:val="20"/>
        </w:rPr>
        <w:t>10</w:t>
      </w:r>
      <w:r>
        <w:rPr>
          <w:rFonts w:ascii="Arial" w:hAnsi="Arial" w:cs="Arial"/>
          <w:b/>
          <w:bCs/>
          <w:sz w:val="20"/>
        </w:rPr>
        <w:t>.</w:t>
      </w:r>
      <w:r>
        <w:rPr>
          <w:rFonts w:ascii="Arial" w:hAnsi="Arial" w:cs="Arial"/>
          <w:b/>
          <w:bCs/>
          <w:sz w:val="20"/>
        </w:rPr>
        <w:tab/>
        <w:t>OWNERSHIP AND ENCUMBERANCES</w:t>
      </w:r>
    </w:p>
    <w:p>
      <w:pPr>
        <w:pStyle w:val="yMiscellaneousBody"/>
        <w:tabs>
          <w:tab w:val="right" w:pos="595"/>
          <w:tab w:val="left" w:pos="879"/>
        </w:tabs>
        <w:ind w:left="882" w:hanging="882"/>
        <w:rPr>
          <w:rFonts w:ascii="Arial" w:hAnsi="Arial" w:cs="Arial"/>
          <w:sz w:val="20"/>
        </w:rPr>
      </w:pPr>
      <w:r>
        <w:rPr>
          <w:rFonts w:ascii="Arial" w:hAnsi="Arial" w:cs="Arial"/>
          <w:sz w:val="20"/>
        </w:rPr>
        <w:tab/>
        <w:t>10.1</w:t>
      </w:r>
      <w:r>
        <w:rPr>
          <w:rFonts w:ascii="Arial" w:hAnsi="Arial" w:cs="Arial"/>
          <w:sz w:val="20"/>
        </w:rPr>
        <w:tab/>
        <w:t xml:space="preserve">The Owner declares that the Owner has the right to sell the Vehicle.  The Owner will provide the Dealer with a certificate from the </w:t>
      </w:r>
      <w:r>
        <w:rPr>
          <w:rFonts w:ascii="Arial" w:hAnsi="Arial"/>
          <w:i/>
          <w:sz w:val="20"/>
        </w:rPr>
        <w:t>Personal Property Securities Register</w:t>
      </w:r>
      <w:r>
        <w:rPr>
          <w:rFonts w:ascii="Arial" w:hAnsi="Arial" w:cs="Arial"/>
          <w:sz w:val="20"/>
        </w:rPr>
        <w:t xml:space="preserve"> within two (2) business days after signing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10.2</w:t>
      </w:r>
      <w:r>
        <w:rPr>
          <w:rFonts w:ascii="Arial" w:hAnsi="Arial" w:cs="Arial"/>
          <w:sz w:val="20"/>
        </w:rPr>
        <w:tab/>
        <w:t xml:space="preserve">If a registered security interest is recorded pursuant to the </w:t>
      </w:r>
      <w:r>
        <w:rPr>
          <w:rFonts w:ascii="Arial" w:hAnsi="Arial"/>
          <w:i/>
          <w:sz w:val="20"/>
        </w:rPr>
        <w:t>Personal Property Securities Act 2009</w:t>
      </w:r>
      <w:r>
        <w:rPr>
          <w:rFonts w:ascii="Arial" w:hAnsi="Arial"/>
          <w:sz w:val="20"/>
        </w:rPr>
        <w:t xml:space="preserve"> (Cwlth) </w:t>
      </w:r>
      <w:r>
        <w:rPr>
          <w:rFonts w:ascii="Arial" w:hAnsi="Arial" w:cs="Arial"/>
          <w:sz w:val="20"/>
        </w:rPr>
        <w:t>on the Vehicle, the interest must be discharged prior to the Sale of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10.3</w:t>
      </w:r>
      <w:r>
        <w:rPr>
          <w:rFonts w:ascii="Arial" w:hAnsi="Arial" w:cs="Arial"/>
          <w:sz w:val="20"/>
        </w:rPr>
        <w:tab/>
        <w:t>The Owner will give the Dealer all licence and registration documents, owner’s manual and service records (if any) relating to the Vehicle within two (2) days after signing this Contract.</w:t>
      </w:r>
    </w:p>
    <w:p>
      <w:pPr>
        <w:pStyle w:val="yMiscellaneousHeading"/>
        <w:tabs>
          <w:tab w:val="left" w:pos="896"/>
        </w:tabs>
        <w:jc w:val="left"/>
        <w:rPr>
          <w:rFonts w:ascii="Arial" w:hAnsi="Arial" w:cs="Arial"/>
          <w:b/>
          <w:bCs/>
          <w:sz w:val="20"/>
        </w:rPr>
      </w:pPr>
      <w:r>
        <w:rPr>
          <w:rStyle w:val="CharSClsNo"/>
          <w:rFonts w:ascii="Arial" w:hAnsi="Arial" w:cs="Arial"/>
          <w:b/>
          <w:bCs/>
          <w:sz w:val="20"/>
        </w:rPr>
        <w:t>11</w:t>
      </w:r>
      <w:r>
        <w:rPr>
          <w:rFonts w:ascii="Arial" w:hAnsi="Arial" w:cs="Arial"/>
          <w:b/>
          <w:bCs/>
          <w:sz w:val="20"/>
        </w:rPr>
        <w:t>.</w:t>
      </w:r>
      <w:r>
        <w:rPr>
          <w:rFonts w:ascii="Arial" w:hAnsi="Arial" w:cs="Arial"/>
          <w:b/>
          <w:bCs/>
          <w:sz w:val="20"/>
        </w:rPr>
        <w:tab/>
        <w:t>ENDING THE AGREEMENT</w:t>
      </w:r>
    </w:p>
    <w:p>
      <w:pPr>
        <w:pStyle w:val="yMiscellaneousBody"/>
        <w:tabs>
          <w:tab w:val="right" w:pos="595"/>
          <w:tab w:val="left" w:pos="879"/>
        </w:tabs>
        <w:ind w:left="882" w:hanging="882"/>
        <w:rPr>
          <w:rFonts w:ascii="Arial" w:hAnsi="Arial" w:cs="Arial"/>
          <w:sz w:val="20"/>
        </w:rPr>
      </w:pPr>
      <w:r>
        <w:rPr>
          <w:rFonts w:ascii="Arial" w:hAnsi="Arial" w:cs="Arial"/>
          <w:sz w:val="20"/>
        </w:rPr>
        <w:tab/>
        <w:t>11.1</w:t>
      </w:r>
      <w:r>
        <w:rPr>
          <w:rFonts w:ascii="Arial" w:hAnsi="Arial" w:cs="Arial"/>
          <w:sz w:val="20"/>
        </w:rPr>
        <w:tab/>
        <w:t>This Contract can be terminated by either the Dealer or the Owner by giving twenty</w:t>
      </w:r>
      <w:r>
        <w:rPr>
          <w:rFonts w:ascii="Arial" w:hAnsi="Arial" w:cs="Arial"/>
          <w:sz w:val="20"/>
        </w:rPr>
        <w:noBreakHyphen/>
        <w:t>four (24) hours Written Notice to the other at any time prior to the sale of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11.2</w:t>
      </w:r>
      <w:r>
        <w:rPr>
          <w:rFonts w:ascii="Arial" w:hAnsi="Arial" w:cs="Arial"/>
          <w:sz w:val="20"/>
        </w:rPr>
        <w:tab/>
        <w:t>The Owner will remove the Vehicle from the Dealer’s premises within seven (7) days after termination of the Contract.</w:t>
      </w:r>
    </w:p>
    <w:p>
      <w:pPr>
        <w:pStyle w:val="yMiscellaneousBody"/>
        <w:tabs>
          <w:tab w:val="right" w:pos="595"/>
          <w:tab w:val="left" w:pos="879"/>
        </w:tabs>
        <w:ind w:left="882" w:hanging="882"/>
        <w:rPr>
          <w:rFonts w:ascii="Arial" w:hAnsi="Arial" w:cs="Arial"/>
          <w:sz w:val="20"/>
        </w:rPr>
      </w:pPr>
      <w:r>
        <w:rPr>
          <w:rFonts w:ascii="Arial" w:hAnsi="Arial" w:cs="Arial"/>
          <w:sz w:val="20"/>
        </w:rPr>
        <w:tab/>
        <w:t>11.3</w:t>
      </w:r>
      <w:r>
        <w:rPr>
          <w:rFonts w:ascii="Arial" w:hAnsi="Arial" w:cs="Arial"/>
          <w:sz w:val="20"/>
        </w:rPr>
        <w:tab/>
        <w:t>The Owner will pay any monies owed to the Dealer before removing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11.4</w:t>
      </w:r>
      <w:r>
        <w:rPr>
          <w:rFonts w:ascii="Arial" w:hAnsi="Arial" w:cs="Arial"/>
          <w:sz w:val="20"/>
        </w:rPr>
        <w:tab/>
        <w:t>If the Vehicle is not removed, or monies owed are not paid within seven (7) days, the Dealer may return the Vehicle to the Owner’s address and recover any expenses incurred during the Consignment.</w:t>
      </w:r>
    </w:p>
    <w:p>
      <w:pPr>
        <w:pStyle w:val="yMiscellaneousHeading"/>
        <w:tabs>
          <w:tab w:val="left" w:pos="896"/>
        </w:tabs>
        <w:jc w:val="left"/>
        <w:rPr>
          <w:rFonts w:ascii="Arial" w:hAnsi="Arial" w:cs="Arial"/>
          <w:b/>
          <w:bCs/>
          <w:sz w:val="20"/>
        </w:rPr>
      </w:pPr>
      <w:r>
        <w:rPr>
          <w:rStyle w:val="CharSClsNo"/>
          <w:rFonts w:ascii="Arial" w:hAnsi="Arial" w:cs="Arial"/>
          <w:b/>
          <w:bCs/>
          <w:sz w:val="20"/>
        </w:rPr>
        <w:t>12</w:t>
      </w:r>
      <w:r>
        <w:rPr>
          <w:rFonts w:ascii="Arial" w:hAnsi="Arial" w:cs="Arial"/>
          <w:b/>
          <w:bCs/>
          <w:sz w:val="20"/>
        </w:rPr>
        <w:t>.</w:t>
      </w:r>
      <w:r>
        <w:rPr>
          <w:rFonts w:ascii="Arial" w:hAnsi="Arial" w:cs="Arial"/>
          <w:b/>
          <w:bCs/>
          <w:sz w:val="20"/>
        </w:rPr>
        <w:tab/>
        <w:t>CHANGING THE AGREEMENT</w:t>
      </w:r>
    </w:p>
    <w:p>
      <w:pPr>
        <w:pStyle w:val="yMiscellaneousBody"/>
        <w:tabs>
          <w:tab w:val="right" w:pos="595"/>
          <w:tab w:val="left" w:pos="879"/>
        </w:tabs>
        <w:ind w:left="882" w:hanging="882"/>
        <w:rPr>
          <w:rFonts w:ascii="Arial" w:hAnsi="Arial" w:cs="Arial"/>
          <w:sz w:val="20"/>
        </w:rPr>
      </w:pPr>
      <w:r>
        <w:rPr>
          <w:rFonts w:ascii="Arial" w:hAnsi="Arial" w:cs="Arial"/>
          <w:sz w:val="20"/>
        </w:rPr>
        <w:tab/>
        <w:t>12.1</w:t>
      </w:r>
      <w:r>
        <w:rPr>
          <w:rFonts w:ascii="Arial" w:hAnsi="Arial" w:cs="Arial"/>
          <w:sz w:val="20"/>
        </w:rPr>
        <w:tab/>
        <w:t>Any variation of this Contract must be in writing and signed by both the Owner and Dealer or a person authorised by the Dealer.</w:t>
      </w:r>
    </w:p>
    <w:p>
      <w:pPr>
        <w:pStyle w:val="yMiscellaneousHeading"/>
        <w:tabs>
          <w:tab w:val="left" w:pos="896"/>
        </w:tabs>
        <w:jc w:val="left"/>
        <w:rPr>
          <w:rFonts w:ascii="Arial" w:hAnsi="Arial" w:cs="Arial"/>
          <w:b/>
          <w:bCs/>
          <w:sz w:val="20"/>
        </w:rPr>
      </w:pPr>
      <w:r>
        <w:rPr>
          <w:rStyle w:val="CharSClsNo"/>
          <w:rFonts w:ascii="Arial" w:hAnsi="Arial" w:cs="Arial"/>
          <w:b/>
          <w:bCs/>
          <w:sz w:val="20"/>
        </w:rPr>
        <w:t>13</w:t>
      </w:r>
      <w:r>
        <w:rPr>
          <w:rFonts w:ascii="Arial" w:hAnsi="Arial" w:cs="Arial"/>
          <w:b/>
          <w:bCs/>
          <w:sz w:val="20"/>
        </w:rPr>
        <w:t>.</w:t>
      </w:r>
      <w:r>
        <w:rPr>
          <w:rFonts w:ascii="Arial" w:hAnsi="Arial" w:cs="Arial"/>
          <w:b/>
          <w:bCs/>
          <w:sz w:val="20"/>
        </w:rPr>
        <w:tab/>
        <w:t>NOTICE</w:t>
      </w:r>
    </w:p>
    <w:p>
      <w:pPr>
        <w:pStyle w:val="yMiscellaneousBody"/>
        <w:tabs>
          <w:tab w:val="right" w:pos="595"/>
          <w:tab w:val="left" w:pos="879"/>
        </w:tabs>
        <w:ind w:left="882" w:hanging="882"/>
        <w:rPr>
          <w:rFonts w:ascii="Arial" w:hAnsi="Arial" w:cs="Arial"/>
          <w:sz w:val="20"/>
        </w:rPr>
      </w:pPr>
      <w:r>
        <w:rPr>
          <w:rFonts w:ascii="Arial" w:hAnsi="Arial" w:cs="Arial"/>
          <w:sz w:val="20"/>
        </w:rPr>
        <w:tab/>
        <w:t>13.1</w:t>
      </w:r>
      <w:r>
        <w:rPr>
          <w:rFonts w:ascii="Arial" w:hAnsi="Arial" w:cs="Arial"/>
          <w:sz w:val="20"/>
        </w:rPr>
        <w:tab/>
        <w:t>Any Notice required by this Contract may be given by direct communication, telephone, electronically, fax or post to the addresses and numbers included in this Contract.</w:t>
      </w:r>
    </w:p>
    <w:p>
      <w:pPr>
        <w:pStyle w:val="yMiscellaneousBody"/>
        <w:keepNext/>
        <w:tabs>
          <w:tab w:val="right" w:pos="595"/>
          <w:tab w:val="left" w:pos="879"/>
        </w:tabs>
        <w:ind w:left="882" w:hanging="882"/>
        <w:rPr>
          <w:rFonts w:ascii="Arial" w:hAnsi="Arial" w:cs="Arial"/>
          <w:sz w:val="20"/>
        </w:rPr>
      </w:pPr>
      <w:r>
        <w:rPr>
          <w:rFonts w:ascii="Arial" w:hAnsi="Arial" w:cs="Arial"/>
          <w:sz w:val="20"/>
        </w:rPr>
        <w:lastRenderedPageBreak/>
        <w:tab/>
        <w:t>13.2</w:t>
      </w:r>
      <w:r>
        <w:rPr>
          <w:rFonts w:ascii="Arial" w:hAnsi="Arial" w:cs="Arial"/>
          <w:sz w:val="20"/>
        </w:rPr>
        <w:tab/>
        <w:t>If sent by post, a Notice will be considered to have been received, unless the contrary is shown, at the time when the Notice would have been delivered in the ordinary course of the post.</w:t>
      </w:r>
    </w:p>
    <w:p>
      <w:pPr>
        <w:pStyle w:val="yFootnotesection"/>
      </w:pPr>
      <w:r>
        <w:tab/>
        <w:t>[Schedule 4, formerly Fourth Schedule, inserted: Gazette 13 Aug 2002 p. 4167</w:t>
      </w:r>
      <w:r>
        <w:noBreakHyphen/>
        <w:t>9; amended: Gazette 30 Jun 2011 p. 2660; SL 2021/164 r. 21.]</w:t>
      </w:r>
    </w:p>
    <w:p>
      <w:pPr>
        <w:pStyle w:val="yScheduleHeading"/>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rPr>
          <w:snapToGrid/>
        </w:rPr>
      </w:pPr>
      <w:bookmarkStart w:id="103" w:name="_Toc168386274"/>
      <w:bookmarkStart w:id="104" w:name="_Toc168391378"/>
      <w:bookmarkStart w:id="105" w:name="_Toc168391488"/>
      <w:bookmarkStart w:id="106" w:name="_Toc168393102"/>
      <w:r>
        <w:rPr>
          <w:rStyle w:val="CharSchNo"/>
        </w:rPr>
        <w:lastRenderedPageBreak/>
        <w:t>Schedule 5</w:t>
      </w:r>
      <w:r>
        <w:t> — </w:t>
      </w:r>
      <w:r>
        <w:rPr>
          <w:rStyle w:val="CharSchText"/>
        </w:rPr>
        <w:t>Vehicle sale contract</w:t>
      </w:r>
      <w:bookmarkEnd w:id="103"/>
      <w:bookmarkEnd w:id="104"/>
      <w:bookmarkEnd w:id="105"/>
      <w:bookmarkEnd w:id="106"/>
    </w:p>
    <w:p>
      <w:pPr>
        <w:pStyle w:val="yShoulderClause"/>
      </w:pPr>
      <w:r>
        <w:t>[r. 13B]</w:t>
      </w:r>
    </w:p>
    <w:p>
      <w:pPr>
        <w:pStyle w:val="yFootnoteheading"/>
      </w:pPr>
      <w:r>
        <w:rPr>
          <w:snapToGrid w:val="0"/>
        </w:rPr>
        <w:tab/>
        <w:t>[Heading inserted: Gazette 17 Nov 2006 p. 4759.]</w:t>
      </w:r>
    </w:p>
    <w:p>
      <w:pPr>
        <w:pStyle w:val="yMiscellaneousHeading"/>
        <w:rPr>
          <w:rFonts w:ascii="Arial" w:hAnsi="Arial" w:cs="Arial"/>
          <w:b/>
        </w:rPr>
      </w:pPr>
      <w:r>
        <w:rPr>
          <w:rFonts w:ascii="Arial" w:hAnsi="Arial" w:cs="Arial"/>
          <w:b/>
        </w:rPr>
        <w:t>VEHICLE SALE CONTRACT</w:t>
      </w:r>
    </w:p>
    <w:p>
      <w:pPr>
        <w:pStyle w:val="yMiscellaneousBody"/>
        <w:spacing w:before="60"/>
        <w:jc w:val="center"/>
        <w:rPr>
          <w:rFonts w:ascii="Arial" w:hAnsi="Arial" w:cs="Arial"/>
        </w:rPr>
      </w:pPr>
      <w:r>
        <w:rPr>
          <w:rFonts w:ascii="Arial" w:hAnsi="Arial" w:cs="Arial"/>
        </w:rPr>
        <w:t>TERMS AND CONDITIONS</w:t>
      </w:r>
    </w:p>
    <w:p>
      <w:pPr>
        <w:pStyle w:val="yMiscellaneousBody"/>
        <w:spacing w:before="60"/>
        <w:jc w:val="center"/>
        <w:rPr>
          <w:rFonts w:ascii="Arial" w:hAnsi="Arial" w:cs="Arial"/>
        </w:rPr>
      </w:pPr>
      <w:r>
        <w:rPr>
          <w:rFonts w:ascii="Arial" w:hAnsi="Arial" w:cs="Arial"/>
        </w:rPr>
        <w:t>(PLEASE READ CAREFULLY)</w:t>
      </w:r>
    </w:p>
    <w:p>
      <w:pPr>
        <w:pStyle w:val="yMiscellaneousHeading"/>
        <w:tabs>
          <w:tab w:val="left" w:pos="896"/>
        </w:tabs>
        <w:jc w:val="left"/>
        <w:rPr>
          <w:rFonts w:ascii="Arial" w:hAnsi="Arial" w:cs="Arial"/>
          <w:b/>
          <w:bCs/>
          <w:sz w:val="20"/>
        </w:rPr>
      </w:pPr>
      <w:r>
        <w:rPr>
          <w:rStyle w:val="CharSClsNo"/>
          <w:rFonts w:ascii="Arial" w:hAnsi="Arial" w:cs="Arial"/>
          <w:b/>
          <w:bCs/>
          <w:sz w:val="20"/>
        </w:rPr>
        <w:t>1</w:t>
      </w:r>
      <w:r>
        <w:rPr>
          <w:rFonts w:ascii="Arial" w:hAnsi="Arial" w:cs="Arial"/>
          <w:b/>
          <w:bCs/>
          <w:sz w:val="20"/>
        </w:rPr>
        <w:t>.</w:t>
      </w:r>
      <w:r>
        <w:rPr>
          <w:rFonts w:ascii="Arial" w:hAnsi="Arial" w:cs="Arial"/>
          <w:b/>
          <w:bCs/>
          <w:sz w:val="20"/>
        </w:rPr>
        <w:tab/>
        <w:t>FORMATION</w:t>
      </w:r>
    </w:p>
    <w:p>
      <w:pPr>
        <w:pStyle w:val="yMiscellaneousBody"/>
        <w:tabs>
          <w:tab w:val="right" w:pos="595"/>
          <w:tab w:val="left" w:pos="879"/>
        </w:tabs>
        <w:ind w:left="882" w:hanging="882"/>
        <w:rPr>
          <w:rFonts w:ascii="Arial" w:hAnsi="Arial" w:cs="Arial"/>
          <w:sz w:val="20"/>
        </w:rPr>
      </w:pPr>
      <w:r>
        <w:rPr>
          <w:rFonts w:ascii="Arial" w:hAnsi="Arial" w:cs="Arial"/>
          <w:sz w:val="20"/>
        </w:rPr>
        <w:tab/>
        <w:t>1.1</w:t>
      </w:r>
      <w:r>
        <w:rPr>
          <w:rFonts w:ascii="Arial" w:hAnsi="Arial" w:cs="Arial"/>
          <w:sz w:val="20"/>
        </w:rPr>
        <w:tab/>
        <w:t>The signing of this Contract by the Purchaser means an offer has been made to purchase the Vehicle on the terms and conditions stated in this Contract.  No offer is made unless the Purchaser is provided with a copy of this Contract at the time it is signed by the Purchaser.</w:t>
      </w:r>
    </w:p>
    <w:p>
      <w:pPr>
        <w:pStyle w:val="yMiscellaneousBody"/>
        <w:tabs>
          <w:tab w:val="right" w:pos="595"/>
          <w:tab w:val="left" w:pos="879"/>
        </w:tabs>
        <w:ind w:left="882" w:hanging="882"/>
        <w:rPr>
          <w:rFonts w:ascii="Arial" w:hAnsi="Arial" w:cs="Arial"/>
          <w:sz w:val="20"/>
        </w:rPr>
      </w:pPr>
      <w:r>
        <w:rPr>
          <w:rFonts w:ascii="Arial" w:hAnsi="Arial" w:cs="Arial"/>
          <w:sz w:val="20"/>
        </w:rPr>
        <w:tab/>
        <w:t>1.2</w:t>
      </w:r>
      <w:r>
        <w:rPr>
          <w:rFonts w:ascii="Arial" w:hAnsi="Arial" w:cs="Arial"/>
          <w:sz w:val="20"/>
        </w:rPr>
        <w:tab/>
        <w:t>The offer of the Purchaser is accepted by the Dealer when:</w:t>
      </w:r>
    </w:p>
    <w:p>
      <w:pPr>
        <w:pStyle w:val="yMiscellaneousBody"/>
        <w:tabs>
          <w:tab w:val="right" w:pos="1332"/>
          <w:tab w:val="left" w:pos="1616"/>
        </w:tabs>
        <w:ind w:left="1624" w:hanging="1624"/>
        <w:rPr>
          <w:rFonts w:ascii="Arial" w:hAnsi="Arial" w:cs="Arial"/>
          <w:sz w:val="20"/>
        </w:rPr>
      </w:pPr>
      <w:r>
        <w:rPr>
          <w:rFonts w:ascii="Arial" w:hAnsi="Arial" w:cs="Arial"/>
          <w:sz w:val="20"/>
        </w:rPr>
        <w:tab/>
        <w:t>(a)</w:t>
      </w:r>
      <w:r>
        <w:rPr>
          <w:rFonts w:ascii="Arial" w:hAnsi="Arial" w:cs="Arial"/>
          <w:sz w:val="20"/>
        </w:rPr>
        <w:tab/>
        <w:t>this Contract is signed by the Dealer or a person authorised by the Dealer; and</w:t>
      </w:r>
    </w:p>
    <w:p>
      <w:pPr>
        <w:pStyle w:val="yMiscellaneousBody"/>
        <w:tabs>
          <w:tab w:val="right" w:pos="1332"/>
          <w:tab w:val="left" w:pos="1616"/>
        </w:tabs>
        <w:ind w:left="1624" w:hanging="1624"/>
        <w:rPr>
          <w:rFonts w:ascii="Arial" w:hAnsi="Arial" w:cs="Arial"/>
          <w:sz w:val="20"/>
        </w:rPr>
      </w:pPr>
      <w:r>
        <w:rPr>
          <w:rFonts w:ascii="Arial" w:hAnsi="Arial" w:cs="Arial"/>
          <w:sz w:val="20"/>
        </w:rPr>
        <w:tab/>
        <w:t>(b)</w:t>
      </w:r>
      <w:r>
        <w:rPr>
          <w:rFonts w:ascii="Arial" w:hAnsi="Arial" w:cs="Arial"/>
          <w:sz w:val="20"/>
        </w:rPr>
        <w:tab/>
        <w:t>notice of the acceptance is given to the Purchaser.  This Contract will then be binding on both parties.</w:t>
      </w:r>
    </w:p>
    <w:p>
      <w:pPr>
        <w:pStyle w:val="yMiscellaneousBody"/>
        <w:tabs>
          <w:tab w:val="right" w:pos="595"/>
          <w:tab w:val="left" w:pos="879"/>
        </w:tabs>
        <w:ind w:left="882" w:hanging="882"/>
        <w:rPr>
          <w:rFonts w:ascii="Arial" w:hAnsi="Arial" w:cs="Arial"/>
          <w:sz w:val="20"/>
        </w:rPr>
      </w:pPr>
      <w:r>
        <w:rPr>
          <w:rFonts w:ascii="Arial" w:hAnsi="Arial" w:cs="Arial"/>
          <w:sz w:val="20"/>
        </w:rPr>
        <w:tab/>
        <w:t>1.3</w:t>
      </w:r>
      <w:r>
        <w:rPr>
          <w:rFonts w:ascii="Arial" w:hAnsi="Arial" w:cs="Arial"/>
          <w:sz w:val="20"/>
        </w:rPr>
        <w:tab/>
        <w:t>The offer of the Purchaser may be withdrawn by the Purchaser any time before it is accepted by the Dealer.  It will automatically lapse at the close of business on the next normal business day for motor vehicle dealers.</w:t>
      </w:r>
    </w:p>
    <w:p>
      <w:pPr>
        <w:pStyle w:val="yMiscellaneousHeading"/>
        <w:tabs>
          <w:tab w:val="left" w:pos="896"/>
        </w:tabs>
        <w:jc w:val="left"/>
        <w:rPr>
          <w:rFonts w:ascii="Arial" w:hAnsi="Arial" w:cs="Arial"/>
          <w:b/>
          <w:bCs/>
          <w:sz w:val="20"/>
        </w:rPr>
      </w:pPr>
      <w:r>
        <w:rPr>
          <w:rStyle w:val="CharSClsNo"/>
          <w:rFonts w:ascii="Arial" w:hAnsi="Arial" w:cs="Arial"/>
          <w:b/>
          <w:bCs/>
          <w:sz w:val="20"/>
        </w:rPr>
        <w:t>2</w:t>
      </w:r>
      <w:r>
        <w:rPr>
          <w:rFonts w:ascii="Arial" w:hAnsi="Arial" w:cs="Arial"/>
          <w:b/>
          <w:bCs/>
          <w:sz w:val="20"/>
        </w:rPr>
        <w:t>.</w:t>
      </w:r>
      <w:r>
        <w:rPr>
          <w:rFonts w:ascii="Arial" w:hAnsi="Arial" w:cs="Arial"/>
          <w:b/>
          <w:bCs/>
          <w:sz w:val="20"/>
        </w:rPr>
        <w:tab/>
        <w:t>FINANCE</w:t>
      </w:r>
    </w:p>
    <w:p>
      <w:pPr>
        <w:pStyle w:val="yMiscellaneousBody"/>
        <w:tabs>
          <w:tab w:val="right" w:pos="595"/>
          <w:tab w:val="left" w:pos="879"/>
        </w:tabs>
        <w:ind w:left="882" w:hanging="882"/>
        <w:rPr>
          <w:rFonts w:ascii="Arial" w:hAnsi="Arial" w:cs="Arial"/>
          <w:sz w:val="20"/>
        </w:rPr>
      </w:pPr>
      <w:r>
        <w:rPr>
          <w:rFonts w:ascii="Arial" w:hAnsi="Arial" w:cs="Arial"/>
          <w:sz w:val="20"/>
        </w:rPr>
        <w:tab/>
        <w:t>2.1</w:t>
      </w:r>
      <w:r>
        <w:rPr>
          <w:rFonts w:ascii="Arial" w:hAnsi="Arial" w:cs="Arial"/>
          <w:sz w:val="20"/>
        </w:rPr>
        <w:tab/>
        <w:t>Where this Contract is subject to the Purchaser obtaining finance, the Contract is conditional upon the Purchaser obtaining approval for the granting of a loan:</w:t>
      </w:r>
    </w:p>
    <w:p>
      <w:pPr>
        <w:pStyle w:val="yMiscellaneousBody"/>
        <w:tabs>
          <w:tab w:val="right" w:pos="1332"/>
          <w:tab w:val="left" w:pos="1616"/>
        </w:tabs>
        <w:ind w:left="1624" w:hanging="1624"/>
        <w:rPr>
          <w:rFonts w:ascii="Arial" w:hAnsi="Arial" w:cs="Arial"/>
          <w:sz w:val="20"/>
        </w:rPr>
      </w:pPr>
      <w:r>
        <w:rPr>
          <w:rFonts w:ascii="Arial" w:hAnsi="Arial" w:cs="Arial"/>
          <w:sz w:val="20"/>
        </w:rPr>
        <w:tab/>
        <w:t>(a)</w:t>
      </w:r>
      <w:r>
        <w:rPr>
          <w:rFonts w:ascii="Arial" w:hAnsi="Arial" w:cs="Arial"/>
          <w:sz w:val="20"/>
        </w:rPr>
        <w:tab/>
        <w:t>before the Latest Time stated in the Contract;</w:t>
      </w:r>
    </w:p>
    <w:p>
      <w:pPr>
        <w:pStyle w:val="yMiscellaneousBody"/>
        <w:tabs>
          <w:tab w:val="right" w:pos="1332"/>
          <w:tab w:val="left" w:pos="1616"/>
        </w:tabs>
        <w:ind w:left="1624" w:hanging="1624"/>
        <w:rPr>
          <w:rFonts w:ascii="Arial" w:hAnsi="Arial" w:cs="Arial"/>
          <w:sz w:val="20"/>
        </w:rPr>
      </w:pPr>
      <w:r>
        <w:rPr>
          <w:rFonts w:ascii="Arial" w:hAnsi="Arial" w:cs="Arial"/>
          <w:sz w:val="20"/>
        </w:rPr>
        <w:tab/>
        <w:t>(b)</w:t>
      </w:r>
      <w:r>
        <w:rPr>
          <w:rFonts w:ascii="Arial" w:hAnsi="Arial" w:cs="Arial"/>
          <w:sz w:val="20"/>
        </w:rPr>
        <w:tab/>
        <w:t>for the amount stated in the Contract;</w:t>
      </w:r>
    </w:p>
    <w:p>
      <w:pPr>
        <w:pStyle w:val="yMiscellaneousBody"/>
        <w:tabs>
          <w:tab w:val="right" w:pos="1332"/>
          <w:tab w:val="left" w:pos="1616"/>
        </w:tabs>
        <w:ind w:left="1624" w:hanging="1624"/>
        <w:rPr>
          <w:rFonts w:ascii="Arial" w:hAnsi="Arial" w:cs="Arial"/>
          <w:sz w:val="20"/>
        </w:rPr>
      </w:pPr>
      <w:r>
        <w:rPr>
          <w:rFonts w:ascii="Arial" w:hAnsi="Arial" w:cs="Arial"/>
          <w:sz w:val="20"/>
        </w:rPr>
        <w:tab/>
        <w:t>(c)</w:t>
      </w:r>
      <w:r>
        <w:rPr>
          <w:rFonts w:ascii="Arial" w:hAnsi="Arial" w:cs="Arial"/>
          <w:sz w:val="20"/>
        </w:rPr>
        <w:tab/>
        <w:t>from the Lender named in the Contract (or a lender acceptable to the Purchaser); and</w:t>
      </w:r>
    </w:p>
    <w:p>
      <w:pPr>
        <w:pStyle w:val="yMiscellaneousBody"/>
        <w:tabs>
          <w:tab w:val="right" w:pos="1332"/>
          <w:tab w:val="left" w:pos="1616"/>
        </w:tabs>
        <w:ind w:left="1624" w:hanging="1624"/>
        <w:rPr>
          <w:rFonts w:ascii="Arial" w:hAnsi="Arial" w:cs="Arial"/>
          <w:sz w:val="20"/>
        </w:rPr>
      </w:pPr>
      <w:r>
        <w:rPr>
          <w:rFonts w:ascii="Arial" w:hAnsi="Arial" w:cs="Arial"/>
          <w:sz w:val="20"/>
        </w:rPr>
        <w:tab/>
        <w:t>(d)</w:t>
      </w:r>
      <w:r>
        <w:rPr>
          <w:rFonts w:ascii="Arial" w:hAnsi="Arial" w:cs="Arial"/>
          <w:sz w:val="20"/>
        </w:rPr>
        <w:tab/>
        <w:t>upon reasonable terms and conditions in the circumstances.</w:t>
      </w:r>
    </w:p>
    <w:p>
      <w:pPr>
        <w:pStyle w:val="yMiscellaneousBody"/>
        <w:tabs>
          <w:tab w:val="right" w:pos="595"/>
          <w:tab w:val="left" w:pos="879"/>
        </w:tabs>
        <w:ind w:left="882" w:hanging="882"/>
        <w:rPr>
          <w:rFonts w:ascii="Arial" w:hAnsi="Arial" w:cs="Arial"/>
          <w:sz w:val="20"/>
        </w:rPr>
      </w:pPr>
      <w:r>
        <w:rPr>
          <w:rFonts w:ascii="Arial" w:hAnsi="Arial" w:cs="Arial"/>
          <w:sz w:val="20"/>
        </w:rPr>
        <w:tab/>
        <w:t>2.2</w:t>
      </w:r>
      <w:r>
        <w:rPr>
          <w:rFonts w:ascii="Arial" w:hAnsi="Arial" w:cs="Arial"/>
          <w:sz w:val="20"/>
        </w:rPr>
        <w:tab/>
        <w:t>The Purchaser agrees to take all reasonable steps toward obtaining loan approval.</w:t>
      </w:r>
    </w:p>
    <w:p>
      <w:pPr>
        <w:pStyle w:val="yMiscellaneousBody"/>
        <w:tabs>
          <w:tab w:val="right" w:pos="595"/>
          <w:tab w:val="left" w:pos="879"/>
        </w:tabs>
        <w:ind w:left="882" w:hanging="882"/>
        <w:rPr>
          <w:rFonts w:ascii="Arial" w:hAnsi="Arial" w:cs="Arial"/>
          <w:sz w:val="20"/>
        </w:rPr>
      </w:pPr>
      <w:r>
        <w:rPr>
          <w:rFonts w:ascii="Arial" w:hAnsi="Arial" w:cs="Arial"/>
          <w:sz w:val="20"/>
        </w:rPr>
        <w:lastRenderedPageBreak/>
        <w:tab/>
        <w:t>2.3</w:t>
      </w:r>
      <w:r>
        <w:rPr>
          <w:rFonts w:ascii="Arial" w:hAnsi="Arial" w:cs="Arial"/>
          <w:sz w:val="20"/>
        </w:rPr>
        <w:tab/>
        <w:t>If the Purchaser has taken all reasonable steps towards obtaining loan approval, but does not obtain approval, then either the Purchaser or the Dealer may terminate this Contract by giving Notice to the other party.  The Dealer must immediately refund any deposit paid and return any trade</w:t>
      </w:r>
      <w:r>
        <w:rPr>
          <w:rFonts w:ascii="Arial" w:hAnsi="Arial" w:cs="Arial"/>
          <w:sz w:val="20"/>
        </w:rPr>
        <w:noBreakHyphen/>
        <w:t>in vehicle to the Purchaser.</w:t>
      </w:r>
    </w:p>
    <w:p>
      <w:pPr>
        <w:pStyle w:val="yMiscellaneousHeading"/>
        <w:tabs>
          <w:tab w:val="left" w:pos="896"/>
        </w:tabs>
        <w:jc w:val="left"/>
        <w:rPr>
          <w:rFonts w:ascii="Arial" w:hAnsi="Arial" w:cs="Arial"/>
          <w:b/>
          <w:bCs/>
          <w:sz w:val="20"/>
        </w:rPr>
      </w:pPr>
      <w:r>
        <w:rPr>
          <w:rStyle w:val="CharSClsNo"/>
          <w:rFonts w:ascii="Arial" w:hAnsi="Arial" w:cs="Arial"/>
          <w:b/>
          <w:bCs/>
          <w:sz w:val="20"/>
        </w:rPr>
        <w:t>3</w:t>
      </w:r>
      <w:r>
        <w:rPr>
          <w:rFonts w:ascii="Arial" w:hAnsi="Arial" w:cs="Arial"/>
          <w:b/>
          <w:bCs/>
          <w:sz w:val="20"/>
        </w:rPr>
        <w:t>.</w:t>
      </w:r>
      <w:r>
        <w:rPr>
          <w:rFonts w:ascii="Arial" w:hAnsi="Arial" w:cs="Arial"/>
          <w:b/>
          <w:bCs/>
          <w:sz w:val="20"/>
        </w:rPr>
        <w:tab/>
        <w:t>THE PURCHASE PRICE</w:t>
      </w:r>
    </w:p>
    <w:p>
      <w:pPr>
        <w:pStyle w:val="yMiscellaneousBody"/>
        <w:tabs>
          <w:tab w:val="right" w:pos="595"/>
          <w:tab w:val="left" w:pos="879"/>
        </w:tabs>
        <w:ind w:left="882" w:hanging="882"/>
        <w:rPr>
          <w:rFonts w:ascii="Arial" w:hAnsi="Arial" w:cs="Arial"/>
          <w:sz w:val="20"/>
        </w:rPr>
      </w:pPr>
      <w:r>
        <w:rPr>
          <w:rFonts w:ascii="Arial" w:hAnsi="Arial" w:cs="Arial"/>
          <w:sz w:val="20"/>
        </w:rPr>
        <w:tab/>
        <w:t>3.1</w:t>
      </w:r>
      <w:r>
        <w:rPr>
          <w:rFonts w:ascii="Arial" w:hAnsi="Arial" w:cs="Arial"/>
          <w:sz w:val="20"/>
        </w:rPr>
        <w:tab/>
        <w:t>Upon delivery of the Vehicle, the Purchaser will pay to the Dealer all of the Total Purchase Price, less any deposit paid and any value given to the Trade</w:t>
      </w:r>
      <w:r>
        <w:rPr>
          <w:rFonts w:ascii="Arial" w:hAnsi="Arial" w:cs="Arial"/>
          <w:sz w:val="20"/>
        </w:rPr>
        <w:noBreakHyphen/>
        <w:t>In Vehicle.</w:t>
      </w:r>
    </w:p>
    <w:p>
      <w:pPr>
        <w:pStyle w:val="yMiscellaneousBody"/>
        <w:tabs>
          <w:tab w:val="right" w:pos="595"/>
          <w:tab w:val="left" w:pos="879"/>
        </w:tabs>
        <w:ind w:left="882" w:hanging="882"/>
        <w:rPr>
          <w:rFonts w:ascii="Arial" w:hAnsi="Arial" w:cs="Arial"/>
          <w:sz w:val="20"/>
        </w:rPr>
      </w:pPr>
      <w:r>
        <w:rPr>
          <w:rFonts w:ascii="Arial" w:hAnsi="Arial" w:cs="Arial"/>
          <w:sz w:val="20"/>
        </w:rPr>
        <w:tab/>
        <w:t>3.2</w:t>
      </w:r>
      <w:r>
        <w:rPr>
          <w:rFonts w:ascii="Arial" w:hAnsi="Arial" w:cs="Arial"/>
          <w:sz w:val="20"/>
        </w:rPr>
        <w:tab/>
        <w:t>In the case of a new Vehicle, if at any time after this Contract becomes binding on both parties but before delivery of the Vehicle to the Purchaser, the cost of the Vehicle to the Dealer changes because the manufacturer changes its price, or there is a change in statutory charges which apply to the Vehicle, the Total Purchase Price will be adjusted by the corresponding amount.</w:t>
      </w:r>
    </w:p>
    <w:p>
      <w:pPr>
        <w:pStyle w:val="yMiscellaneousBody"/>
        <w:tabs>
          <w:tab w:val="right" w:pos="595"/>
          <w:tab w:val="left" w:pos="879"/>
        </w:tabs>
        <w:ind w:left="882" w:hanging="882"/>
        <w:rPr>
          <w:rFonts w:ascii="Arial" w:hAnsi="Arial" w:cs="Arial"/>
          <w:sz w:val="20"/>
        </w:rPr>
      </w:pPr>
      <w:r>
        <w:rPr>
          <w:rFonts w:ascii="Arial" w:hAnsi="Arial" w:cs="Arial"/>
          <w:sz w:val="20"/>
        </w:rPr>
        <w:tab/>
        <w:t>3.3</w:t>
      </w:r>
      <w:r>
        <w:rPr>
          <w:rFonts w:ascii="Arial" w:hAnsi="Arial" w:cs="Arial"/>
          <w:sz w:val="20"/>
        </w:rPr>
        <w:tab/>
        <w:t>If the manufacturer increases the cost of a new Vehicle to the Dealer, the Dealer is only entitled to pass on to the Purchaser, an increase of up to and including 5% of the Total Factory Price of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3.4</w:t>
      </w:r>
      <w:r>
        <w:rPr>
          <w:rFonts w:ascii="Arial" w:hAnsi="Arial" w:cs="Arial"/>
          <w:sz w:val="20"/>
        </w:rPr>
        <w:tab/>
        <w:t>Payment by cheque for all or part of the Total Purchase Price will not be considered to have been received by the Dealer until the cheque has been honoured.</w:t>
      </w:r>
    </w:p>
    <w:p>
      <w:pPr>
        <w:pStyle w:val="yMiscellaneousHeading"/>
        <w:tabs>
          <w:tab w:val="left" w:pos="896"/>
        </w:tabs>
        <w:jc w:val="left"/>
        <w:rPr>
          <w:rFonts w:ascii="Arial" w:hAnsi="Arial" w:cs="Arial"/>
          <w:b/>
          <w:bCs/>
          <w:sz w:val="20"/>
        </w:rPr>
      </w:pPr>
      <w:r>
        <w:rPr>
          <w:rStyle w:val="CharSClsNo"/>
          <w:rFonts w:ascii="Arial" w:hAnsi="Arial" w:cs="Arial"/>
          <w:b/>
          <w:bCs/>
          <w:sz w:val="20"/>
        </w:rPr>
        <w:t>4</w:t>
      </w:r>
      <w:r>
        <w:rPr>
          <w:rFonts w:ascii="Arial" w:hAnsi="Arial" w:cs="Arial"/>
          <w:b/>
          <w:bCs/>
          <w:sz w:val="20"/>
        </w:rPr>
        <w:t>.</w:t>
      </w:r>
      <w:r>
        <w:rPr>
          <w:rFonts w:ascii="Arial" w:hAnsi="Arial" w:cs="Arial"/>
          <w:b/>
          <w:bCs/>
          <w:sz w:val="20"/>
        </w:rPr>
        <w:tab/>
        <w:t>DELIVERY OF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4.1</w:t>
      </w:r>
      <w:r>
        <w:rPr>
          <w:rFonts w:ascii="Arial" w:hAnsi="Arial" w:cs="Arial"/>
          <w:sz w:val="20"/>
        </w:rPr>
        <w:tab/>
        <w:t>The Dealer will deliver the Vehicle to the Purchaser on or before the delivery date stated in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4.2</w:t>
      </w:r>
      <w:r>
        <w:rPr>
          <w:rFonts w:ascii="Arial" w:hAnsi="Arial" w:cs="Arial"/>
          <w:sz w:val="20"/>
        </w:rPr>
        <w:tab/>
        <w:t>In the case of a new Vehicle, if a Delivery Date is not stated in this Contract, the Dealer will deliver the Vehicle within three (3) months of this Contract becoming binding on the parties.</w:t>
      </w:r>
    </w:p>
    <w:p>
      <w:pPr>
        <w:pStyle w:val="yMiscellaneousBody"/>
        <w:tabs>
          <w:tab w:val="right" w:pos="595"/>
          <w:tab w:val="left" w:pos="879"/>
        </w:tabs>
        <w:ind w:left="882" w:hanging="882"/>
        <w:rPr>
          <w:rFonts w:ascii="Arial" w:hAnsi="Arial" w:cs="Arial"/>
          <w:sz w:val="20"/>
        </w:rPr>
      </w:pPr>
      <w:r>
        <w:rPr>
          <w:rFonts w:ascii="Arial" w:hAnsi="Arial" w:cs="Arial"/>
          <w:sz w:val="20"/>
        </w:rPr>
        <w:tab/>
        <w:t>4.3</w:t>
      </w:r>
      <w:r>
        <w:rPr>
          <w:rFonts w:ascii="Arial" w:hAnsi="Arial" w:cs="Arial"/>
          <w:sz w:val="20"/>
        </w:rPr>
        <w:tab/>
        <w:t>In the case of a used Vehicle, if a Delivery Date is not stated in this Contract, the Dealer will deliver the Vehicle within one (1) month of this Contract becoming binding on the parties.</w:t>
      </w:r>
    </w:p>
    <w:p>
      <w:pPr>
        <w:pStyle w:val="yMiscellaneousBody"/>
        <w:tabs>
          <w:tab w:val="right" w:pos="595"/>
          <w:tab w:val="left" w:pos="879"/>
        </w:tabs>
        <w:ind w:left="882" w:hanging="882"/>
        <w:rPr>
          <w:rFonts w:ascii="Arial" w:hAnsi="Arial" w:cs="Arial"/>
          <w:sz w:val="20"/>
        </w:rPr>
      </w:pPr>
      <w:r>
        <w:rPr>
          <w:rFonts w:ascii="Arial" w:hAnsi="Arial" w:cs="Arial"/>
          <w:sz w:val="20"/>
        </w:rPr>
        <w:tab/>
        <w:t>4.4</w:t>
      </w:r>
      <w:r>
        <w:rPr>
          <w:rFonts w:ascii="Arial" w:hAnsi="Arial" w:cs="Arial"/>
          <w:sz w:val="20"/>
        </w:rPr>
        <w:tab/>
        <w:t>Delivery of the Vehicle to the Purchaser will take place at the Dealer’s Premises, unless other arrangements are agreed to between the Purchaser and the Dealer.</w:t>
      </w:r>
    </w:p>
    <w:p>
      <w:pPr>
        <w:pStyle w:val="yMiscellaneousBody"/>
        <w:tabs>
          <w:tab w:val="right" w:pos="595"/>
          <w:tab w:val="left" w:pos="879"/>
        </w:tabs>
        <w:ind w:left="882" w:hanging="882"/>
        <w:rPr>
          <w:rFonts w:ascii="Arial" w:hAnsi="Arial" w:cs="Arial"/>
          <w:sz w:val="20"/>
        </w:rPr>
      </w:pPr>
      <w:r>
        <w:rPr>
          <w:rFonts w:ascii="Arial" w:hAnsi="Arial" w:cs="Arial"/>
          <w:sz w:val="20"/>
        </w:rPr>
        <w:tab/>
        <w:t>4.5</w:t>
      </w:r>
      <w:r>
        <w:rPr>
          <w:rFonts w:ascii="Arial" w:hAnsi="Arial" w:cs="Arial"/>
          <w:sz w:val="20"/>
        </w:rPr>
        <w:tab/>
        <w:t>The Purchaser will deliver any Trade</w:t>
      </w:r>
      <w:r>
        <w:rPr>
          <w:rFonts w:ascii="Arial" w:hAnsi="Arial" w:cs="Arial"/>
          <w:sz w:val="20"/>
        </w:rPr>
        <w:noBreakHyphen/>
        <w:t>In Vehicle to the Dealer, and take delivery of the Vehicle, within seven (7) days of being notified by the Dealer that the Vehicle is ready for collection.</w:t>
      </w:r>
    </w:p>
    <w:p>
      <w:pPr>
        <w:pStyle w:val="yMiscellaneousHeading"/>
        <w:tabs>
          <w:tab w:val="left" w:pos="896"/>
        </w:tabs>
        <w:jc w:val="left"/>
        <w:rPr>
          <w:rFonts w:ascii="Arial" w:hAnsi="Arial" w:cs="Arial"/>
          <w:b/>
          <w:bCs/>
          <w:sz w:val="20"/>
        </w:rPr>
      </w:pPr>
      <w:r>
        <w:rPr>
          <w:rStyle w:val="CharSClsNo"/>
          <w:rFonts w:ascii="Arial" w:hAnsi="Arial" w:cs="Arial"/>
          <w:b/>
          <w:bCs/>
          <w:sz w:val="20"/>
        </w:rPr>
        <w:lastRenderedPageBreak/>
        <w:t>5</w:t>
      </w:r>
      <w:r>
        <w:rPr>
          <w:rFonts w:ascii="Arial" w:hAnsi="Arial" w:cs="Arial"/>
          <w:b/>
          <w:bCs/>
          <w:sz w:val="20"/>
        </w:rPr>
        <w:t>.</w:t>
      </w:r>
      <w:r>
        <w:rPr>
          <w:rFonts w:ascii="Arial" w:hAnsi="Arial" w:cs="Arial"/>
          <w:b/>
          <w:bCs/>
          <w:sz w:val="20"/>
        </w:rPr>
        <w:tab/>
        <w:t>PASSING OF PROPERTY AND RISK IN THE VEHICLE</w:t>
      </w:r>
    </w:p>
    <w:p>
      <w:pPr>
        <w:pStyle w:val="yMiscellaneousBody"/>
        <w:tabs>
          <w:tab w:val="right" w:pos="595"/>
          <w:tab w:val="left" w:pos="879"/>
        </w:tabs>
        <w:ind w:left="882" w:hanging="882"/>
        <w:rPr>
          <w:rFonts w:ascii="Arial" w:hAnsi="Arial" w:cs="Arial"/>
          <w:sz w:val="20"/>
        </w:rPr>
      </w:pPr>
      <w:r>
        <w:rPr>
          <w:rFonts w:ascii="Arial" w:hAnsi="Arial" w:cs="Arial"/>
          <w:sz w:val="20"/>
        </w:rPr>
        <w:tab/>
        <w:t>5.1</w:t>
      </w:r>
      <w:r>
        <w:rPr>
          <w:rFonts w:ascii="Arial" w:hAnsi="Arial" w:cs="Arial"/>
          <w:sz w:val="20"/>
        </w:rPr>
        <w:tab/>
        <w:t>The Dealer remains the owner of the Vehicle until the Total Purchase Price has been received in full by the Dealer.</w:t>
      </w:r>
    </w:p>
    <w:p>
      <w:pPr>
        <w:pStyle w:val="yMiscellaneousBody"/>
        <w:tabs>
          <w:tab w:val="right" w:pos="595"/>
          <w:tab w:val="left" w:pos="879"/>
        </w:tabs>
        <w:ind w:left="882" w:hanging="882"/>
        <w:rPr>
          <w:rFonts w:ascii="Arial" w:hAnsi="Arial" w:cs="Arial"/>
          <w:sz w:val="20"/>
        </w:rPr>
      </w:pPr>
      <w:r>
        <w:rPr>
          <w:rFonts w:ascii="Arial" w:hAnsi="Arial" w:cs="Arial"/>
          <w:sz w:val="20"/>
        </w:rPr>
        <w:tab/>
        <w:t>5.2</w:t>
      </w:r>
      <w:r>
        <w:rPr>
          <w:rFonts w:ascii="Arial" w:hAnsi="Arial" w:cs="Arial"/>
          <w:sz w:val="20"/>
        </w:rPr>
        <w:tab/>
        <w:t>Risk in the Vehicle and the responsibility to insure the Vehicle will pass from the Dealer to the Purchaser when the Vehicle is delivered by the Dealer to the Purchaser, unless the Purchaser and the Dealer agree to some other arrangement and include it as a Special Condition of this Contract.  This applies whether delivery occurs at the Dealer’s Premises or any other location.</w:t>
      </w:r>
    </w:p>
    <w:p>
      <w:pPr>
        <w:pStyle w:val="yMiscellaneousHeading"/>
        <w:tabs>
          <w:tab w:val="left" w:pos="896"/>
        </w:tabs>
        <w:jc w:val="left"/>
        <w:rPr>
          <w:rFonts w:ascii="Arial" w:hAnsi="Arial" w:cs="Arial"/>
          <w:b/>
          <w:bCs/>
          <w:sz w:val="20"/>
        </w:rPr>
      </w:pPr>
      <w:r>
        <w:rPr>
          <w:rStyle w:val="CharSClsNo"/>
          <w:rFonts w:ascii="Arial" w:hAnsi="Arial" w:cs="Arial"/>
          <w:b/>
          <w:bCs/>
          <w:sz w:val="20"/>
        </w:rPr>
        <w:t>6</w:t>
      </w:r>
      <w:r>
        <w:rPr>
          <w:rFonts w:ascii="Arial" w:hAnsi="Arial" w:cs="Arial"/>
          <w:b/>
          <w:bCs/>
          <w:sz w:val="20"/>
        </w:rPr>
        <w:t>.</w:t>
      </w:r>
      <w:r>
        <w:rPr>
          <w:rFonts w:ascii="Arial" w:hAnsi="Arial" w:cs="Arial"/>
          <w:b/>
          <w:bCs/>
          <w:sz w:val="20"/>
        </w:rPr>
        <w:tab/>
        <w:t>TRADE</w:t>
      </w:r>
      <w:r>
        <w:rPr>
          <w:rFonts w:ascii="Arial" w:hAnsi="Arial" w:cs="Arial"/>
          <w:b/>
          <w:bCs/>
          <w:sz w:val="20"/>
        </w:rPr>
        <w:noBreakHyphen/>
        <w:t>IN VEHICLE</w:t>
      </w:r>
    </w:p>
    <w:p>
      <w:pPr>
        <w:pStyle w:val="yMiscellaneousBody"/>
        <w:tabs>
          <w:tab w:val="right" w:pos="595"/>
          <w:tab w:val="left" w:pos="879"/>
        </w:tabs>
        <w:ind w:left="882" w:hanging="882"/>
        <w:rPr>
          <w:rFonts w:ascii="Arial" w:hAnsi="Arial" w:cs="Arial"/>
          <w:sz w:val="20"/>
        </w:rPr>
      </w:pPr>
      <w:r>
        <w:rPr>
          <w:rFonts w:ascii="Arial" w:hAnsi="Arial" w:cs="Arial"/>
          <w:sz w:val="20"/>
        </w:rPr>
        <w:tab/>
        <w:t>6.1</w:t>
      </w:r>
      <w:r>
        <w:rPr>
          <w:rFonts w:ascii="Arial" w:hAnsi="Arial" w:cs="Arial"/>
          <w:sz w:val="20"/>
        </w:rPr>
        <w:tab/>
        <w:t>The Purchaser will deliver the Trade</w:t>
      </w:r>
      <w:r>
        <w:rPr>
          <w:rFonts w:ascii="Arial" w:hAnsi="Arial" w:cs="Arial"/>
          <w:sz w:val="20"/>
        </w:rPr>
        <w:noBreakHyphen/>
        <w:t>In Vehicle with Accessories to the Dealer in the same condition the Trade</w:t>
      </w:r>
      <w:r>
        <w:rPr>
          <w:rFonts w:ascii="Arial" w:hAnsi="Arial" w:cs="Arial"/>
          <w:sz w:val="20"/>
        </w:rPr>
        <w:noBreakHyphen/>
        <w:t>In Vehicle was in at the time it was valued by the Dealer for the purpose of this Contract, except for normal wear and tear.</w:t>
      </w:r>
    </w:p>
    <w:p>
      <w:pPr>
        <w:pStyle w:val="yMiscellaneousHeading"/>
        <w:tabs>
          <w:tab w:val="left" w:pos="896"/>
        </w:tabs>
        <w:jc w:val="left"/>
        <w:rPr>
          <w:rFonts w:ascii="Arial" w:hAnsi="Arial" w:cs="Arial"/>
          <w:b/>
          <w:bCs/>
          <w:sz w:val="20"/>
        </w:rPr>
      </w:pPr>
      <w:r>
        <w:rPr>
          <w:rStyle w:val="CharSClsNo"/>
          <w:rFonts w:ascii="Arial" w:hAnsi="Arial" w:cs="Arial"/>
          <w:b/>
          <w:bCs/>
          <w:sz w:val="20"/>
        </w:rPr>
        <w:t>7</w:t>
      </w:r>
      <w:r>
        <w:rPr>
          <w:rFonts w:ascii="Arial" w:hAnsi="Arial" w:cs="Arial"/>
          <w:b/>
          <w:bCs/>
          <w:sz w:val="20"/>
        </w:rPr>
        <w:t>.</w:t>
      </w:r>
      <w:r>
        <w:rPr>
          <w:rFonts w:ascii="Arial" w:hAnsi="Arial" w:cs="Arial"/>
          <w:b/>
          <w:bCs/>
          <w:sz w:val="20"/>
        </w:rPr>
        <w:tab/>
        <w:t>PURCHASER’S RIGHT TO TERMINATE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7.1</w:t>
      </w:r>
      <w:r>
        <w:rPr>
          <w:rFonts w:ascii="Arial" w:hAnsi="Arial" w:cs="Arial"/>
          <w:sz w:val="20"/>
        </w:rPr>
        <w:tab/>
        <w:t>The Purchaser may terminate this Contract if the Dealer has breached any of the obligations imposed on the Dealer by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7.2</w:t>
      </w:r>
      <w:r>
        <w:rPr>
          <w:rFonts w:ascii="Arial" w:hAnsi="Arial" w:cs="Arial"/>
          <w:sz w:val="20"/>
        </w:rPr>
        <w:tab/>
        <w:t>If this Contract is validly terminated by the Purchaser, the Dealer must immediately refund any deposit paid and return any Trade</w:t>
      </w:r>
      <w:r>
        <w:rPr>
          <w:rFonts w:ascii="Arial" w:hAnsi="Arial" w:cs="Arial"/>
          <w:sz w:val="20"/>
        </w:rPr>
        <w:noBreakHyphen/>
        <w:t>In Vehicle to the Purchaser.  If, in the event the Trade</w:t>
      </w:r>
      <w:r>
        <w:rPr>
          <w:rFonts w:ascii="Arial" w:hAnsi="Arial" w:cs="Arial"/>
          <w:sz w:val="20"/>
        </w:rPr>
        <w:noBreakHyphen/>
        <w:t>In Vehicle has been sold, the cash equivalent of the Trade</w:t>
      </w:r>
      <w:r>
        <w:rPr>
          <w:rFonts w:ascii="Arial" w:hAnsi="Arial" w:cs="Arial"/>
          <w:sz w:val="20"/>
        </w:rPr>
        <w:noBreakHyphen/>
        <w:t>In Vehicle value determined at the commencement of the Contract shall be refunded to the Purchaser.</w:t>
      </w:r>
    </w:p>
    <w:p>
      <w:pPr>
        <w:pStyle w:val="yMiscellaneousHeading"/>
        <w:tabs>
          <w:tab w:val="left" w:pos="896"/>
        </w:tabs>
        <w:jc w:val="left"/>
        <w:rPr>
          <w:rFonts w:ascii="Arial" w:hAnsi="Arial" w:cs="Arial"/>
          <w:b/>
          <w:bCs/>
          <w:sz w:val="20"/>
        </w:rPr>
      </w:pPr>
      <w:r>
        <w:rPr>
          <w:rStyle w:val="CharSClsNo"/>
          <w:rFonts w:ascii="Arial" w:hAnsi="Arial" w:cs="Arial"/>
          <w:b/>
          <w:bCs/>
          <w:sz w:val="20"/>
        </w:rPr>
        <w:t>8</w:t>
      </w:r>
      <w:r>
        <w:rPr>
          <w:rFonts w:ascii="Arial" w:hAnsi="Arial" w:cs="Arial"/>
          <w:b/>
          <w:bCs/>
          <w:sz w:val="20"/>
        </w:rPr>
        <w:t>.</w:t>
      </w:r>
      <w:r>
        <w:rPr>
          <w:rFonts w:ascii="Arial" w:hAnsi="Arial" w:cs="Arial"/>
          <w:b/>
          <w:bCs/>
          <w:sz w:val="20"/>
        </w:rPr>
        <w:tab/>
        <w:t>DEALER’S RIGHT TO TERMINATE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8.1</w:t>
      </w:r>
      <w:r>
        <w:rPr>
          <w:rFonts w:ascii="Arial" w:hAnsi="Arial" w:cs="Arial"/>
          <w:sz w:val="20"/>
        </w:rPr>
        <w:tab/>
        <w:t>The Dealer may terminate this Contract if the Purchaser has breached any of the obligations imposed on the Purchaser by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8.2</w:t>
      </w:r>
      <w:r>
        <w:rPr>
          <w:rFonts w:ascii="Arial" w:hAnsi="Arial" w:cs="Arial"/>
          <w:sz w:val="20"/>
        </w:rPr>
        <w:tab/>
        <w:t>If this Contract is validly terminated by the Dealer, the Dealer may seek an amount up to, but not exceeding, 5% of the Total Purchase Price of the Vehicle as pre</w:t>
      </w:r>
      <w:r>
        <w:rPr>
          <w:rFonts w:ascii="Arial" w:hAnsi="Arial" w:cs="Arial"/>
          <w:sz w:val="20"/>
        </w:rPr>
        <w:noBreakHyphen/>
        <w:t>estimated damages.</w:t>
      </w:r>
    </w:p>
    <w:p>
      <w:pPr>
        <w:pStyle w:val="zyMiscellaneousBodyArial"/>
        <w:tabs>
          <w:tab w:val="left" w:pos="284"/>
        </w:tabs>
        <w:ind w:left="851" w:hanging="851"/>
      </w:pPr>
      <w:r>
        <w:tab/>
        <w:t>8.3</w:t>
      </w:r>
      <w:r>
        <w:tab/>
        <w:t xml:space="preserve">Any amount sought by </w:t>
      </w:r>
      <w:r>
        <w:rPr>
          <w:szCs w:val="18"/>
        </w:rPr>
        <w:t>the</w:t>
      </w:r>
      <w:r>
        <w:t xml:space="preserve"> Dealer under Clause 8.2 must be a genuine estimate of the Dealer’s loss arising from the Purchaser’s breach of the obligations imposed on the Purchaser by this Contract.</w:t>
      </w:r>
    </w:p>
    <w:p>
      <w:pPr>
        <w:pStyle w:val="zyMiscellaneousBodyArial"/>
        <w:tabs>
          <w:tab w:val="left" w:pos="284"/>
        </w:tabs>
        <w:ind w:left="851" w:hanging="851"/>
      </w:pPr>
      <w:r>
        <w:rPr>
          <w:szCs w:val="18"/>
        </w:rPr>
        <w:tab/>
      </w:r>
      <w:r>
        <w:t>8.4</w:t>
      </w:r>
      <w:r>
        <w:tab/>
        <w:t>Any deposit paid by the Purchaser may be used by the Dealer to meet the pre</w:t>
      </w:r>
      <w:r>
        <w:noBreakHyphen/>
        <w:t>estimated damages payable by the Purchaser. Any surplus will be refunded to the Purchaser.</w:t>
      </w:r>
    </w:p>
    <w:p>
      <w:pPr>
        <w:pStyle w:val="yMiscellaneousHeading"/>
        <w:tabs>
          <w:tab w:val="left" w:pos="896"/>
        </w:tabs>
        <w:jc w:val="left"/>
        <w:rPr>
          <w:rFonts w:ascii="Arial" w:hAnsi="Arial" w:cs="Arial"/>
          <w:b/>
          <w:bCs/>
          <w:sz w:val="20"/>
        </w:rPr>
      </w:pPr>
      <w:r>
        <w:rPr>
          <w:rStyle w:val="CharSClsNo"/>
          <w:rFonts w:ascii="Arial" w:hAnsi="Arial" w:cs="Arial"/>
          <w:b/>
          <w:bCs/>
          <w:sz w:val="20"/>
        </w:rPr>
        <w:lastRenderedPageBreak/>
        <w:t>9</w:t>
      </w:r>
      <w:r>
        <w:rPr>
          <w:rFonts w:ascii="Arial" w:hAnsi="Arial" w:cs="Arial"/>
          <w:b/>
          <w:bCs/>
          <w:sz w:val="20"/>
        </w:rPr>
        <w:t>.</w:t>
      </w:r>
      <w:r>
        <w:rPr>
          <w:rFonts w:ascii="Arial" w:hAnsi="Arial" w:cs="Arial"/>
          <w:b/>
          <w:bCs/>
          <w:sz w:val="20"/>
        </w:rPr>
        <w:tab/>
        <w:t>NOTICES</w:t>
      </w:r>
    </w:p>
    <w:p>
      <w:pPr>
        <w:pStyle w:val="yMiscellaneousBody"/>
        <w:tabs>
          <w:tab w:val="right" w:pos="595"/>
          <w:tab w:val="left" w:pos="879"/>
        </w:tabs>
        <w:ind w:left="882" w:hanging="882"/>
        <w:rPr>
          <w:rFonts w:ascii="Arial" w:hAnsi="Arial" w:cs="Arial"/>
          <w:sz w:val="20"/>
        </w:rPr>
      </w:pPr>
      <w:r>
        <w:rPr>
          <w:rFonts w:ascii="Arial" w:hAnsi="Arial" w:cs="Arial"/>
          <w:sz w:val="20"/>
        </w:rPr>
        <w:tab/>
        <w:t>9.1</w:t>
      </w:r>
      <w:r>
        <w:rPr>
          <w:rFonts w:ascii="Arial" w:hAnsi="Arial" w:cs="Arial"/>
          <w:sz w:val="20"/>
        </w:rPr>
        <w:tab/>
        <w:t>All Notices required by this Contract may be given by direct communication, telephone, electronically, fax or post to the addresses and numbers included in this Contract.</w:t>
      </w:r>
    </w:p>
    <w:p>
      <w:pPr>
        <w:pStyle w:val="yMiscellaneousBody"/>
        <w:tabs>
          <w:tab w:val="right" w:pos="595"/>
          <w:tab w:val="left" w:pos="879"/>
        </w:tabs>
        <w:ind w:left="882" w:hanging="882"/>
        <w:rPr>
          <w:rFonts w:ascii="Arial" w:hAnsi="Arial" w:cs="Arial"/>
          <w:sz w:val="20"/>
        </w:rPr>
      </w:pPr>
      <w:r>
        <w:rPr>
          <w:rFonts w:ascii="Arial" w:hAnsi="Arial" w:cs="Arial"/>
          <w:sz w:val="20"/>
        </w:rPr>
        <w:tab/>
        <w:t>9.2</w:t>
      </w:r>
      <w:r>
        <w:rPr>
          <w:rFonts w:ascii="Arial" w:hAnsi="Arial" w:cs="Arial"/>
          <w:sz w:val="20"/>
        </w:rPr>
        <w:tab/>
        <w:t>If sent by post, a Notice will be considered to have been received, unless the contrary is shown, at the time when the Notice would have been delivered in the ordinary course of the post.</w:t>
      </w:r>
    </w:p>
    <w:p>
      <w:pPr>
        <w:pStyle w:val="yFootnotesection"/>
      </w:pPr>
      <w:r>
        <w:tab/>
        <w:t>[Schedule 5, formerly Fifth Schedule, inserted: Gazette 13 Aug 2002 p. 4169</w:t>
      </w:r>
      <w:r>
        <w:noBreakHyphen/>
        <w:t>71; amended: SL 2021/164 r. 22; SL 2024/33 r. 11.]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pgSz w:w="11907" w:h="16840" w:code="9"/>
          <w:pgMar w:top="2376" w:right="2405" w:bottom="3542" w:left="2405" w:header="706" w:footer="3544" w:gutter="0"/>
          <w:cols w:space="720"/>
          <w:noEndnote/>
          <w:docGrid w:linePitch="326"/>
        </w:sectPr>
      </w:pPr>
    </w:p>
    <w:p>
      <w:pPr>
        <w:pStyle w:val="nHeading2"/>
      </w:pPr>
      <w:bookmarkStart w:id="107" w:name="_Toc168386275"/>
      <w:bookmarkStart w:id="108" w:name="_Toc168391379"/>
      <w:bookmarkStart w:id="109" w:name="_Toc168391489"/>
      <w:bookmarkStart w:id="110" w:name="_Toc168393103"/>
      <w:r>
        <w:lastRenderedPageBreak/>
        <w:t>Notes</w:t>
      </w:r>
      <w:bookmarkEnd w:id="107"/>
      <w:bookmarkEnd w:id="108"/>
      <w:bookmarkEnd w:id="109"/>
      <w:bookmarkEnd w:id="110"/>
    </w:p>
    <w:p>
      <w:pPr>
        <w:pStyle w:val="nStatement"/>
      </w:pPr>
      <w:r>
        <w:t xml:space="preserve">This is a compilation of the </w:t>
      </w:r>
      <w:r>
        <w:rPr>
          <w:i/>
          <w:noProof/>
        </w:rPr>
        <w:t>Motor Vehicle Dealers (Sales) Regulations 1974</w:t>
      </w:r>
      <w:r>
        <w:t xml:space="preserve"> and includes amendments made by other written laws. For provisions that have come into operation, and for information about any reprints, see the compilation table. </w:t>
      </w:r>
    </w:p>
    <w:p>
      <w:pPr>
        <w:pStyle w:val="nHeading3"/>
      </w:pPr>
      <w:bookmarkStart w:id="111" w:name="_Toc168393104"/>
      <w:r>
        <w:t>Compilation table</w:t>
      </w:r>
      <w:bookmarkEnd w:id="1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Motor Vehicle Dealers (Sales) Regulations 1974</w:t>
            </w:r>
          </w:p>
        </w:tc>
        <w:tc>
          <w:tcPr>
            <w:tcW w:w="1276" w:type="dxa"/>
          </w:tcPr>
          <w:p>
            <w:pPr>
              <w:pStyle w:val="nTable"/>
              <w:spacing w:after="40"/>
            </w:pPr>
            <w:r>
              <w:t>14 Jun 1974 p. 1926</w:t>
            </w:r>
            <w:r>
              <w:noBreakHyphen/>
              <w:t>36</w:t>
            </w:r>
          </w:p>
        </w:tc>
        <w:tc>
          <w:tcPr>
            <w:tcW w:w="2693" w:type="dxa"/>
          </w:tcPr>
          <w:p>
            <w:pPr>
              <w:pStyle w:val="nTable"/>
              <w:spacing w:after="40"/>
            </w:pPr>
            <w:r>
              <w:t>12 Aug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Cs/>
              </w:rPr>
              <w:t>Untitled regulations</w:t>
            </w:r>
          </w:p>
        </w:tc>
        <w:tc>
          <w:tcPr>
            <w:tcW w:w="1276" w:type="dxa"/>
          </w:tcPr>
          <w:p>
            <w:pPr>
              <w:pStyle w:val="nTable"/>
              <w:spacing w:after="40"/>
            </w:pPr>
            <w:r>
              <w:t>11 Oct 1974 p. 3885</w:t>
            </w:r>
            <w:r>
              <w:noBreakHyphen/>
              <w:t>6</w:t>
            </w:r>
          </w:p>
        </w:tc>
        <w:tc>
          <w:tcPr>
            <w:tcW w:w="2693" w:type="dxa"/>
          </w:tcPr>
          <w:p>
            <w:pPr>
              <w:pStyle w:val="nTable"/>
              <w:spacing w:after="40"/>
            </w:pPr>
            <w:r>
              <w:t>11 Oct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Cs/>
              </w:rPr>
              <w:t>Untitled regulations</w:t>
            </w:r>
          </w:p>
        </w:tc>
        <w:tc>
          <w:tcPr>
            <w:tcW w:w="1276" w:type="dxa"/>
          </w:tcPr>
          <w:p>
            <w:pPr>
              <w:pStyle w:val="nTable"/>
              <w:spacing w:after="40"/>
            </w:pPr>
            <w:r>
              <w:t>23 May 1975 p. 1428</w:t>
            </w:r>
            <w:r>
              <w:noBreakHyphen/>
              <w:t>9</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Cs/>
              </w:rPr>
              <w:t>Untitled regulations</w:t>
            </w:r>
          </w:p>
        </w:tc>
        <w:tc>
          <w:tcPr>
            <w:tcW w:w="1276" w:type="dxa"/>
          </w:tcPr>
          <w:p>
            <w:pPr>
              <w:pStyle w:val="nTable"/>
              <w:spacing w:after="40"/>
            </w:pPr>
            <w:r>
              <w:t>14 Nov 1975 p. 4220</w:t>
            </w:r>
          </w:p>
        </w:tc>
        <w:tc>
          <w:tcPr>
            <w:tcW w:w="2693" w:type="dxa"/>
          </w:tcPr>
          <w:p>
            <w:pPr>
              <w:pStyle w:val="nTable"/>
              <w:spacing w:after="40"/>
            </w:pPr>
            <w:r>
              <w:t>14 Nov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Cs/>
              </w:rPr>
              <w:t>Untitled regulations</w:t>
            </w:r>
          </w:p>
        </w:tc>
        <w:tc>
          <w:tcPr>
            <w:tcW w:w="1276" w:type="dxa"/>
          </w:tcPr>
          <w:p>
            <w:pPr>
              <w:pStyle w:val="nTable"/>
              <w:spacing w:after="40"/>
            </w:pPr>
            <w:r>
              <w:t>28 May 1976 p. 1613</w:t>
            </w:r>
            <w:r>
              <w:noBreakHyphen/>
              <w:t>14</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Cs/>
              </w:rPr>
              <w:t>Untitled regulations</w:t>
            </w:r>
          </w:p>
        </w:tc>
        <w:tc>
          <w:tcPr>
            <w:tcW w:w="1276" w:type="dxa"/>
          </w:tcPr>
          <w:p>
            <w:pPr>
              <w:pStyle w:val="nTable"/>
              <w:spacing w:after="40"/>
            </w:pPr>
            <w:r>
              <w:t>27 Aug 1976 p. 3259</w:t>
            </w:r>
          </w:p>
        </w:tc>
        <w:tc>
          <w:tcPr>
            <w:tcW w:w="2693" w:type="dxa"/>
          </w:tcPr>
          <w:p>
            <w:pPr>
              <w:pStyle w:val="nTable"/>
              <w:spacing w:after="40"/>
            </w:pPr>
            <w:r>
              <w:t>27 Aug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Cs/>
              </w:rPr>
              <w:t>Untitled regulations</w:t>
            </w:r>
          </w:p>
        </w:tc>
        <w:tc>
          <w:tcPr>
            <w:tcW w:w="1276" w:type="dxa"/>
          </w:tcPr>
          <w:p>
            <w:pPr>
              <w:pStyle w:val="nTable"/>
              <w:spacing w:after="40"/>
            </w:pPr>
            <w:r>
              <w:t>21 Dec 1979 p. 3988</w:t>
            </w:r>
            <w:r>
              <w:noBreakHyphen/>
              <w:t>9</w:t>
            </w:r>
          </w:p>
        </w:tc>
        <w:tc>
          <w:tcPr>
            <w:tcW w:w="2693" w:type="dxa"/>
          </w:tcPr>
          <w:p>
            <w:pPr>
              <w:pStyle w:val="nTable"/>
              <w:spacing w:after="40"/>
            </w:pPr>
            <w:r>
              <w:t>1 Jan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1981</w:t>
            </w:r>
          </w:p>
        </w:tc>
        <w:tc>
          <w:tcPr>
            <w:tcW w:w="1276" w:type="dxa"/>
          </w:tcPr>
          <w:p>
            <w:pPr>
              <w:pStyle w:val="nTable"/>
              <w:spacing w:after="40"/>
            </w:pPr>
            <w:r>
              <w:t>26 Jun 1981 p. 2364</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1982</w:t>
            </w:r>
          </w:p>
        </w:tc>
        <w:tc>
          <w:tcPr>
            <w:tcW w:w="1276" w:type="dxa"/>
          </w:tcPr>
          <w:p>
            <w:pPr>
              <w:pStyle w:val="nTable"/>
              <w:spacing w:after="40"/>
            </w:pPr>
            <w:r>
              <w:t>2 Feb 1982 p. 396</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(No. 2) 1982</w:t>
            </w:r>
          </w:p>
        </w:tc>
        <w:tc>
          <w:tcPr>
            <w:tcW w:w="1276" w:type="dxa"/>
          </w:tcPr>
          <w:p>
            <w:pPr>
              <w:pStyle w:val="nTable"/>
              <w:spacing w:after="40"/>
            </w:pPr>
            <w:r>
              <w:t>27 Aug 1982 p. 3425</w:t>
            </w:r>
            <w:r>
              <w:noBreakHyphen/>
              <w:t>6</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(No. 3) 1982</w:t>
            </w:r>
          </w:p>
        </w:tc>
        <w:tc>
          <w:tcPr>
            <w:tcW w:w="1276" w:type="dxa"/>
          </w:tcPr>
          <w:p>
            <w:pPr>
              <w:pStyle w:val="nTable"/>
              <w:spacing w:after="40"/>
            </w:pPr>
            <w:r>
              <w:t>29 Oct 1982 p. 4355</w:t>
            </w:r>
          </w:p>
        </w:tc>
        <w:tc>
          <w:tcPr>
            <w:tcW w:w="2693" w:type="dxa"/>
          </w:tcPr>
          <w:p>
            <w:pPr>
              <w:pStyle w:val="nTable"/>
              <w:spacing w:after="40"/>
            </w:pPr>
            <w:r>
              <w:t>29 Oct 1982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Motor Vehicle Dealers (Sales) Regulations 1974</w:t>
            </w:r>
            <w:r>
              <w:rPr>
                <w:b/>
                <w:bCs/>
              </w:rPr>
              <w:t xml:space="preserve"> dated 10 Apr 1984 in </w:t>
            </w:r>
            <w:r>
              <w:rPr>
                <w:b/>
                <w:bCs/>
                <w:i/>
                <w:iCs/>
              </w:rPr>
              <w:t>Gazette</w:t>
            </w:r>
            <w:r>
              <w:rPr>
                <w:b/>
                <w:bCs/>
              </w:rPr>
              <w:t xml:space="preserve"> 16 Apr 1984 p. 1061</w:t>
            </w:r>
            <w:r>
              <w:rPr>
                <w:b/>
                <w:bCs/>
              </w:rPr>
              <w:noBreakHyphen/>
              <w:t>74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Motor Vehicle Dealers (Sales) Amendment Regulations 1984</w:t>
            </w:r>
          </w:p>
        </w:tc>
        <w:tc>
          <w:tcPr>
            <w:tcW w:w="1276" w:type="dxa"/>
          </w:tcPr>
          <w:p>
            <w:pPr>
              <w:pStyle w:val="nTable"/>
              <w:spacing w:after="40"/>
            </w:pPr>
            <w:r>
              <w:t>30 Nov 1984 p. 3997</w:t>
            </w:r>
          </w:p>
        </w:tc>
        <w:tc>
          <w:tcPr>
            <w:tcW w:w="2693" w:type="dxa"/>
          </w:tcPr>
          <w:p>
            <w:pPr>
              <w:pStyle w:val="nTable"/>
              <w:spacing w:after="40"/>
            </w:pPr>
            <w:r>
              <w:t>1 Jan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Motor Vehicle Dealers (Sales) Amendment Regulations 1988</w:t>
            </w:r>
          </w:p>
        </w:tc>
        <w:tc>
          <w:tcPr>
            <w:tcW w:w="1276" w:type="dxa"/>
          </w:tcPr>
          <w:p>
            <w:pPr>
              <w:pStyle w:val="nTable"/>
              <w:spacing w:after="40"/>
            </w:pPr>
            <w:r>
              <w:t>5 Aug 1988 p. 2629</w:t>
            </w:r>
          </w:p>
        </w:tc>
        <w:tc>
          <w:tcPr>
            <w:tcW w:w="2693" w:type="dxa"/>
          </w:tcPr>
          <w:p>
            <w:pPr>
              <w:pStyle w:val="nTable"/>
              <w:spacing w:after="40"/>
            </w:pPr>
            <w:r>
              <w:t>2 Sep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lastRenderedPageBreak/>
              <w:t>Motor Vehicle Dealers (Sales) Amendment Regulations 1989</w:t>
            </w:r>
          </w:p>
        </w:tc>
        <w:tc>
          <w:tcPr>
            <w:tcW w:w="1276" w:type="dxa"/>
          </w:tcPr>
          <w:p>
            <w:pPr>
              <w:pStyle w:val="nTable"/>
              <w:spacing w:after="40"/>
            </w:pPr>
            <w:r>
              <w:t>25 Aug 1989 p. 2874</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1998</w:t>
            </w:r>
          </w:p>
        </w:tc>
        <w:tc>
          <w:tcPr>
            <w:tcW w:w="1276" w:type="dxa"/>
          </w:tcPr>
          <w:p>
            <w:pPr>
              <w:pStyle w:val="nTable"/>
              <w:spacing w:after="40"/>
            </w:pPr>
            <w:r>
              <w:t>26 Jun 1998 p. 3375</w:t>
            </w:r>
            <w:r>
              <w:noBreakHyphen/>
              <w:t>80</w:t>
            </w:r>
          </w:p>
        </w:tc>
        <w:tc>
          <w:tcPr>
            <w:tcW w:w="2693" w:type="dxa"/>
          </w:tcPr>
          <w:p>
            <w:pPr>
              <w:pStyle w:val="nTable"/>
              <w:spacing w:after="40"/>
            </w:pPr>
            <w:r>
              <w:t>26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(No. 2) 1998</w:t>
            </w:r>
          </w:p>
        </w:tc>
        <w:tc>
          <w:tcPr>
            <w:tcW w:w="1276" w:type="dxa"/>
          </w:tcPr>
          <w:p>
            <w:pPr>
              <w:pStyle w:val="nTable"/>
              <w:spacing w:after="40"/>
            </w:pPr>
            <w:r>
              <w:t>18 Sep 1998 p. 5157</w:t>
            </w:r>
            <w:r>
              <w:noBreakHyphen/>
              <w:t>8</w:t>
            </w:r>
          </w:p>
        </w:tc>
        <w:tc>
          <w:tcPr>
            <w:tcW w:w="2693" w:type="dxa"/>
          </w:tcPr>
          <w:p>
            <w:pPr>
              <w:pStyle w:val="nTable"/>
              <w:spacing w:after="40"/>
            </w:pPr>
            <w:r>
              <w:t>26 Dec 1998 (see r. 2 and </w:t>
            </w:r>
            <w:r>
              <w:rPr>
                <w:i/>
              </w:rPr>
              <w:t>Gazette</w:t>
            </w:r>
            <w:r>
              <w:t xml:space="preserve"> 26 Jun 1998 p. 3375)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Motor Vehicle Dealers (Sales) Regulations 1974</w:t>
            </w:r>
            <w:r>
              <w:rPr>
                <w:b/>
                <w:bCs/>
              </w:rPr>
              <w:t xml:space="preserve"> as at 2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2002</w:t>
            </w:r>
          </w:p>
        </w:tc>
        <w:tc>
          <w:tcPr>
            <w:tcW w:w="1276" w:type="dxa"/>
          </w:tcPr>
          <w:p>
            <w:pPr>
              <w:pStyle w:val="nTable"/>
              <w:spacing w:after="40"/>
            </w:pPr>
            <w:r>
              <w:t>13 Aug 2002 p. 4159</w:t>
            </w:r>
            <w:r>
              <w:noBreakHyphen/>
              <w:t>71</w:t>
            </w:r>
          </w:p>
        </w:tc>
        <w:tc>
          <w:tcPr>
            <w:tcW w:w="2693" w:type="dxa"/>
          </w:tcPr>
          <w:p>
            <w:pPr>
              <w:pStyle w:val="nTable"/>
              <w:spacing w:after="40"/>
            </w:pPr>
            <w:r>
              <w:t xml:space="preserve">1 Sep 2002 (see r.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(No. 2) 2002</w:t>
            </w:r>
          </w:p>
        </w:tc>
        <w:tc>
          <w:tcPr>
            <w:tcW w:w="1276" w:type="dxa"/>
          </w:tcPr>
          <w:p>
            <w:pPr>
              <w:pStyle w:val="nTable"/>
              <w:spacing w:after="40"/>
            </w:pPr>
            <w:r>
              <w:t>30 Aug 2002 p. 4455</w:t>
            </w:r>
            <w:r>
              <w:noBreakHyphen/>
              <w:t>6</w:t>
            </w:r>
          </w:p>
        </w:tc>
        <w:tc>
          <w:tcPr>
            <w:tcW w:w="2693" w:type="dxa"/>
          </w:tcPr>
          <w:p>
            <w:pPr>
              <w:pStyle w:val="nTable"/>
              <w:spacing w:after="40"/>
            </w:pPr>
            <w:r>
              <w:t xml:space="preserve">1 Sep 2002 (see r. 2 and </w:t>
            </w:r>
            <w:r>
              <w:rPr>
                <w:i/>
              </w:rPr>
              <w:t>Gazette</w:t>
            </w:r>
            <w:r>
              <w:t xml:space="preserve"> 13 Aug 2002 p. 4159 and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Motor Vehicle Dealers (Sales) Amendment Regulations 2006 </w:t>
            </w:r>
          </w:p>
        </w:tc>
        <w:tc>
          <w:tcPr>
            <w:tcW w:w="1276" w:type="dxa"/>
          </w:tcPr>
          <w:p>
            <w:pPr>
              <w:pStyle w:val="nTable"/>
              <w:spacing w:after="40"/>
            </w:pPr>
            <w:r>
              <w:t>17 Nov 2006 p. 4750</w:t>
            </w:r>
            <w:r>
              <w:noBreakHyphen/>
              <w:t>9</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Motor Vehicle Dealers (Sales) Regulations 1974</w:t>
            </w:r>
            <w:r>
              <w:rPr>
                <w:b/>
                <w:bCs/>
              </w:rPr>
              <w:t xml:space="preserve"> as at 16 Feb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(No. 2) 2011</w:t>
            </w:r>
          </w:p>
        </w:tc>
        <w:tc>
          <w:tcPr>
            <w:tcW w:w="1276" w:type="dxa"/>
          </w:tcPr>
          <w:p>
            <w:pPr>
              <w:pStyle w:val="nTable"/>
              <w:spacing w:after="40"/>
            </w:pPr>
            <w:r>
              <w:t>30 Jun 2011 p. 2659-60</w:t>
            </w:r>
          </w:p>
        </w:tc>
        <w:tc>
          <w:tcPr>
            <w:tcW w:w="2693" w:type="dxa"/>
          </w:tcPr>
          <w:p>
            <w:pPr>
              <w:pStyle w:val="nTable"/>
              <w:spacing w:after="40"/>
            </w:pPr>
            <w:r>
              <w:t>r. 1 and 2: 30 Jun 2011 (see r. 1(a));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2014</w:t>
            </w:r>
          </w:p>
        </w:tc>
        <w:tc>
          <w:tcPr>
            <w:tcW w:w="1276" w:type="dxa"/>
          </w:tcPr>
          <w:p>
            <w:pPr>
              <w:pStyle w:val="nTable"/>
              <w:spacing w:after="40"/>
            </w:pPr>
            <w:r>
              <w:t>8 Jan 2015 p. 89</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Motor Vehicle Dealers (Sales) Amendment Regulations 2015</w:t>
            </w:r>
          </w:p>
        </w:tc>
        <w:tc>
          <w:tcPr>
            <w:tcW w:w="1276" w:type="dxa"/>
          </w:tcPr>
          <w:p>
            <w:pPr>
              <w:pStyle w:val="nTable"/>
              <w:spacing w:after="40"/>
            </w:pPr>
            <w:r>
              <w:t>30 Jun 2015 p. 2330</w:t>
            </w:r>
            <w:r>
              <w:noBreakHyphen/>
              <w:t>1</w:t>
            </w:r>
          </w:p>
        </w:tc>
        <w:tc>
          <w:tcPr>
            <w:tcW w:w="2693" w:type="dxa"/>
          </w:tcPr>
          <w:p>
            <w:pPr>
              <w:pStyle w:val="nTable"/>
              <w:spacing w:after="40"/>
              <w:rPr>
                <w:snapToGrid w:val="0"/>
                <w:spacing w:val="-2"/>
              </w:rPr>
            </w:pPr>
            <w:r>
              <w:rPr>
                <w:snapToGrid w:val="0"/>
                <w:spacing w:val="-2"/>
              </w:rPr>
              <w:t>r. 1 and 2: 30 Jun 2015 (see r. 2(a));</w:t>
            </w:r>
            <w:r>
              <w:rPr>
                <w:snapToGrid w:val="0"/>
                <w:spacing w:val="-2"/>
              </w:rPr>
              <w:br/>
              <w:t>Regulations other than r. 1 and 2: 1 Jul 2015 (see r. 2(b))</w:t>
            </w:r>
          </w:p>
        </w:tc>
      </w:tr>
      <w:tr>
        <w:trPr>
          <w:cantSplit/>
        </w:trPr>
        <w:tc>
          <w:tcPr>
            <w:tcW w:w="3119" w:type="dxa"/>
            <w:tcBorders>
              <w:top w:val="nil"/>
              <w:bottom w:val="nil"/>
            </w:tcBorders>
          </w:tcPr>
          <w:p>
            <w:pPr>
              <w:pStyle w:val="nTable"/>
              <w:spacing w:after="40"/>
              <w:ind w:right="170"/>
            </w:pPr>
            <w:r>
              <w:rPr>
                <w:i/>
              </w:rPr>
              <w:t>Licensing Provisions Regulations Amendment Regulations 2017</w:t>
            </w:r>
            <w:r>
              <w:t xml:space="preserve"> Pt. 5</w:t>
            </w:r>
          </w:p>
        </w:tc>
        <w:tc>
          <w:tcPr>
            <w:tcW w:w="1276" w:type="dxa"/>
            <w:tcBorders>
              <w:top w:val="nil"/>
              <w:bottom w:val="nil"/>
            </w:tcBorders>
          </w:tcPr>
          <w:p>
            <w:pPr>
              <w:pStyle w:val="nTable"/>
              <w:spacing w:after="40"/>
            </w:pPr>
            <w:r>
              <w:t>27 Jun 2017 p. 3408</w:t>
            </w:r>
            <w:r>
              <w:noBreakHyphen/>
              <w:t>16</w:t>
            </w:r>
          </w:p>
        </w:tc>
        <w:tc>
          <w:tcPr>
            <w:tcW w:w="2693" w:type="dxa"/>
            <w:tcBorders>
              <w:top w:val="nil"/>
              <w:bottom w:val="nil"/>
            </w:tcBorders>
          </w:tcPr>
          <w:p>
            <w:pPr>
              <w:pStyle w:val="nTable"/>
              <w:spacing w:after="40"/>
              <w:rPr>
                <w:snapToGrid w:val="0"/>
                <w:spacing w:val="-2"/>
              </w:rPr>
            </w:pPr>
            <w:r>
              <w:t>1 Jul 2017 (see r. 2(b))</w:t>
            </w:r>
          </w:p>
        </w:tc>
      </w:tr>
      <w:tr>
        <w:trPr>
          <w:cantSplit/>
        </w:trPr>
        <w:tc>
          <w:tcPr>
            <w:tcW w:w="3119" w:type="dxa"/>
            <w:tcBorders>
              <w:top w:val="nil"/>
              <w:bottom w:val="nil"/>
            </w:tcBorders>
          </w:tcPr>
          <w:p>
            <w:pPr>
              <w:pStyle w:val="nTable"/>
              <w:spacing w:after="40"/>
              <w:ind w:right="170"/>
            </w:pPr>
            <w:r>
              <w:rPr>
                <w:i/>
              </w:rPr>
              <w:t>Commerce Regulations Amendment (Motor Vehicle Dealers and Repairers) Regulations 2021</w:t>
            </w:r>
            <w:r>
              <w:t xml:space="preserve"> Pt. 4</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Pt. 4 (other than r. 22): 25 Sep 2021 (see r. 2(c));</w:t>
            </w:r>
            <w:r>
              <w:br/>
              <w:t>r. 22: 1 Jan 2022 (see r. 2(b))</w:t>
            </w:r>
          </w:p>
        </w:tc>
      </w:tr>
      <w:tr>
        <w:trPr>
          <w:cantSplit/>
        </w:trPr>
        <w:tc>
          <w:tcPr>
            <w:tcW w:w="3119" w:type="dxa"/>
            <w:tcBorders>
              <w:top w:val="nil"/>
              <w:bottom w:val="single" w:sz="4" w:space="0" w:color="auto"/>
            </w:tcBorders>
          </w:tcPr>
          <w:p>
            <w:pPr>
              <w:pStyle w:val="nTable"/>
              <w:spacing w:after="40"/>
              <w:ind w:right="170"/>
              <w:rPr>
                <w:i/>
              </w:rPr>
            </w:pPr>
            <w:r>
              <w:rPr>
                <w:i/>
              </w:rPr>
              <w:t>Motor Vehicle Dealers (Sales) Amendment Regulations 2024</w:t>
            </w:r>
          </w:p>
        </w:tc>
        <w:tc>
          <w:tcPr>
            <w:tcW w:w="1276" w:type="dxa"/>
            <w:tcBorders>
              <w:top w:val="nil"/>
              <w:bottom w:val="single" w:sz="4" w:space="0" w:color="auto"/>
            </w:tcBorders>
          </w:tcPr>
          <w:p>
            <w:pPr>
              <w:pStyle w:val="nTable"/>
              <w:spacing w:after="40"/>
            </w:pPr>
            <w:r>
              <w:t>SL 2024/33 7 Mar 2024</w:t>
            </w:r>
          </w:p>
        </w:tc>
        <w:tc>
          <w:tcPr>
            <w:tcW w:w="2693" w:type="dxa"/>
            <w:tcBorders>
              <w:top w:val="nil"/>
              <w:bottom w:val="single" w:sz="4" w:space="0" w:color="auto"/>
            </w:tcBorders>
          </w:tcPr>
          <w:p>
            <w:pPr>
              <w:pStyle w:val="nTable"/>
              <w:spacing w:after="40"/>
            </w:pPr>
            <w:r>
              <w:rPr>
                <w:snapToGrid w:val="0"/>
                <w:spacing w:val="-2"/>
              </w:rPr>
              <w:t>r. 1 and 2: 7 Mar 2024 (see r. 2(a));</w:t>
            </w:r>
            <w:r>
              <w:rPr>
                <w:snapToGrid w:val="0"/>
                <w:spacing w:val="-2"/>
              </w:rPr>
              <w:br/>
              <w:t>Regulations other than r. 1 and 2: 7 Jun 2024 (see r. 2(b))</w:t>
            </w:r>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13" w:name="_Toc168393105"/>
      <w:r>
        <w:rPr>
          <w:sz w:val="28"/>
        </w:rPr>
        <w:lastRenderedPageBreak/>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corresponding</w:t>
      </w:r>
      <w:r>
        <w:tab/>
        <w:t>2</w:t>
      </w:r>
    </w:p>
    <w:p>
      <w:pPr>
        <w:pStyle w:val="DefinedTerms"/>
      </w:pPr>
      <w:r>
        <w:t>existing trust account</w:t>
      </w:r>
      <w:r>
        <w:tab/>
        <w:t>10NA(1)</w:t>
      </w:r>
    </w:p>
    <w:p>
      <w:pPr>
        <w:pStyle w:val="DefinedTerms"/>
      </w:pPr>
      <w:r>
        <w:t>Form</w:t>
      </w:r>
      <w:r>
        <w:tab/>
        <w:t>2</w:t>
      </w:r>
    </w:p>
    <w:p>
      <w:pPr>
        <w:pStyle w:val="DefinedTerms"/>
      </w:pPr>
      <w:r>
        <w:t>interstate written-off vehicle register</w:t>
      </w:r>
      <w:r>
        <w:tab/>
        <w:t>2</w:t>
      </w:r>
    </w:p>
    <w:p>
      <w:pPr>
        <w:pStyle w:val="DefinedTerms"/>
      </w:pPr>
      <w:r>
        <w:t>jurisdiction</w:t>
      </w:r>
      <w:r>
        <w:tab/>
        <w:t>2</w:t>
      </w:r>
    </w:p>
    <w:p>
      <w:pPr>
        <w:pStyle w:val="DefinedTerms"/>
      </w:pPr>
      <w:r>
        <w:t>previous audit period</w:t>
      </w:r>
      <w:r>
        <w:tab/>
        <w:t>10NA(1)</w:t>
      </w:r>
    </w:p>
    <w:p>
      <w:pPr>
        <w:pStyle w:val="DefinedTerms"/>
      </w:pPr>
      <w:r>
        <w:t>registered repairable write-off</w:t>
      </w:r>
      <w:r>
        <w:tab/>
        <w:t>2</w:t>
      </w:r>
    </w:p>
    <w:p>
      <w:pPr>
        <w:pStyle w:val="DefinedTerms"/>
      </w:pPr>
      <w:r>
        <w:t>repairable write-off</w:t>
      </w:r>
      <w:r>
        <w:tab/>
        <w:t>2</w:t>
      </w:r>
    </w:p>
    <w:p>
      <w:pPr>
        <w:pStyle w:val="DefinedTerms"/>
      </w:pPr>
      <w:r>
        <w:t>section</w:t>
      </w:r>
      <w:r>
        <w:tab/>
        <w:t>2</w:t>
      </w:r>
    </w:p>
    <w:p>
      <w:pPr>
        <w:pStyle w:val="DefinedTerms"/>
      </w:pPr>
      <w:r>
        <w:t>VIN</w:t>
      </w:r>
      <w:r>
        <w:tab/>
        <w:t>2</w:t>
      </w:r>
    </w:p>
    <w:p>
      <w:pPr>
        <w:pStyle w:val="DefinedTerms"/>
      </w:pPr>
      <w:r>
        <w:t>Written-Off Vehicle Register (WA)</w:t>
      </w:r>
      <w:r>
        <w:tab/>
        <w:t>2</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E4AA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4D8EC89" w14:textId="55AB736A" w:rsidR="003D0641" w:rsidRDefault="001607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2AA">
                        <w:rPr>
                          <w:sz w:val="16"/>
                        </w:rPr>
                        <w:t>2024</w:t>
                      </w:r>
                      <w:r>
                        <w:rPr>
                          <w:sz w:val="16"/>
                        </w:rPr>
                        <w:fldChar w:fldCharType="end"/>
                      </w:r>
                      <w:r>
                        <w:rPr>
                          <w:sz w:val="16"/>
                        </w:rPr>
                        <w:t>.</w:t>
                      </w:r>
                    </w:p>
                    <w:p w14:paraId="40F72AA5" w14:textId="77777777" w:rsidR="003D0641" w:rsidRDefault="001607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2BE4EA" w14:textId="2336AE32" w:rsidR="003D0641" w:rsidRDefault="001607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2AA">
                        <w:rPr>
                          <w:sz w:val="16"/>
                        </w:rPr>
                        <w:t>2024</w:t>
                      </w:r>
                      <w:r>
                        <w:rPr>
                          <w:sz w:val="16"/>
                        </w:rPr>
                        <w:fldChar w:fldCharType="end"/>
                      </w:r>
                      <w:r>
                        <w:rPr>
                          <w:sz w:val="16"/>
                        </w:rPr>
                        <w:t>.</w:t>
                      </w:r>
                    </w:p>
                    <w:p w14:paraId="5FF9D134" w14:textId="77777777" w:rsidR="003D0641" w:rsidRDefault="001607D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Vehicle consignment contract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(Sales)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4" w:name="DefinedTerms"/>
    <w:bookmarkEnd w:id="1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DECD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A42D5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C4AD0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1D8252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B840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D694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06BBF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88766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2E75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54D5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AB6665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5B4069"/>
    <w:multiLevelType w:val="hybridMultilevel"/>
    <w:tmpl w:val="8AE4D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73A3345"/>
    <w:multiLevelType w:val="hybridMultilevel"/>
    <w:tmpl w:val="122CAA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7"/>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4093541"/>
    <w:docVar w:name="WAFER_20140121110556" w:val="RemoveTocBookmarks,RemoveUnusedBookmarks,RemoveLanguageTags,UsedStyles,ResetPageSize,UpdateArrangement"/>
    <w:docVar w:name="WAFER_20140121110556_GUID" w:val="79f2ce1a-89d9-40c9-97ab-f1468db0866d"/>
    <w:docVar w:name="WAFER_20140121114434" w:val="RemoveTocBookmarks,RunningHeaders"/>
    <w:docVar w:name="WAFER_20140121114434_GUID" w:val="4d4221e5-d81f-4460-8069-ec3565378a56"/>
    <w:docVar w:name="WAFER_20150107135715" w:val="RemoveTocBookmarks,RemoveUnusedBookmarks,RemoveLanguageTags,UsedStyles,ResetPageSize,UpdateArrangement"/>
    <w:docVar w:name="WAFER_20150107135715_GUID" w:val="f4291ead-0dd4-4e2e-9d7d-8dfb2745afc7"/>
    <w:docVar w:name="WAFER_20150415174932" w:val="ResetPageSize,UpdateArrangement,UpdateNTable"/>
    <w:docVar w:name="WAFER_20150415174932_GUID" w:val="eb9cbc83-16c7-471b-bbe5-85012b5825e8"/>
    <w:docVar w:name="WAFER_20151126104646" w:val="UpdateStyles"/>
    <w:docVar w:name="WAFER_20151126104646_GUID" w:val="f728b9a1-7d68-43d0-9858-fea595687508"/>
    <w:docVar w:name="WAFER_20151126112956" w:val="UsedStyles"/>
    <w:docVar w:name="WAFER_20151126112956_GUID" w:val="f2fb4ab6-c431-4a4a-b8c4-541184111468"/>
    <w:docVar w:name="WAFER_2021092209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2092327_GUID" w:val="70276279-44ba-4add-8c86-ea0dbef489d8"/>
    <w:docVar w:name="WAFER_20211222091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91335_GUID" w:val="29b27a70-a216-4f40-b734-0585b4e3e693"/>
    <w:docVar w:name="WAFER_20211222091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2091436_GUID" w:val="e7468952-59bb-4276-8b2f-2cbe549babf8"/>
    <w:docVar w:name="WAFER_20240229141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29141803_GUID" w:val="e853096a-c181-498d-a029-3ebf283b0ac1"/>
    <w:docVar w:name="WAFER_20240604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4093541_GUID" w:val="b436a307-23db-4d5a-9bad-a9d3a31a55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F03E4A7-70AE-4621-9106-EBFDC4E8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MiscellaneousBodyArial">
    <w:name w:val="zyMiscellaneous Body + Arial"/>
    <w:aliases w:val="10 pt"/>
    <w:basedOn w:val="yMiscellaneousBody"/>
    <w:rPr>
      <w:rFonts w:ascii="Arial" w:hAnsi="Arial" w:cs="Arial"/>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F6FFA-0014-4CBE-A9A3-E2D2F23A5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8216</Words>
  <Characters>42068</Characters>
  <Application>Microsoft Office Word</Application>
  <DocSecurity>0</DocSecurity>
  <Lines>1314</Lines>
  <Paragraphs>773</Paragraphs>
  <ScaleCrop>false</ScaleCrop>
  <HeadingPairs>
    <vt:vector size="2" baseType="variant">
      <vt:variant>
        <vt:lpstr>Title</vt:lpstr>
      </vt:variant>
      <vt:variant>
        <vt:i4>1</vt:i4>
      </vt:variant>
    </vt:vector>
  </HeadingPairs>
  <TitlesOfParts>
    <vt:vector size="1" baseType="lpstr">
      <vt:lpstr>Motor Vehicle Dealers (Sales) Regulations 1974</vt:lpstr>
    </vt:vector>
  </TitlesOfParts>
  <Manager/>
  <Company/>
  <LinksUpToDate>false</LinksUpToDate>
  <CharactersWithSpaces>49511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(Sales) Regulations 1974 - 03-j0-00</dc:title>
  <dc:subject/>
  <dc:creator/>
  <cp:keywords/>
  <dc:description/>
  <cp:lastModifiedBy>Master Repository Process</cp:lastModifiedBy>
  <cp:revision>4</cp:revision>
  <cp:lastPrinted>2007-02-26T03:09:00Z</cp:lastPrinted>
  <dcterms:created xsi:type="dcterms:W3CDTF">2025-06-06T03:53:00Z</dcterms:created>
  <dcterms:modified xsi:type="dcterms:W3CDTF">2025-06-06T03:53:00Z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1974 pp.1926-36</vt:lpwstr>
  </property>
  <property fmtid="{D5CDD505-2E9C-101B-9397-08002B2CF9AE}" pid="3" name="DocumentType">
    <vt:lpwstr>Reg</vt:lpwstr>
  </property>
  <property fmtid="{D5CDD505-2E9C-101B-9397-08002B2CF9AE}" pid="4" name="OwlsUID">
    <vt:i4>4650</vt:i4>
  </property>
  <property fmtid="{D5CDD505-2E9C-101B-9397-08002B2CF9AE}" pid="5" name="ReprintNo">
    <vt:lpwstr>3</vt:lpwstr>
  </property>
  <property fmtid="{D5CDD505-2E9C-101B-9397-08002B2CF9AE}" pid="6" name="AsAtDate">
    <vt:lpwstr>07 Jun 2024</vt:lpwstr>
  </property>
  <property fmtid="{D5CDD505-2E9C-101B-9397-08002B2CF9AE}" pid="7" name="Suffix">
    <vt:lpwstr>03-j0-00</vt:lpwstr>
  </property>
  <property fmtid="{D5CDD505-2E9C-101B-9397-08002B2CF9AE}" pid="8" name="Official">
    <vt:lpwstr/>
  </property>
  <property fmtid="{D5CDD505-2E9C-101B-9397-08002B2CF9AE}" pid="9" name="CommencementDate">
    <vt:lpwstr>20240607</vt:lpwstr>
  </property>
  <property fmtid="{D5CDD505-2E9C-101B-9397-08002B2CF9AE}" pid="10" name="CommencementAsAt">
    <vt:filetime>2024-06-06T16:00:00Z</vt:filetime>
  </property>
  <property fmtid="{D5CDD505-2E9C-101B-9397-08002B2CF9AE}" pid="11" name="CommencementYear">
    <vt:lpwstr>2024</vt:lpwstr>
  </property>
</Properties>
</file>