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Cremation Act 1929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Cremation Amendment Regulations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Cremation Amendment Regulations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_Toc168999041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_Toc168999042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_Toc168999043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Schedule 2 amended</w:t>
      </w:r>
      <w:r>
        <w:tab/>
      </w:r>
      <w:r>
        <w:fldChar w:fldCharType="begin"/>
      </w:r>
      <w:r>
        <w:instrText xml:space="preserve"> PAGEREF _Toc168999044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Cremation Act 1929</w:t>
      </w:r>
    </w:p>
    <w:p>
      <w:pPr>
        <w:pStyle w:val="NameofActReg"/>
      </w:pPr>
      <w:r>
        <w:t>Cremation Amendment Regulations 2024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68569032"/>
      <w:bookmarkStart w:id="3" w:name="_Toc168999041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Cremation Amendment Regulations 2024</w:t>
      </w:r>
      <w:r>
        <w:t>.</w:t>
      </w:r>
    </w:p>
    <w:p>
      <w:pPr>
        <w:pStyle w:val="Heading5"/>
        <w:rPr>
          <w:spacing w:val="-2"/>
        </w:rPr>
      </w:pPr>
      <w:bookmarkStart w:id="5" w:name="_Toc168569033"/>
      <w:bookmarkStart w:id="6" w:name="_Toc168999042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  <w:rPr>
          <w:rStyle w:val="DraftersNotes"/>
        </w:rPr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68569034"/>
      <w:bookmarkStart w:id="8" w:name="_Toc168999043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Cremation Regulations 1954</w:t>
      </w:r>
      <w:r>
        <w:t>.</w:t>
      </w:r>
    </w:p>
    <w:p>
      <w:pPr>
        <w:pStyle w:val="Heading5"/>
      </w:pPr>
      <w:bookmarkStart w:id="9" w:name="_Toc168569035"/>
      <w:bookmarkStart w:id="10" w:name="_Toc168999044"/>
      <w:r>
        <w:rPr>
          <w:rStyle w:val="CharSectno"/>
        </w:rPr>
        <w:t>4</w:t>
      </w:r>
      <w:r>
        <w:t>.</w:t>
      </w:r>
      <w:r>
        <w:tab/>
        <w:t>Schedule 2 amended</w:t>
      </w:r>
      <w:bookmarkEnd w:id="9"/>
      <w:bookmarkEnd w:id="10"/>
    </w:p>
    <w:p>
      <w:pPr>
        <w:pStyle w:val="Subsection"/>
        <w:keepNext/>
      </w:pPr>
      <w:r>
        <w:tab/>
      </w:r>
      <w:r>
        <w:tab/>
        <w:t>In Schedule 2 item 3:</w:t>
      </w:r>
    </w:p>
    <w:p>
      <w:pPr>
        <w:pStyle w:val="Indenta"/>
        <w:keepNext/>
      </w:pPr>
      <w:r>
        <w:tab/>
        <w:t>(a)</w:t>
      </w:r>
      <w:r>
        <w:tab/>
        <w:t>in paragraph (a) delete “</w:t>
      </w:r>
      <w:r>
        <w:rPr>
          <w:sz w:val="22"/>
          <w:szCs w:val="22"/>
        </w:rPr>
        <w:t>$75.90</w:t>
      </w:r>
      <w:r>
        <w:t>” and insert:</w:t>
      </w:r>
    </w:p>
    <w:p>
      <w:pPr>
        <w:pStyle w:val="BlankOpen"/>
      </w:pPr>
    </w:p>
    <w:p>
      <w:pPr>
        <w:pStyle w:val="Indenta"/>
        <w:rPr>
          <w:sz w:val="22"/>
          <w:szCs w:val="22"/>
        </w:rPr>
      </w:pPr>
      <w:r>
        <w:tab/>
      </w:r>
      <w:r>
        <w:tab/>
      </w:r>
      <w:r>
        <w:rPr>
          <w:sz w:val="22"/>
          <w:szCs w:val="22"/>
        </w:rPr>
        <w:t>$81.40</w:t>
      </w:r>
    </w:p>
    <w:p>
      <w:pPr>
        <w:pStyle w:val="BlankClose"/>
      </w:pPr>
    </w:p>
    <w:p>
      <w:pPr>
        <w:pStyle w:val="Indenta"/>
        <w:keepNext/>
      </w:pPr>
      <w:r>
        <w:tab/>
        <w:t>(b)</w:t>
      </w:r>
      <w:r>
        <w:tab/>
        <w:t>in paragraph (b) delete “</w:t>
      </w:r>
      <w:r>
        <w:rPr>
          <w:sz w:val="22"/>
          <w:szCs w:val="22"/>
        </w:rPr>
        <w:t>$125.40</w:t>
      </w:r>
      <w:r>
        <w:t>” and insert:</w:t>
      </w:r>
    </w:p>
    <w:p>
      <w:pPr>
        <w:pStyle w:val="BlankOpen"/>
      </w:pPr>
    </w:p>
    <w:p>
      <w:pPr>
        <w:pStyle w:val="Indenta"/>
        <w:rPr>
          <w:sz w:val="22"/>
          <w:szCs w:val="22"/>
        </w:rPr>
      </w:pPr>
      <w:r>
        <w:tab/>
      </w:r>
      <w:r>
        <w:tab/>
      </w:r>
      <w:r>
        <w:rPr>
          <w:sz w:val="22"/>
          <w:szCs w:val="22"/>
        </w:rPr>
        <w:t>$134.20</w:t>
      </w:r>
    </w:p>
    <w:p>
      <w:pPr>
        <w:pStyle w:val="BlankClose"/>
      </w:pPr>
    </w:p>
    <w:p>
      <w:pPr>
        <w:pStyle w:val="ByCommand"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V. MOLAN,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323E8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5924CBA0" w14:textId="36B3E99D" w:rsidR="000C33DD" w:rsidRDefault="000C33D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5C7FFB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3A49FC6" w14:textId="77777777" w:rsidR="000C33DD" w:rsidRDefault="000C33D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D92694A" w14:textId="5D8F82BD" w:rsidR="000C33DD" w:rsidRDefault="000C33D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5C7FFB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4DE0730" w14:textId="77777777" w:rsidR="000C33DD" w:rsidRDefault="000C33DD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2024/92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12 Jun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Cremation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Cremation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Cremation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Cremation Amendment Regulations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606122318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41915341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419153415_GUID" w:val="bf08b49e-081a-44dc-ad80-cd6ecd36adbc"/>
    <w:docVar w:name="WAFER_202404260907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426090713_GUID" w:val="da89f1fa-3e0c-4e03-be0a-97e82867d699"/>
    <w:docVar w:name="WAFER_2024060612231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606122318_GUID" w:val="321f6f9c-b22a-4f69-8e9c-dad2ff062def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5:docId w15:val="{97F89194-E1CB-4E7D-89A8-88620E5B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226</Words>
  <Characters>1249</Characters>
  <Application>Microsoft Office Word</Application>
  <DocSecurity>0</DocSecurity>
  <Lines>69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Cremation Amendment Regulations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2025-06-19T03:21:00Z</dcterms:created>
  <dcterms:modified xsi:type="dcterms:W3CDTF">2025-06-19T03:21:00Z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54828</vt:lpwstr>
  </property>
  <property fmtid="{D5CDD505-2E9C-101B-9397-08002B2CF9AE}" pid="3" name="DocumentType">
    <vt:lpwstr>Reg</vt:lpwstr>
  </property>
  <property fmtid="{D5CDD505-2E9C-101B-9397-08002B2CF9AE}" pid="4" name="AsAtDate">
    <vt:lpwstr>12 Jun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2024/92</vt:lpwstr>
  </property>
  <property fmtid="{D5CDD505-2E9C-101B-9397-08002B2CF9AE}" pid="8" name="PublishDate">
    <vt:lpwstr>12 Jun 2024</vt:lpwstr>
  </property>
  <property fmtid="{D5CDD505-2E9C-101B-9397-08002B2CF9AE}" pid="9" name="CommencementDate">
    <vt:lpwstr>20240612</vt:lpwstr>
  </property>
  <property fmtid="{D5CDD505-2E9C-101B-9397-08002B2CF9AE}" pid="10" name="CommencementAsAt">
    <vt:filetime>2024-06-11T16:00:00Z</vt:filetime>
  </property>
  <property fmtid="{D5CDD505-2E9C-101B-9397-08002B2CF9AE}" pid="11" name="CommencementYear">
    <vt:lpwstr>2024</vt:lpwstr>
  </property>
</Properties>
</file>