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Police (Compensation Scheme) Amendment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(Compensation Scheme) Amendment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_Toc168999733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_Toc168999734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_Toc168999735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Amendments commencing on day after publication</w:t>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_Toc168999737 \h </w:instrText>
      </w:r>
      <w:r>
        <w:fldChar w:fldCharType="separate"/>
      </w:r>
      <w:r>
        <w:t>2</w:t>
      </w:r>
      <w:r>
        <w:fldChar w:fldCharType="end"/>
      </w:r>
    </w:p>
    <w:p>
      <w:pPr>
        <w:pStyle w:val="TOC8"/>
        <w:rPr>
          <w:rFonts w:asciiTheme="minorHAnsi" w:eastAsiaTheme="minorEastAsia" w:hAnsiTheme="minorHAnsi" w:cstheme="minorBidi"/>
          <w:szCs w:val="22"/>
        </w:rPr>
      </w:pPr>
      <w:r>
        <w:t>5.</w:t>
      </w:r>
      <w:r>
        <w:tab/>
        <w:t>Part 2 Division 1 heading inserted</w:t>
      </w:r>
      <w:r>
        <w:tab/>
      </w:r>
      <w:r>
        <w:fldChar w:fldCharType="begin"/>
      </w:r>
      <w:r>
        <w:instrText xml:space="preserve"> PAGEREF _Toc168999738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 — Permanent impairment</w:t>
      </w:r>
    </w:p>
    <w:p>
      <w:pPr>
        <w:pStyle w:val="TOC8"/>
        <w:rPr>
          <w:rFonts w:asciiTheme="minorHAnsi" w:eastAsiaTheme="minorEastAsia" w:hAnsiTheme="minorHAnsi" w:cstheme="minorBidi"/>
          <w:szCs w:val="22"/>
        </w:rPr>
      </w:pPr>
      <w:r>
        <w:t>6.</w:t>
      </w:r>
      <w:r>
        <w:tab/>
        <w:t>Regulation 6 amended</w:t>
      </w:r>
      <w:r>
        <w:tab/>
      </w:r>
      <w:r>
        <w:fldChar w:fldCharType="begin"/>
      </w:r>
      <w:r>
        <w:instrText xml:space="preserve"> PAGEREF _Toc168999740 \h </w:instrText>
      </w:r>
      <w:r>
        <w:fldChar w:fldCharType="separate"/>
      </w:r>
      <w:r>
        <w:t>2</w:t>
      </w:r>
      <w:r>
        <w:fldChar w:fldCharType="end"/>
      </w:r>
    </w:p>
    <w:p>
      <w:pPr>
        <w:pStyle w:val="TOC8"/>
        <w:rPr>
          <w:rFonts w:asciiTheme="minorHAnsi" w:eastAsiaTheme="minorEastAsia" w:hAnsiTheme="minorHAnsi" w:cstheme="minorBidi"/>
          <w:szCs w:val="22"/>
        </w:rPr>
      </w:pPr>
      <w:r>
        <w:t>7.</w:t>
      </w:r>
      <w:r>
        <w:tab/>
        <w:t>Regulation 8 amended</w:t>
      </w:r>
      <w:r>
        <w:tab/>
      </w:r>
      <w:r>
        <w:fldChar w:fldCharType="begin"/>
      </w:r>
      <w:r>
        <w:instrText xml:space="preserve"> PAGEREF _Toc168999741 \h </w:instrText>
      </w:r>
      <w:r>
        <w:fldChar w:fldCharType="separate"/>
      </w:r>
      <w:r>
        <w:t>3</w:t>
      </w:r>
      <w:r>
        <w:fldChar w:fldCharType="end"/>
      </w:r>
    </w:p>
    <w:p>
      <w:pPr>
        <w:pStyle w:val="TOC8"/>
        <w:rPr>
          <w:rFonts w:asciiTheme="minorHAnsi" w:eastAsiaTheme="minorEastAsia" w:hAnsiTheme="minorHAnsi" w:cstheme="minorBidi"/>
          <w:szCs w:val="22"/>
        </w:rPr>
      </w:pPr>
      <w:r>
        <w:t>8.</w:t>
      </w:r>
      <w:r>
        <w:tab/>
        <w:t>Regulation 9 amended</w:t>
      </w:r>
      <w:r>
        <w:tab/>
      </w:r>
      <w:r>
        <w:fldChar w:fldCharType="begin"/>
      </w:r>
      <w:r>
        <w:instrText xml:space="preserve"> PAGEREF _Toc168999742 \h </w:instrText>
      </w:r>
      <w:r>
        <w:fldChar w:fldCharType="separate"/>
      </w:r>
      <w:r>
        <w:t>4</w:t>
      </w:r>
      <w:r>
        <w:fldChar w:fldCharType="end"/>
      </w:r>
    </w:p>
    <w:p>
      <w:pPr>
        <w:pStyle w:val="TOC8"/>
        <w:rPr>
          <w:rFonts w:asciiTheme="minorHAnsi" w:eastAsiaTheme="minorEastAsia" w:hAnsiTheme="minorHAnsi" w:cstheme="minorBidi"/>
          <w:szCs w:val="22"/>
        </w:rPr>
      </w:pPr>
      <w:r>
        <w:t>9.</w:t>
      </w:r>
      <w:r>
        <w:tab/>
        <w:t>Part 2 Division 2 inserted</w:t>
      </w:r>
      <w:r>
        <w:tab/>
      </w:r>
      <w:r>
        <w:fldChar w:fldCharType="begin"/>
      </w:r>
      <w:r>
        <w:instrText xml:space="preserve"> PAGEREF _Toc168999743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2 — Permanent total incapacity for work</w:t>
      </w:r>
    </w:p>
    <w:p>
      <w:pPr>
        <w:pStyle w:val="TOC7"/>
        <w:tabs>
          <w:tab w:val="right" w:leader="dot" w:pos="7077"/>
        </w:tabs>
        <w:rPr>
          <w:rFonts w:asciiTheme="minorHAnsi" w:eastAsiaTheme="minorEastAsia" w:hAnsiTheme="minorHAnsi" w:cstheme="minorBidi"/>
          <w:b w:val="0"/>
          <w:noProof/>
          <w:sz w:val="22"/>
          <w:szCs w:val="22"/>
        </w:rPr>
      </w:pPr>
      <w:r>
        <w:rPr>
          <w:noProof/>
        </w:rPr>
        <w:t>Subdivision 1 — Application</w:t>
      </w:r>
    </w:p>
    <w:p>
      <w:pPr>
        <w:pStyle w:val="TOC9"/>
        <w:rPr>
          <w:rFonts w:asciiTheme="minorHAnsi" w:eastAsiaTheme="minorEastAsia" w:hAnsiTheme="minorHAnsi" w:cstheme="minorBidi"/>
          <w:noProof/>
          <w:sz w:val="22"/>
          <w:szCs w:val="22"/>
        </w:rPr>
      </w:pPr>
      <w:r>
        <w:rPr>
          <w:noProof/>
        </w:rPr>
        <w:t>10A.</w:t>
      </w:r>
      <w:r>
        <w:rPr>
          <w:noProof/>
        </w:rPr>
        <w:tab/>
        <w:t>Application for compensation for permanent total incapacity for work</w:t>
      </w:r>
      <w:r>
        <w:rPr>
          <w:noProof/>
        </w:rPr>
        <w:tab/>
      </w:r>
      <w:r>
        <w:rPr>
          <w:noProof/>
        </w:rPr>
        <w:fldChar w:fldCharType="begin"/>
      </w:r>
      <w:r>
        <w:rPr>
          <w:noProof/>
        </w:rPr>
        <w:instrText xml:space="preserve"> PAGEREF _Toc168999746 \h </w:instrText>
      </w:r>
      <w:r>
        <w:rPr>
          <w:noProof/>
        </w:rPr>
      </w:r>
      <w:r>
        <w:rPr>
          <w:noProof/>
        </w:rPr>
        <w:fldChar w:fldCharType="separate"/>
      </w:r>
      <w:r>
        <w:rPr>
          <w:noProof/>
        </w:rPr>
        <w:t>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Medical assessment and information and documents for determining qualification for compensation</w:t>
      </w:r>
    </w:p>
    <w:p>
      <w:pPr>
        <w:pStyle w:val="TOC9"/>
        <w:rPr>
          <w:rFonts w:asciiTheme="minorHAnsi" w:eastAsiaTheme="minorEastAsia" w:hAnsiTheme="minorHAnsi" w:cstheme="minorBidi"/>
          <w:noProof/>
          <w:sz w:val="22"/>
          <w:szCs w:val="22"/>
        </w:rPr>
      </w:pPr>
      <w:r>
        <w:rPr>
          <w:noProof/>
        </w:rPr>
        <w:t>10B.</w:t>
      </w:r>
      <w:r>
        <w:rPr>
          <w:noProof/>
        </w:rPr>
        <w:tab/>
        <w:t>Medical assessment of permanent total incapacity for work</w:t>
      </w:r>
      <w:r>
        <w:rPr>
          <w:noProof/>
        </w:rPr>
        <w:tab/>
      </w:r>
      <w:r>
        <w:rPr>
          <w:noProof/>
        </w:rPr>
        <w:fldChar w:fldCharType="begin"/>
      </w:r>
      <w:r>
        <w:rPr>
          <w:noProof/>
        </w:rPr>
        <w:instrText xml:space="preserve"> PAGEREF _Toc168999748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Requirements in relation to medical assessment of permanent total incapacity for work</w:t>
      </w:r>
      <w:r>
        <w:rPr>
          <w:noProof/>
        </w:rPr>
        <w:tab/>
      </w:r>
      <w:r>
        <w:rPr>
          <w:noProof/>
        </w:rPr>
        <w:fldChar w:fldCharType="begin"/>
      </w:r>
      <w:r>
        <w:rPr>
          <w:noProof/>
        </w:rPr>
        <w:instrText xml:space="preserve"> PAGEREF _Toc168999749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10D.</w:t>
      </w:r>
      <w:r>
        <w:rPr>
          <w:noProof/>
        </w:rPr>
        <w:tab/>
        <w:t>Report on results of medical assessment of permanent total incapacity for work</w:t>
      </w:r>
      <w:r>
        <w:rPr>
          <w:noProof/>
        </w:rPr>
        <w:tab/>
      </w:r>
      <w:r>
        <w:rPr>
          <w:noProof/>
        </w:rPr>
        <w:fldChar w:fldCharType="begin"/>
      </w:r>
      <w:r>
        <w:rPr>
          <w:noProof/>
        </w:rPr>
        <w:instrText xml:space="preserve"> PAGEREF _Toc168999750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lastRenderedPageBreak/>
        <w:t>10E.</w:t>
      </w:r>
      <w:r>
        <w:rPr>
          <w:noProof/>
        </w:rPr>
        <w:tab/>
        <w:t>Provision of information and documents for determining whether member or medically retired member qualifies for compensation</w:t>
      </w:r>
      <w:r>
        <w:rPr>
          <w:noProof/>
        </w:rPr>
        <w:tab/>
      </w:r>
      <w:r>
        <w:rPr>
          <w:noProof/>
        </w:rPr>
        <w:fldChar w:fldCharType="begin"/>
      </w:r>
      <w:r>
        <w:rPr>
          <w:noProof/>
        </w:rPr>
        <w:instrText xml:space="preserve"> PAGEREF _Toc168999751 \h </w:instrText>
      </w:r>
      <w:r>
        <w:rPr>
          <w:noProof/>
        </w:rPr>
      </w:r>
      <w:r>
        <w:rPr>
          <w:noProof/>
        </w:rPr>
        <w:fldChar w:fldCharType="separate"/>
      </w:r>
      <w:r>
        <w:rPr>
          <w:noProof/>
        </w:rPr>
        <w:t>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Information and documents for determining amount of compensation</w:t>
      </w:r>
    </w:p>
    <w:p>
      <w:pPr>
        <w:pStyle w:val="TOC9"/>
        <w:rPr>
          <w:rFonts w:asciiTheme="minorHAnsi" w:eastAsiaTheme="minorEastAsia" w:hAnsiTheme="minorHAnsi" w:cstheme="minorBidi"/>
          <w:noProof/>
          <w:sz w:val="22"/>
          <w:szCs w:val="22"/>
        </w:rPr>
      </w:pPr>
      <w:r>
        <w:rPr>
          <w:noProof/>
        </w:rPr>
        <w:t>10F.</w:t>
      </w:r>
      <w:r>
        <w:rPr>
          <w:noProof/>
        </w:rPr>
        <w:tab/>
        <w:t>Provision of information and documents for determining amount of compensation</w:t>
      </w:r>
      <w:r>
        <w:rPr>
          <w:noProof/>
        </w:rPr>
        <w:tab/>
      </w:r>
      <w:r>
        <w:rPr>
          <w:noProof/>
        </w:rPr>
        <w:fldChar w:fldCharType="begin"/>
      </w:r>
      <w:r>
        <w:rPr>
          <w:noProof/>
        </w:rPr>
        <w:instrText xml:space="preserve"> PAGEREF _Toc168999753 \h </w:instrText>
      </w:r>
      <w:r>
        <w:rPr>
          <w:noProof/>
        </w:rPr>
      </w:r>
      <w:r>
        <w:rPr>
          <w:noProof/>
        </w:rPr>
        <w:fldChar w:fldCharType="separate"/>
      </w:r>
      <w:r>
        <w:rPr>
          <w:noProof/>
        </w:rPr>
        <w:t>10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Time periods for giving information and documents</w:t>
      </w:r>
    </w:p>
    <w:p>
      <w:pPr>
        <w:pStyle w:val="TOC9"/>
        <w:rPr>
          <w:rFonts w:asciiTheme="minorHAnsi" w:eastAsiaTheme="minorEastAsia" w:hAnsiTheme="minorHAnsi" w:cstheme="minorBidi"/>
          <w:noProof/>
          <w:sz w:val="22"/>
          <w:szCs w:val="22"/>
        </w:rPr>
      </w:pPr>
      <w:r>
        <w:rPr>
          <w:noProof/>
        </w:rPr>
        <w:t>10G.</w:t>
      </w:r>
      <w:r>
        <w:rPr>
          <w:noProof/>
        </w:rPr>
        <w:tab/>
        <w:t>Time period for compliance with requirements to give forms, documents or information under r. 10E and 10F</w:t>
      </w:r>
      <w:r>
        <w:rPr>
          <w:noProof/>
        </w:rPr>
        <w:tab/>
      </w:r>
      <w:r>
        <w:rPr>
          <w:noProof/>
        </w:rPr>
        <w:fldChar w:fldCharType="begin"/>
      </w:r>
      <w:r>
        <w:rPr>
          <w:noProof/>
        </w:rPr>
        <w:instrText xml:space="preserve"> PAGEREF _Toc168999755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10H.</w:t>
      </w:r>
      <w:r>
        <w:rPr>
          <w:noProof/>
        </w:rPr>
        <w:tab/>
        <w:t>Other documents or information given by member or medically retired member under r. 10F(7)</w:t>
      </w:r>
      <w:r>
        <w:rPr>
          <w:noProof/>
        </w:rPr>
        <w:tab/>
      </w:r>
      <w:r>
        <w:rPr>
          <w:noProof/>
        </w:rPr>
        <w:fldChar w:fldCharType="begin"/>
      </w:r>
      <w:r>
        <w:rPr>
          <w:noProof/>
        </w:rPr>
        <w:instrText xml:space="preserve"> PAGEREF _Toc168999756 \h </w:instrText>
      </w:r>
      <w:r>
        <w:rPr>
          <w:noProof/>
        </w:rPr>
      </w:r>
      <w:r>
        <w:rPr>
          <w:noProof/>
        </w:rPr>
        <w:fldChar w:fldCharType="separate"/>
      </w:r>
      <w:r>
        <w:rPr>
          <w:noProof/>
        </w:rPr>
        <w:t>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Report on determinations</w:t>
      </w:r>
    </w:p>
    <w:p>
      <w:pPr>
        <w:pStyle w:val="TOC9"/>
        <w:rPr>
          <w:rFonts w:asciiTheme="minorHAnsi" w:eastAsiaTheme="minorEastAsia" w:hAnsiTheme="minorHAnsi" w:cstheme="minorBidi"/>
          <w:noProof/>
          <w:sz w:val="22"/>
          <w:szCs w:val="22"/>
        </w:rPr>
      </w:pPr>
      <w:r>
        <w:rPr>
          <w:noProof/>
        </w:rPr>
        <w:t>10I.</w:t>
      </w:r>
      <w:r>
        <w:rPr>
          <w:noProof/>
        </w:rPr>
        <w:tab/>
        <w:t>Report on determinations by assessor</w:t>
      </w:r>
      <w:r>
        <w:rPr>
          <w:noProof/>
        </w:rPr>
        <w:tab/>
      </w:r>
      <w:r>
        <w:rPr>
          <w:noProof/>
        </w:rPr>
        <w:fldChar w:fldCharType="begin"/>
      </w:r>
      <w:r>
        <w:rPr>
          <w:noProof/>
        </w:rPr>
        <w:instrText xml:space="preserve"> PAGEREF _Toc168999758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10J.</w:t>
      </w:r>
      <w:r>
        <w:rPr>
          <w:noProof/>
        </w:rPr>
        <w:tab/>
        <w:t>Police Commissioner must give report to member or medically retired member</w:t>
      </w:r>
      <w:r>
        <w:rPr>
          <w:noProof/>
        </w:rPr>
        <w:tab/>
      </w:r>
      <w:r>
        <w:rPr>
          <w:noProof/>
        </w:rPr>
        <w:fldChar w:fldCharType="begin"/>
      </w:r>
      <w:r>
        <w:rPr>
          <w:noProof/>
        </w:rPr>
        <w:instrText xml:space="preserve"> PAGEREF _Toc168999759 \h </w:instrText>
      </w:r>
      <w:r>
        <w:rPr>
          <w:noProof/>
        </w:rPr>
      </w:r>
      <w:r>
        <w:rPr>
          <w:noProof/>
        </w:rPr>
        <w:fldChar w:fldCharType="separate"/>
      </w:r>
      <w:r>
        <w:rPr>
          <w:noProof/>
        </w:rPr>
        <w:t>17</w:t>
      </w:r>
      <w:r>
        <w:rPr>
          <w:noProof/>
        </w:rPr>
        <w:fldChar w:fldCharType="end"/>
      </w:r>
    </w:p>
    <w:p>
      <w:pPr>
        <w:pStyle w:val="TOC8"/>
        <w:rPr>
          <w:rFonts w:asciiTheme="minorHAnsi" w:eastAsiaTheme="minorEastAsia" w:hAnsiTheme="minorHAnsi" w:cstheme="minorBidi"/>
          <w:szCs w:val="22"/>
        </w:rPr>
      </w:pPr>
      <w:r>
        <w:t>10.</w:t>
      </w:r>
      <w:r>
        <w:tab/>
        <w:t>Part 3A inserted</w:t>
      </w:r>
      <w:r>
        <w:tab/>
      </w:r>
      <w:r>
        <w:fldChar w:fldCharType="begin"/>
      </w:r>
      <w:r>
        <w:instrText xml:space="preserve"> PAGEREF _Toc168999760 \h </w:instrText>
      </w:r>
      <w:r>
        <w:fldChar w:fldCharType="separate"/>
      </w:r>
      <w:r>
        <w:t>17</w:t>
      </w:r>
      <w:r>
        <w:fldChar w:fldCharType="end"/>
      </w:r>
    </w:p>
    <w:p>
      <w:pPr>
        <w:pStyle w:val="TOC3"/>
        <w:tabs>
          <w:tab w:val="right" w:leader="dot" w:pos="7077"/>
        </w:tabs>
        <w:rPr>
          <w:rFonts w:asciiTheme="minorHAnsi" w:eastAsiaTheme="minorEastAsia" w:hAnsiTheme="minorHAnsi" w:cstheme="minorBidi"/>
          <w:b w:val="0"/>
          <w:sz w:val="22"/>
          <w:szCs w:val="22"/>
        </w:rPr>
      </w:pPr>
      <w:r>
        <w:t>Part 3A — Assessors</w:t>
      </w:r>
    </w:p>
    <w:p>
      <w:pPr>
        <w:pStyle w:val="TOC9"/>
        <w:rPr>
          <w:rFonts w:asciiTheme="minorHAnsi" w:eastAsiaTheme="minorEastAsia" w:hAnsiTheme="minorHAnsi" w:cstheme="minorBidi"/>
          <w:noProof/>
          <w:sz w:val="22"/>
          <w:szCs w:val="22"/>
        </w:rPr>
      </w:pPr>
      <w:r>
        <w:rPr>
          <w:noProof/>
        </w:rPr>
        <w:t>12A.</w:t>
      </w:r>
      <w:r>
        <w:rPr>
          <w:noProof/>
        </w:rPr>
        <w:tab/>
        <w:t>Legal practitioners qualified to be appointed as assessors</w:t>
      </w:r>
      <w:r>
        <w:rPr>
          <w:noProof/>
        </w:rPr>
        <w:tab/>
      </w:r>
      <w:r>
        <w:rPr>
          <w:noProof/>
        </w:rPr>
        <w:fldChar w:fldCharType="begin"/>
      </w:r>
      <w:r>
        <w:rPr>
          <w:noProof/>
        </w:rPr>
        <w:instrText xml:space="preserve"> PAGEREF _Toc168999762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12B.</w:t>
      </w:r>
      <w:r>
        <w:rPr>
          <w:noProof/>
        </w:rPr>
        <w:tab/>
        <w:t>Appointment of assessors</w:t>
      </w:r>
      <w:r>
        <w:rPr>
          <w:noProof/>
        </w:rPr>
        <w:tab/>
      </w:r>
      <w:r>
        <w:rPr>
          <w:noProof/>
        </w:rPr>
        <w:fldChar w:fldCharType="begin"/>
      </w:r>
      <w:r>
        <w:rPr>
          <w:noProof/>
        </w:rPr>
        <w:instrText xml:space="preserve"> PAGEREF _Toc168999763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11.</w:t>
      </w:r>
      <w:r>
        <w:tab/>
        <w:t>Regulation 13 amended</w:t>
      </w:r>
      <w:r>
        <w:tab/>
      </w:r>
      <w:r>
        <w:fldChar w:fldCharType="begin"/>
      </w:r>
      <w:r>
        <w:instrText xml:space="preserve"> PAGEREF _Toc168999764 \h </w:instrText>
      </w:r>
      <w:r>
        <w:fldChar w:fldCharType="separate"/>
      </w:r>
      <w:r>
        <w:t>18</w:t>
      </w:r>
      <w:r>
        <w:fldChar w:fldCharType="end"/>
      </w:r>
    </w:p>
    <w:p>
      <w:pPr>
        <w:pStyle w:val="TOC8"/>
        <w:rPr>
          <w:rFonts w:asciiTheme="minorHAnsi" w:eastAsiaTheme="minorEastAsia" w:hAnsiTheme="minorHAnsi" w:cstheme="minorBidi"/>
          <w:szCs w:val="22"/>
        </w:rPr>
      </w:pPr>
      <w:r>
        <w:t>12.</w:t>
      </w:r>
      <w:r>
        <w:tab/>
        <w:t>Regulation 14 amended</w:t>
      </w:r>
      <w:r>
        <w:tab/>
      </w:r>
      <w:r>
        <w:fldChar w:fldCharType="begin"/>
      </w:r>
      <w:r>
        <w:instrText xml:space="preserve"> PAGEREF _Toc168999765 \h </w:instrText>
      </w:r>
      <w:r>
        <w:fldChar w:fldCharType="separate"/>
      </w:r>
      <w:r>
        <w:t>19</w:t>
      </w:r>
      <w:r>
        <w:fldChar w:fldCharType="end"/>
      </w:r>
    </w:p>
    <w:p>
      <w:pPr>
        <w:pStyle w:val="TOC8"/>
        <w:rPr>
          <w:rFonts w:asciiTheme="minorHAnsi" w:eastAsiaTheme="minorEastAsia" w:hAnsiTheme="minorHAnsi" w:cstheme="minorBidi"/>
          <w:szCs w:val="22"/>
        </w:rPr>
      </w:pPr>
      <w:r>
        <w:t>13.</w:t>
      </w:r>
      <w:r>
        <w:tab/>
        <w:t>Regulations 17 and 18 inserted</w:t>
      </w:r>
      <w:r>
        <w:tab/>
      </w:r>
      <w:r>
        <w:fldChar w:fldCharType="begin"/>
      </w:r>
      <w:r>
        <w:instrText xml:space="preserve"> PAGEREF _Toc168999766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17.</w:t>
      </w:r>
      <w:r>
        <w:rPr>
          <w:noProof/>
        </w:rPr>
        <w:tab/>
        <w:t>Persons who may act on behalf of medically retired member</w:t>
      </w:r>
      <w:r>
        <w:rPr>
          <w:noProof/>
        </w:rPr>
        <w:tab/>
      </w:r>
      <w:r>
        <w:rPr>
          <w:noProof/>
        </w:rPr>
        <w:fldChar w:fldCharType="begin"/>
      </w:r>
      <w:r>
        <w:rPr>
          <w:noProof/>
        </w:rPr>
        <w:instrText xml:space="preserve"> PAGEREF _Toc168999767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Notice of intention to act on behalf of medically retired member</w:t>
      </w:r>
      <w:r>
        <w:rPr>
          <w:noProof/>
        </w:rPr>
        <w:tab/>
      </w:r>
      <w:r>
        <w:rPr>
          <w:noProof/>
        </w:rPr>
        <w:fldChar w:fldCharType="begin"/>
      </w:r>
      <w:r>
        <w:rPr>
          <w:noProof/>
        </w:rPr>
        <w:instrText xml:space="preserve"> PAGEREF _Toc168999768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14.</w:t>
      </w:r>
      <w:r>
        <w:tab/>
        <w:t>Part 6 inserted</w:t>
      </w:r>
      <w:r>
        <w:tab/>
      </w:r>
      <w:r>
        <w:fldChar w:fldCharType="begin"/>
      </w:r>
      <w:r>
        <w:instrText xml:space="preserve"> PAGEREF _Toc168999769 \h </w:instrText>
      </w:r>
      <w:r>
        <w:fldChar w:fldCharType="separate"/>
      </w:r>
      <w:r>
        <w:t>23</w:t>
      </w:r>
      <w:r>
        <w:fldChar w:fldCharType="end"/>
      </w:r>
    </w:p>
    <w:p>
      <w:pPr>
        <w:pStyle w:val="TOC3"/>
        <w:tabs>
          <w:tab w:val="right" w:leader="dot" w:pos="7077"/>
        </w:tabs>
        <w:rPr>
          <w:rFonts w:asciiTheme="minorHAnsi" w:eastAsiaTheme="minorEastAsia" w:hAnsiTheme="minorHAnsi" w:cstheme="minorBidi"/>
          <w:b w:val="0"/>
          <w:sz w:val="22"/>
          <w:szCs w:val="22"/>
        </w:rPr>
      </w:pPr>
      <w:r>
        <w:t>Part 6 — Transitional provision</w:t>
      </w:r>
    </w:p>
    <w:p>
      <w:pPr>
        <w:pStyle w:val="TOC9"/>
        <w:rPr>
          <w:rFonts w:asciiTheme="minorHAnsi" w:eastAsiaTheme="minorEastAsia" w:hAnsiTheme="minorHAnsi" w:cstheme="minorBidi"/>
          <w:noProof/>
          <w:sz w:val="22"/>
          <w:szCs w:val="22"/>
        </w:rPr>
      </w:pPr>
      <w:r>
        <w:rPr>
          <w:noProof/>
        </w:rPr>
        <w:t>19.</w:t>
      </w:r>
      <w:r>
        <w:rPr>
          <w:noProof/>
        </w:rPr>
        <w:tab/>
        <w:t xml:space="preserve">Transitional provision for </w:t>
      </w:r>
      <w:r>
        <w:rPr>
          <w:i/>
          <w:noProof/>
        </w:rPr>
        <w:t>Police (Compensation Scheme) Amendment Regulations 2024</w:t>
      </w:r>
      <w:r>
        <w:rPr>
          <w:noProof/>
        </w:rPr>
        <w:tab/>
      </w:r>
      <w:r>
        <w:rPr>
          <w:noProof/>
        </w:rPr>
        <w:fldChar w:fldCharType="begin"/>
      </w:r>
      <w:r>
        <w:rPr>
          <w:noProof/>
        </w:rPr>
        <w:instrText xml:space="preserve"> PAGEREF _Toc168999771 \h </w:instrText>
      </w:r>
      <w:r>
        <w:rPr>
          <w:noProof/>
        </w:rPr>
      </w:r>
      <w:r>
        <w:rPr>
          <w:noProof/>
        </w:rPr>
        <w:fldChar w:fldCharType="separate"/>
      </w:r>
      <w:r>
        <w:rPr>
          <w:noProof/>
        </w:rPr>
        <w:t>23</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Amendments commencing on 1 July 2024</w:t>
      </w:r>
    </w:p>
    <w:p>
      <w:pPr>
        <w:pStyle w:val="TOC8"/>
        <w:rPr>
          <w:rFonts w:asciiTheme="minorHAnsi" w:eastAsiaTheme="minorEastAsia" w:hAnsiTheme="minorHAnsi" w:cstheme="minorBidi"/>
          <w:szCs w:val="22"/>
        </w:rPr>
      </w:pPr>
      <w:r>
        <w:t>15.</w:t>
      </w:r>
      <w:r>
        <w:tab/>
        <w:t>Regulation 3 amended</w:t>
      </w:r>
      <w:r>
        <w:tab/>
      </w:r>
      <w:r>
        <w:fldChar w:fldCharType="begin"/>
      </w:r>
      <w:r>
        <w:instrText xml:space="preserve"> PAGEREF _Toc168999773 \h </w:instrText>
      </w:r>
      <w:r>
        <w:fldChar w:fldCharType="separate"/>
      </w:r>
      <w:r>
        <w:t>25</w:t>
      </w:r>
      <w:r>
        <w:fldChar w:fldCharType="end"/>
      </w:r>
    </w:p>
    <w:p>
      <w:pPr>
        <w:pStyle w:val="TOC8"/>
        <w:rPr>
          <w:rFonts w:asciiTheme="minorHAnsi" w:eastAsiaTheme="minorEastAsia" w:hAnsiTheme="minorHAnsi" w:cstheme="minorBidi"/>
          <w:szCs w:val="22"/>
        </w:rPr>
      </w:pPr>
      <w:r>
        <w:t>16.</w:t>
      </w:r>
      <w:r>
        <w:tab/>
        <w:t>Regulation 8 amended</w:t>
      </w:r>
      <w:r>
        <w:tab/>
      </w:r>
      <w:r>
        <w:fldChar w:fldCharType="begin"/>
      </w:r>
      <w:r>
        <w:instrText xml:space="preserve"> PAGEREF _Toc168999774 \h </w:instrText>
      </w:r>
      <w:r>
        <w:fldChar w:fldCharType="separate"/>
      </w:r>
      <w:r>
        <w:t>25</w:t>
      </w:r>
      <w:r>
        <w:fldChar w:fldCharType="end"/>
      </w:r>
    </w:p>
    <w:p>
      <w:pPr>
        <w:pStyle w:val="TOC8"/>
        <w:rPr>
          <w:rFonts w:asciiTheme="minorHAnsi" w:eastAsiaTheme="minorEastAsia" w:hAnsiTheme="minorHAnsi" w:cstheme="minorBidi"/>
          <w:szCs w:val="22"/>
        </w:rPr>
      </w:pPr>
      <w:r>
        <w:t>17.</w:t>
      </w:r>
      <w:r>
        <w:tab/>
        <w:t>Regulation 12 amended</w:t>
      </w:r>
      <w:r>
        <w:tab/>
      </w:r>
      <w:r>
        <w:fldChar w:fldCharType="begin"/>
      </w:r>
      <w:r>
        <w:instrText xml:space="preserve"> PAGEREF _Toc168999775 \h </w:instrText>
      </w:r>
      <w:r>
        <w:fldChar w:fldCharType="separate"/>
      </w:r>
      <w:r>
        <w:t>26</w:t>
      </w:r>
      <w:r>
        <w:fldChar w:fldCharType="end"/>
      </w:r>
    </w:p>
    <w:p>
      <w:pPr>
        <w:pStyle w:val="TOC8"/>
        <w:rPr>
          <w:rFonts w:asciiTheme="minorHAnsi" w:eastAsiaTheme="minorEastAsia" w:hAnsiTheme="minorHAnsi" w:cstheme="minorBidi"/>
          <w:szCs w:val="22"/>
        </w:rPr>
      </w:pPr>
      <w:r>
        <w:lastRenderedPageBreak/>
        <w:t>18.</w:t>
      </w:r>
      <w:r>
        <w:tab/>
        <w:t>Regulation 14 amended</w:t>
      </w:r>
      <w:r>
        <w:tab/>
      </w:r>
      <w:r>
        <w:fldChar w:fldCharType="begin"/>
      </w:r>
      <w:r>
        <w:instrText xml:space="preserve"> PAGEREF _Toc168999776 \h </w:instrText>
      </w:r>
      <w:r>
        <w:fldChar w:fldCharType="separate"/>
      </w:r>
      <w:r>
        <w:t>26</w:t>
      </w:r>
      <w:r>
        <w:fldChar w:fldCharType="end"/>
      </w:r>
    </w:p>
    <w:p>
      <w:pPr>
        <w:pStyle w:val="TOC8"/>
        <w:rPr>
          <w:rFonts w:asciiTheme="minorHAnsi" w:eastAsiaTheme="minorEastAsia" w:hAnsiTheme="minorHAnsi" w:cstheme="minorBidi"/>
          <w:szCs w:val="22"/>
        </w:rPr>
      </w:pPr>
      <w:r>
        <w:t>19.</w:t>
      </w:r>
      <w:r>
        <w:tab/>
        <w:t>Regulation 15 amended</w:t>
      </w:r>
      <w:r>
        <w:tab/>
      </w:r>
      <w:r>
        <w:fldChar w:fldCharType="begin"/>
      </w:r>
      <w:r>
        <w:instrText xml:space="preserve"> PAGEREF _Toc168999777 \h </w:instrText>
      </w:r>
      <w:r>
        <w:fldChar w:fldCharType="separate"/>
      </w:r>
      <w:r>
        <w:t>27</w:t>
      </w:r>
      <w:r>
        <w:fldChar w:fldCharType="end"/>
      </w:r>
    </w:p>
    <w:p>
      <w:pPr>
        <w:pStyle w:val="TOC8"/>
        <w:rPr>
          <w:rFonts w:asciiTheme="minorHAnsi" w:eastAsiaTheme="minorEastAsia" w:hAnsiTheme="minorHAnsi" w:cstheme="minorBidi"/>
          <w:szCs w:val="22"/>
        </w:rPr>
      </w:pPr>
      <w:r>
        <w:t>20.</w:t>
      </w:r>
      <w:r>
        <w:tab/>
        <w:t>Various references to “approved medical specialist” amended</w:t>
      </w:r>
      <w:r>
        <w:tab/>
      </w:r>
      <w:r>
        <w:fldChar w:fldCharType="begin"/>
      </w:r>
      <w:r>
        <w:instrText xml:space="preserve"> PAGEREF _Toc168999778 \h </w:instrText>
      </w:r>
      <w:r>
        <w:fldChar w:fldCharType="separate"/>
      </w:r>
      <w:r>
        <w:t>28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(Compensation Scheme) Amendment Regulations 2024</w:t>
      </w:r>
    </w:p>
    <w:p>
      <w:pPr>
        <w:pStyle w:val="MadeBy"/>
      </w:pPr>
      <w:r>
        <w:t>Made by the Governor in Executive Council.</w:t>
      </w:r>
    </w:p>
    <w:p>
      <w:pPr>
        <w:pStyle w:val="Heading2"/>
        <w:pageBreakBefore w:val="0"/>
        <w:spacing w:before="360"/>
      </w:pPr>
      <w:bookmarkStart w:id="2" w:name="_Toc168644268"/>
      <w:bookmarkStart w:id="3" w:name="_Toc168644356"/>
      <w:bookmarkStart w:id="4" w:name="_Toc168644468"/>
      <w:bookmarkStart w:id="5" w:name="_Toc16899973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8644269"/>
      <w:bookmarkStart w:id="7" w:name="_Toc168999733"/>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Police (Compensation Scheme) Amendment Regulations 2024</w:t>
      </w:r>
      <w:r>
        <w:t>.</w:t>
      </w:r>
    </w:p>
    <w:p>
      <w:pPr>
        <w:pStyle w:val="Heading5"/>
        <w:rPr>
          <w:spacing w:val="-2"/>
        </w:rPr>
      </w:pPr>
      <w:bookmarkStart w:id="9" w:name="_Toc168644270"/>
      <w:bookmarkStart w:id="10" w:name="_Toc168999734"/>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2 — on the day after publication day;</w:t>
      </w:r>
    </w:p>
    <w:p>
      <w:pPr>
        <w:pStyle w:val="Indenta"/>
      </w:pPr>
      <w:r>
        <w:tab/>
        <w:t>(c)</w:t>
      </w:r>
      <w:r>
        <w:tab/>
        <w:t>the rest of the regulations — on 1 July 2024.</w:t>
      </w:r>
    </w:p>
    <w:p>
      <w:pPr>
        <w:pStyle w:val="Heading5"/>
        <w:rPr>
          <w:snapToGrid w:val="0"/>
        </w:rPr>
      </w:pPr>
      <w:bookmarkStart w:id="11" w:name="_Toc168644271"/>
      <w:bookmarkStart w:id="12" w:name="_Toc168999735"/>
      <w:r>
        <w:rPr>
          <w:rStyle w:val="CharSectno"/>
        </w:rPr>
        <w:t>3</w:t>
      </w:r>
      <w:r>
        <w:rPr>
          <w:snapToGrid w:val="0"/>
        </w:rPr>
        <w:t>.</w:t>
      </w:r>
      <w:r>
        <w:rPr>
          <w:snapToGrid w:val="0"/>
        </w:rPr>
        <w:tab/>
        <w:t>Regulations amended</w:t>
      </w:r>
      <w:bookmarkEnd w:id="11"/>
      <w:bookmarkEnd w:id="12"/>
    </w:p>
    <w:p>
      <w:pPr>
        <w:pStyle w:val="Subsection"/>
      </w:pPr>
      <w:r>
        <w:tab/>
      </w:r>
      <w:r>
        <w:tab/>
        <w:t xml:space="preserve">These </w:t>
      </w:r>
      <w:r>
        <w:rPr>
          <w:spacing w:val="-2"/>
        </w:rPr>
        <w:t>regulations amend</w:t>
      </w:r>
      <w:r>
        <w:t xml:space="preserve"> the </w:t>
      </w:r>
      <w:r>
        <w:rPr>
          <w:i/>
        </w:rPr>
        <w:t>Police (Compensation Scheme) Regulations 2021</w:t>
      </w:r>
      <w:r>
        <w:t>.</w:t>
      </w:r>
    </w:p>
    <w:p>
      <w:pPr>
        <w:pStyle w:val="Heading2"/>
      </w:pPr>
      <w:bookmarkStart w:id="13" w:name="_Toc168644272"/>
      <w:bookmarkStart w:id="14" w:name="_Toc168644360"/>
      <w:bookmarkStart w:id="15" w:name="_Toc168644472"/>
      <w:bookmarkStart w:id="16" w:name="_Toc168999736"/>
      <w:r>
        <w:rPr>
          <w:rStyle w:val="CharPartNo"/>
        </w:rPr>
        <w:lastRenderedPageBreak/>
        <w:t>Part 2</w:t>
      </w:r>
      <w:r>
        <w:rPr>
          <w:rStyle w:val="CharDivNo"/>
        </w:rPr>
        <w:t> </w:t>
      </w:r>
      <w:r>
        <w:t>—</w:t>
      </w:r>
      <w:r>
        <w:rPr>
          <w:rStyle w:val="CharDivText"/>
        </w:rPr>
        <w:t> </w:t>
      </w:r>
      <w:r>
        <w:rPr>
          <w:rStyle w:val="CharPartText"/>
        </w:rPr>
        <w:t>Amendments commencing on day after publication</w:t>
      </w:r>
      <w:bookmarkEnd w:id="13"/>
      <w:bookmarkEnd w:id="14"/>
      <w:bookmarkEnd w:id="15"/>
      <w:bookmarkEnd w:id="16"/>
    </w:p>
    <w:p>
      <w:pPr>
        <w:pStyle w:val="Heading5"/>
      </w:pPr>
      <w:bookmarkStart w:id="17" w:name="_Toc168644273"/>
      <w:bookmarkStart w:id="18" w:name="_Toc168999737"/>
      <w:r>
        <w:rPr>
          <w:rStyle w:val="CharSectno"/>
        </w:rPr>
        <w:t>4</w:t>
      </w:r>
      <w:r>
        <w:t>.</w:t>
      </w:r>
      <w:r>
        <w:tab/>
        <w:t>Regulation 3 amended</w:t>
      </w:r>
      <w:bookmarkEnd w:id="17"/>
      <w:bookmarkEnd w:id="18"/>
    </w:p>
    <w:p>
      <w:pPr>
        <w:pStyle w:val="Subsection"/>
      </w:pPr>
      <w:r>
        <w:tab/>
        <w:t>(1)</w:t>
      </w:r>
      <w:r>
        <w:tab/>
        <w:t>In regulation 3(1) insert in alphabetical order:</w:t>
      </w:r>
    </w:p>
    <w:p>
      <w:pPr>
        <w:pStyle w:val="BlankOpen"/>
      </w:pPr>
    </w:p>
    <w:p>
      <w:pPr>
        <w:pStyle w:val="zDefstart"/>
      </w:pPr>
      <w:r>
        <w:tab/>
      </w:r>
      <w:r>
        <w:rPr>
          <w:rStyle w:val="CharDefText"/>
        </w:rPr>
        <w:t>approved (WorkCover WA) medical practitioner</w:t>
      </w:r>
      <w:r>
        <w:t xml:space="preserve"> means a person who is for the time being designated under the </w:t>
      </w:r>
      <w:r>
        <w:rPr>
          <w:iCs/>
        </w:rPr>
        <w:t xml:space="preserve">WC&amp;IM Act </w:t>
      </w:r>
      <w:r>
        <w:t>section 146F;</w:t>
      </w:r>
    </w:p>
    <w:p>
      <w:pPr>
        <w:pStyle w:val="BlankClose"/>
      </w:pPr>
    </w:p>
    <w:p>
      <w:pPr>
        <w:pStyle w:val="Subsection"/>
      </w:pPr>
      <w:r>
        <w:tab/>
        <w:t>(2)</w:t>
      </w:r>
      <w:r>
        <w:tab/>
        <w:t>In regulation 3(2) after “33ZS” insert:</w:t>
      </w:r>
    </w:p>
    <w:p>
      <w:pPr>
        <w:pStyle w:val="BlankOpen"/>
      </w:pPr>
    </w:p>
    <w:p>
      <w:pPr>
        <w:pStyle w:val="Subsection"/>
      </w:pPr>
      <w:r>
        <w:tab/>
      </w:r>
      <w:r>
        <w:tab/>
        <w:t>or 33ZZ</w:t>
      </w:r>
    </w:p>
    <w:p>
      <w:pPr>
        <w:pStyle w:val="BlankClose"/>
      </w:pPr>
    </w:p>
    <w:p>
      <w:pPr>
        <w:pStyle w:val="Heading5"/>
      </w:pPr>
      <w:bookmarkStart w:id="19" w:name="_Toc168644274"/>
      <w:bookmarkStart w:id="20" w:name="_Toc168999738"/>
      <w:r>
        <w:rPr>
          <w:rStyle w:val="CharSectno"/>
        </w:rPr>
        <w:t>5</w:t>
      </w:r>
      <w:r>
        <w:t>.</w:t>
      </w:r>
      <w:r>
        <w:tab/>
        <w:t>Part 2 Division 1 heading inserted</w:t>
      </w:r>
      <w:bookmarkEnd w:id="19"/>
      <w:bookmarkEnd w:id="20"/>
    </w:p>
    <w:p>
      <w:pPr>
        <w:pStyle w:val="Subsection"/>
      </w:pPr>
      <w:r>
        <w:tab/>
      </w:r>
      <w:r>
        <w:tab/>
        <w:t>At the beginning of Part 2 insert:</w:t>
      </w:r>
    </w:p>
    <w:p>
      <w:pPr>
        <w:pStyle w:val="BlankOpen"/>
      </w:pPr>
    </w:p>
    <w:p>
      <w:pPr>
        <w:pStyle w:val="zHeading3"/>
      </w:pPr>
      <w:bookmarkStart w:id="21" w:name="_Toc168644275"/>
      <w:bookmarkStart w:id="22" w:name="_Toc168644363"/>
      <w:bookmarkStart w:id="23" w:name="_Toc168644475"/>
      <w:bookmarkStart w:id="24" w:name="_Toc168999739"/>
      <w:r>
        <w:t>Division 1 — Permanent impairment</w:t>
      </w:r>
      <w:bookmarkEnd w:id="21"/>
      <w:bookmarkEnd w:id="22"/>
      <w:bookmarkEnd w:id="23"/>
      <w:bookmarkEnd w:id="24"/>
    </w:p>
    <w:p>
      <w:pPr>
        <w:pStyle w:val="BlankClose"/>
      </w:pPr>
    </w:p>
    <w:p>
      <w:pPr>
        <w:pStyle w:val="Heading5"/>
      </w:pPr>
      <w:bookmarkStart w:id="25" w:name="_Toc168644276"/>
      <w:bookmarkStart w:id="26" w:name="_Toc168999740"/>
      <w:r>
        <w:rPr>
          <w:rStyle w:val="CharSectno"/>
        </w:rPr>
        <w:t>6</w:t>
      </w:r>
      <w:r>
        <w:t>.</w:t>
      </w:r>
      <w:r>
        <w:tab/>
        <w:t>Regulation 6 amended</w:t>
      </w:r>
      <w:bookmarkEnd w:id="25"/>
      <w:bookmarkEnd w:id="26"/>
    </w:p>
    <w:p>
      <w:pPr>
        <w:pStyle w:val="Subsection"/>
      </w:pPr>
      <w:r>
        <w:tab/>
        <w:t>(1)</w:t>
      </w:r>
      <w:r>
        <w:tab/>
        <w:t>In regulation 6(4) delete “may, before a report is issued under regulation 9 and in addition to the documents and information required to be provided under subregulation (1)(a), provide the approved medical specialist with any other” and insert:</w:t>
      </w:r>
    </w:p>
    <w:p>
      <w:pPr>
        <w:pStyle w:val="BlankOpen"/>
      </w:pPr>
    </w:p>
    <w:p>
      <w:pPr>
        <w:pStyle w:val="Subsection"/>
      </w:pPr>
      <w:r>
        <w:tab/>
      </w:r>
      <w:r>
        <w:tab/>
        <w:t>may provide the approved medical specialist with any</w:t>
      </w:r>
    </w:p>
    <w:p>
      <w:pPr>
        <w:pStyle w:val="BlankClose"/>
      </w:pPr>
    </w:p>
    <w:p>
      <w:pPr>
        <w:pStyle w:val="Subsection"/>
        <w:keepNext/>
      </w:pPr>
      <w:r>
        <w:lastRenderedPageBreak/>
        <w:tab/>
        <w:t>(2)</w:t>
      </w:r>
      <w:r>
        <w:tab/>
        <w:t>After regulation 6(4) insert:</w:t>
      </w:r>
    </w:p>
    <w:p>
      <w:pPr>
        <w:pStyle w:val="BlankOpen"/>
      </w:pPr>
    </w:p>
    <w:p>
      <w:pPr>
        <w:pStyle w:val="zSubsection"/>
      </w:pPr>
      <w:r>
        <w:tab/>
        <w:t>(5)</w:t>
      </w:r>
      <w:r>
        <w:tab/>
        <w:t xml:space="preserve">Documents and information provided under subregulation (4) must be provided within — </w:t>
      </w:r>
    </w:p>
    <w:p>
      <w:pPr>
        <w:pStyle w:val="zIndenta"/>
      </w:pPr>
      <w:r>
        <w:tab/>
        <w:t>(a)</w:t>
      </w:r>
      <w:r>
        <w:tab/>
        <w:t>if the approved medical specialist gives the member or medically retired member a requirement under subregulation (1)(a) — the period within which that requirement must be complied with under subregulation (3); or</w:t>
      </w:r>
    </w:p>
    <w:p>
      <w:pPr>
        <w:pStyle w:val="zIndenta"/>
        <w:rPr>
          <w:bCs/>
          <w:iCs/>
          <w:sz w:val="20"/>
        </w:rPr>
      </w:pPr>
      <w:r>
        <w:tab/>
        <w:t>(b)</w:t>
      </w:r>
      <w:r>
        <w:tab/>
        <w:t>otherwise — 28 days after the day on which the request was made under regulation 4(2) in relation to the assessment.</w:t>
      </w:r>
    </w:p>
    <w:p>
      <w:pPr>
        <w:pStyle w:val="zSubsection"/>
      </w:pPr>
      <w:r>
        <w:tab/>
        <w:t>(6)</w:t>
      </w:r>
      <w:r>
        <w:tab/>
        <w:t>Subregulation (4) is in addition to, and does not limit, subregulations (1) to (3).</w:t>
      </w:r>
    </w:p>
    <w:p>
      <w:pPr>
        <w:pStyle w:val="BlankClose"/>
      </w:pPr>
    </w:p>
    <w:p>
      <w:pPr>
        <w:pStyle w:val="SectAltNote"/>
      </w:pPr>
      <w:r>
        <w:tab/>
        <w:t>Note: The heading to amended regulation 6 is to read:</w:t>
      </w:r>
    </w:p>
    <w:p>
      <w:pPr>
        <w:pStyle w:val="SectAltHeading"/>
      </w:pPr>
      <w:r>
        <w:tab/>
      </w:r>
      <w:r>
        <w:tab/>
        <w:t>Provision of information and documents relevant to assessment</w:t>
      </w:r>
    </w:p>
    <w:p>
      <w:pPr>
        <w:pStyle w:val="Heading5"/>
      </w:pPr>
      <w:bookmarkStart w:id="27" w:name="_Toc168644277"/>
      <w:bookmarkStart w:id="28" w:name="_Toc168999741"/>
      <w:r>
        <w:rPr>
          <w:rStyle w:val="CharSectno"/>
        </w:rPr>
        <w:t>7</w:t>
      </w:r>
      <w:r>
        <w:t>.</w:t>
      </w:r>
      <w:r>
        <w:tab/>
        <w:t>Regulation 8 amended</w:t>
      </w:r>
      <w:bookmarkEnd w:id="27"/>
      <w:bookmarkEnd w:id="28"/>
    </w:p>
    <w:p>
      <w:pPr>
        <w:pStyle w:val="Subsection"/>
      </w:pPr>
      <w:r>
        <w:tab/>
      </w:r>
      <w:r>
        <w:tab/>
        <w:t>After regulation 8(4) insert:</w:t>
      </w:r>
    </w:p>
    <w:p>
      <w:pPr>
        <w:pStyle w:val="BlankOpen"/>
      </w:pPr>
    </w:p>
    <w:p>
      <w:pPr>
        <w:pStyle w:val="zSubsection"/>
      </w:pPr>
      <w:r>
        <w:tab/>
        <w:t>(5)</w:t>
      </w:r>
      <w:r>
        <w:tab/>
        <w:t xml:space="preserve">In relation to the assessment under section 33ZW(5) of the Act of the degree of a permanent impairment that is noise induced hearing loss to which section 33ZX(3) of the Act applies — </w:t>
      </w:r>
    </w:p>
    <w:p>
      <w:pPr>
        <w:pStyle w:val="zIndenta"/>
        <w:rPr>
          <w:iCs/>
          <w:sz w:val="20"/>
        </w:rPr>
      </w:pPr>
      <w:r>
        <w:tab/>
        <w:t>(a)</w:t>
      </w:r>
      <w:r>
        <w:tab/>
        <w:t>the WorkCover Guides paragraphs 1.17 and 9.1 must be disregarded; and</w:t>
      </w:r>
    </w:p>
    <w:p>
      <w:pPr>
        <w:pStyle w:val="zIndenta"/>
        <w:rPr>
          <w:b/>
          <w:sz w:val="20"/>
        </w:rPr>
      </w:pPr>
      <w:r>
        <w:tab/>
        <w:t>(b)</w:t>
      </w:r>
      <w:r>
        <w:tab/>
        <w:t>the noise induced hearing loss must be assessed under the WorkCover Guides Chapter 9 as if it were a hearing impairment other than noise induced hearing loss.</w:t>
      </w:r>
    </w:p>
    <w:p>
      <w:pPr>
        <w:pStyle w:val="BlankClose"/>
      </w:pPr>
    </w:p>
    <w:p>
      <w:pPr>
        <w:pStyle w:val="Heading5"/>
      </w:pPr>
      <w:bookmarkStart w:id="29" w:name="_Toc168644278"/>
      <w:bookmarkStart w:id="30" w:name="_Toc168999742"/>
      <w:r>
        <w:rPr>
          <w:rStyle w:val="CharSectno"/>
        </w:rPr>
        <w:lastRenderedPageBreak/>
        <w:t>8</w:t>
      </w:r>
      <w:r>
        <w:t>.</w:t>
      </w:r>
      <w:r>
        <w:tab/>
        <w:t>Regulation 9 amended</w:t>
      </w:r>
      <w:bookmarkEnd w:id="29"/>
      <w:bookmarkEnd w:id="30"/>
    </w:p>
    <w:p>
      <w:pPr>
        <w:pStyle w:val="Subsection"/>
      </w:pPr>
      <w:r>
        <w:tab/>
      </w:r>
      <w:r>
        <w:tab/>
        <w:t>In regulation 9(3) delete “7” and insert:</w:t>
      </w:r>
    </w:p>
    <w:p>
      <w:pPr>
        <w:pStyle w:val="BlankOpen"/>
      </w:pPr>
    </w:p>
    <w:p>
      <w:pPr>
        <w:pStyle w:val="Subsection"/>
      </w:pPr>
      <w:r>
        <w:tab/>
      </w:r>
      <w:r>
        <w:tab/>
        <w:t>14</w:t>
      </w:r>
    </w:p>
    <w:p>
      <w:pPr>
        <w:pStyle w:val="BlankClose"/>
      </w:pPr>
    </w:p>
    <w:p>
      <w:pPr>
        <w:pStyle w:val="Heading5"/>
      </w:pPr>
      <w:bookmarkStart w:id="31" w:name="_Toc168644279"/>
      <w:bookmarkStart w:id="32" w:name="_Toc168999743"/>
      <w:r>
        <w:rPr>
          <w:rStyle w:val="CharSectno"/>
        </w:rPr>
        <w:t>9</w:t>
      </w:r>
      <w:r>
        <w:t>.</w:t>
      </w:r>
      <w:r>
        <w:tab/>
        <w:t>Part 2 Division 2 inserted</w:t>
      </w:r>
      <w:bookmarkEnd w:id="31"/>
      <w:bookmarkEnd w:id="32"/>
    </w:p>
    <w:p>
      <w:pPr>
        <w:pStyle w:val="Subsection"/>
      </w:pPr>
      <w:r>
        <w:tab/>
      </w:r>
      <w:r>
        <w:tab/>
        <w:t>At the end of Part 2 insert:</w:t>
      </w:r>
    </w:p>
    <w:p>
      <w:pPr>
        <w:pStyle w:val="BlankOpen"/>
      </w:pPr>
    </w:p>
    <w:p>
      <w:pPr>
        <w:pStyle w:val="zHeading3"/>
      </w:pPr>
      <w:bookmarkStart w:id="33" w:name="_Toc168644280"/>
      <w:bookmarkStart w:id="34" w:name="_Toc168644368"/>
      <w:bookmarkStart w:id="35" w:name="_Toc168644480"/>
      <w:bookmarkStart w:id="36" w:name="_Toc168999744"/>
      <w:r>
        <w:t>Division 2 — Permanent total incapacity for work</w:t>
      </w:r>
      <w:bookmarkEnd w:id="33"/>
      <w:bookmarkEnd w:id="34"/>
      <w:bookmarkEnd w:id="35"/>
      <w:bookmarkEnd w:id="36"/>
    </w:p>
    <w:p>
      <w:pPr>
        <w:pStyle w:val="zHeading4"/>
      </w:pPr>
      <w:bookmarkStart w:id="37" w:name="_Toc168644281"/>
      <w:bookmarkStart w:id="38" w:name="_Toc168644369"/>
      <w:bookmarkStart w:id="39" w:name="_Toc168644481"/>
      <w:bookmarkStart w:id="40" w:name="_Toc168999745"/>
      <w:r>
        <w:t>Subdivision 1 — Application</w:t>
      </w:r>
      <w:bookmarkEnd w:id="37"/>
      <w:bookmarkEnd w:id="38"/>
      <w:bookmarkEnd w:id="39"/>
      <w:bookmarkEnd w:id="40"/>
    </w:p>
    <w:p>
      <w:pPr>
        <w:pStyle w:val="zHeading5"/>
      </w:pPr>
      <w:bookmarkStart w:id="41" w:name="_Toc168644282"/>
      <w:bookmarkStart w:id="42" w:name="_Toc168999746"/>
      <w:r>
        <w:t>10A.</w:t>
      </w:r>
      <w:r>
        <w:tab/>
        <w:t>Application for compensation for permanent total incapacity for work</w:t>
      </w:r>
      <w:bookmarkEnd w:id="41"/>
      <w:bookmarkEnd w:id="42"/>
    </w:p>
    <w:p>
      <w:pPr>
        <w:pStyle w:val="zSubsection"/>
      </w:pPr>
      <w:r>
        <w:tab/>
      </w:r>
      <w:r>
        <w:tab/>
        <w:t xml:space="preserve">An application for compensation under section 33ZZ(2) of the Act must — </w:t>
      </w:r>
    </w:p>
    <w:p>
      <w:pPr>
        <w:pStyle w:val="zIndenta"/>
      </w:pPr>
      <w:r>
        <w:tab/>
        <w:t>(a)</w:t>
      </w:r>
      <w:r>
        <w:tab/>
        <w:t>be in the approved form; and</w:t>
      </w:r>
    </w:p>
    <w:p>
      <w:pPr>
        <w:pStyle w:val="zIndenta"/>
      </w:pPr>
      <w:r>
        <w:tab/>
        <w:t>(b)</w:t>
      </w:r>
      <w:r>
        <w:tab/>
        <w:t>contain all the information that the approved form indicates is required.</w:t>
      </w:r>
    </w:p>
    <w:p>
      <w:pPr>
        <w:pStyle w:val="zHeading4"/>
      </w:pPr>
      <w:bookmarkStart w:id="43" w:name="_Toc168644283"/>
      <w:bookmarkStart w:id="44" w:name="_Toc168644371"/>
      <w:bookmarkStart w:id="45" w:name="_Toc168644483"/>
      <w:bookmarkStart w:id="46" w:name="_Toc168999747"/>
      <w:r>
        <w:t>Subdivision 2 — Medical assessment and information and documents for determining qualification for compensation</w:t>
      </w:r>
      <w:bookmarkEnd w:id="43"/>
      <w:bookmarkEnd w:id="44"/>
      <w:bookmarkEnd w:id="45"/>
      <w:bookmarkEnd w:id="46"/>
    </w:p>
    <w:p>
      <w:pPr>
        <w:pStyle w:val="zHeading5"/>
      </w:pPr>
      <w:bookmarkStart w:id="47" w:name="_Toc168644284"/>
      <w:bookmarkStart w:id="48" w:name="_Toc168999748"/>
      <w:r>
        <w:t>10B.</w:t>
      </w:r>
      <w:r>
        <w:tab/>
        <w:t>Medical assessment of permanent total incapacity for work</w:t>
      </w:r>
      <w:bookmarkEnd w:id="47"/>
      <w:bookmarkEnd w:id="48"/>
    </w:p>
    <w:p>
      <w:pPr>
        <w:pStyle w:val="zSubsection"/>
      </w:pPr>
      <w:r>
        <w:tab/>
        <w:t>(1)</w:t>
      </w:r>
      <w:r>
        <w:tab/>
        <w:t xml:space="preserve">For the purposes of deciding what determination to make under section 33ZZ(5)(a)(i) of the Act in relation to a medically retired member, or a member to whom section 33ZZ(6) of the Act applies, an assessor may — </w:t>
      </w:r>
    </w:p>
    <w:p>
      <w:pPr>
        <w:pStyle w:val="zIndenta"/>
      </w:pPr>
      <w:r>
        <w:tab/>
        <w:t>(a)</w:t>
      </w:r>
      <w:r>
        <w:tab/>
        <w:t xml:space="preserve">arrange for a medical assessment of whether the member or medically retired member has a permanent total incapacity for work to be </w:t>
      </w:r>
      <w:r>
        <w:lastRenderedPageBreak/>
        <w:t>conducted by an approved (WorkCover WA) medical practitioner selected by the member or medically retired member; and</w:t>
      </w:r>
    </w:p>
    <w:p>
      <w:pPr>
        <w:pStyle w:val="zIndenta"/>
      </w:pPr>
      <w:r>
        <w:tab/>
        <w:t>(b)</w:t>
      </w:r>
      <w:r>
        <w:tab/>
        <w:t xml:space="preserve">require the member or medically retired member to — </w:t>
      </w:r>
    </w:p>
    <w:p>
      <w:pPr>
        <w:pStyle w:val="zIndenti"/>
      </w:pPr>
      <w:r>
        <w:tab/>
        <w:t>(i)</w:t>
      </w:r>
      <w:r>
        <w:tab/>
        <w:t>attend at a place specified by the assessor; and</w:t>
      </w:r>
    </w:p>
    <w:p>
      <w:pPr>
        <w:pStyle w:val="zIndenti"/>
      </w:pPr>
      <w:r>
        <w:tab/>
        <w:t>(ii)</w:t>
      </w:r>
      <w:r>
        <w:tab/>
        <w:t>submit to the medical assessment.</w:t>
      </w:r>
    </w:p>
    <w:p>
      <w:pPr>
        <w:pStyle w:val="zSubsection"/>
      </w:pPr>
      <w:r>
        <w:tab/>
        <w:t>(2)</w:t>
      </w:r>
      <w:r>
        <w:tab/>
        <w:t xml:space="preserve">A requirement under subregulation (1) must — </w:t>
      </w:r>
    </w:p>
    <w:p>
      <w:pPr>
        <w:pStyle w:val="zIndenta"/>
      </w:pPr>
      <w:r>
        <w:tab/>
        <w:t>(a)</w:t>
      </w:r>
      <w:r>
        <w:tab/>
        <w:t>be given in writing to the member or medically retired member; and</w:t>
      </w:r>
    </w:p>
    <w:p>
      <w:pPr>
        <w:pStyle w:val="zIndenta"/>
      </w:pPr>
      <w:r>
        <w:tab/>
        <w:t>(b)</w:t>
      </w:r>
      <w:r>
        <w:tab/>
        <w:t xml:space="preserve">include the following — </w:t>
      </w:r>
    </w:p>
    <w:p>
      <w:pPr>
        <w:pStyle w:val="zIndenti"/>
      </w:pPr>
      <w:r>
        <w:tab/>
        <w:t>(i)</w:t>
      </w:r>
      <w:r>
        <w:tab/>
        <w:t>the name, address and contact details of the member or medically retired member;</w:t>
      </w:r>
    </w:p>
    <w:p>
      <w:pPr>
        <w:pStyle w:val="zIndenti"/>
      </w:pPr>
      <w:r>
        <w:tab/>
        <w:t>(ii)</w:t>
      </w:r>
      <w:r>
        <w:tab/>
        <w:t>the time when the member or medically retired member must attend the specified place;</w:t>
      </w:r>
    </w:p>
    <w:p>
      <w:pPr>
        <w:pStyle w:val="zIndenti"/>
      </w:pPr>
      <w:r>
        <w:tab/>
        <w:t>(iii)</w:t>
      </w:r>
      <w:r>
        <w:tab/>
        <w:t>the approved (WorkCover WA) medical practitioner’s name;</w:t>
      </w:r>
    </w:p>
    <w:p>
      <w:pPr>
        <w:pStyle w:val="zIndenti"/>
      </w:pPr>
      <w:r>
        <w:tab/>
        <w:t>(iv)</w:t>
      </w:r>
      <w:r>
        <w:tab/>
        <w:t>details sufficient to enable the approved (WorkCover WA) medical practitioner to be contacted;</w:t>
      </w:r>
    </w:p>
    <w:p>
      <w:pPr>
        <w:pStyle w:val="zIndenti"/>
      </w:pPr>
      <w:r>
        <w:tab/>
        <w:t>(v)</w:t>
      </w:r>
      <w:r>
        <w:tab/>
        <w:t>the relevant provisions of the Act for the purposes of which the determination is to be made.</w:t>
      </w:r>
    </w:p>
    <w:p>
      <w:pPr>
        <w:pStyle w:val="zSubsection"/>
      </w:pPr>
      <w:r>
        <w:tab/>
        <w:t>(3)</w:t>
      </w:r>
      <w:r>
        <w:tab/>
        <w:t>The Police Commissioner must ensure that a list of approved (WorkCover WA) medical practitioners who have consented to conducting assessments of permanent total incapacity for work is published on the Police Force website.</w:t>
      </w:r>
    </w:p>
    <w:p>
      <w:pPr>
        <w:pStyle w:val="zHeading5"/>
      </w:pPr>
      <w:bookmarkStart w:id="49" w:name="_Toc168644285"/>
      <w:bookmarkStart w:id="50" w:name="_Toc168999749"/>
      <w:r>
        <w:lastRenderedPageBreak/>
        <w:t>10C.</w:t>
      </w:r>
      <w:r>
        <w:tab/>
        <w:t>Requirements in relation to medical assessment of permanent total incapacity for work</w:t>
      </w:r>
      <w:bookmarkEnd w:id="49"/>
      <w:bookmarkEnd w:id="50"/>
    </w:p>
    <w:p>
      <w:pPr>
        <w:pStyle w:val="zSubsection"/>
      </w:pPr>
      <w:r>
        <w:tab/>
        <w:t>(1)</w:t>
      </w:r>
      <w:r>
        <w:tab/>
        <w:t xml:space="preserve">An approved (WorkCover WA) medical practitioner conducting an assessment of whether a member or medically retired member has a permanent total incapacity for work may — </w:t>
      </w:r>
    </w:p>
    <w:p>
      <w:pPr>
        <w:pStyle w:val="zIndenta"/>
      </w:pPr>
      <w:r>
        <w:tab/>
        <w:t>(a)</w:t>
      </w:r>
      <w:r>
        <w:tab/>
        <w:t>require the member or medically retired member to undergo specified medical tests and assessments and provide the approved (WorkCover WA) medical practitioner with results and reports from those tests and assessments; and</w:t>
      </w:r>
    </w:p>
    <w:p>
      <w:pPr>
        <w:pStyle w:val="zIndenta"/>
      </w:pPr>
      <w:r>
        <w:tab/>
        <w:t>(b)</w:t>
      </w:r>
      <w:r>
        <w:tab/>
        <w:t>require the member or medically retired member to answer any question that is relevant to whether the member or medically retired member has a permanent total incapacity for work; and</w:t>
      </w:r>
    </w:p>
    <w:p>
      <w:pPr>
        <w:pStyle w:val="zIndenta"/>
      </w:pPr>
      <w:r>
        <w:tab/>
        <w:t>(c)</w:t>
      </w:r>
      <w:r>
        <w:tab/>
        <w:t>require the member or medically retired member to submit to examination by, or as requested by, the approved (WorkCover WA) medical practitioner and provide the approved (WorkCover WA) medical practitioner with results and reports from the examination if it is carried out by a person other than the approved (WorkCover WA) medical practitioner.</w:t>
      </w:r>
    </w:p>
    <w:p>
      <w:pPr>
        <w:pStyle w:val="zSubsection"/>
        <w:keepNext/>
      </w:pPr>
      <w:r>
        <w:tab/>
        <w:t>(2)</w:t>
      </w:r>
      <w:r>
        <w:tab/>
        <w:t xml:space="preserve">If a requirement under subregulation (1)(a) or (c) requires attendance at a place or time other than that specified in a requirement given under regulation 10B(1)(b), the requirement under subregulation (1)(a) or (c) must — </w:t>
      </w:r>
    </w:p>
    <w:p>
      <w:pPr>
        <w:pStyle w:val="zIndenta"/>
      </w:pPr>
      <w:r>
        <w:tab/>
        <w:t>(a)</w:t>
      </w:r>
      <w:r>
        <w:tab/>
        <w:t>be given in writing to the member or medically retired member; and</w:t>
      </w:r>
    </w:p>
    <w:p>
      <w:pPr>
        <w:pStyle w:val="zIndenta"/>
        <w:keepNext/>
        <w:keepLines/>
      </w:pPr>
      <w:r>
        <w:lastRenderedPageBreak/>
        <w:tab/>
        <w:t>(b)</w:t>
      </w:r>
      <w:r>
        <w:tab/>
        <w:t>include the time when and the place where the member or medically retired member must undergo the tests and assessments or submit to examination.</w:t>
      </w:r>
    </w:p>
    <w:p>
      <w:pPr>
        <w:pStyle w:val="zHeading5"/>
      </w:pPr>
      <w:bookmarkStart w:id="51" w:name="_Toc168644286"/>
      <w:bookmarkStart w:id="52" w:name="_Toc168999750"/>
      <w:r>
        <w:t>10D.</w:t>
      </w:r>
      <w:r>
        <w:tab/>
        <w:t>Report on results of medical assessment of permanent total incapacity for work</w:t>
      </w:r>
      <w:bookmarkEnd w:id="51"/>
      <w:bookmarkEnd w:id="52"/>
    </w:p>
    <w:p>
      <w:pPr>
        <w:pStyle w:val="zSubsection"/>
      </w:pPr>
      <w:r>
        <w:tab/>
        <w:t>(1)</w:t>
      </w:r>
      <w:r>
        <w:tab/>
        <w:t>An approved (WorkCover WA) medical practitioner who makes an assessment of whether a member or medically retired member has a permanent total incapacity for work must give the assessor a report in the approved form on the results of the assessment.</w:t>
      </w:r>
    </w:p>
    <w:p>
      <w:pPr>
        <w:pStyle w:val="zSubsection"/>
      </w:pPr>
      <w:r>
        <w:tab/>
        <w:t>(2)</w:t>
      </w:r>
      <w:r>
        <w:tab/>
        <w:t xml:space="preserve">The report must include — </w:t>
      </w:r>
    </w:p>
    <w:p>
      <w:pPr>
        <w:pStyle w:val="zIndenta"/>
      </w:pPr>
      <w:r>
        <w:tab/>
        <w:t>(a)</w:t>
      </w:r>
      <w:r>
        <w:tab/>
        <w:t>a certificate stating the approved (WorkCover WA) medical practitioner’s assessment of whether the member or medically retired member has a permanent total incapacity for work; and</w:t>
      </w:r>
    </w:p>
    <w:p>
      <w:pPr>
        <w:pStyle w:val="zIndenta"/>
      </w:pPr>
      <w:r>
        <w:tab/>
        <w:t>(b)</w:t>
      </w:r>
      <w:r>
        <w:tab/>
        <w:t>a statement of the reasons that justify the assessment; and</w:t>
      </w:r>
    </w:p>
    <w:p>
      <w:pPr>
        <w:pStyle w:val="zIndenta"/>
      </w:pPr>
      <w:r>
        <w:tab/>
        <w:t>(c)</w:t>
      </w:r>
      <w:r>
        <w:tab/>
        <w:t>the name and contact details of the approved (WorkCover WA) medical practitioner; and</w:t>
      </w:r>
    </w:p>
    <w:p>
      <w:pPr>
        <w:pStyle w:val="zIndenta"/>
      </w:pPr>
      <w:r>
        <w:tab/>
        <w:t>(d)</w:t>
      </w:r>
      <w:r>
        <w:tab/>
        <w:t>other information required by the approved form.</w:t>
      </w:r>
    </w:p>
    <w:p>
      <w:pPr>
        <w:pStyle w:val="zSubsection"/>
      </w:pPr>
      <w:r>
        <w:tab/>
        <w:t>(3)</w:t>
      </w:r>
      <w:r>
        <w:tab/>
        <w:t>The assessor must give the report to the relevant member or medically retired member not later than 14 days after receiving the report.</w:t>
      </w:r>
    </w:p>
    <w:p>
      <w:pPr>
        <w:pStyle w:val="zHeading5"/>
      </w:pPr>
      <w:bookmarkStart w:id="53" w:name="_Toc168644287"/>
      <w:bookmarkStart w:id="54" w:name="_Toc168999751"/>
      <w:r>
        <w:t>10E.</w:t>
      </w:r>
      <w:r>
        <w:tab/>
        <w:t>Provision of information and documents for determining whether member or medically retired member qualifies for compensation</w:t>
      </w:r>
      <w:bookmarkEnd w:id="53"/>
      <w:bookmarkEnd w:id="54"/>
    </w:p>
    <w:p>
      <w:pPr>
        <w:pStyle w:val="zSubsection"/>
      </w:pPr>
      <w:r>
        <w:tab/>
        <w:t>(1)</w:t>
      </w:r>
      <w:r>
        <w:tab/>
        <w:t xml:space="preserve">For the purposes of deciding what determination to make under section 33ZZ(5)(a)(i) of the Act in relation </w:t>
      </w:r>
      <w:r>
        <w:lastRenderedPageBreak/>
        <w:t xml:space="preserve">to a medically retired member, or a member to whom section 33ZZ(6) of the Act applies, an assessor — </w:t>
      </w:r>
    </w:p>
    <w:p>
      <w:pPr>
        <w:pStyle w:val="zIndenta"/>
      </w:pPr>
      <w:r>
        <w:tab/>
        <w:t>(a)</w:t>
      </w:r>
      <w:r>
        <w:tab/>
        <w:t>must require the member or medically retired member to produce any document, and provide any information, that the member or medically retired member considers is relevant to making the determination under section 33ZZ(5)(a)(i) of the Act; and</w:t>
      </w:r>
    </w:p>
    <w:p>
      <w:pPr>
        <w:pStyle w:val="zIndenta"/>
      </w:pPr>
      <w:r>
        <w:tab/>
        <w:t>(b)</w:t>
      </w:r>
      <w:r>
        <w:tab/>
        <w:t>may require the member or medically retired member to produce any document, or provide any information, that the assessor considers is relevant to making the determination under section 33ZZ(5)(a)(i) of the Act; and</w:t>
      </w:r>
    </w:p>
    <w:p>
      <w:pPr>
        <w:pStyle w:val="zIndenta"/>
      </w:pPr>
      <w:r>
        <w:tab/>
        <w:t>(c)</w:t>
      </w:r>
      <w:r>
        <w:tab/>
        <w:t xml:space="preserve">may require the member or medically retired member to — </w:t>
      </w:r>
    </w:p>
    <w:p>
      <w:pPr>
        <w:pStyle w:val="zIndenti"/>
      </w:pPr>
      <w:r>
        <w:tab/>
        <w:t>(i)</w:t>
      </w:r>
      <w:r>
        <w:tab/>
        <w:t>attend at a place specified by the assessor; and</w:t>
      </w:r>
    </w:p>
    <w:p>
      <w:pPr>
        <w:pStyle w:val="zIndenti"/>
      </w:pPr>
      <w:r>
        <w:tab/>
        <w:t>(ii)</w:t>
      </w:r>
      <w:r>
        <w:tab/>
        <w:t>answer any question relevant to making the determination under section 33ZZ(5)(a)(i) of the Act;</w:t>
      </w:r>
    </w:p>
    <w:p>
      <w:pPr>
        <w:pStyle w:val="zIndenta"/>
      </w:pPr>
      <w:r>
        <w:tab/>
      </w:r>
      <w:r>
        <w:tab/>
        <w:t>and</w:t>
      </w:r>
    </w:p>
    <w:p>
      <w:pPr>
        <w:pStyle w:val="zIndenta"/>
      </w:pPr>
      <w:r>
        <w:tab/>
        <w:t>(d)</w:t>
      </w:r>
      <w:r>
        <w:tab/>
        <w:t>may require the Police Commissioner to produce any document, or provide any information, that the assessor considers is relevant to making the determination under section 33ZZ(5)(a)(i) of the Act.</w:t>
      </w:r>
    </w:p>
    <w:p>
      <w:pPr>
        <w:pStyle w:val="zSubsection"/>
        <w:keepNext/>
      </w:pPr>
      <w:r>
        <w:tab/>
        <w:t>(2)</w:t>
      </w:r>
      <w:r>
        <w:tab/>
        <w:t xml:space="preserve">A requirement under subregulation (1) must — </w:t>
      </w:r>
    </w:p>
    <w:p>
      <w:pPr>
        <w:pStyle w:val="zIndenta"/>
      </w:pPr>
      <w:r>
        <w:tab/>
        <w:t>(a)</w:t>
      </w:r>
      <w:r>
        <w:tab/>
        <w:t>be given in writing to the member or medically retired member or the Police Commissioner, as the case requires; and</w:t>
      </w:r>
    </w:p>
    <w:p>
      <w:pPr>
        <w:pStyle w:val="zIndenta"/>
        <w:keepNext/>
      </w:pPr>
      <w:r>
        <w:lastRenderedPageBreak/>
        <w:tab/>
        <w:t>(b)</w:t>
      </w:r>
      <w:r>
        <w:tab/>
        <w:t xml:space="preserve">include the following — </w:t>
      </w:r>
    </w:p>
    <w:p>
      <w:pPr>
        <w:pStyle w:val="zIndenti"/>
      </w:pPr>
      <w:r>
        <w:tab/>
        <w:t>(i)</w:t>
      </w:r>
      <w:r>
        <w:tab/>
        <w:t>the name, address and contact details of the member or medically retired member;</w:t>
      </w:r>
    </w:p>
    <w:p>
      <w:pPr>
        <w:pStyle w:val="zIndenti"/>
      </w:pPr>
      <w:r>
        <w:tab/>
        <w:t>(ii)</w:t>
      </w:r>
      <w:r>
        <w:tab/>
        <w:t>the member’s or medically retired member’s date of birth;</w:t>
      </w:r>
    </w:p>
    <w:p>
      <w:pPr>
        <w:pStyle w:val="zIndenti"/>
      </w:pPr>
      <w:r>
        <w:tab/>
        <w:t>(iii)</w:t>
      </w:r>
      <w:r>
        <w:tab/>
        <w:t>the assessor’s name;</w:t>
      </w:r>
    </w:p>
    <w:p>
      <w:pPr>
        <w:pStyle w:val="zIndenti"/>
      </w:pPr>
      <w:r>
        <w:tab/>
        <w:t>(iv)</w:t>
      </w:r>
      <w:r>
        <w:tab/>
        <w:t>details sufficient to enable the assessor to be contacted;</w:t>
      </w:r>
    </w:p>
    <w:p>
      <w:pPr>
        <w:pStyle w:val="zIndenti"/>
      </w:pPr>
      <w:r>
        <w:tab/>
        <w:t>(v)</w:t>
      </w:r>
      <w:r>
        <w:tab/>
        <w:t>the relevant provisions of the Act for the purposes of which the determination is to be made;</w:t>
      </w:r>
    </w:p>
    <w:p>
      <w:pPr>
        <w:pStyle w:val="zIndenta"/>
      </w:pPr>
      <w:r>
        <w:tab/>
      </w:r>
      <w:r>
        <w:tab/>
        <w:t>and</w:t>
      </w:r>
    </w:p>
    <w:p>
      <w:pPr>
        <w:pStyle w:val="zIndenta"/>
      </w:pPr>
      <w:r>
        <w:tab/>
        <w:t>(c)</w:t>
      </w:r>
      <w:r>
        <w:tab/>
        <w:t xml:space="preserve">in the case of a requirement under subregulation (1)(a), (b) or (d) — </w:t>
      </w:r>
    </w:p>
    <w:p>
      <w:pPr>
        <w:pStyle w:val="zIndenti"/>
      </w:pPr>
      <w:r>
        <w:tab/>
        <w:t>(i)</w:t>
      </w:r>
      <w:r>
        <w:tab/>
        <w:t>state the period within which the requirement must be complied with under regulation 10G(1)(a); and</w:t>
      </w:r>
    </w:p>
    <w:p>
      <w:pPr>
        <w:pStyle w:val="zIndenti"/>
      </w:pPr>
      <w:r>
        <w:tab/>
        <w:t>(ii)</w:t>
      </w:r>
      <w:r>
        <w:tab/>
        <w:t>explain how the member or medically retired member or the Police Commissioner can request an extension of that period under regulation 10G;</w:t>
      </w:r>
    </w:p>
    <w:p>
      <w:pPr>
        <w:pStyle w:val="zIndenta"/>
      </w:pPr>
      <w:r>
        <w:tab/>
      </w:r>
      <w:r>
        <w:tab/>
        <w:t>and</w:t>
      </w:r>
    </w:p>
    <w:p>
      <w:pPr>
        <w:pStyle w:val="zIndenta"/>
      </w:pPr>
      <w:r>
        <w:tab/>
        <w:t>(d)</w:t>
      </w:r>
      <w:r>
        <w:tab/>
        <w:t xml:space="preserve">in the case of a requirement under subregulation (1)(b) or (d), include — </w:t>
      </w:r>
    </w:p>
    <w:p>
      <w:pPr>
        <w:pStyle w:val="zIndenti"/>
      </w:pPr>
      <w:r>
        <w:tab/>
        <w:t>(i)</w:t>
      </w:r>
      <w:r>
        <w:tab/>
        <w:t>details of the documents or information to which the requirement applies; and</w:t>
      </w:r>
    </w:p>
    <w:p>
      <w:pPr>
        <w:pStyle w:val="zIndenti"/>
      </w:pPr>
      <w:r>
        <w:tab/>
        <w:t>(ii)</w:t>
      </w:r>
      <w:r>
        <w:tab/>
        <w:t>details sufficient to enable the documents to be produced, or information to be provided, to the assessor;</w:t>
      </w:r>
    </w:p>
    <w:p>
      <w:pPr>
        <w:pStyle w:val="zIndenta"/>
      </w:pPr>
      <w:r>
        <w:tab/>
      </w:r>
      <w:r>
        <w:tab/>
        <w:t>and</w:t>
      </w:r>
    </w:p>
    <w:p>
      <w:pPr>
        <w:pStyle w:val="zIndenta"/>
      </w:pPr>
      <w:r>
        <w:lastRenderedPageBreak/>
        <w:tab/>
        <w:t>(e)</w:t>
      </w:r>
      <w:r>
        <w:tab/>
        <w:t>in the case of a requirement under subregulation (1)(c), include the time when the member or medically retired member must attend the specified place.</w:t>
      </w:r>
    </w:p>
    <w:p>
      <w:pPr>
        <w:pStyle w:val="zSubsection"/>
      </w:pPr>
      <w:r>
        <w:tab/>
        <w:t>(3)</w:t>
      </w:r>
      <w:r>
        <w:tab/>
        <w:t>An assessor may make more than 1 requirement under subregulation (1)(b), (c) or (d) in relation to a determination under section 33ZZ(5)(a)(i) of the Act.</w:t>
      </w:r>
    </w:p>
    <w:p>
      <w:pPr>
        <w:pStyle w:val="zSubsection"/>
      </w:pPr>
      <w:r>
        <w:tab/>
        <w:t>(4)</w:t>
      </w:r>
      <w:r>
        <w:tab/>
        <w:t>A requirement under subregulation (1)(a), (b) or (d) must be complied with within the period that applies under regulation 10G.</w:t>
      </w:r>
    </w:p>
    <w:p>
      <w:pPr>
        <w:pStyle w:val="zHeading4"/>
      </w:pPr>
      <w:bookmarkStart w:id="55" w:name="_Toc168644288"/>
      <w:bookmarkStart w:id="56" w:name="_Toc168644376"/>
      <w:bookmarkStart w:id="57" w:name="_Toc168644488"/>
      <w:bookmarkStart w:id="58" w:name="_Toc168999752"/>
      <w:r>
        <w:t>Subdivision 3 — Information and documents for determining amount of compensation</w:t>
      </w:r>
      <w:bookmarkEnd w:id="55"/>
      <w:bookmarkEnd w:id="56"/>
      <w:bookmarkEnd w:id="57"/>
      <w:bookmarkEnd w:id="58"/>
    </w:p>
    <w:p>
      <w:pPr>
        <w:pStyle w:val="zHeading5"/>
      </w:pPr>
      <w:bookmarkStart w:id="59" w:name="_Toc168644289"/>
      <w:bookmarkStart w:id="60" w:name="_Toc168999753"/>
      <w:r>
        <w:t>10F.</w:t>
      </w:r>
      <w:r>
        <w:tab/>
        <w:t>Provision of information and documents for determining amount of compensation</w:t>
      </w:r>
      <w:bookmarkEnd w:id="59"/>
      <w:bookmarkEnd w:id="60"/>
    </w:p>
    <w:p>
      <w:pPr>
        <w:pStyle w:val="zSubsection"/>
      </w:pPr>
      <w:r>
        <w:tab/>
        <w:t>(1)</w:t>
      </w:r>
      <w:r>
        <w:tab/>
        <w:t>This regulation applies if an assessor has determined under section 33ZZ(5)(a)(i) of the Act that a medically retired member, or a member to whom section 33ZZ(6) of the Act applies, qualifies for compensation under section 33ZZ(7) of the Act.</w:t>
      </w:r>
    </w:p>
    <w:p>
      <w:pPr>
        <w:pStyle w:val="zSubsection"/>
      </w:pPr>
      <w:r>
        <w:tab/>
        <w:t>(2)</w:t>
      </w:r>
      <w:r>
        <w:tab/>
        <w:t xml:space="preserve">For the purposes of deciding what determination to make under section 33ZZ(5)(a)(ii) of the Act in relation to the member or medically retired member, the assessor — </w:t>
      </w:r>
    </w:p>
    <w:p>
      <w:pPr>
        <w:pStyle w:val="zIndenta"/>
      </w:pPr>
      <w:r>
        <w:tab/>
        <w:t>(a)</w:t>
      </w:r>
      <w:r>
        <w:tab/>
        <w:t>must require the member or medically retired member to complete and provide to the assessor an approved form setting out relevant information; and</w:t>
      </w:r>
    </w:p>
    <w:p>
      <w:pPr>
        <w:pStyle w:val="zIndenta"/>
      </w:pPr>
      <w:r>
        <w:tab/>
        <w:t>(b)</w:t>
      </w:r>
      <w:r>
        <w:tab/>
        <w:t xml:space="preserve">may require the member or medically retired member to produce any document, or provide any information (in addition to the information required by the form referred to in paragraph (a)), that the assessor considers is </w:t>
      </w:r>
      <w:r>
        <w:lastRenderedPageBreak/>
        <w:t>relevant to making the determination under section 33ZZ(5)(a)(ii) of the Act; and</w:t>
      </w:r>
    </w:p>
    <w:p>
      <w:pPr>
        <w:pStyle w:val="zIndenta"/>
      </w:pPr>
      <w:r>
        <w:tab/>
        <w:t>(c)</w:t>
      </w:r>
      <w:r>
        <w:tab/>
        <w:t xml:space="preserve">may require the member or medically retired member to — </w:t>
      </w:r>
    </w:p>
    <w:p>
      <w:pPr>
        <w:pStyle w:val="zIndenti"/>
      </w:pPr>
      <w:r>
        <w:tab/>
        <w:t>(i)</w:t>
      </w:r>
      <w:r>
        <w:tab/>
        <w:t>attend at a place specified by the assessor; and</w:t>
      </w:r>
    </w:p>
    <w:p>
      <w:pPr>
        <w:pStyle w:val="zIndenti"/>
      </w:pPr>
      <w:r>
        <w:tab/>
        <w:t>(ii)</w:t>
      </w:r>
      <w:r>
        <w:tab/>
        <w:t>answer any question relevant to making the determination under section 33ZZ(5)(a)(ii) of the Act;</w:t>
      </w:r>
    </w:p>
    <w:p>
      <w:pPr>
        <w:pStyle w:val="zIndenta"/>
      </w:pPr>
      <w:r>
        <w:tab/>
      </w:r>
      <w:r>
        <w:tab/>
        <w:t>and</w:t>
      </w:r>
    </w:p>
    <w:p>
      <w:pPr>
        <w:pStyle w:val="zIndenta"/>
      </w:pPr>
      <w:r>
        <w:tab/>
        <w:t>(d)</w:t>
      </w:r>
      <w:r>
        <w:tab/>
        <w:t>may require the Police Commissioner to produce any document, or provide any information, that the assessor considers is relevant to making the determination under section 33ZZ(5)(a)(ii) of the Act.</w:t>
      </w:r>
    </w:p>
    <w:p>
      <w:pPr>
        <w:pStyle w:val="zSubsection"/>
      </w:pPr>
      <w:r>
        <w:tab/>
        <w:t>(3)</w:t>
      </w:r>
      <w:r>
        <w:tab/>
        <w:t xml:space="preserve">A requirement under subregulation (2) must — </w:t>
      </w:r>
    </w:p>
    <w:p>
      <w:pPr>
        <w:pStyle w:val="zIndenta"/>
      </w:pPr>
      <w:r>
        <w:tab/>
        <w:t>(a)</w:t>
      </w:r>
      <w:r>
        <w:tab/>
        <w:t>be given in writing to the member or medically retired member or the Police Commissioner, as the case requires; and</w:t>
      </w:r>
    </w:p>
    <w:p>
      <w:pPr>
        <w:pStyle w:val="zIndenta"/>
      </w:pPr>
      <w:r>
        <w:tab/>
        <w:t>(b)</w:t>
      </w:r>
      <w:r>
        <w:tab/>
        <w:t xml:space="preserve">include the following — </w:t>
      </w:r>
    </w:p>
    <w:p>
      <w:pPr>
        <w:pStyle w:val="zIndenti"/>
      </w:pPr>
      <w:r>
        <w:tab/>
        <w:t>(i)</w:t>
      </w:r>
      <w:r>
        <w:tab/>
        <w:t>the name, address and contact details of the member or medically retired member;</w:t>
      </w:r>
    </w:p>
    <w:p>
      <w:pPr>
        <w:pStyle w:val="zIndenti"/>
      </w:pPr>
      <w:r>
        <w:tab/>
        <w:t>(ii)</w:t>
      </w:r>
      <w:r>
        <w:tab/>
        <w:t>the member’s or medically retired member’s date of birth;</w:t>
      </w:r>
    </w:p>
    <w:p>
      <w:pPr>
        <w:pStyle w:val="zIndenti"/>
      </w:pPr>
      <w:r>
        <w:tab/>
        <w:t>(iii)</w:t>
      </w:r>
      <w:r>
        <w:tab/>
        <w:t>the assessor’s name;</w:t>
      </w:r>
    </w:p>
    <w:p>
      <w:pPr>
        <w:pStyle w:val="zIndenti"/>
      </w:pPr>
      <w:r>
        <w:tab/>
        <w:t>(iv)</w:t>
      </w:r>
      <w:r>
        <w:tab/>
        <w:t>details sufficient to enable the assessor to be contacted;</w:t>
      </w:r>
    </w:p>
    <w:p>
      <w:pPr>
        <w:pStyle w:val="zIndenti"/>
      </w:pPr>
      <w:r>
        <w:tab/>
        <w:t>(v)</w:t>
      </w:r>
      <w:r>
        <w:tab/>
        <w:t>the relevant provisions of the Act for the purposes of which the determination is to be made;</w:t>
      </w:r>
    </w:p>
    <w:p>
      <w:pPr>
        <w:pStyle w:val="zIndenta"/>
      </w:pPr>
      <w:r>
        <w:tab/>
      </w:r>
      <w:r>
        <w:tab/>
        <w:t>and</w:t>
      </w:r>
    </w:p>
    <w:p>
      <w:pPr>
        <w:pStyle w:val="zIndenta"/>
      </w:pPr>
      <w:r>
        <w:lastRenderedPageBreak/>
        <w:tab/>
        <w:t>(c)</w:t>
      </w:r>
      <w:r>
        <w:tab/>
        <w:t xml:space="preserve">in the case of a requirement under subregulation (2)(a), (b) or (d) — </w:t>
      </w:r>
    </w:p>
    <w:p>
      <w:pPr>
        <w:pStyle w:val="zIndenti"/>
      </w:pPr>
      <w:r>
        <w:tab/>
        <w:t>(i)</w:t>
      </w:r>
      <w:r>
        <w:tab/>
        <w:t>state the period within which the requirement must be complied with under regulation 10G(1)(a); and</w:t>
      </w:r>
    </w:p>
    <w:p>
      <w:pPr>
        <w:pStyle w:val="zIndenti"/>
      </w:pPr>
      <w:r>
        <w:tab/>
        <w:t>(ii)</w:t>
      </w:r>
      <w:r>
        <w:tab/>
        <w:t>explain how the member or medically retired member or the Police Commissioner can request an extension of that period under regulation 10G;</w:t>
      </w:r>
    </w:p>
    <w:p>
      <w:pPr>
        <w:pStyle w:val="zIndenta"/>
      </w:pPr>
      <w:r>
        <w:tab/>
      </w:r>
      <w:r>
        <w:tab/>
        <w:t>and</w:t>
      </w:r>
    </w:p>
    <w:p>
      <w:pPr>
        <w:pStyle w:val="zIndenta"/>
      </w:pPr>
      <w:r>
        <w:tab/>
        <w:t>(d)</w:t>
      </w:r>
      <w:r>
        <w:tab/>
        <w:t xml:space="preserve">in the case of a requirement under subregulation (2)(b) or (d), include — </w:t>
      </w:r>
    </w:p>
    <w:p>
      <w:pPr>
        <w:pStyle w:val="zIndenti"/>
      </w:pPr>
      <w:r>
        <w:tab/>
        <w:t>(i)</w:t>
      </w:r>
      <w:r>
        <w:tab/>
        <w:t>details of the documents or information to which the requirement applies; and</w:t>
      </w:r>
    </w:p>
    <w:p>
      <w:pPr>
        <w:pStyle w:val="zIndenti"/>
      </w:pPr>
      <w:r>
        <w:tab/>
        <w:t>(ii)</w:t>
      </w:r>
      <w:r>
        <w:tab/>
        <w:t>details sufficient to enable the documents to be produced, or information to be provided, to the assessor;</w:t>
      </w:r>
    </w:p>
    <w:p>
      <w:pPr>
        <w:pStyle w:val="zIndenta"/>
      </w:pPr>
      <w:r>
        <w:tab/>
      </w:r>
      <w:r>
        <w:tab/>
        <w:t>and</w:t>
      </w:r>
    </w:p>
    <w:p>
      <w:pPr>
        <w:pStyle w:val="zIndenta"/>
      </w:pPr>
      <w:r>
        <w:tab/>
        <w:t>(e)</w:t>
      </w:r>
      <w:r>
        <w:tab/>
        <w:t>in the case of a requirement under subregulation (2)(c), include the time when the member or medically retired member must attend the specified place.</w:t>
      </w:r>
    </w:p>
    <w:p>
      <w:pPr>
        <w:pStyle w:val="zSubsection"/>
        <w:keepNext/>
      </w:pPr>
      <w:r>
        <w:tab/>
        <w:t>(4)</w:t>
      </w:r>
      <w:r>
        <w:tab/>
        <w:t xml:space="preserve">The approved form for the purposes of subregulation (2)(a) — </w:t>
      </w:r>
    </w:p>
    <w:p>
      <w:pPr>
        <w:pStyle w:val="zIndenta"/>
      </w:pPr>
      <w:r>
        <w:tab/>
        <w:t>(a)</w:t>
      </w:r>
      <w:r>
        <w:tab/>
        <w:t xml:space="preserve">may require the provision of information that relates to, or provides evidence of — </w:t>
      </w:r>
    </w:p>
    <w:p>
      <w:pPr>
        <w:pStyle w:val="zIndenti"/>
      </w:pPr>
      <w:r>
        <w:tab/>
        <w:t>(i)</w:t>
      </w:r>
      <w:r>
        <w:tab/>
        <w:t>the member’s or medically retired member’s social and financial circumstances and reasonable financial needs; and</w:t>
      </w:r>
    </w:p>
    <w:p>
      <w:pPr>
        <w:pStyle w:val="zIndenti"/>
      </w:pPr>
      <w:r>
        <w:lastRenderedPageBreak/>
        <w:tab/>
        <w:t>(ii)</w:t>
      </w:r>
      <w:r>
        <w:tab/>
        <w:t>any other matter that is relevant to the making of the determination under section 33ZZ(5)(a)(ii) of the Act;</w:t>
      </w:r>
    </w:p>
    <w:p>
      <w:pPr>
        <w:pStyle w:val="zIndenta"/>
      </w:pPr>
      <w:r>
        <w:tab/>
      </w:r>
      <w:r>
        <w:tab/>
        <w:t>and</w:t>
      </w:r>
    </w:p>
    <w:p>
      <w:pPr>
        <w:pStyle w:val="zIndenta"/>
      </w:pPr>
      <w:r>
        <w:tab/>
        <w:t>(b)</w:t>
      </w:r>
      <w:r>
        <w:tab/>
        <w:t>may require the member or medically retired member to verify the information provided in the form by statutory declaration.</w:t>
      </w:r>
    </w:p>
    <w:p>
      <w:pPr>
        <w:pStyle w:val="zSubsection"/>
      </w:pPr>
      <w:r>
        <w:tab/>
        <w:t>(5)</w:t>
      </w:r>
      <w:r>
        <w:tab/>
        <w:t>An assessor may make more than 1 requirement under subregulation (2)(b), (c) or (d) in relation to a determination under section 33ZZ(5)(a)(ii) of the Act.</w:t>
      </w:r>
    </w:p>
    <w:p>
      <w:pPr>
        <w:pStyle w:val="zSubsection"/>
      </w:pPr>
      <w:r>
        <w:tab/>
        <w:t>(6)</w:t>
      </w:r>
      <w:r>
        <w:tab/>
        <w:t>A requirement under subregulation (2)(a), (b) or (d) must be complied with within the period that applies under regulation 10G.</w:t>
      </w:r>
    </w:p>
    <w:p>
      <w:pPr>
        <w:pStyle w:val="zSubsection"/>
      </w:pPr>
      <w:r>
        <w:tab/>
        <w:t>(7)</w:t>
      </w:r>
      <w:r>
        <w:tab/>
        <w:t>The member or medically retired member may, within the period that applies under regulation 10H, provide to the assessor any documents and information that the member or medically retired member considers are relevant to making the determination under section 33ZZ(5)(a)(ii) of the Act.</w:t>
      </w:r>
    </w:p>
    <w:p>
      <w:pPr>
        <w:pStyle w:val="zSubsection"/>
      </w:pPr>
      <w:r>
        <w:tab/>
        <w:t>(8)</w:t>
      </w:r>
      <w:r>
        <w:tab/>
        <w:t>Subregulation (7) is in addition to, and does not limit, subregulations (2) to (6).</w:t>
      </w:r>
    </w:p>
    <w:p>
      <w:pPr>
        <w:pStyle w:val="zHeading4"/>
        <w:keepNext w:val="0"/>
      </w:pPr>
      <w:bookmarkStart w:id="61" w:name="_Toc168644290"/>
      <w:bookmarkStart w:id="62" w:name="_Toc168644378"/>
      <w:bookmarkStart w:id="63" w:name="_Toc168644490"/>
      <w:bookmarkStart w:id="64" w:name="_Toc168999754"/>
      <w:r>
        <w:t>Subdivision 4 — Time periods for giving information and documents</w:t>
      </w:r>
      <w:bookmarkEnd w:id="61"/>
      <w:bookmarkEnd w:id="62"/>
      <w:bookmarkEnd w:id="63"/>
      <w:bookmarkEnd w:id="64"/>
    </w:p>
    <w:p>
      <w:pPr>
        <w:pStyle w:val="zHeading5"/>
        <w:keepNext w:val="0"/>
      </w:pPr>
      <w:bookmarkStart w:id="65" w:name="_Toc168644291"/>
      <w:bookmarkStart w:id="66" w:name="_Toc168999755"/>
      <w:r>
        <w:t>10G.</w:t>
      </w:r>
      <w:r>
        <w:tab/>
        <w:t>Time period for compliance with requirements to give forms, documents or information under r. 10E and 10F</w:t>
      </w:r>
      <w:bookmarkEnd w:id="65"/>
      <w:bookmarkEnd w:id="66"/>
    </w:p>
    <w:p>
      <w:pPr>
        <w:pStyle w:val="zSubsection"/>
        <w:keepLines/>
        <w:rPr>
          <w:bCs/>
          <w:iCs/>
          <w:sz w:val="20"/>
        </w:rPr>
      </w:pPr>
      <w:r>
        <w:tab/>
        <w:t>(1)</w:t>
      </w:r>
      <w:r>
        <w:tab/>
        <w:t xml:space="preserve">The period within which a member or medically retired member or the Police Commissioner must comply with a requirement under regulation 10E(1)(a), (b) or (d) or 10F(2)(a), (b) or (d) is — </w:t>
      </w:r>
    </w:p>
    <w:p>
      <w:pPr>
        <w:pStyle w:val="zIndenta"/>
      </w:pPr>
      <w:r>
        <w:lastRenderedPageBreak/>
        <w:tab/>
        <w:t>(a)</w:t>
      </w:r>
      <w:r>
        <w:tab/>
        <w:t xml:space="preserve">if no extension has been granted under this regulation, the following period (the </w:t>
      </w:r>
      <w:r>
        <w:rPr>
          <w:rStyle w:val="CharDefText"/>
        </w:rPr>
        <w:t>original compliance period</w:t>
      </w:r>
      <w:r>
        <w:t xml:space="preserve">) — </w:t>
      </w:r>
    </w:p>
    <w:p>
      <w:pPr>
        <w:pStyle w:val="zIndenti"/>
      </w:pPr>
      <w:r>
        <w:tab/>
        <w:t>(i)</w:t>
      </w:r>
      <w:r>
        <w:tab/>
        <w:t>for a requirement under regulation 10E(1)(a) or (d) or 10F(2)(a) or (d) — the period of 28 days after the day on which the requirement is given;</w:t>
      </w:r>
    </w:p>
    <w:p>
      <w:pPr>
        <w:pStyle w:val="zIndenti"/>
      </w:pPr>
      <w:r>
        <w:tab/>
        <w:t>(ii)</w:t>
      </w:r>
      <w:r>
        <w:tab/>
        <w:t>for a requirement under regulation 10E(1)(b) or 10F(2)(b) — the period specified in the requirement;</w:t>
      </w:r>
    </w:p>
    <w:p>
      <w:pPr>
        <w:pStyle w:val="zIndenta"/>
      </w:pPr>
      <w:r>
        <w:tab/>
      </w:r>
      <w:r>
        <w:tab/>
        <w:t>or</w:t>
      </w:r>
    </w:p>
    <w:p>
      <w:pPr>
        <w:pStyle w:val="zIndenta"/>
      </w:pPr>
      <w:r>
        <w:tab/>
        <w:t>(b)</w:t>
      </w:r>
      <w:r>
        <w:tab/>
        <w:t>if 1 or more extensions have been granted under subregulation (3) — the extended period.</w:t>
      </w:r>
    </w:p>
    <w:p>
      <w:pPr>
        <w:pStyle w:val="zSubsection"/>
      </w:pPr>
      <w:r>
        <w:tab/>
        <w:t>(2)</w:t>
      </w:r>
      <w:r>
        <w:tab/>
        <w:t xml:space="preserve">If the member, medically retired member or Police Commissioner will not be able to comply with a requirement referred to in subregulation (1) within the period that applies under that subregulation, the member, medically retired member or Police Commissioner may, by written notice given to the assessor — </w:t>
      </w:r>
    </w:p>
    <w:p>
      <w:pPr>
        <w:pStyle w:val="zIndenta"/>
      </w:pPr>
      <w:r>
        <w:tab/>
        <w:t>(a)</w:t>
      </w:r>
      <w:r>
        <w:tab/>
        <w:t>request an extension of that period; and</w:t>
      </w:r>
    </w:p>
    <w:p>
      <w:pPr>
        <w:pStyle w:val="zIndenta"/>
      </w:pPr>
      <w:r>
        <w:tab/>
        <w:t>(b)</w:t>
      </w:r>
      <w:r>
        <w:tab/>
        <w:t>notify the assessor of the reasons for requesting the extension.</w:t>
      </w:r>
    </w:p>
    <w:p>
      <w:pPr>
        <w:pStyle w:val="zSubsection"/>
      </w:pPr>
      <w:r>
        <w:tab/>
        <w:t>(3)</w:t>
      </w:r>
      <w:r>
        <w:tab/>
        <w:t xml:space="preserve">On request under subregulation (2), the assessor — </w:t>
      </w:r>
    </w:p>
    <w:p>
      <w:pPr>
        <w:pStyle w:val="zIndenta"/>
      </w:pPr>
      <w:r>
        <w:tab/>
        <w:t>(a)</w:t>
      </w:r>
      <w:r>
        <w:tab/>
        <w:t>for a 1</w:t>
      </w:r>
      <w:r>
        <w:rPr>
          <w:vertAlign w:val="superscript"/>
        </w:rPr>
        <w:t>st</w:t>
      </w:r>
      <w:r>
        <w:t xml:space="preserve"> request under subregulation (2) made before the expiry of the original compliance period — must grant an extension of the period for compliance with the relevant requirement; or</w:t>
      </w:r>
    </w:p>
    <w:p>
      <w:pPr>
        <w:pStyle w:val="zIndenta"/>
      </w:pPr>
      <w:r>
        <w:tab/>
        <w:t>(b)</w:t>
      </w:r>
      <w:r>
        <w:tab/>
        <w:t>otherwise — may grant an extension of the period for compliance with the relevant requirement.</w:t>
      </w:r>
    </w:p>
    <w:p>
      <w:pPr>
        <w:pStyle w:val="zSubsection"/>
      </w:pPr>
      <w:r>
        <w:lastRenderedPageBreak/>
        <w:tab/>
        <w:t>(4)</w:t>
      </w:r>
      <w:r>
        <w:tab/>
        <w:t>The assessor may grant more than 1 extension under subregulation (3) in relation to a requirement.</w:t>
      </w:r>
    </w:p>
    <w:p>
      <w:pPr>
        <w:pStyle w:val="zSubsection"/>
      </w:pPr>
      <w:r>
        <w:tab/>
        <w:t>(5)</w:t>
      </w:r>
      <w:r>
        <w:tab/>
        <w:t xml:space="preserve">An extension under subregulation (3) must allow a further period that — </w:t>
      </w:r>
    </w:p>
    <w:p>
      <w:pPr>
        <w:pStyle w:val="zIndenta"/>
      </w:pPr>
      <w:r>
        <w:tab/>
        <w:t>(a)</w:t>
      </w:r>
      <w:r>
        <w:tab/>
        <w:t>the assessor considers appropriate in the circumstances for compliance with the relevant requirement; and</w:t>
      </w:r>
    </w:p>
    <w:p>
      <w:pPr>
        <w:pStyle w:val="zIndenta"/>
      </w:pPr>
      <w:r>
        <w:tab/>
        <w:t>(b)</w:t>
      </w:r>
      <w:r>
        <w:tab/>
        <w:t>ends before the expiry of the period within which the assessor is required under regulation 10I(4) to make the relevant determination or determinations under section 33ZZ(5)(a) of the Act.</w:t>
      </w:r>
    </w:p>
    <w:p>
      <w:pPr>
        <w:pStyle w:val="zHeading5"/>
      </w:pPr>
      <w:bookmarkStart w:id="67" w:name="_Toc168644292"/>
      <w:bookmarkStart w:id="68" w:name="_Toc168999756"/>
      <w:r>
        <w:t>10H.</w:t>
      </w:r>
      <w:r>
        <w:tab/>
        <w:t>Other documents or information given by member or medically retired member under r. 10F(7)</w:t>
      </w:r>
      <w:bookmarkEnd w:id="67"/>
      <w:bookmarkEnd w:id="68"/>
    </w:p>
    <w:p>
      <w:pPr>
        <w:pStyle w:val="zSubsection"/>
      </w:pPr>
      <w:r>
        <w:tab/>
      </w:r>
      <w:r>
        <w:tab/>
        <w:t>Documents and information provided under regulation 10F(7) must be provided within the period within which the member or medically retired member is required under regulation 10G to comply with the requirement under regulation 10F(2)(a).</w:t>
      </w:r>
    </w:p>
    <w:p>
      <w:pPr>
        <w:pStyle w:val="zHeading4"/>
      </w:pPr>
      <w:bookmarkStart w:id="69" w:name="_Toc168644293"/>
      <w:bookmarkStart w:id="70" w:name="_Toc168644381"/>
      <w:bookmarkStart w:id="71" w:name="_Toc168644493"/>
      <w:bookmarkStart w:id="72" w:name="_Toc168999757"/>
      <w:r>
        <w:t>Subdivision 5 — Report on determinations</w:t>
      </w:r>
      <w:bookmarkEnd w:id="69"/>
      <w:bookmarkEnd w:id="70"/>
      <w:bookmarkEnd w:id="71"/>
      <w:bookmarkEnd w:id="72"/>
    </w:p>
    <w:p>
      <w:pPr>
        <w:pStyle w:val="zHeading5"/>
      </w:pPr>
      <w:bookmarkStart w:id="73" w:name="_Toc168644294"/>
      <w:bookmarkStart w:id="74" w:name="_Toc168999758"/>
      <w:r>
        <w:t>10I.</w:t>
      </w:r>
      <w:r>
        <w:tab/>
        <w:t>Report on determinations by assessor</w:t>
      </w:r>
      <w:bookmarkEnd w:id="73"/>
      <w:bookmarkEnd w:id="74"/>
    </w:p>
    <w:p>
      <w:pPr>
        <w:pStyle w:val="zSubsection"/>
      </w:pPr>
      <w:r>
        <w:tab/>
        <w:t>(1)</w:t>
      </w:r>
      <w:r>
        <w:tab/>
        <w:t>An assessor who determines under section 33ZZ(5)(a)(i) of the Act that a medically retired member, or a member to whom section 33ZZ(6) of the Act applies, does not qualify for compensation must give the Police Commissioner a report in the approved form on the determination.</w:t>
      </w:r>
    </w:p>
    <w:p>
      <w:pPr>
        <w:pStyle w:val="zSubsection"/>
        <w:keepNext/>
      </w:pPr>
      <w:r>
        <w:tab/>
        <w:t>(2)</w:t>
      </w:r>
      <w:r>
        <w:tab/>
        <w:t xml:space="preserve">An assessor who determines under section 33ZZ(5)(a)(i) of the Act that a medically retired member, or a member to whom section 33ZZ(6) of the Act applies, qualifies for compensation must give the </w:t>
      </w:r>
      <w:r>
        <w:lastRenderedPageBreak/>
        <w:t xml:space="preserve">Police Commissioner a report in the approved form on — </w:t>
      </w:r>
    </w:p>
    <w:p>
      <w:pPr>
        <w:pStyle w:val="zIndenta"/>
      </w:pPr>
      <w:r>
        <w:tab/>
        <w:t>(a)</w:t>
      </w:r>
      <w:r>
        <w:tab/>
        <w:t>that determination; and</w:t>
      </w:r>
    </w:p>
    <w:p>
      <w:pPr>
        <w:pStyle w:val="zIndenta"/>
      </w:pPr>
      <w:r>
        <w:tab/>
        <w:t>(b)</w:t>
      </w:r>
      <w:r>
        <w:tab/>
        <w:t>the determination under section 33ZZ(5)(a)(ii) of the Act of the amount of compensation.</w:t>
      </w:r>
    </w:p>
    <w:p>
      <w:pPr>
        <w:pStyle w:val="zSubsection"/>
      </w:pPr>
      <w:r>
        <w:tab/>
        <w:t>(3)</w:t>
      </w:r>
      <w:r>
        <w:tab/>
        <w:t xml:space="preserve">A report under subregulation (1) or (2) must include — </w:t>
      </w:r>
    </w:p>
    <w:p>
      <w:pPr>
        <w:pStyle w:val="zIndenta"/>
      </w:pPr>
      <w:r>
        <w:tab/>
        <w:t>(a)</w:t>
      </w:r>
      <w:r>
        <w:tab/>
        <w:t>a statement of the reasons that justify the determination or determinations; and</w:t>
      </w:r>
    </w:p>
    <w:p>
      <w:pPr>
        <w:pStyle w:val="zIndenta"/>
      </w:pPr>
      <w:r>
        <w:tab/>
        <w:t>(b)</w:t>
      </w:r>
      <w:r>
        <w:tab/>
        <w:t>other information required by the approved form.</w:t>
      </w:r>
    </w:p>
    <w:p>
      <w:pPr>
        <w:pStyle w:val="zSubsection"/>
      </w:pPr>
      <w:r>
        <w:tab/>
        <w:t>(4)</w:t>
      </w:r>
      <w:r>
        <w:tab/>
        <w:t xml:space="preserve">The assessor must make the determination or determinations under section 33ZZ(5)(a) of the Act, and give the report under subregulation (1) or (2) to the Police Commissioner, within — </w:t>
      </w:r>
    </w:p>
    <w:p>
      <w:pPr>
        <w:pStyle w:val="zIndenta"/>
      </w:pPr>
      <w:r>
        <w:tab/>
        <w:t>(a)</w:t>
      </w:r>
      <w:r>
        <w:tab/>
        <w:t>3 months after the day on which the member or medically retired member gives the assessor documents and information in accordance with the requirement made by the assessor under regulation 10E(1)(a); or</w:t>
      </w:r>
    </w:p>
    <w:p>
      <w:pPr>
        <w:pStyle w:val="zIndenta"/>
      </w:pPr>
      <w:r>
        <w:tab/>
        <w:t>(b)</w:t>
      </w:r>
      <w:r>
        <w:tab/>
        <w:t>if that period has been extended under subregulation (6) — the extended period.</w:t>
      </w:r>
    </w:p>
    <w:p>
      <w:pPr>
        <w:pStyle w:val="zSubsection"/>
      </w:pPr>
      <w:r>
        <w:tab/>
        <w:t>(5)</w:t>
      </w:r>
      <w:r>
        <w:tab/>
        <w:t xml:space="preserve">If the assessor will not be able to give the report to the Police Commissioner within the period that applies under subregulation (4), the assessor may, by written notice given to the Police Commissioner before the expiry of that period — </w:t>
      </w:r>
    </w:p>
    <w:p>
      <w:pPr>
        <w:pStyle w:val="zIndenta"/>
      </w:pPr>
      <w:r>
        <w:tab/>
        <w:t>(a)</w:t>
      </w:r>
      <w:r>
        <w:tab/>
        <w:t>request an extension of that period; and</w:t>
      </w:r>
    </w:p>
    <w:p>
      <w:pPr>
        <w:pStyle w:val="zIndenta"/>
      </w:pPr>
      <w:r>
        <w:tab/>
        <w:t>(b)</w:t>
      </w:r>
      <w:r>
        <w:tab/>
        <w:t>notify the Police Commissioner of the reasons for requesting the extension.</w:t>
      </w:r>
    </w:p>
    <w:p>
      <w:pPr>
        <w:pStyle w:val="zSubsection"/>
      </w:pPr>
      <w:r>
        <w:tab/>
        <w:t>(6)</w:t>
      </w:r>
      <w:r>
        <w:tab/>
        <w:t xml:space="preserve">On request under subregulation (5), the Police Commissioner may extend the period by a further period, which must not be longer than 3 months, that </w:t>
      </w:r>
      <w:r>
        <w:lastRenderedPageBreak/>
        <w:t>the Police Commissioner considers appropriate in the circumstances.</w:t>
      </w:r>
    </w:p>
    <w:p>
      <w:pPr>
        <w:pStyle w:val="zSubsection"/>
      </w:pPr>
      <w:r>
        <w:tab/>
        <w:t>(7)</w:t>
      </w:r>
      <w:r>
        <w:tab/>
        <w:t>The Police Commissioner may grant more than 1 extension under subregulation (6) in relation to a report.</w:t>
      </w:r>
    </w:p>
    <w:p>
      <w:pPr>
        <w:pStyle w:val="zHeading5"/>
      </w:pPr>
      <w:bookmarkStart w:id="75" w:name="_Toc168644295"/>
      <w:bookmarkStart w:id="76" w:name="_Toc168999759"/>
      <w:r>
        <w:t>10J.</w:t>
      </w:r>
      <w:r>
        <w:tab/>
        <w:t>Police Commissioner must give report to member or medically retired member</w:t>
      </w:r>
      <w:bookmarkEnd w:id="75"/>
      <w:bookmarkEnd w:id="76"/>
    </w:p>
    <w:p>
      <w:pPr>
        <w:pStyle w:val="zSubsection"/>
      </w:pPr>
      <w:r>
        <w:tab/>
        <w:t>(1)</w:t>
      </w:r>
      <w:r>
        <w:tab/>
        <w:t>The Police Commissioner must give a report under regulation 10I(1) or (2) to the member or medically retired member to whom it relates not later than 14 days after receiving the report.</w:t>
      </w:r>
    </w:p>
    <w:p>
      <w:pPr>
        <w:pStyle w:val="zSubsection"/>
      </w:pPr>
      <w:r>
        <w:tab/>
        <w:t>(2)</w:t>
      </w:r>
      <w:r>
        <w:tab/>
        <w:t>A report given under subregulation (1) constitutes a notice for the purposes of section 33ZZ(5)(b) of the Act.</w:t>
      </w:r>
    </w:p>
    <w:p>
      <w:pPr>
        <w:pStyle w:val="BlankClose"/>
      </w:pPr>
    </w:p>
    <w:p>
      <w:pPr>
        <w:pStyle w:val="Heading5"/>
      </w:pPr>
      <w:bookmarkStart w:id="77" w:name="_Toc168644296"/>
      <w:bookmarkStart w:id="78" w:name="_Toc168999760"/>
      <w:r>
        <w:rPr>
          <w:rStyle w:val="CharSectno"/>
        </w:rPr>
        <w:t>10</w:t>
      </w:r>
      <w:r>
        <w:t>.</w:t>
      </w:r>
      <w:r>
        <w:tab/>
        <w:t>Part 3A inserted</w:t>
      </w:r>
      <w:bookmarkEnd w:id="77"/>
      <w:bookmarkEnd w:id="78"/>
    </w:p>
    <w:p>
      <w:pPr>
        <w:pStyle w:val="Subsection"/>
        <w:keepNext/>
      </w:pPr>
      <w:r>
        <w:tab/>
      </w:r>
      <w:r>
        <w:tab/>
        <w:t>After regulation 12 insert:</w:t>
      </w:r>
    </w:p>
    <w:p>
      <w:pPr>
        <w:pStyle w:val="BlankOpen"/>
      </w:pPr>
    </w:p>
    <w:p>
      <w:pPr>
        <w:pStyle w:val="zHeading2"/>
      </w:pPr>
      <w:bookmarkStart w:id="79" w:name="_Toc168644297"/>
      <w:bookmarkStart w:id="80" w:name="_Toc168644385"/>
      <w:bookmarkStart w:id="81" w:name="_Toc168644497"/>
      <w:bookmarkStart w:id="82" w:name="_Toc168999761"/>
      <w:r>
        <w:t>Part 3A — Assessors</w:t>
      </w:r>
      <w:bookmarkEnd w:id="79"/>
      <w:bookmarkEnd w:id="80"/>
      <w:bookmarkEnd w:id="81"/>
      <w:bookmarkEnd w:id="82"/>
    </w:p>
    <w:p>
      <w:pPr>
        <w:pStyle w:val="zHeading5"/>
      </w:pPr>
      <w:bookmarkStart w:id="83" w:name="_Toc168644298"/>
      <w:bookmarkStart w:id="84" w:name="_Toc168999762"/>
      <w:r>
        <w:t>12A.</w:t>
      </w:r>
      <w:r>
        <w:tab/>
        <w:t>Legal practitioners qualified to be appointed as assessors</w:t>
      </w:r>
      <w:bookmarkEnd w:id="83"/>
      <w:bookmarkEnd w:id="84"/>
    </w:p>
    <w:p>
      <w:pPr>
        <w:pStyle w:val="zSubsection"/>
      </w:pPr>
      <w:r>
        <w:tab/>
      </w:r>
      <w:r>
        <w:tab/>
        <w:t xml:space="preserve">A legal practitioner is qualified to be appointed as an assessor under section 33ZZ(5)(a) of the Act if the legal practitioner has — </w:t>
      </w:r>
    </w:p>
    <w:p>
      <w:pPr>
        <w:pStyle w:val="zIndenta"/>
      </w:pPr>
      <w:r>
        <w:tab/>
        <w:t>(a)</w:t>
      </w:r>
      <w:r>
        <w:tab/>
        <w:t>at least 8 years’ standing and experience as a legal practitioner; and</w:t>
      </w:r>
    </w:p>
    <w:p>
      <w:pPr>
        <w:pStyle w:val="zIndenta"/>
      </w:pPr>
      <w:r>
        <w:tab/>
        <w:t>(b)</w:t>
      </w:r>
      <w:r>
        <w:tab/>
        <w:t>experience as a legal practitioner dealing with matters relating to workers’ compensation legislation or other similar legislative compensation schemes.</w:t>
      </w:r>
    </w:p>
    <w:p>
      <w:pPr>
        <w:pStyle w:val="zHeading5"/>
      </w:pPr>
      <w:bookmarkStart w:id="85" w:name="_Toc168644299"/>
      <w:bookmarkStart w:id="86" w:name="_Toc168999763"/>
      <w:r>
        <w:lastRenderedPageBreak/>
        <w:t>12B.</w:t>
      </w:r>
      <w:r>
        <w:tab/>
        <w:t>Appointment of assessors</w:t>
      </w:r>
      <w:bookmarkEnd w:id="85"/>
      <w:bookmarkEnd w:id="86"/>
    </w:p>
    <w:p>
      <w:pPr>
        <w:pStyle w:val="zSubsection"/>
      </w:pPr>
      <w:r>
        <w:tab/>
        <w:t>(1)</w:t>
      </w:r>
      <w:r>
        <w:tab/>
        <w:t>The Police Commissioner must not appoint a person as an assessor unless the person has consented in writing to the appointment.</w:t>
      </w:r>
    </w:p>
    <w:p>
      <w:pPr>
        <w:pStyle w:val="zSubsection"/>
      </w:pPr>
      <w:r>
        <w:tab/>
        <w:t>(2)</w:t>
      </w:r>
      <w:r>
        <w:tab/>
        <w:t>The appointment of a person as an assessor ceases to have effect if it is cancelled under subregulation (3).</w:t>
      </w:r>
    </w:p>
    <w:p>
      <w:pPr>
        <w:pStyle w:val="zSubsection"/>
      </w:pPr>
      <w:r>
        <w:tab/>
        <w:t>(3)</w:t>
      </w:r>
      <w:r>
        <w:tab/>
        <w:t xml:space="preserve">The appointment of a person as an assessor — </w:t>
      </w:r>
    </w:p>
    <w:p>
      <w:pPr>
        <w:pStyle w:val="zIndenta"/>
      </w:pPr>
      <w:r>
        <w:tab/>
        <w:t>(a)</w:t>
      </w:r>
      <w:r>
        <w:tab/>
        <w:t>must be cancelled by the Police Commissioner at the request of the assessor; and</w:t>
      </w:r>
    </w:p>
    <w:p>
      <w:pPr>
        <w:pStyle w:val="zIndenta"/>
      </w:pPr>
      <w:r>
        <w:tab/>
        <w:t>(b)</w:t>
      </w:r>
      <w:r>
        <w:tab/>
        <w:t>may be cancelled by the Police Commissioner at any time.</w:t>
      </w:r>
    </w:p>
    <w:p>
      <w:pPr>
        <w:pStyle w:val="zSubsection"/>
      </w:pPr>
      <w:r>
        <w:tab/>
        <w:t>(4)</w:t>
      </w:r>
      <w:r>
        <w:tab/>
        <w:t>Notice of the cancellation of the appointment of an assessor must be given in writing to the assessor.</w:t>
      </w:r>
    </w:p>
    <w:p>
      <w:pPr>
        <w:pStyle w:val="BlankClose"/>
      </w:pPr>
    </w:p>
    <w:p>
      <w:pPr>
        <w:pStyle w:val="Heading5"/>
      </w:pPr>
      <w:bookmarkStart w:id="87" w:name="_Toc168644300"/>
      <w:bookmarkStart w:id="88" w:name="_Toc168999764"/>
      <w:r>
        <w:rPr>
          <w:rStyle w:val="CharSectno"/>
        </w:rPr>
        <w:t>11</w:t>
      </w:r>
      <w:r>
        <w:t>.</w:t>
      </w:r>
      <w:r>
        <w:tab/>
        <w:t>Regulation 13 amended</w:t>
      </w:r>
      <w:bookmarkEnd w:id="87"/>
      <w:bookmarkEnd w:id="88"/>
    </w:p>
    <w:p>
      <w:pPr>
        <w:pStyle w:val="Subsection"/>
      </w:pPr>
      <w:r>
        <w:tab/>
      </w:r>
      <w:r>
        <w:tab/>
        <w:t>In regulation 13 delete “for an assessment of degree of permanent impairment arranged under section 33ZW(4) of the Act.” and insert:</w:t>
      </w:r>
    </w:p>
    <w:p>
      <w:pPr>
        <w:pStyle w:val="BlankOpen"/>
      </w:pPr>
    </w:p>
    <w:p>
      <w:pPr>
        <w:pStyle w:val="zSubsection"/>
      </w:pPr>
      <w:r>
        <w:tab/>
      </w:r>
      <w:r>
        <w:tab/>
        <w:t xml:space="preserve">for — </w:t>
      </w:r>
    </w:p>
    <w:p>
      <w:pPr>
        <w:pStyle w:val="zIndenta"/>
      </w:pPr>
      <w:r>
        <w:tab/>
        <w:t>(a)</w:t>
      </w:r>
      <w:r>
        <w:tab/>
        <w:t>an assessment of degree of permanent impairment arranged under section 33ZW(4) of the Act; or</w:t>
      </w:r>
    </w:p>
    <w:p>
      <w:pPr>
        <w:pStyle w:val="zIndenta"/>
      </w:pPr>
      <w:r>
        <w:tab/>
        <w:t>(b)</w:t>
      </w:r>
      <w:r>
        <w:tab/>
        <w:t>an assessment of permanent total incapacity for work arranged under regulation 10B for the purposes of an assessor deciding what determination to make under section 33ZZ(5)(a)(i) of the Act.</w:t>
      </w:r>
    </w:p>
    <w:p>
      <w:pPr>
        <w:pStyle w:val="BlankClose"/>
      </w:pPr>
    </w:p>
    <w:p>
      <w:pPr>
        <w:pStyle w:val="Heading5"/>
      </w:pPr>
      <w:bookmarkStart w:id="89" w:name="_Toc168644301"/>
      <w:bookmarkStart w:id="90" w:name="_Toc168999765"/>
      <w:r>
        <w:rPr>
          <w:rStyle w:val="CharSectno"/>
        </w:rPr>
        <w:lastRenderedPageBreak/>
        <w:t>12</w:t>
      </w:r>
      <w:r>
        <w:t>.</w:t>
      </w:r>
      <w:r>
        <w:tab/>
        <w:t>Regulation 14 amended</w:t>
      </w:r>
      <w:bookmarkEnd w:id="89"/>
      <w:bookmarkEnd w:id="90"/>
    </w:p>
    <w:p>
      <w:pPr>
        <w:pStyle w:val="Subsection"/>
      </w:pPr>
      <w:r>
        <w:tab/>
        <w:t>(1)</w:t>
      </w:r>
      <w:r>
        <w:tab/>
        <w:t>In regulation 14(1):</w:t>
      </w:r>
    </w:p>
    <w:p>
      <w:pPr>
        <w:pStyle w:val="Indenta"/>
      </w:pPr>
      <w:r>
        <w:tab/>
        <w:t>(a)</w:t>
      </w:r>
      <w:r>
        <w:tab/>
        <w:t>after “specialists” insert:</w:t>
      </w:r>
    </w:p>
    <w:p>
      <w:pPr>
        <w:pStyle w:val="BlankOpen"/>
      </w:pPr>
    </w:p>
    <w:p>
      <w:pPr>
        <w:pStyle w:val="Indenta"/>
      </w:pPr>
      <w:r>
        <w:tab/>
      </w:r>
      <w:r>
        <w:tab/>
        <w:t>or approved (WorkCover WA) medical practitioners</w:t>
      </w:r>
    </w:p>
    <w:p>
      <w:pPr>
        <w:pStyle w:val="BlankClose"/>
      </w:pPr>
    </w:p>
    <w:p>
      <w:pPr>
        <w:pStyle w:val="Indenta"/>
      </w:pPr>
      <w:r>
        <w:tab/>
        <w:t>(b)</w:t>
      </w:r>
      <w:r>
        <w:tab/>
        <w:t>after “Act” insert:</w:t>
      </w:r>
    </w:p>
    <w:p>
      <w:pPr>
        <w:pStyle w:val="BlankOpen"/>
      </w:pPr>
    </w:p>
    <w:p>
      <w:pPr>
        <w:pStyle w:val="Indenta"/>
      </w:pPr>
      <w:r>
        <w:tab/>
      </w:r>
      <w:r>
        <w:tab/>
        <w:t>or under these regulations</w:t>
      </w:r>
    </w:p>
    <w:p>
      <w:pPr>
        <w:pStyle w:val="BlankClose"/>
      </w:pPr>
    </w:p>
    <w:p>
      <w:pPr>
        <w:pStyle w:val="Subsection"/>
        <w:keepNext/>
      </w:pPr>
      <w:r>
        <w:tab/>
        <w:t>(2)</w:t>
      </w:r>
      <w:r>
        <w:tab/>
        <w:t>Delete regulation 14(2) and insert:</w:t>
      </w:r>
    </w:p>
    <w:p>
      <w:pPr>
        <w:pStyle w:val="BlankOpen"/>
      </w:pPr>
    </w:p>
    <w:p>
      <w:pPr>
        <w:pStyle w:val="zSubsection"/>
      </w:pPr>
      <w:r>
        <w:tab/>
        <w:t>(2)</w:t>
      </w:r>
      <w:r>
        <w:tab/>
        <w:t xml:space="preserve">The </w:t>
      </w:r>
      <w:r>
        <w:rPr>
          <w:i/>
          <w:iCs/>
        </w:rPr>
        <w:t>Workers’ Compensation and Injury Management (Scales of Fees) Regulations 1998</w:t>
      </w:r>
      <w:r>
        <w:t xml:space="preserve"> Schedule 6 is applied in these regulations under section 33ZZI(2) of the Act with the following modifications and any other necessary modifications —</w:t>
      </w:r>
    </w:p>
    <w:p>
      <w:pPr>
        <w:pStyle w:val="zIndenta"/>
      </w:pPr>
      <w:r>
        <w:tab/>
        <w:t>(a)</w:t>
      </w:r>
      <w:r>
        <w:tab/>
        <w:t>a reference to a report is to be read as a reference to a report referred to in regulation 9 or 10D;</w:t>
      </w:r>
    </w:p>
    <w:p>
      <w:pPr>
        <w:pStyle w:val="zIndenta"/>
      </w:pPr>
      <w:r>
        <w:tab/>
        <w:t>(b)</w:t>
      </w:r>
      <w:r>
        <w:tab/>
        <w:t>a reference to a certificate is to be read as a reference to a certificate referred to in regulation 9(2)(a) or 10D(2)(a);</w:t>
      </w:r>
    </w:p>
    <w:p>
      <w:pPr>
        <w:pStyle w:val="zIndenta"/>
      </w:pPr>
      <w:r>
        <w:tab/>
        <w:t>(c)</w:t>
      </w:r>
      <w:r>
        <w:tab/>
        <w:t>a reference to an approved medical specialist is to be read as a reference to an approved medical specialist (as defined in section 33ZS(1) of the Act) or an approved (WorkCover WA) medical practitioner (as defined in regulation 3(1));</w:t>
      </w:r>
    </w:p>
    <w:p>
      <w:pPr>
        <w:pStyle w:val="zIndenta"/>
      </w:pPr>
      <w:r>
        <w:tab/>
        <w:t>(d)</w:t>
      </w:r>
      <w:r>
        <w:tab/>
        <w:t xml:space="preserve">the reference in Schedule 6 Part 2 item 1 to a worker who is required under Part VII Division 2 of the WC&amp;IM Act to submit to an examination is to be read as a reference to a </w:t>
      </w:r>
      <w:r>
        <w:lastRenderedPageBreak/>
        <w:t>member or medically retired member who is required under regulation 5 or 10B to submit to an examination.</w:t>
      </w:r>
    </w:p>
    <w:p>
      <w:pPr>
        <w:pStyle w:val="BlankClose"/>
      </w:pPr>
    </w:p>
    <w:p>
      <w:pPr>
        <w:pStyle w:val="Heading5"/>
      </w:pPr>
      <w:bookmarkStart w:id="91" w:name="_Toc168644302"/>
      <w:bookmarkStart w:id="92" w:name="_Toc168999766"/>
      <w:r>
        <w:rPr>
          <w:rStyle w:val="CharSectno"/>
        </w:rPr>
        <w:t>13</w:t>
      </w:r>
      <w:r>
        <w:t>.</w:t>
      </w:r>
      <w:r>
        <w:tab/>
        <w:t>Regulations 17 and 18 inserted</w:t>
      </w:r>
      <w:bookmarkEnd w:id="91"/>
      <w:bookmarkEnd w:id="92"/>
    </w:p>
    <w:p>
      <w:pPr>
        <w:pStyle w:val="Subsection"/>
        <w:keepNext/>
      </w:pPr>
      <w:r>
        <w:tab/>
      </w:r>
      <w:r>
        <w:tab/>
        <w:t>At the end of Part 5 insert:</w:t>
      </w:r>
    </w:p>
    <w:p>
      <w:pPr>
        <w:pStyle w:val="BlankOpen"/>
      </w:pPr>
    </w:p>
    <w:p>
      <w:pPr>
        <w:pStyle w:val="zHeading5"/>
      </w:pPr>
      <w:bookmarkStart w:id="93" w:name="_Toc168644303"/>
      <w:bookmarkStart w:id="94" w:name="_Toc168999767"/>
      <w:r>
        <w:t>17.</w:t>
      </w:r>
      <w:r>
        <w:tab/>
        <w:t>Persons who may act on behalf of medically retired member</w:t>
      </w:r>
      <w:bookmarkEnd w:id="93"/>
      <w:bookmarkEnd w:id="94"/>
    </w:p>
    <w:p>
      <w:pPr>
        <w:pStyle w:val="zSubsection"/>
      </w:pPr>
      <w:r>
        <w:tab/>
        <w:t>(1)</w:t>
      </w:r>
      <w:r>
        <w:tab/>
        <w:t>A person may act on behalf of a medically retired member for the purposes of Part 2D Division 2 of the Act and these regulations if the person —</w:t>
      </w:r>
    </w:p>
    <w:p>
      <w:pPr>
        <w:pStyle w:val="zIndenta"/>
      </w:pPr>
      <w:r>
        <w:tab/>
        <w:t>(a)</w:t>
      </w:r>
      <w:r>
        <w:tab/>
        <w:t>has reason to believe that the medically retired member is incapable, on medical grounds (whether physical or mental or both), of acting on their own behalf for those purposes; and</w:t>
      </w:r>
    </w:p>
    <w:p>
      <w:pPr>
        <w:pStyle w:val="zIndenta"/>
      </w:pPr>
      <w:r>
        <w:tab/>
        <w:t>(b)</w:t>
      </w:r>
      <w:r>
        <w:tab/>
        <w:t xml:space="preserve">meets the requirements of subregulation (3) and is — </w:t>
      </w:r>
    </w:p>
    <w:p>
      <w:pPr>
        <w:pStyle w:val="zIndenti"/>
      </w:pPr>
      <w:r>
        <w:tab/>
        <w:t>(i)</w:t>
      </w:r>
      <w:r>
        <w:tab/>
        <w:t>the spouse, or de facto partner, of the medically retired member; or</w:t>
      </w:r>
    </w:p>
    <w:p>
      <w:pPr>
        <w:pStyle w:val="zIndenti"/>
      </w:pPr>
      <w:r>
        <w:tab/>
        <w:t>(ii)</w:t>
      </w:r>
      <w:r>
        <w:tab/>
        <w:t>closely associated with the medically retired member; or</w:t>
      </w:r>
    </w:p>
    <w:p>
      <w:pPr>
        <w:pStyle w:val="zIndenti"/>
      </w:pPr>
      <w:r>
        <w:tab/>
        <w:t>(iii)</w:t>
      </w:r>
      <w:r>
        <w:tab/>
        <w:t>a next friend of the medically retired member in relation to any dispute under Part 2D Division 3 of the Act; or</w:t>
      </w:r>
    </w:p>
    <w:p>
      <w:pPr>
        <w:pStyle w:val="zIndenti"/>
        <w:keepNext/>
      </w:pPr>
      <w:r>
        <w:tab/>
        <w:t>(iv)</w:t>
      </w:r>
      <w:r>
        <w:tab/>
        <w:t>a legal practitioner;</w:t>
      </w:r>
    </w:p>
    <w:p>
      <w:pPr>
        <w:pStyle w:val="zIndenta"/>
      </w:pPr>
      <w:r>
        <w:tab/>
      </w:r>
      <w:r>
        <w:tab/>
        <w:t>and</w:t>
      </w:r>
    </w:p>
    <w:p>
      <w:pPr>
        <w:pStyle w:val="zIndenta"/>
      </w:pPr>
      <w:r>
        <w:tab/>
        <w:t>(c)</w:t>
      </w:r>
      <w:r>
        <w:tab/>
        <w:t>has given the Police Commissioner notice of their intention to act on behalf of the medically retired member under regulation 18.</w:t>
      </w:r>
    </w:p>
    <w:p>
      <w:pPr>
        <w:pStyle w:val="zSubsection"/>
        <w:rPr>
          <w:bCs/>
          <w:iCs/>
          <w:sz w:val="20"/>
        </w:rPr>
      </w:pPr>
      <w:r>
        <w:lastRenderedPageBreak/>
        <w:tab/>
        <w:t>(2)</w:t>
      </w:r>
      <w:r>
        <w:tab/>
        <w:t xml:space="preserve">A person acting on behalf of a medically retired member under subregulation (1) — </w:t>
      </w:r>
    </w:p>
    <w:p>
      <w:pPr>
        <w:pStyle w:val="zIndenta"/>
      </w:pPr>
      <w:r>
        <w:tab/>
        <w:t>(a)</w:t>
      </w:r>
      <w:r>
        <w:tab/>
        <w:t xml:space="preserve">may make any application, give any information or document, or do any other act or thing, on behalf of the medically retired member under Part 2D Division 2 of the Act or under these regulations (other than regulation 18(2)); and </w:t>
      </w:r>
    </w:p>
    <w:p>
      <w:pPr>
        <w:pStyle w:val="zIndenta"/>
        <w:rPr>
          <w:bCs/>
          <w:iCs/>
          <w:sz w:val="20"/>
        </w:rPr>
      </w:pPr>
      <w:r>
        <w:tab/>
        <w:t>(b)</w:t>
      </w:r>
      <w:r>
        <w:tab/>
        <w:t>must comply on behalf of the medically retired member with any requirement to provide information or produce a document under regulation 6, 10E or 10F.</w:t>
      </w:r>
    </w:p>
    <w:p>
      <w:pPr>
        <w:pStyle w:val="zSubsection"/>
      </w:pPr>
      <w:r>
        <w:tab/>
        <w:t>(3)</w:t>
      </w:r>
      <w:r>
        <w:tab/>
        <w:t xml:space="preserve">A person cannot act on behalf of a medically retired member unless the person is an adult who — </w:t>
      </w:r>
    </w:p>
    <w:p>
      <w:pPr>
        <w:pStyle w:val="zIndenta"/>
      </w:pPr>
      <w:r>
        <w:tab/>
        <w:t>(a)</w:t>
      </w:r>
      <w:r>
        <w:tab/>
        <w:t>has no interest in the proceedings that is adverse to the interest of the medically retired member; and</w:t>
      </w:r>
    </w:p>
    <w:p>
      <w:pPr>
        <w:pStyle w:val="zIndenta"/>
      </w:pPr>
      <w:r>
        <w:tab/>
        <w:t>(b)</w:t>
      </w:r>
      <w:r>
        <w:tab/>
        <w:t>can fairly and competently conduct the proceedings for the medically retired member.</w:t>
      </w:r>
    </w:p>
    <w:p>
      <w:pPr>
        <w:pStyle w:val="zSubsection"/>
      </w:pPr>
      <w:r>
        <w:tab/>
        <w:t>(4)</w:t>
      </w:r>
      <w:r>
        <w:tab/>
        <w:t xml:space="preserve">For the purposes of subregulation (1)(b)(ii), a person is </w:t>
      </w:r>
      <w:r>
        <w:rPr>
          <w:rStyle w:val="CharDefText"/>
        </w:rPr>
        <w:t>closely associated</w:t>
      </w:r>
      <w:r>
        <w:t xml:space="preserve"> with the medically retired member if, and only if, the person — </w:t>
      </w:r>
    </w:p>
    <w:p>
      <w:pPr>
        <w:pStyle w:val="zIndenta"/>
      </w:pPr>
      <w:r>
        <w:tab/>
        <w:t>(a)</w:t>
      </w:r>
      <w:r>
        <w:tab/>
        <w:t>regularly provides, or arranges for the provision of, domestic services and support to the medically retired member; or</w:t>
      </w:r>
    </w:p>
    <w:p>
      <w:pPr>
        <w:pStyle w:val="zIndenta"/>
      </w:pPr>
      <w:r>
        <w:tab/>
        <w:t>(b)</w:t>
      </w:r>
      <w:r>
        <w:tab/>
        <w:t>maintains a close personal relationship with the medically retired member.</w:t>
      </w:r>
    </w:p>
    <w:p>
      <w:pPr>
        <w:pStyle w:val="zSubsection"/>
      </w:pPr>
      <w:r>
        <w:tab/>
        <w:t>(5)</w:t>
      </w:r>
      <w:r>
        <w:tab/>
        <w:t>It is immaterial for the purposes of subregulation (4) whether or not the person is related in any way to the medically retired member.</w:t>
      </w:r>
    </w:p>
    <w:p>
      <w:pPr>
        <w:pStyle w:val="zHeading5"/>
      </w:pPr>
      <w:bookmarkStart w:id="95" w:name="_Toc168644304"/>
      <w:bookmarkStart w:id="96" w:name="_Toc168999768"/>
      <w:r>
        <w:lastRenderedPageBreak/>
        <w:t>18.</w:t>
      </w:r>
      <w:r>
        <w:tab/>
        <w:t>Notice of intention to act on behalf of medically retired member</w:t>
      </w:r>
      <w:bookmarkEnd w:id="95"/>
      <w:bookmarkEnd w:id="96"/>
    </w:p>
    <w:p>
      <w:pPr>
        <w:pStyle w:val="zSubsection"/>
      </w:pPr>
      <w:r>
        <w:tab/>
        <w:t>(1)</w:t>
      </w:r>
      <w:r>
        <w:tab/>
        <w:t xml:space="preserve">A person (a </w:t>
      </w:r>
      <w:r>
        <w:rPr>
          <w:rStyle w:val="CharDefText"/>
        </w:rPr>
        <w:t>representative</w:t>
      </w:r>
      <w:r>
        <w:t>) intending to act on behalf of a medically retired member in accordance with regulation 17 must give the Police Commissioner a notice of that intention in the approved form.</w:t>
      </w:r>
    </w:p>
    <w:p>
      <w:pPr>
        <w:pStyle w:val="zSubsection"/>
      </w:pPr>
      <w:r>
        <w:tab/>
        <w:t>(2)</w:t>
      </w:r>
      <w:r>
        <w:tab/>
        <w:t xml:space="preserve">Subject to subregulation (3), the notice under subregulation (1) must — </w:t>
      </w:r>
    </w:p>
    <w:p>
      <w:pPr>
        <w:pStyle w:val="zIndenta"/>
      </w:pPr>
      <w:r>
        <w:tab/>
        <w:t>(a)</w:t>
      </w:r>
      <w:r>
        <w:tab/>
        <w:t>include a declaration by the medically retired member consenting to the representative acting on behalf of the medically retired member in accordance with regulation 17; and</w:t>
      </w:r>
    </w:p>
    <w:p>
      <w:pPr>
        <w:pStyle w:val="zIndenta"/>
      </w:pPr>
      <w:r>
        <w:tab/>
        <w:t>(b)</w:t>
      </w:r>
      <w:r>
        <w:tab/>
        <w:t xml:space="preserve">be signed by the medically retired member personally in the presence of a person, other than the representative, who is an authorised witness under the </w:t>
      </w:r>
      <w:r>
        <w:rPr>
          <w:i/>
        </w:rPr>
        <w:t>Oaths, Affidavits and Statutory Declarations Act 2005</w:t>
      </w:r>
      <w:r>
        <w:t xml:space="preserve"> section 12(6).</w:t>
      </w:r>
    </w:p>
    <w:p>
      <w:pPr>
        <w:pStyle w:val="zSubsection"/>
      </w:pPr>
      <w:r>
        <w:tab/>
        <w:t>(3)</w:t>
      </w:r>
      <w:r>
        <w:tab/>
        <w:t xml:space="preserve">If the medically retired member is incapable, on medical grounds (whether physical or mental or both), of consenting under subregulation (2)(a), or signing the notice under subregulation (2)(b) — </w:t>
      </w:r>
    </w:p>
    <w:p>
      <w:pPr>
        <w:pStyle w:val="zIndenta"/>
      </w:pPr>
      <w:r>
        <w:tab/>
        <w:t>(a)</w:t>
      </w:r>
      <w:r>
        <w:tab/>
        <w:t>subregulation (2) does not apply; and</w:t>
      </w:r>
    </w:p>
    <w:p>
      <w:pPr>
        <w:pStyle w:val="zIndenta"/>
      </w:pPr>
      <w:r>
        <w:tab/>
        <w:t>(b)</w:t>
      </w:r>
      <w:r>
        <w:tab/>
        <w:t xml:space="preserve">the notice under subregulation (1) must be signed by — </w:t>
      </w:r>
    </w:p>
    <w:p>
      <w:pPr>
        <w:pStyle w:val="zIndenti"/>
      </w:pPr>
      <w:r>
        <w:tab/>
        <w:t>(i)</w:t>
      </w:r>
      <w:r>
        <w:tab/>
        <w:t xml:space="preserve">a guardian or enduring guardian (as those terms are defined in the </w:t>
      </w:r>
      <w:r>
        <w:rPr>
          <w:i/>
        </w:rPr>
        <w:t>Guardianship and Administration Act 1990</w:t>
      </w:r>
      <w:r>
        <w:t xml:space="preserve"> section 3(1)) of the medically retired member; or</w:t>
      </w:r>
    </w:p>
    <w:p>
      <w:pPr>
        <w:pStyle w:val="zIndenti"/>
      </w:pPr>
      <w:r>
        <w:tab/>
        <w:t>(ii)</w:t>
      </w:r>
      <w:r>
        <w:tab/>
        <w:t xml:space="preserve">a person appointed under an enduring power of attorney (as defined in the </w:t>
      </w:r>
      <w:r>
        <w:rPr>
          <w:i/>
        </w:rPr>
        <w:t xml:space="preserve">Guardianship and Administration </w:t>
      </w:r>
      <w:r>
        <w:rPr>
          <w:i/>
        </w:rPr>
        <w:lastRenderedPageBreak/>
        <w:t>Act 1990</w:t>
      </w:r>
      <w:r>
        <w:t xml:space="preserve"> section 102) by the medically retired member.</w:t>
      </w:r>
    </w:p>
    <w:p>
      <w:pPr>
        <w:pStyle w:val="zSubsection"/>
      </w:pPr>
      <w:r>
        <w:tab/>
        <w:t>(4)</w:t>
      </w:r>
      <w:r>
        <w:tab/>
        <w:t>A person who witnesses the signature of a medically retired member under subregulation (2)(b) must —</w:t>
      </w:r>
    </w:p>
    <w:p>
      <w:pPr>
        <w:pStyle w:val="zIndenta"/>
      </w:pPr>
      <w:r>
        <w:tab/>
        <w:t>(a)</w:t>
      </w:r>
      <w:r>
        <w:tab/>
        <w:t>certify in the notice under subregulation (1) that the medically retired member signed the approved form in the presence of the witness; and</w:t>
      </w:r>
    </w:p>
    <w:p>
      <w:pPr>
        <w:pStyle w:val="zIndenta"/>
      </w:pPr>
      <w:r>
        <w:tab/>
        <w:t>(b)</w:t>
      </w:r>
      <w:r>
        <w:tab/>
        <w:t xml:space="preserve">state the following information in the notice under subregulation (1) — </w:t>
      </w:r>
    </w:p>
    <w:p>
      <w:pPr>
        <w:pStyle w:val="zIndenti"/>
      </w:pPr>
      <w:r>
        <w:tab/>
        <w:t>(i)</w:t>
      </w:r>
      <w:r>
        <w:tab/>
        <w:t>the full name, occupation and residential address of the witness;</w:t>
      </w:r>
    </w:p>
    <w:p>
      <w:pPr>
        <w:pStyle w:val="zIndenti"/>
      </w:pPr>
      <w:r>
        <w:tab/>
        <w:t>(ii)</w:t>
      </w:r>
      <w:r>
        <w:tab/>
        <w:t>the location at which the approved form was signed.</w:t>
      </w:r>
    </w:p>
    <w:p>
      <w:pPr>
        <w:pStyle w:val="BlankClose"/>
      </w:pPr>
    </w:p>
    <w:p>
      <w:pPr>
        <w:pStyle w:val="Heading5"/>
      </w:pPr>
      <w:bookmarkStart w:id="97" w:name="_Toc168644305"/>
      <w:bookmarkStart w:id="98" w:name="_Toc168999769"/>
      <w:r>
        <w:rPr>
          <w:rStyle w:val="CharSectno"/>
        </w:rPr>
        <w:t>14</w:t>
      </w:r>
      <w:r>
        <w:t>.</w:t>
      </w:r>
      <w:r>
        <w:tab/>
        <w:t>Part 6 inserted</w:t>
      </w:r>
      <w:bookmarkEnd w:id="97"/>
      <w:bookmarkEnd w:id="98"/>
    </w:p>
    <w:p>
      <w:pPr>
        <w:pStyle w:val="Subsection"/>
      </w:pPr>
      <w:r>
        <w:tab/>
      </w:r>
      <w:r>
        <w:tab/>
        <w:t>At the end of the regulations insert:</w:t>
      </w:r>
    </w:p>
    <w:p>
      <w:pPr>
        <w:pStyle w:val="BlankOpen"/>
      </w:pPr>
    </w:p>
    <w:p>
      <w:pPr>
        <w:pStyle w:val="zHeading2"/>
      </w:pPr>
      <w:bookmarkStart w:id="99" w:name="_Toc168644306"/>
      <w:bookmarkStart w:id="100" w:name="_Toc168644394"/>
      <w:bookmarkStart w:id="101" w:name="_Toc168644506"/>
      <w:bookmarkStart w:id="102" w:name="_Toc168999770"/>
      <w:r>
        <w:t>Part 6 — Transitional provision</w:t>
      </w:r>
      <w:bookmarkEnd w:id="99"/>
      <w:bookmarkEnd w:id="100"/>
      <w:bookmarkEnd w:id="101"/>
      <w:bookmarkEnd w:id="102"/>
    </w:p>
    <w:p>
      <w:pPr>
        <w:pStyle w:val="zHeading5"/>
      </w:pPr>
      <w:bookmarkStart w:id="103" w:name="_Toc168644307"/>
      <w:bookmarkStart w:id="104" w:name="_Toc168999771"/>
      <w:r>
        <w:t>19.</w:t>
      </w:r>
      <w:r>
        <w:tab/>
        <w:t xml:space="preserve">Transitional provision for </w:t>
      </w:r>
      <w:r>
        <w:rPr>
          <w:i/>
        </w:rPr>
        <w:t>Police (Compensation Scheme) Amendment Regulations 2024</w:t>
      </w:r>
      <w:bookmarkEnd w:id="103"/>
      <w:bookmarkEnd w:id="104"/>
    </w:p>
    <w:p>
      <w:pPr>
        <w:pStyle w:val="zSubsection"/>
      </w:pPr>
      <w:r>
        <w:tab/>
        <w:t>(1)</w:t>
      </w:r>
      <w:r>
        <w:tab/>
        <w:t xml:space="preserve">In this regulation — </w:t>
      </w:r>
    </w:p>
    <w:p>
      <w:pPr>
        <w:pStyle w:val="zDefstart"/>
      </w:pPr>
      <w:r>
        <w:tab/>
      </w:r>
      <w:r>
        <w:rPr>
          <w:rStyle w:val="CharDefText"/>
        </w:rPr>
        <w:t>commencement day</w:t>
      </w:r>
      <w:r>
        <w:t xml:space="preserve"> means the day on which the </w:t>
      </w:r>
      <w:r>
        <w:rPr>
          <w:i/>
        </w:rPr>
        <w:t>Police (Compensation Scheme) Amendment Regulations 2024</w:t>
      </w:r>
      <w:r>
        <w:t xml:space="preserve"> Part 2 comes into operation.</w:t>
      </w:r>
    </w:p>
    <w:p>
      <w:pPr>
        <w:pStyle w:val="zSubsection"/>
      </w:pPr>
      <w:r>
        <w:tab/>
        <w:t>(2)</w:t>
      </w:r>
      <w:r>
        <w:tab/>
        <w:t xml:space="preserve">This regulation applies if, before commencement day, a member or medically retired member made a request under regulation 4(2) for the Police Commissioner to arrange for the assessment of the member’s or </w:t>
      </w:r>
      <w:r>
        <w:lastRenderedPageBreak/>
        <w:t>medically retired member’s degree of permanent impairment.</w:t>
      </w:r>
    </w:p>
    <w:p>
      <w:pPr>
        <w:pStyle w:val="zSubsection"/>
        <w:keepNext/>
      </w:pPr>
      <w:r>
        <w:tab/>
        <w:t>(3)</w:t>
      </w:r>
      <w:r>
        <w:tab/>
        <w:t>Despite regulation 6(5), the member or medically retired member may provide documents and information under regulation 6(4) at any time before the report on the results of the assessment under regulation 9 is given to the Police Commissioner.</w:t>
      </w:r>
    </w:p>
    <w:p>
      <w:pPr>
        <w:pStyle w:val="BlankClose"/>
      </w:pPr>
    </w:p>
    <w:p>
      <w:pPr>
        <w:pStyle w:val="Heading2"/>
      </w:pPr>
      <w:bookmarkStart w:id="105" w:name="_Toc168644308"/>
      <w:bookmarkStart w:id="106" w:name="_Toc168644396"/>
      <w:bookmarkStart w:id="107" w:name="_Toc168644508"/>
      <w:bookmarkStart w:id="108" w:name="_Toc168999772"/>
      <w:r>
        <w:rPr>
          <w:rStyle w:val="CharPartNo"/>
        </w:rPr>
        <w:lastRenderedPageBreak/>
        <w:t>Part 3</w:t>
      </w:r>
      <w:r>
        <w:rPr>
          <w:rStyle w:val="CharDivNo"/>
        </w:rPr>
        <w:t> </w:t>
      </w:r>
      <w:r>
        <w:t>—</w:t>
      </w:r>
      <w:r>
        <w:rPr>
          <w:rStyle w:val="CharDivText"/>
        </w:rPr>
        <w:t> </w:t>
      </w:r>
      <w:r>
        <w:rPr>
          <w:rStyle w:val="CharPartText"/>
        </w:rPr>
        <w:t>Amendments commencing on 1 July 2024</w:t>
      </w:r>
      <w:bookmarkEnd w:id="105"/>
      <w:bookmarkEnd w:id="106"/>
      <w:bookmarkEnd w:id="107"/>
      <w:bookmarkEnd w:id="108"/>
    </w:p>
    <w:p>
      <w:pPr>
        <w:pStyle w:val="Heading5"/>
      </w:pPr>
      <w:bookmarkStart w:id="109" w:name="_Toc168644309"/>
      <w:bookmarkStart w:id="110" w:name="_Toc168999773"/>
      <w:r>
        <w:rPr>
          <w:rStyle w:val="CharSectno"/>
        </w:rPr>
        <w:t>15</w:t>
      </w:r>
      <w:r>
        <w:t>.</w:t>
      </w:r>
      <w:r>
        <w:tab/>
        <w:t>Regulation 3 amended</w:t>
      </w:r>
      <w:bookmarkEnd w:id="109"/>
      <w:bookmarkEnd w:id="110"/>
    </w:p>
    <w:p>
      <w:pPr>
        <w:pStyle w:val="Subsection"/>
      </w:pPr>
      <w:r>
        <w:tab/>
      </w:r>
      <w:r>
        <w:tab/>
        <w:t xml:space="preserve">In regulation 3(1) in the definition of </w:t>
      </w:r>
      <w:r>
        <w:rPr>
          <w:b/>
          <w:i/>
        </w:rPr>
        <w:t>approved (WorkCover WA) medical practitioner</w:t>
      </w:r>
      <w:r>
        <w:rPr>
          <w:bCs/>
          <w:iCs/>
        </w:rPr>
        <w:t xml:space="preserve"> delete “for the time being designated under the </w:t>
      </w:r>
      <w:r>
        <w:rPr>
          <w:iCs/>
        </w:rPr>
        <w:t xml:space="preserve">WC&amp;IM Act </w:t>
      </w:r>
      <w:r>
        <w:t>section 146F;” and insert:</w:t>
      </w:r>
    </w:p>
    <w:p>
      <w:pPr>
        <w:pStyle w:val="BlankOpen"/>
      </w:pPr>
    </w:p>
    <w:p>
      <w:pPr>
        <w:pStyle w:val="Subsection"/>
      </w:pPr>
      <w:r>
        <w:tab/>
      </w:r>
      <w:r>
        <w:tab/>
        <w:t>approved as a permanent impairment assessor under the WCIM Act section 193(1);</w:t>
      </w:r>
    </w:p>
    <w:p>
      <w:pPr>
        <w:pStyle w:val="BlankClose"/>
      </w:pPr>
    </w:p>
    <w:p>
      <w:pPr>
        <w:pStyle w:val="Heading5"/>
      </w:pPr>
      <w:bookmarkStart w:id="111" w:name="_Toc168644310"/>
      <w:bookmarkStart w:id="112" w:name="_Toc168999774"/>
      <w:r>
        <w:rPr>
          <w:rStyle w:val="CharSectno"/>
        </w:rPr>
        <w:t>16</w:t>
      </w:r>
      <w:r>
        <w:t>.</w:t>
      </w:r>
      <w:r>
        <w:tab/>
        <w:t>Regulation 8 amended</w:t>
      </w:r>
      <w:bookmarkEnd w:id="111"/>
      <w:bookmarkEnd w:id="112"/>
    </w:p>
    <w:p>
      <w:pPr>
        <w:pStyle w:val="Subsection"/>
      </w:pPr>
      <w:r>
        <w:tab/>
        <w:t>(1)</w:t>
      </w:r>
      <w:r>
        <w:tab/>
        <w:t>In regulation 8(1), (2), (3) and (4) delete “WorkCover Guides” and insert:</w:t>
      </w:r>
    </w:p>
    <w:p>
      <w:pPr>
        <w:pStyle w:val="BlankOpen"/>
      </w:pPr>
    </w:p>
    <w:p>
      <w:pPr>
        <w:pStyle w:val="Subsection"/>
      </w:pPr>
      <w:r>
        <w:tab/>
      </w:r>
      <w:r>
        <w:tab/>
        <w:t>Permanent Impairment Guidelines</w:t>
      </w:r>
    </w:p>
    <w:p>
      <w:pPr>
        <w:pStyle w:val="BlankClose"/>
      </w:pPr>
    </w:p>
    <w:p>
      <w:pPr>
        <w:pStyle w:val="Subsection"/>
      </w:pPr>
      <w:r>
        <w:tab/>
        <w:t>(2)</w:t>
      </w:r>
      <w:r>
        <w:tab/>
        <w:t>In regulation 8(5):</w:t>
      </w:r>
    </w:p>
    <w:p>
      <w:pPr>
        <w:pStyle w:val="Indenta"/>
      </w:pPr>
      <w:r>
        <w:tab/>
        <w:t>(a)</w:t>
      </w:r>
      <w:r>
        <w:tab/>
        <w:t>in paragraph (a) delete “WorkCover Guides paragraphs 1.17” and insert:</w:t>
      </w:r>
    </w:p>
    <w:p>
      <w:pPr>
        <w:pStyle w:val="BlankOpen"/>
      </w:pPr>
    </w:p>
    <w:p>
      <w:pPr>
        <w:pStyle w:val="Indenta"/>
      </w:pPr>
      <w:r>
        <w:tab/>
      </w:r>
      <w:r>
        <w:tab/>
        <w:t>Permanent Impairment Guidelines paragraphs 1.19</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ectAltNote"/>
      </w:pPr>
      <w:r>
        <w:tab/>
        <w:t>Note: The heading to amended regulation 8 is to read:</w:t>
      </w:r>
    </w:p>
    <w:p>
      <w:pPr>
        <w:pStyle w:val="SectAltHeading"/>
      </w:pPr>
      <w:r>
        <w:tab/>
      </w:r>
      <w:r>
        <w:tab/>
        <w:t>Modification of Permanent Impairment Guidelines</w:t>
      </w:r>
    </w:p>
    <w:p>
      <w:pPr>
        <w:pStyle w:val="Heading5"/>
      </w:pPr>
      <w:bookmarkStart w:id="113" w:name="_Toc168644311"/>
      <w:bookmarkStart w:id="114" w:name="_Toc168999775"/>
      <w:r>
        <w:rPr>
          <w:rStyle w:val="CharSectno"/>
        </w:rPr>
        <w:lastRenderedPageBreak/>
        <w:t>17</w:t>
      </w:r>
      <w:r>
        <w:t>.</w:t>
      </w:r>
      <w:r>
        <w:tab/>
        <w:t>Regulation 12 amended</w:t>
      </w:r>
      <w:bookmarkEnd w:id="113"/>
      <w:bookmarkEnd w:id="114"/>
    </w:p>
    <w:p>
      <w:pPr>
        <w:pStyle w:val="Subsection"/>
        <w:keepNext/>
      </w:pPr>
      <w:r>
        <w:tab/>
      </w:r>
      <w:r>
        <w:tab/>
        <w:t>In regulation 12(1):</w:t>
      </w:r>
    </w:p>
    <w:p>
      <w:pPr>
        <w:pStyle w:val="Indenta"/>
        <w:keepNext/>
      </w:pPr>
      <w:r>
        <w:tab/>
        <w:t>(a)</w:t>
      </w:r>
      <w:r>
        <w:tab/>
        <w:t>delete “approved medical specialist ceases” and insert:</w:t>
      </w:r>
    </w:p>
    <w:p>
      <w:pPr>
        <w:pStyle w:val="BlankOpen"/>
      </w:pPr>
    </w:p>
    <w:p>
      <w:pPr>
        <w:pStyle w:val="Indenta"/>
      </w:pPr>
      <w:r>
        <w:tab/>
      </w:r>
      <w:r>
        <w:tab/>
        <w:t>approved permanent impairment assessor ceases</w:t>
      </w:r>
    </w:p>
    <w:p>
      <w:pPr>
        <w:pStyle w:val="BlankClose"/>
      </w:pPr>
    </w:p>
    <w:p>
      <w:pPr>
        <w:pStyle w:val="Indenta"/>
      </w:pPr>
      <w:r>
        <w:tab/>
        <w:t>(b)</w:t>
      </w:r>
      <w:r>
        <w:tab/>
        <w:t>in paragraph (a) delete “designated as an approved medical specialist under section 146F of the WC&amp;IM Act; or” and insert:</w:t>
      </w:r>
    </w:p>
    <w:p>
      <w:pPr>
        <w:pStyle w:val="BlankOpen"/>
      </w:pPr>
    </w:p>
    <w:p>
      <w:pPr>
        <w:pStyle w:val="Indenta"/>
      </w:pPr>
      <w:r>
        <w:tab/>
      </w:r>
      <w:r>
        <w:tab/>
        <w:t>approved as a permanent impairment assessor under the WCIM Act section 193(1); or</w:t>
      </w:r>
    </w:p>
    <w:p>
      <w:pPr>
        <w:pStyle w:val="BlankClose"/>
      </w:pPr>
    </w:p>
    <w:p>
      <w:pPr>
        <w:pStyle w:val="SectAltNote"/>
      </w:pPr>
      <w:r>
        <w:tab/>
        <w:t>Note: The heading to amended regulation 12 is to read:</w:t>
      </w:r>
    </w:p>
    <w:p>
      <w:pPr>
        <w:pStyle w:val="SectAltHeading"/>
      </w:pPr>
      <w:r>
        <w:tab/>
      </w:r>
      <w:r>
        <w:tab/>
        <w:t>Duration of appointment of approved permanent impairment assessor</w:t>
      </w:r>
    </w:p>
    <w:p>
      <w:pPr>
        <w:pStyle w:val="Heading5"/>
      </w:pPr>
      <w:bookmarkStart w:id="115" w:name="_Toc168644312"/>
      <w:bookmarkStart w:id="116" w:name="_Toc168999776"/>
      <w:r>
        <w:rPr>
          <w:rStyle w:val="CharSectno"/>
        </w:rPr>
        <w:t>18</w:t>
      </w:r>
      <w:r>
        <w:t>.</w:t>
      </w:r>
      <w:r>
        <w:tab/>
        <w:t>Regulation 14 amended</w:t>
      </w:r>
      <w:bookmarkEnd w:id="115"/>
      <w:bookmarkEnd w:id="116"/>
    </w:p>
    <w:p>
      <w:pPr>
        <w:pStyle w:val="Subsection"/>
      </w:pPr>
      <w:r>
        <w:tab/>
        <w:t>(1)</w:t>
      </w:r>
      <w:r>
        <w:tab/>
        <w:t>In regulation 14(1):</w:t>
      </w:r>
    </w:p>
    <w:p>
      <w:pPr>
        <w:pStyle w:val="Indenta"/>
      </w:pPr>
      <w:r>
        <w:tab/>
        <w:t>(a)</w:t>
      </w:r>
      <w:r>
        <w:tab/>
        <w:t>delete “approved medical specialists” and insert:</w:t>
      </w:r>
    </w:p>
    <w:p>
      <w:pPr>
        <w:pStyle w:val="BlankOpen"/>
      </w:pPr>
    </w:p>
    <w:p>
      <w:pPr>
        <w:pStyle w:val="Indenta"/>
      </w:pPr>
      <w:r>
        <w:tab/>
      </w:r>
      <w:r>
        <w:tab/>
        <w:t>approved permanent impairment assessors</w:t>
      </w:r>
    </w:p>
    <w:p>
      <w:pPr>
        <w:pStyle w:val="BlankClose"/>
      </w:pPr>
    </w:p>
    <w:p>
      <w:pPr>
        <w:pStyle w:val="Indenta"/>
      </w:pPr>
      <w:r>
        <w:tab/>
        <w:t>(b)</w:t>
      </w:r>
      <w:r>
        <w:tab/>
        <w:t>delete “</w:t>
      </w:r>
      <w:r>
        <w:rPr>
          <w:i/>
          <w:iCs/>
        </w:rPr>
        <w:t>Workers’ Compensation and Injury Management (Scales of Fees) Regulations 1998</w:t>
      </w:r>
      <w:r>
        <w:t xml:space="preserve"> Schedule 6.” and insert:</w:t>
      </w:r>
    </w:p>
    <w:p>
      <w:pPr>
        <w:pStyle w:val="BlankOpen"/>
      </w:pPr>
    </w:p>
    <w:p>
      <w:pPr>
        <w:pStyle w:val="Indenta"/>
      </w:pPr>
      <w:r>
        <w:tab/>
      </w:r>
      <w:r>
        <w:tab/>
      </w:r>
      <w:r>
        <w:rPr>
          <w:i/>
          <w:iCs/>
        </w:rPr>
        <w:t>Workers Compensation (Approved Permanent Impairment Assessor) Fees Order 2024</w:t>
      </w:r>
      <w:r>
        <w:t xml:space="preserve"> Schedule 1.</w:t>
      </w:r>
    </w:p>
    <w:p>
      <w:pPr>
        <w:pStyle w:val="BlankClose"/>
      </w:pPr>
    </w:p>
    <w:p>
      <w:pPr>
        <w:pStyle w:val="Subsection"/>
        <w:keepNext/>
      </w:pPr>
      <w:r>
        <w:lastRenderedPageBreak/>
        <w:tab/>
        <w:t>(2)</w:t>
      </w:r>
      <w:r>
        <w:tab/>
        <w:t>In regulation 14(2):</w:t>
      </w:r>
    </w:p>
    <w:p>
      <w:pPr>
        <w:pStyle w:val="Indenta"/>
      </w:pPr>
      <w:r>
        <w:tab/>
        <w:t>(a)</w:t>
      </w:r>
      <w:r>
        <w:tab/>
        <w:t>delete “</w:t>
      </w:r>
      <w:r>
        <w:rPr>
          <w:i/>
          <w:iCs/>
        </w:rPr>
        <w:t>Workers’ Compensation and Injury Management (Scales of Fees) Regulations 1998</w:t>
      </w:r>
      <w:r>
        <w:t xml:space="preserve"> Schedule 6” and insert:</w:t>
      </w:r>
    </w:p>
    <w:p>
      <w:pPr>
        <w:pStyle w:val="BlankOpen"/>
      </w:pPr>
    </w:p>
    <w:p>
      <w:pPr>
        <w:pStyle w:val="Indenta"/>
      </w:pPr>
      <w:r>
        <w:tab/>
      </w:r>
      <w:r>
        <w:tab/>
      </w:r>
      <w:r>
        <w:rPr>
          <w:i/>
          <w:iCs/>
        </w:rPr>
        <w:t>Workers Compensation (Approved Permanent Impairment Assessor) Fees Order 2024</w:t>
      </w:r>
      <w:r>
        <w:t xml:space="preserve"> Schedule 1</w:t>
      </w:r>
    </w:p>
    <w:p>
      <w:pPr>
        <w:pStyle w:val="BlankClose"/>
      </w:pPr>
    </w:p>
    <w:p>
      <w:pPr>
        <w:pStyle w:val="Indenta"/>
      </w:pPr>
      <w:r>
        <w:tab/>
        <w:t>(b)</w:t>
      </w:r>
      <w:r>
        <w:tab/>
        <w:t>in paragraph (c) delete “approved medical specialist” (each occurrence) and insert:</w:t>
      </w:r>
    </w:p>
    <w:p>
      <w:pPr>
        <w:pStyle w:val="BlankOpen"/>
      </w:pPr>
    </w:p>
    <w:p>
      <w:pPr>
        <w:pStyle w:val="Indenta"/>
      </w:pPr>
      <w:r>
        <w:tab/>
      </w:r>
      <w:r>
        <w:tab/>
        <w:t>approved permanent impairment assessor</w:t>
      </w:r>
    </w:p>
    <w:p>
      <w:pPr>
        <w:pStyle w:val="BlankClose"/>
      </w:pPr>
    </w:p>
    <w:p>
      <w:pPr>
        <w:pStyle w:val="Indenta"/>
      </w:pPr>
      <w:r>
        <w:tab/>
        <w:t>(c)</w:t>
      </w:r>
      <w:r>
        <w:tab/>
        <w:t>in paragraph (d) delete “Schedule 6 Part 2 item 1 to a worker who is required under Part VII Division 2 of the WC&amp;IM Act” and insert:</w:t>
      </w:r>
    </w:p>
    <w:p>
      <w:pPr>
        <w:pStyle w:val="BlankOpen"/>
      </w:pPr>
    </w:p>
    <w:p>
      <w:pPr>
        <w:pStyle w:val="Indenta"/>
      </w:pPr>
      <w:r>
        <w:tab/>
      </w:r>
      <w:r>
        <w:tab/>
        <w:t>the item relating to code PIA10 to a worker who is required</w:t>
      </w:r>
    </w:p>
    <w:p>
      <w:pPr>
        <w:pStyle w:val="BlankClose"/>
      </w:pPr>
    </w:p>
    <w:p>
      <w:pPr>
        <w:pStyle w:val="Heading5"/>
      </w:pPr>
      <w:bookmarkStart w:id="117" w:name="_Toc168644313"/>
      <w:bookmarkStart w:id="118" w:name="_Toc168999777"/>
      <w:r>
        <w:rPr>
          <w:rStyle w:val="CharSectno"/>
        </w:rPr>
        <w:t>19</w:t>
      </w:r>
      <w:r>
        <w:t>.</w:t>
      </w:r>
      <w:r>
        <w:tab/>
        <w:t>Regulation 15 amended</w:t>
      </w:r>
      <w:bookmarkEnd w:id="117"/>
      <w:bookmarkEnd w:id="118"/>
    </w:p>
    <w:p>
      <w:pPr>
        <w:pStyle w:val="Subsection"/>
        <w:keepNext/>
      </w:pPr>
      <w:r>
        <w:tab/>
      </w:r>
      <w:r>
        <w:tab/>
        <w:t>In regulation 15(2) delete “</w:t>
      </w:r>
      <w:r>
        <w:rPr>
          <w:i/>
        </w:rPr>
        <w:t>Workers’ Compensation and Injury Management (Scales of Fees) Regulations 1998</w:t>
      </w:r>
      <w:r>
        <w:t xml:space="preserve"> Schedule 6” and insert:</w:t>
      </w:r>
    </w:p>
    <w:p>
      <w:pPr>
        <w:pStyle w:val="BlankOpen"/>
      </w:pPr>
    </w:p>
    <w:p>
      <w:pPr>
        <w:pStyle w:val="Subsection"/>
        <w:rPr>
          <w:i/>
          <w:iCs/>
        </w:rPr>
      </w:pPr>
      <w:r>
        <w:tab/>
      </w:r>
      <w:r>
        <w:tab/>
      </w:r>
      <w:r>
        <w:rPr>
          <w:i/>
          <w:iCs/>
        </w:rPr>
        <w:t>Workers Compensation (Approved Permanent Impairment Assessor) Fees Order 2024</w:t>
      </w:r>
      <w:r>
        <w:t xml:space="preserve"> Schedule 1</w:t>
      </w:r>
    </w:p>
    <w:p>
      <w:pPr>
        <w:pStyle w:val="BlankClose"/>
      </w:pPr>
    </w:p>
    <w:p>
      <w:pPr>
        <w:pStyle w:val="Heading5"/>
      </w:pPr>
      <w:bookmarkStart w:id="119" w:name="_Toc168644314"/>
      <w:bookmarkStart w:id="120" w:name="_Toc168999778"/>
      <w:r>
        <w:rPr>
          <w:rStyle w:val="CharSectno"/>
        </w:rPr>
        <w:lastRenderedPageBreak/>
        <w:t>20</w:t>
      </w:r>
      <w:r>
        <w:t>.</w:t>
      </w:r>
      <w:r>
        <w:tab/>
        <w:t>Various references to “approved medical specialist” amended</w:t>
      </w:r>
      <w:bookmarkEnd w:id="119"/>
      <w:bookmarkEnd w:id="120"/>
    </w:p>
    <w:p>
      <w:pPr>
        <w:pStyle w:val="Subsection"/>
        <w:keepNext/>
      </w:pPr>
      <w:r>
        <w:tab/>
      </w:r>
      <w:r>
        <w:tab/>
        <w:t>In the provisions listed in the Table:</w:t>
      </w:r>
    </w:p>
    <w:p>
      <w:pPr>
        <w:pStyle w:val="Indenta"/>
      </w:pPr>
      <w:r>
        <w:tab/>
        <w:t>(a)</w:t>
      </w:r>
      <w:r>
        <w:tab/>
        <w:t>delete “approved medical specialist” (each occurrence) and insert:</w:t>
      </w:r>
    </w:p>
    <w:p>
      <w:pPr>
        <w:pStyle w:val="BlankOpen"/>
      </w:pPr>
    </w:p>
    <w:p>
      <w:pPr>
        <w:pStyle w:val="Indenta"/>
      </w:pPr>
      <w:r>
        <w:tab/>
      </w:r>
      <w:r>
        <w:tab/>
        <w:t>approved permanent impairment assessor</w:t>
      </w:r>
    </w:p>
    <w:p>
      <w:pPr>
        <w:pStyle w:val="BlankClose"/>
      </w:pPr>
    </w:p>
    <w:p>
      <w:pPr>
        <w:pStyle w:val="Indenta"/>
      </w:pPr>
      <w:r>
        <w:tab/>
        <w:t>(b)</w:t>
      </w:r>
      <w:r>
        <w:tab/>
        <w:t>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delete “</w:t>
      </w:r>
      <w:r>
        <w:rPr>
          <w:b/>
          <w:sz w:val="30"/>
        </w:rPr>
        <w:t>Approved medical specialists</w:t>
      </w:r>
      <w:r>
        <w:t>” and insert:</w:t>
      </w:r>
    </w:p>
    <w:p>
      <w:pPr>
        <w:pStyle w:val="BlankOpen"/>
      </w:pPr>
    </w:p>
    <w:p>
      <w:pPr>
        <w:pStyle w:val="Indenta"/>
        <w:rPr>
          <w:b/>
          <w:sz w:val="30"/>
        </w:rPr>
      </w:pPr>
      <w:r>
        <w:rPr>
          <w:b/>
          <w:sz w:val="30"/>
        </w:rPr>
        <w:tab/>
      </w:r>
      <w:r>
        <w:rPr>
          <w:b/>
          <w:sz w:val="30"/>
        </w:rPr>
        <w:tab/>
        <w:t>Approved permanent impairment assessors</w:t>
      </w:r>
    </w:p>
    <w:p>
      <w:pPr>
        <w:pStyle w:val="BlankClose"/>
      </w:pPr>
    </w:p>
    <w:p>
      <w:pPr>
        <w:pStyle w:val="Indenta"/>
      </w:pPr>
      <w:r>
        <w:tab/>
        <w:t>(d)</w:t>
      </w:r>
      <w:r>
        <w:tab/>
        <w:t>delete “approved medical specialists” and insert:</w:t>
      </w:r>
    </w:p>
    <w:p>
      <w:pPr>
        <w:pStyle w:val="BlankOpen"/>
      </w:pPr>
    </w:p>
    <w:p>
      <w:pPr>
        <w:pStyle w:val="Indenta"/>
      </w:pPr>
      <w:r>
        <w:tab/>
      </w:r>
      <w:r>
        <w:tab/>
        <w:t>approved permanent impairment assessors</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4(4)</w:t>
            </w:r>
          </w:p>
        </w:tc>
        <w:tc>
          <w:tcPr>
            <w:tcW w:w="3402" w:type="dxa"/>
          </w:tcPr>
          <w:p>
            <w:pPr>
              <w:pStyle w:val="TableAm"/>
            </w:pPr>
            <w:r>
              <w:t>r. 5(1) and (2)</w:t>
            </w:r>
          </w:p>
        </w:tc>
      </w:tr>
      <w:tr>
        <w:trPr>
          <w:cantSplit/>
          <w:jc w:val="center"/>
        </w:trPr>
        <w:tc>
          <w:tcPr>
            <w:tcW w:w="3402" w:type="dxa"/>
          </w:tcPr>
          <w:p>
            <w:pPr>
              <w:pStyle w:val="TableAm"/>
            </w:pPr>
            <w:r>
              <w:t>r. 6(1), (2), (4) and (5)</w:t>
            </w:r>
          </w:p>
        </w:tc>
        <w:tc>
          <w:tcPr>
            <w:tcW w:w="3402" w:type="dxa"/>
          </w:tcPr>
          <w:p>
            <w:pPr>
              <w:pStyle w:val="TableAm"/>
            </w:pPr>
            <w:r>
              <w:t>r. 7</w:t>
            </w:r>
          </w:p>
        </w:tc>
      </w:tr>
      <w:tr>
        <w:trPr>
          <w:cantSplit/>
          <w:jc w:val="center"/>
        </w:trPr>
        <w:tc>
          <w:tcPr>
            <w:tcW w:w="3402" w:type="dxa"/>
          </w:tcPr>
          <w:p>
            <w:pPr>
              <w:pStyle w:val="TableAm"/>
            </w:pPr>
            <w:r>
              <w:t>r. 9(1)</w:t>
            </w:r>
          </w:p>
        </w:tc>
        <w:tc>
          <w:tcPr>
            <w:tcW w:w="3402" w:type="dxa"/>
          </w:tcPr>
          <w:p>
            <w:pPr>
              <w:pStyle w:val="TableAm"/>
            </w:pPr>
            <w:r>
              <w:t>Pt 3 heading</w:t>
            </w:r>
          </w:p>
        </w:tc>
      </w:tr>
      <w:tr>
        <w:trPr>
          <w:cantSplit/>
          <w:jc w:val="center"/>
        </w:trPr>
        <w:tc>
          <w:tcPr>
            <w:tcW w:w="3402" w:type="dxa"/>
          </w:tcPr>
          <w:p>
            <w:pPr>
              <w:pStyle w:val="TableAm"/>
            </w:pPr>
            <w:r>
              <w:t>r. 11(1), (2) and (3)</w:t>
            </w:r>
          </w:p>
        </w:tc>
        <w:tc>
          <w:tcPr>
            <w:tcW w:w="3402" w:type="dxa"/>
          </w:tcPr>
          <w:p>
            <w:pPr>
              <w:pStyle w:val="TableAm"/>
            </w:pPr>
            <w:r>
              <w:t>r. 12(2) and (3)</w:t>
            </w:r>
          </w:p>
        </w:tc>
      </w:tr>
    </w:tbl>
    <w:p>
      <w:pPr>
        <w:pStyle w:val="SectAltNote"/>
      </w:pPr>
      <w:r>
        <w:lastRenderedPageBreak/>
        <w:tab/>
        <w:t>Note: The heading to amended regulation 11 is to read:</w:t>
      </w:r>
    </w:p>
    <w:p>
      <w:pPr>
        <w:pStyle w:val="SectAltHeading"/>
      </w:pPr>
      <w:r>
        <w:tab/>
      </w:r>
      <w:r>
        <w:tab/>
        <w:t>Approved permanent impairment assessors</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7B3A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42F4317" w14:textId="587DFD89" w:rsidR="00BD2F49" w:rsidRDefault="00BD2F4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11AB">
                        <w:rPr>
                          <w:sz w:val="16"/>
                        </w:rPr>
                        <w:t>2024</w:t>
                      </w:r>
                      <w:r>
                        <w:rPr>
                          <w:sz w:val="16"/>
                        </w:rPr>
                        <w:fldChar w:fldCharType="end"/>
                      </w:r>
                      <w:r>
                        <w:rPr>
                          <w:sz w:val="16"/>
                        </w:rPr>
                        <w:t>.</w:t>
                      </w:r>
                    </w:p>
                    <w:p w14:paraId="042DA84B" w14:textId="77777777" w:rsidR="00BD2F49" w:rsidRDefault="00BD2F4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9DFE0A" w14:textId="561F6307" w:rsidR="00BD2F49" w:rsidRDefault="00BD2F4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11AB">
                        <w:rPr>
                          <w:sz w:val="16"/>
                        </w:rPr>
                        <w:t>2024</w:t>
                      </w:r>
                      <w:r>
                        <w:rPr>
                          <w:sz w:val="16"/>
                        </w:rPr>
                        <w:fldChar w:fldCharType="end"/>
                      </w:r>
                      <w:r>
                        <w:rPr>
                          <w:sz w:val="16"/>
                        </w:rPr>
                        <w:t>.</w:t>
                      </w:r>
                    </w:p>
                    <w:p w14:paraId="5627B9B2" w14:textId="77777777" w:rsidR="00BD2F49" w:rsidRDefault="00BD2F4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2024/101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Amendment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Amendment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Amendment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Amendment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091644"/>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151250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125044_GUID" w:val="c3e1d390-b931-4fca-8348-23991ca45023"/>
    <w:docVar w:name="WAFER_20240516151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151151_GUID" w:val="f3fbb25c-d3d9-4d03-90d0-7f8857374670"/>
    <w:docVar w:name="WAFER_20240522152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52432_GUID" w:val="1f6fbb7c-a332-4c67-9952-ada95d0ca818"/>
    <w:docVar w:name="WAFER_2024060709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07091644_GUID" w:val="0f805a6b-813b-4c6c-9d20-d1e25437eb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0E3B63EE-0E0E-4967-840D-03AE00566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5361</Words>
  <Characters>28524</Characters>
  <Application>Microsoft Office Word</Application>
  <DocSecurity>0</DocSecurity>
  <Lines>983</Lines>
  <Paragraphs>470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Amendment Regulations 2024 - 00-00-00</dc:title>
  <dc:subject/>
  <dc:creator/>
  <cp:keywords/>
  <dc:description/>
  <cp:lastModifiedBy>Master Repository Process</cp:lastModifiedBy>
  <cp:revision>4</cp:revision>
  <cp:lastPrinted>2024-05-16T03:44:00Z</cp:lastPrinted>
  <dcterms:created xsi:type="dcterms:W3CDTF">2025-06-04T04:04:00Z</dcterms:created>
  <dcterms:modified xsi:type="dcterms:W3CDTF">2025-06-04T04:04:00Z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53768</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2024/101</vt:lpwstr>
  </property>
  <property fmtid="{D5CDD505-2E9C-101B-9397-08002B2CF9AE}" pid="8" name="PublishDate">
    <vt:lpwstr>12 Jun 2024</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ies>
</file>