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_Toc168908162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_Toc168908163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_Toc168908164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_Toc168908165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_Toc168908166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_Toc168908167 \h </w:instrText>
      </w:r>
      <w:r>
        <w:fldChar w:fldCharType="separate"/>
      </w:r>
      <w:r>
        <w:t>4</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_Toc168908168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_Toc168908169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_Toc168908170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_Toc168908171 \h </w:instrText>
      </w:r>
      <w:r>
        <w:fldChar w:fldCharType="separate"/>
      </w:r>
      <w:r>
        <w:t>5</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_Toc168908172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_Toc168908173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_Toc168908174 \h </w:instrText>
      </w:r>
      <w:r>
        <w:fldChar w:fldCharType="separate"/>
      </w:r>
      <w:r>
        <w:t>6</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_Toc168908175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_Toc168908176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_Toc168908177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_Toc168908178 \h </w:instrText>
      </w:r>
      <w:r>
        <w:fldChar w:fldCharType="separate"/>
      </w:r>
      <w:r>
        <w:t>8</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_Toc168908179 \h </w:instrText>
      </w:r>
      <w:r>
        <w:fldChar w:fldCharType="separate"/>
      </w:r>
      <w:r>
        <w:t>9</w:t>
      </w:r>
      <w:r>
        <w:fldChar w:fldCharType="end"/>
      </w:r>
    </w:p>
    <w:p>
      <w:pPr>
        <w:pStyle w:val="TOC2"/>
        <w:keepNext w:val="0"/>
        <w:tabs>
          <w:tab w:val="right" w:leader="dot" w:pos="7077"/>
        </w:tabs>
        <w:rPr>
          <w:rFonts w:asciiTheme="minorHAnsi" w:eastAsiaTheme="minorEastAsia" w:hAnsiTheme="minorHAnsi" w:cstheme="minorBidi"/>
          <w:b w:val="0"/>
          <w:sz w:val="22"/>
          <w:szCs w:val="22"/>
        </w:rPr>
      </w:pPr>
      <w:r>
        <w:t>First Schedule</w:t>
      </w:r>
    </w:p>
    <w:p>
      <w:pPr>
        <w:pStyle w:val="TOC2"/>
        <w:keepNext w:val="0"/>
        <w:tabs>
          <w:tab w:val="right" w:leader="dot" w:pos="7077"/>
        </w:tabs>
        <w:rPr>
          <w:rFonts w:asciiTheme="minorHAnsi" w:eastAsiaTheme="minorEastAsia" w:hAnsiTheme="minorHAnsi" w:cstheme="minorBidi"/>
          <w:b w:val="0"/>
          <w:sz w:val="22"/>
          <w:szCs w:val="22"/>
        </w:rPr>
      </w:pPr>
      <w:r>
        <w:t>Second Schedule</w:t>
      </w:r>
    </w:p>
    <w:p>
      <w:pPr>
        <w:pStyle w:val="TOC2"/>
        <w:keepNext w:val="0"/>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_Toc168908184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_Toc168908185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2" w:name="_Toc168908162"/>
      <w:r>
        <w:rPr>
          <w:rStyle w:val="CharSectno"/>
        </w:rPr>
        <w:t>1</w:t>
      </w:r>
      <w:r>
        <w:rPr>
          <w:snapToGrid w:val="0"/>
        </w:rPr>
        <w:t>.</w:t>
      </w:r>
      <w:r>
        <w:rPr>
          <w:snapToGrid w:val="0"/>
        </w:rPr>
        <w:tab/>
        <w:t>Citation</w:t>
      </w:r>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3" w:name="_Toc168908163"/>
      <w:r>
        <w:rPr>
          <w:rStyle w:val="CharSectno"/>
        </w:rPr>
        <w:t>2</w:t>
      </w:r>
      <w:r>
        <w:rPr>
          <w:snapToGrid w:val="0"/>
        </w:rPr>
        <w:t>.</w:t>
      </w:r>
      <w:r>
        <w:rPr>
          <w:snapToGrid w:val="0"/>
        </w:rPr>
        <w:tab/>
        <w:t>Forms</w:t>
      </w:r>
      <w:bookmarkEnd w:id="3"/>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4" w:name="_Toc168908164"/>
      <w:r>
        <w:rPr>
          <w:rStyle w:val="CharSectno"/>
        </w:rPr>
        <w:t>3</w:t>
      </w:r>
      <w:r>
        <w:rPr>
          <w:snapToGrid w:val="0"/>
        </w:rPr>
        <w:t>.</w:t>
      </w:r>
      <w:r>
        <w:rPr>
          <w:snapToGrid w:val="0"/>
        </w:rPr>
        <w:tab/>
        <w:t>Application by corporation</w:t>
      </w:r>
      <w:bookmarkEnd w:id="4"/>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5" w:name="_Toc168908165"/>
      <w:r>
        <w:rPr>
          <w:rStyle w:val="CharSectno"/>
        </w:rPr>
        <w:t>4</w:t>
      </w:r>
      <w:r>
        <w:t>.</w:t>
      </w:r>
      <w:r>
        <w:tab/>
        <w:t>Fees</w:t>
      </w:r>
      <w:bookmarkEnd w:id="5"/>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THeadingNAm"/>
        <w:ind w:left="-567"/>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517"/>
      </w:tblGrid>
      <w:tr>
        <w:trPr>
          <w:tblHeader/>
        </w:trPr>
        <w:tc>
          <w:tcPr>
            <w:tcW w:w="822" w:type="dxa"/>
            <w:noWrap/>
          </w:tcPr>
          <w:p>
            <w:pPr>
              <w:pStyle w:val="TableNAm"/>
              <w:keepNext/>
              <w:jc w:val="center"/>
              <w:rPr>
                <w:b/>
                <w:bCs/>
              </w:rPr>
            </w:pPr>
            <w:r>
              <w:rPr>
                <w:b/>
                <w:bCs/>
              </w:rPr>
              <w:t>Item</w:t>
            </w:r>
          </w:p>
        </w:tc>
        <w:tc>
          <w:tcPr>
            <w:tcW w:w="2211" w:type="dxa"/>
            <w:noWrap/>
          </w:tcPr>
          <w:p>
            <w:pPr>
              <w:pStyle w:val="TableNAm"/>
              <w:keepNext/>
              <w:jc w:val="center"/>
              <w:rPr>
                <w:b/>
                <w:bCs/>
              </w:rPr>
            </w:pPr>
            <w:r>
              <w:rPr>
                <w:b/>
                <w:bCs/>
              </w:rPr>
              <w:t>Column 1</w:t>
            </w:r>
          </w:p>
          <w:p>
            <w:pPr>
              <w:pStyle w:val="TableNAm"/>
              <w:keepNext/>
              <w:jc w:val="center"/>
              <w:rPr>
                <w:b/>
                <w:bCs/>
              </w:rPr>
            </w:pPr>
            <w:r>
              <w:rPr>
                <w:b/>
                <w:bCs/>
              </w:rPr>
              <w:t>Matter</w:t>
            </w:r>
          </w:p>
        </w:tc>
        <w:tc>
          <w:tcPr>
            <w:tcW w:w="1517" w:type="dxa"/>
            <w:noWrap/>
          </w:tcPr>
          <w:p>
            <w:pPr>
              <w:pStyle w:val="TableNAm"/>
              <w:keepNext/>
              <w:jc w:val="center"/>
              <w:rPr>
                <w:b/>
                <w:bCs/>
              </w:rPr>
            </w:pPr>
            <w:r>
              <w:rPr>
                <w:b/>
                <w:bCs/>
              </w:rPr>
              <w:t>Column 2</w:t>
            </w:r>
          </w:p>
          <w:p>
            <w:pPr>
              <w:pStyle w:val="TableNAm"/>
              <w:keepNext/>
              <w:jc w:val="center"/>
              <w:rPr>
                <w:b/>
                <w:bCs/>
              </w:rPr>
            </w:pPr>
            <w:r>
              <w:rPr>
                <w:b/>
                <w:bCs/>
              </w:rPr>
              <w:t>Fee ($)</w:t>
            </w:r>
          </w:p>
        </w:tc>
      </w:tr>
      <w:tr>
        <w:trPr>
          <w:cantSplit/>
        </w:trPr>
        <w:tc>
          <w:tcPr>
            <w:tcW w:w="822" w:type="dxa"/>
            <w:noWrap/>
          </w:tcPr>
          <w:p>
            <w:pPr>
              <w:pStyle w:val="TableNAm"/>
            </w:pPr>
            <w:r>
              <w:t>1.</w:t>
            </w:r>
          </w:p>
        </w:tc>
        <w:tc>
          <w:tcPr>
            <w:tcW w:w="2211" w:type="dxa"/>
            <w:noWrap/>
          </w:tcPr>
          <w:p>
            <w:pPr>
              <w:pStyle w:val="TableNAm"/>
            </w:pPr>
            <w:r>
              <w:t>Issue or renewal of licence</w:t>
            </w:r>
          </w:p>
        </w:tc>
        <w:tc>
          <w:tcPr>
            <w:tcW w:w="1517" w:type="dxa"/>
            <w:noWrap/>
            <w:vAlign w:val="bottom"/>
          </w:tcPr>
          <w:p>
            <w:pPr>
              <w:pStyle w:val="TableNAm"/>
              <w:jc w:val="right"/>
            </w:pPr>
            <w:r>
              <w:t>2 525.35</w:t>
            </w:r>
          </w:p>
        </w:tc>
      </w:tr>
      <w:tr>
        <w:tc>
          <w:tcPr>
            <w:tcW w:w="822" w:type="dxa"/>
            <w:noWrap/>
          </w:tcPr>
          <w:p>
            <w:pPr>
              <w:pStyle w:val="TableNAm"/>
            </w:pPr>
            <w:r>
              <w:t>2.</w:t>
            </w:r>
          </w:p>
        </w:tc>
        <w:tc>
          <w:tcPr>
            <w:tcW w:w="2211" w:type="dxa"/>
            <w:noWrap/>
          </w:tcPr>
          <w:p>
            <w:pPr>
              <w:pStyle w:val="TableNAm"/>
            </w:pPr>
            <w:r>
              <w:t>Transfer of licence</w:t>
            </w:r>
          </w:p>
        </w:tc>
        <w:tc>
          <w:tcPr>
            <w:tcW w:w="1517" w:type="dxa"/>
            <w:noWrap/>
            <w:vAlign w:val="bottom"/>
          </w:tcPr>
          <w:p>
            <w:pPr>
              <w:pStyle w:val="TableNAm"/>
              <w:jc w:val="right"/>
            </w:pPr>
            <w:r>
              <w:t>379.00</w:t>
            </w:r>
          </w:p>
        </w:tc>
      </w:tr>
      <w:tr>
        <w:tc>
          <w:tcPr>
            <w:tcW w:w="822" w:type="dxa"/>
            <w:noWrap/>
          </w:tcPr>
          <w:p>
            <w:pPr>
              <w:pStyle w:val="TableNAm"/>
            </w:pPr>
            <w:r>
              <w:t>3.</w:t>
            </w:r>
          </w:p>
        </w:tc>
        <w:tc>
          <w:tcPr>
            <w:tcW w:w="2211" w:type="dxa"/>
            <w:noWrap/>
          </w:tcPr>
          <w:p>
            <w:pPr>
              <w:pStyle w:val="TableNAm"/>
            </w:pPr>
            <w:r>
              <w:t>Issue of duplicate licence</w:t>
            </w:r>
          </w:p>
        </w:tc>
        <w:tc>
          <w:tcPr>
            <w:tcW w:w="1517" w:type="dxa"/>
            <w:noWrap/>
            <w:vAlign w:val="bottom"/>
          </w:tcPr>
          <w:p>
            <w:pPr>
              <w:pStyle w:val="TableNAm"/>
              <w:jc w:val="right"/>
            </w:pPr>
            <w:r>
              <w:t>33.00</w:t>
            </w:r>
          </w:p>
        </w:tc>
      </w:tr>
      <w:tr>
        <w:tc>
          <w:tcPr>
            <w:tcW w:w="822" w:type="dxa"/>
            <w:noWrap/>
          </w:tcPr>
          <w:p>
            <w:pPr>
              <w:pStyle w:val="TableNAm"/>
            </w:pPr>
            <w:r>
              <w:t>4.</w:t>
            </w:r>
          </w:p>
        </w:tc>
        <w:tc>
          <w:tcPr>
            <w:tcW w:w="2211" w:type="dxa"/>
            <w:noWrap/>
          </w:tcPr>
          <w:p>
            <w:pPr>
              <w:pStyle w:val="TableNAm"/>
            </w:pPr>
            <w:r>
              <w:t>Inspection of register kept under section 12 of the Act</w:t>
            </w:r>
          </w:p>
        </w:tc>
        <w:tc>
          <w:tcPr>
            <w:tcW w:w="1517"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14; SL 2023/35 r. 16.]</w:t>
      </w:r>
    </w:p>
    <w:p>
      <w:pPr>
        <w:pStyle w:val="Ednotesection"/>
      </w:pPr>
      <w:r>
        <w:t>[</w:t>
      </w:r>
      <w:r>
        <w:rPr>
          <w:b/>
        </w:rPr>
        <w:t>4A.</w:t>
      </w:r>
      <w:r>
        <w:tab/>
        <w:t>Deleted: SL 2021/86 r. 26.]</w:t>
      </w:r>
    </w:p>
    <w:p>
      <w:pPr>
        <w:pStyle w:val="Heading5"/>
        <w:rPr>
          <w:snapToGrid w:val="0"/>
        </w:rPr>
      </w:pPr>
      <w:bookmarkStart w:id="6" w:name="_Toc168908166"/>
      <w:r>
        <w:rPr>
          <w:rStyle w:val="CharSectno"/>
        </w:rPr>
        <w:t>5</w:t>
      </w:r>
      <w:r>
        <w:rPr>
          <w:snapToGrid w:val="0"/>
        </w:rPr>
        <w:t>.</w:t>
      </w:r>
      <w:r>
        <w:rPr>
          <w:snapToGrid w:val="0"/>
        </w:rPr>
        <w:tab/>
        <w:t>Transfer of licence</w:t>
      </w:r>
      <w:bookmarkEnd w:id="6"/>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lastRenderedPageBreak/>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keepNext/>
        <w:rPr>
          <w:snapToGrid w:val="0"/>
        </w:rPr>
      </w:pPr>
      <w:r>
        <w:rPr>
          <w:snapToGrid w:val="0"/>
        </w:rPr>
        <w:lastRenderedPageBreak/>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7" w:name="_Toc168908167"/>
      <w:r>
        <w:rPr>
          <w:rStyle w:val="CharSectno"/>
        </w:rPr>
        <w:t>6</w:t>
      </w:r>
      <w:r>
        <w:t>.</w:t>
      </w:r>
      <w:r>
        <w:tab/>
        <w:t>Prescribed period for issue of licence</w:t>
      </w:r>
      <w:bookmarkEnd w:id="7"/>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8" w:name="_Toc168908168"/>
      <w:r>
        <w:rPr>
          <w:rStyle w:val="CharSectno"/>
        </w:rPr>
        <w:t>6A</w:t>
      </w:r>
      <w:r>
        <w:t>.</w:t>
      </w:r>
      <w:r>
        <w:tab/>
        <w:t>Prescribed period for renewal of licence</w:t>
      </w:r>
      <w:bookmarkEnd w:id="8"/>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lastRenderedPageBreak/>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9" w:name="_Toc168908169"/>
      <w:r>
        <w:rPr>
          <w:rStyle w:val="CharSectno"/>
        </w:rPr>
        <w:t>7</w:t>
      </w:r>
      <w:r>
        <w:rPr>
          <w:snapToGrid w:val="0"/>
        </w:rPr>
        <w:t>.</w:t>
      </w:r>
      <w:r>
        <w:rPr>
          <w:snapToGrid w:val="0"/>
        </w:rPr>
        <w:tab/>
        <w:t>Duplicate licence</w:t>
      </w:r>
      <w:bookmarkEnd w:id="9"/>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0" w:name="_Toc168908170"/>
      <w:r>
        <w:rPr>
          <w:rStyle w:val="CharSectno"/>
        </w:rPr>
        <w:t>8</w:t>
      </w:r>
      <w:r>
        <w:rPr>
          <w:snapToGrid w:val="0"/>
        </w:rPr>
        <w:t>.</w:t>
      </w:r>
      <w:r>
        <w:rPr>
          <w:snapToGrid w:val="0"/>
        </w:rPr>
        <w:tab/>
        <w:t>Fidelity bond</w:t>
      </w:r>
      <w:bookmarkEnd w:id="10"/>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1" w:name="_Toc168908171"/>
      <w:r>
        <w:rPr>
          <w:rStyle w:val="CharSectno"/>
        </w:rPr>
        <w:t>9</w:t>
      </w:r>
      <w:r>
        <w:rPr>
          <w:snapToGrid w:val="0"/>
        </w:rPr>
        <w:t>.</w:t>
      </w:r>
      <w:r>
        <w:rPr>
          <w:snapToGrid w:val="0"/>
        </w:rPr>
        <w:tab/>
        <w:t>Surrender of licence</w:t>
      </w:r>
      <w:bookmarkEnd w:id="11"/>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12" w:name="_Toc168908172"/>
      <w:r>
        <w:rPr>
          <w:rStyle w:val="CharSectno"/>
        </w:rPr>
        <w:t>9A</w:t>
      </w:r>
      <w:r>
        <w:t>.</w:t>
      </w:r>
      <w:r>
        <w:tab/>
        <w:t>Refund of prescribed fee if licence surrendered</w:t>
      </w:r>
      <w:bookmarkEnd w:id="12"/>
      <w:r>
        <w:t xml:space="preserve"> </w:t>
      </w:r>
    </w:p>
    <w:p>
      <w:pPr>
        <w:pStyle w:val="Subsection"/>
      </w:pPr>
      <w:r>
        <w:tab/>
        <w:t>(1)</w:t>
      </w:r>
      <w:r>
        <w:tab/>
        <w:t xml:space="preserve">In this regulation — </w:t>
      </w:r>
    </w:p>
    <w:p>
      <w:pPr>
        <w:pStyle w:val="Defstart"/>
      </w:pPr>
      <w:r>
        <w:lastRenderedPageBreak/>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13" w:name="_Toc168908173"/>
      <w:r>
        <w:rPr>
          <w:rStyle w:val="CharSectno"/>
        </w:rPr>
        <w:t>10</w:t>
      </w:r>
      <w:r>
        <w:rPr>
          <w:snapToGrid w:val="0"/>
        </w:rPr>
        <w:t>.</w:t>
      </w:r>
      <w:r>
        <w:rPr>
          <w:snapToGrid w:val="0"/>
        </w:rPr>
        <w:tab/>
        <w:t>Non</w:t>
      </w:r>
      <w:r>
        <w:rPr>
          <w:snapToGrid w:val="0"/>
        </w:rPr>
        <w:noBreakHyphen/>
        <w:t>disclosure by auditor and person appointed by Minister</w:t>
      </w:r>
      <w:bookmarkEnd w:id="13"/>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4" w:name="_Toc168908174"/>
      <w:r>
        <w:rPr>
          <w:rStyle w:val="CharSectno"/>
        </w:rPr>
        <w:t>11</w:t>
      </w:r>
      <w:r>
        <w:rPr>
          <w:snapToGrid w:val="0"/>
        </w:rPr>
        <w:t>.</w:t>
      </w:r>
      <w:r>
        <w:rPr>
          <w:snapToGrid w:val="0"/>
        </w:rPr>
        <w:tab/>
        <w:t>Offence</w:t>
      </w:r>
      <w:bookmarkEnd w:id="14"/>
    </w:p>
    <w:p>
      <w:pPr>
        <w:pStyle w:val="Subsection"/>
        <w:rPr>
          <w:snapToGrid w:val="0"/>
        </w:rPr>
      </w:pPr>
      <w:r>
        <w:rPr>
          <w:snapToGrid w:val="0"/>
        </w:rPr>
        <w:tab/>
      </w:r>
      <w:r>
        <w:rPr>
          <w:snapToGrid w:val="0"/>
        </w:rPr>
        <w:tab/>
        <w:t xml:space="preserve">A licensee shall not use directly or indirectly in the conduct or carrying on of his business as a debt collector, any vehicle of </w:t>
      </w:r>
      <w:r>
        <w:rPr>
          <w:snapToGrid w:val="0"/>
        </w:rPr>
        <w:lastRenderedPageBreak/>
        <w:t>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15" w:name="_Toc168908175"/>
      <w:r>
        <w:rPr>
          <w:rStyle w:val="CharSectno"/>
        </w:rPr>
        <w:t>12</w:t>
      </w:r>
      <w:r>
        <w:t>.</w:t>
      </w:r>
      <w:r>
        <w:tab/>
        <w:t>Notification of changes in information relating to licensee</w:t>
      </w:r>
      <w:bookmarkEnd w:id="15"/>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16" w:name="_Toc168908176"/>
      <w:r>
        <w:rPr>
          <w:rStyle w:val="CharSectno"/>
        </w:rPr>
        <w:t>13</w:t>
      </w:r>
      <w:r>
        <w:rPr>
          <w:snapToGrid w:val="0"/>
        </w:rPr>
        <w:t>.</w:t>
      </w:r>
      <w:r>
        <w:rPr>
          <w:snapToGrid w:val="0"/>
        </w:rPr>
        <w:tab/>
        <w:t>Charges by licensee</w:t>
      </w:r>
      <w:bookmarkEnd w:id="16"/>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7" w:name="_Toc168908177"/>
      <w:r>
        <w:rPr>
          <w:rStyle w:val="CharSectno"/>
        </w:rPr>
        <w:lastRenderedPageBreak/>
        <w:t>14</w:t>
      </w:r>
      <w:r>
        <w:rPr>
          <w:snapToGrid w:val="0"/>
        </w:rPr>
        <w:t>.</w:t>
      </w:r>
      <w:r>
        <w:rPr>
          <w:snapToGrid w:val="0"/>
        </w:rPr>
        <w:tab/>
        <w:t>Exemptions</w:t>
      </w:r>
      <w:bookmarkEnd w:id="17"/>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18" w:name="_Toc168908178"/>
      <w:r>
        <w:rPr>
          <w:rStyle w:val="CharSectno"/>
        </w:rPr>
        <w:t>15</w:t>
      </w:r>
      <w:r>
        <w:rPr>
          <w:snapToGrid w:val="0"/>
        </w:rPr>
        <w:t>.</w:t>
      </w:r>
      <w:r>
        <w:rPr>
          <w:snapToGrid w:val="0"/>
        </w:rPr>
        <w:tab/>
        <w:t>Penalties</w:t>
      </w:r>
      <w:bookmarkEnd w:id="18"/>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9" w:name="_Toc168908179"/>
      <w:r>
        <w:rPr>
          <w:rStyle w:val="CharSectno"/>
        </w:rPr>
        <w:lastRenderedPageBreak/>
        <w:t>16</w:t>
      </w:r>
      <w:r>
        <w:t>.</w:t>
      </w:r>
      <w:r>
        <w:tab/>
        <w:t>Infringement notices</w:t>
      </w:r>
      <w:bookmarkEnd w:id="19"/>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20" w:name="_Toc168582693"/>
      <w:bookmarkStart w:id="21" w:name="_Toc168582803"/>
      <w:bookmarkStart w:id="22" w:name="_Toc168908180"/>
      <w:r>
        <w:rPr>
          <w:rStyle w:val="CharSchNo"/>
        </w:rPr>
        <w:lastRenderedPageBreak/>
        <w:t>First Schedule</w:t>
      </w:r>
      <w:bookmarkEnd w:id="20"/>
      <w:bookmarkEnd w:id="21"/>
      <w:bookmarkEnd w:id="22"/>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lastRenderedPageBreak/>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w:t>
            </w:r>
            <w:r>
              <w:rPr>
                <w:sz w:val="20"/>
              </w:rPr>
              <w:lastRenderedPageBreak/>
              <w:t>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pPr>
      <w:bookmarkStart w:id="24" w:name="_Toc168582694"/>
      <w:bookmarkStart w:id="25" w:name="_Toc168582804"/>
      <w:bookmarkStart w:id="26" w:name="_Toc168908181"/>
      <w:r>
        <w:rPr>
          <w:rStyle w:val="CharSchNo"/>
        </w:rPr>
        <w:lastRenderedPageBreak/>
        <w:t>Second Schedule</w:t>
      </w:r>
      <w:bookmarkEnd w:id="24"/>
      <w:bookmarkEnd w:id="25"/>
      <w:bookmarkEnd w:id="26"/>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xml:space="preserve">,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w:t>
      </w:r>
      <w:r>
        <w:rPr>
          <w:snapToGrid w:val="0"/>
        </w:rPr>
        <w:lastRenderedPageBreak/>
        <w:t>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27" w:name="_Toc168582695"/>
      <w:bookmarkStart w:id="28" w:name="_Toc168582805"/>
      <w:bookmarkStart w:id="29" w:name="_Toc168908182"/>
      <w:r>
        <w:rPr>
          <w:rStyle w:val="CharSchNo"/>
        </w:rPr>
        <w:lastRenderedPageBreak/>
        <w:t>Third Schedule</w:t>
      </w:r>
      <w:r>
        <w:t> — </w:t>
      </w:r>
      <w:r>
        <w:rPr>
          <w:rStyle w:val="CharSchText"/>
        </w:rPr>
        <w:t>Prescribed offences and modified penalties</w:t>
      </w:r>
      <w:bookmarkEnd w:id="27"/>
      <w:bookmarkEnd w:id="28"/>
      <w:bookmarkEnd w:id="29"/>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30" w:name="_Toc168582696"/>
      <w:bookmarkStart w:id="31" w:name="_Toc168582806"/>
      <w:bookmarkStart w:id="32" w:name="_Toc168908183"/>
      <w:r>
        <w:lastRenderedPageBreak/>
        <w:t>Notes</w:t>
      </w:r>
      <w:bookmarkEnd w:id="30"/>
      <w:bookmarkEnd w:id="31"/>
      <w:bookmarkEnd w:id="32"/>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 w:name="_Toc168908184"/>
      <w:r>
        <w:t>Compilation table</w:t>
      </w:r>
      <w:bookmarkEnd w:id="33"/>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lastRenderedPageBreak/>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lastRenderedPageBreak/>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lastRenderedPageBreak/>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2022</w:t>
            </w:r>
            <w:r>
              <w:t xml:space="preserve"> Pt. 7</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gridAfter w:val="1"/>
          <w:wAfter w:w="31" w:type="dxa"/>
        </w:trPr>
        <w:tc>
          <w:tcPr>
            <w:tcW w:w="3119" w:type="dxa"/>
            <w:tcBorders>
              <w:top w:val="nil"/>
              <w:bottom w:val="single" w:sz="4" w:space="0" w:color="auto"/>
            </w:tcBorders>
          </w:tcPr>
          <w:p>
            <w:pPr>
              <w:pStyle w:val="nTable"/>
              <w:spacing w:after="40"/>
              <w:rPr>
                <w:i/>
              </w:rPr>
            </w:pPr>
            <w:r>
              <w:rPr>
                <w:i/>
              </w:rPr>
              <w:t>Commerce Regulations Amendment (Fees and Charges) Regulations 2023</w:t>
            </w:r>
            <w:r>
              <w:t xml:space="preserve"> Pt. 7</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spacing w:after="40"/>
            </w:pPr>
            <w:r>
              <w:t>1 Jul 2023 (see r. 2(b))</w:t>
            </w:r>
          </w:p>
        </w:tc>
      </w:tr>
    </w:tbl>
    <w:p>
      <w:pPr>
        <w:pStyle w:val="nHeading3"/>
      </w:pPr>
      <w:bookmarkStart w:id="34" w:name="_Toc168908185"/>
      <w:r>
        <w:t>Uncommenced provisions table</w:t>
      </w:r>
      <w:bookmarkEnd w:id="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Commerce Regulations Amendment (Fees and Charges) Regulations 2024 </w:t>
            </w:r>
            <w:r>
              <w:rPr>
                <w:iCs/>
              </w:rPr>
              <w:t>Pt. 6</w:t>
            </w:r>
          </w:p>
        </w:tc>
        <w:tc>
          <w:tcPr>
            <w:tcW w:w="1276" w:type="dxa"/>
          </w:tcPr>
          <w:p>
            <w:pPr>
              <w:pStyle w:val="nTable"/>
              <w:spacing w:after="40"/>
            </w:pPr>
            <w:r>
              <w:t>SL 2024/96 12 Jun 2024</w:t>
            </w:r>
          </w:p>
        </w:tc>
        <w:tc>
          <w:tcPr>
            <w:tcW w:w="2693" w:type="dxa"/>
          </w:tcPr>
          <w:p>
            <w:pPr>
              <w:pStyle w:val="nTable"/>
              <w:spacing w:after="40"/>
            </w:pPr>
            <w:r>
              <w:t>1 Jul 2024 (see r. 2(c))</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6" w:name="_Toc168582698"/>
      <w:bookmarkStart w:id="37" w:name="_Toc168582809"/>
      <w:bookmarkStart w:id="38" w:name="_Toc168908186"/>
      <w:r>
        <w:rPr>
          <w:sz w:val="28"/>
        </w:rPr>
        <w:lastRenderedPageBreak/>
        <w:t>Defined terms</w:t>
      </w:r>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9A(1)</w:t>
      </w:r>
    </w:p>
    <w:p>
      <w:pPr>
        <w:pStyle w:val="DefinedTerms"/>
      </w:pPr>
      <w:r>
        <w:t>transition period</w:t>
      </w:r>
      <w:r>
        <w:tab/>
        <w:t>6A(1)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8E216F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8B6DDD1" w14:textId="6EF2388B" w:rsidR="00A31C98" w:rsidRDefault="003D09E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E2B9C">
                        <w:rPr>
                          <w:sz w:val="16"/>
                        </w:rPr>
                        <w:t>2024</w:t>
                      </w:r>
                      <w:r>
                        <w:rPr>
                          <w:sz w:val="16"/>
                        </w:rPr>
                        <w:fldChar w:fldCharType="end"/>
                      </w:r>
                      <w:r>
                        <w:rPr>
                          <w:sz w:val="16"/>
                        </w:rPr>
                        <w:t>.</w:t>
                      </w:r>
                    </w:p>
                    <w:p w14:paraId="5A6873A4" w14:textId="77777777" w:rsidR="00A31C98" w:rsidRDefault="003D09E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2936D0" w14:textId="4C33068E" w:rsidR="00A31C98" w:rsidRDefault="003D09E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E2B9C">
                        <w:rPr>
                          <w:sz w:val="16"/>
                        </w:rPr>
                        <w:t>2024</w:t>
                      </w:r>
                      <w:r>
                        <w:rPr>
                          <w:sz w:val="16"/>
                        </w:rPr>
                        <w:fldChar w:fldCharType="end"/>
                      </w:r>
                      <w:r>
                        <w:rPr>
                          <w:sz w:val="16"/>
                        </w:rPr>
                        <w:t>.</w:t>
                      </w:r>
                    </w:p>
                    <w:p w14:paraId="6C28BA67" w14:textId="77777777" w:rsidR="00A31C98" w:rsidRDefault="003D09E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9" w:name="DefinedTerms"/>
    <w:bookmarkEnd w:id="3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4124"/>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 w:name="WAFER_20230502122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45_GUID" w:val="758cee36-e4fb-43fd-8f8c-a42a2e502f23"/>
    <w:docVar w:name="WAFER_2023062611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53_GUID" w:val="95ff14c4-f2d1-4f96-9401-199fbdbd8834"/>
    <w:docVar w:name="WAFER_2023122809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4143_GUID" w:val="05b1eb69-9157-4228-8870-b635448ce2e8"/>
    <w:docVar w:name="WAFER_2024060615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24_GUID" w:val="47da8955-5994-491b-85bb-5d1bcc21b6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4943</Words>
  <Characters>24176</Characters>
  <Application>Microsoft Office Word</Application>
  <DocSecurity>0</DocSecurity>
  <Lines>895</Lines>
  <Paragraphs>519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1964 - 05-t0-00</dc:title>
  <dc:subject/>
  <dc:creator/>
  <cp:keywords/>
  <dc:description/>
  <cp:lastModifiedBy>Master Repository Process</cp:lastModifiedBy>
  <cp:revision>4</cp:revision>
  <cp:lastPrinted>2019-06-24T06:19:00Z</cp:lastPrinted>
  <dcterms:created xsi:type="dcterms:W3CDTF">2025-06-18T01:56:00Z</dcterms:created>
  <dcterms:modified xsi:type="dcterms:W3CDTF">2025-06-18T01:56:00Z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12 Jun 2024</vt:lpwstr>
  </property>
  <property fmtid="{D5CDD505-2E9C-101B-9397-08002B2CF9AE}" pid="8" name="Suffix">
    <vt:lpwstr>05-t0-00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