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rPr>
          <w:vertAlign w:val="superscript"/>
        </w:rPr>
      </w:pPr>
      <w:r>
        <w:fldChar w:fldCharType="begin"/>
      </w:r>
      <w:r>
        <w:instrText xml:space="preserve"> STYLEREF "PrincipalAct_Reg"</w:instrText>
      </w:r>
      <w:r>
        <w:fldChar w:fldCharType="separate"/>
      </w:r>
      <w:r>
        <w:rPr>
          <w:noProof/>
        </w:rPr>
        <w:t>Private Hospitals and Health Services Act 1927</w:t>
      </w:r>
      <w:r>
        <w:fldChar w:fldCharType="end"/>
      </w:r>
      <w:r>
        <w:rPr>
          <w:vertAlign w:val="superscript"/>
        </w:rPr>
        <w:t> 1</w:t>
      </w:r>
    </w:p>
    <w:p>
      <w:pPr>
        <w:pStyle w:val="NameofActRegPage1"/>
        <w:spacing w:before="1800" w:after="42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_Toc168913432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_Toc168913433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_Toc168913434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_Toc168913435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_Toc168913436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_Toc168913437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_Toc168913438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_Toc168913439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_Toc168913440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_Toc168913441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_Toc168913442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_Toc168913445 \h </w:instrText>
      </w:r>
      <w:r>
        <w:fldChar w:fldCharType="separate"/>
      </w:r>
      <w:r>
        <w:t>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_Toc168913446 \h </w:instrText>
      </w:r>
      <w:r>
        <w:fldChar w:fldCharType="separate"/>
      </w:r>
      <w:r>
        <w:t>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_Toc168913447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2" w:name="_Toc168913432"/>
      <w:r>
        <w:rPr>
          <w:rStyle w:val="CharSectno"/>
        </w:rPr>
        <w:t>1</w:t>
      </w:r>
      <w:r>
        <w:t>.</w:t>
      </w:r>
      <w:r>
        <w:tab/>
        <w:t>Citation</w:t>
      </w:r>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168913433"/>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4" w:name="_Toc168913434"/>
      <w:r>
        <w:rPr>
          <w:rStyle w:val="CharSectno"/>
        </w:rPr>
        <w:t>3</w:t>
      </w:r>
      <w:r>
        <w:rPr>
          <w:snapToGrid w:val="0"/>
        </w:rPr>
        <w:t>.</w:t>
      </w:r>
      <w:r>
        <w:rPr>
          <w:snapToGrid w:val="0"/>
        </w:rPr>
        <w:tab/>
        <w:t>Term used: license</w:t>
      </w:r>
      <w:bookmarkEnd w:id="4"/>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5" w:name="_Toc168913435"/>
      <w:r>
        <w:rPr>
          <w:rStyle w:val="CharSectno"/>
        </w:rPr>
        <w:t>4</w:t>
      </w:r>
      <w:r>
        <w:rPr>
          <w:snapToGrid w:val="0"/>
        </w:rPr>
        <w:t>.</w:t>
      </w:r>
      <w:r>
        <w:rPr>
          <w:snapToGrid w:val="0"/>
        </w:rPr>
        <w:tab/>
        <w:t>Application for grant or renewal of licence</w:t>
      </w:r>
      <w:bookmarkEnd w:id="5"/>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6" w:name="_Toc168913436"/>
      <w:r>
        <w:rPr>
          <w:rStyle w:val="CharSectno"/>
        </w:rPr>
        <w:t>4A</w:t>
      </w:r>
      <w:r>
        <w:rPr>
          <w:snapToGrid w:val="0"/>
        </w:rPr>
        <w:t>.</w:t>
      </w:r>
      <w:r>
        <w:rPr>
          <w:snapToGrid w:val="0"/>
        </w:rPr>
        <w:tab/>
        <w:t xml:space="preserve">Endorsement of licence to allow admission etc. under </w:t>
      </w:r>
      <w:r>
        <w:rPr>
          <w:i/>
          <w:snapToGrid w:val="0"/>
        </w:rPr>
        <w:t>Mental Health Act 1996</w:t>
      </w:r>
      <w:bookmarkEnd w:id="6"/>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7" w:name="_Toc168913437"/>
      <w:r>
        <w:rPr>
          <w:rStyle w:val="CharSectno"/>
        </w:rPr>
        <w:t>5</w:t>
      </w:r>
      <w:r>
        <w:rPr>
          <w:snapToGrid w:val="0"/>
        </w:rPr>
        <w:t>.</w:t>
      </w:r>
      <w:r>
        <w:rPr>
          <w:snapToGrid w:val="0"/>
        </w:rPr>
        <w:tab/>
        <w:t>Fee for application for approval of premises</w:t>
      </w:r>
      <w:bookmarkEnd w:id="7"/>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lastRenderedPageBreak/>
        <w:tab/>
        <w:t xml:space="preserve">[Regulation 5 amended: Gazette 15 Dec 2006 p. 5626; 30 Oct 2009 p. 4307.] </w:t>
      </w:r>
    </w:p>
    <w:p>
      <w:pPr>
        <w:pStyle w:val="Heading5"/>
        <w:rPr>
          <w:snapToGrid w:val="0"/>
        </w:rPr>
      </w:pPr>
      <w:bookmarkStart w:id="8" w:name="_Toc168913438"/>
      <w:r>
        <w:rPr>
          <w:rStyle w:val="CharSectno"/>
        </w:rPr>
        <w:t>6</w:t>
      </w:r>
      <w:r>
        <w:rPr>
          <w:snapToGrid w:val="0"/>
        </w:rPr>
        <w:t>.</w:t>
      </w:r>
      <w:r>
        <w:rPr>
          <w:snapToGrid w:val="0"/>
        </w:rPr>
        <w:tab/>
        <w:t>General duties of licence holder</w:t>
      </w:r>
      <w:bookmarkEnd w:id="8"/>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lastRenderedPageBreak/>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9" w:name="_Toc168913439"/>
      <w:r>
        <w:rPr>
          <w:rStyle w:val="CharSectno"/>
        </w:rPr>
        <w:t>7</w:t>
      </w:r>
      <w:r>
        <w:rPr>
          <w:snapToGrid w:val="0"/>
        </w:rPr>
        <w:t>.</w:t>
      </w:r>
      <w:r>
        <w:rPr>
          <w:snapToGrid w:val="0"/>
        </w:rPr>
        <w:tab/>
        <w:t>Qualified staff to be provided</w:t>
      </w:r>
      <w:bookmarkEnd w:id="9"/>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 xml:space="preserve">If a nursing assistant has been continuously employed at a general private hospital for a period of not less than 5 years ending immediately before the coming into operation of these </w:t>
      </w:r>
      <w:r>
        <w:rPr>
          <w:snapToGrid w:val="0"/>
        </w:rPr>
        <w:lastRenderedPageBreak/>
        <w:t>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0" w:name="_Toc168913440"/>
      <w:r>
        <w:rPr>
          <w:rStyle w:val="CharSectno"/>
        </w:rPr>
        <w:t>8</w:t>
      </w:r>
      <w:r>
        <w:rPr>
          <w:snapToGrid w:val="0"/>
        </w:rPr>
        <w:t>.</w:t>
      </w:r>
      <w:r>
        <w:rPr>
          <w:snapToGrid w:val="0"/>
        </w:rPr>
        <w:tab/>
        <w:t>Staff accommodation</w:t>
      </w:r>
      <w:bookmarkEnd w:id="10"/>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1" w:name="_Toc168913441"/>
      <w:r>
        <w:rPr>
          <w:rStyle w:val="CharSectno"/>
        </w:rPr>
        <w:t>9</w:t>
      </w:r>
      <w:r>
        <w:rPr>
          <w:snapToGrid w:val="0"/>
        </w:rPr>
        <w:t>.</w:t>
      </w:r>
      <w:r>
        <w:rPr>
          <w:snapToGrid w:val="0"/>
        </w:rPr>
        <w:tab/>
        <w:t>Information to be recorded</w:t>
      </w:r>
      <w:bookmarkEnd w:id="11"/>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w:t>
      </w:r>
      <w:r>
        <w:rPr>
          <w:snapToGrid w:val="0"/>
        </w:rPr>
        <w:lastRenderedPageBreak/>
        <w:t xml:space="preserve">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12" w:name="_Toc168913442"/>
      <w:r>
        <w:rPr>
          <w:rStyle w:val="CharSectno"/>
        </w:rPr>
        <w:t>10</w:t>
      </w:r>
      <w:r>
        <w:rPr>
          <w:snapToGrid w:val="0"/>
        </w:rPr>
        <w:t>.</w:t>
      </w:r>
      <w:r>
        <w:rPr>
          <w:snapToGrid w:val="0"/>
        </w:rPr>
        <w:tab/>
        <w:t>Offences and penalties</w:t>
      </w:r>
      <w:bookmarkEnd w:id="1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4" w:name="_Toc168661104"/>
      <w:bookmarkStart w:id="15" w:name="_Toc168661379"/>
      <w:bookmarkStart w:id="16" w:name="_Toc168913443"/>
      <w:r>
        <w:rPr>
          <w:rStyle w:val="CharSchNo"/>
        </w:rPr>
        <w:lastRenderedPageBreak/>
        <w:t>Schedule 1</w:t>
      </w:r>
      <w:r>
        <w:t> — </w:t>
      </w:r>
      <w:r>
        <w:rPr>
          <w:rStyle w:val="CharSchText"/>
        </w:rPr>
        <w:t>Fees</w:t>
      </w:r>
      <w:bookmarkEnd w:id="14"/>
      <w:bookmarkEnd w:id="15"/>
      <w:bookmarkEnd w:id="16"/>
    </w:p>
    <w:p>
      <w:pPr>
        <w:pStyle w:val="yShoulderClause"/>
      </w:pPr>
      <w:r>
        <w:t>[r. 4 and 5]</w:t>
      </w:r>
    </w:p>
    <w:p>
      <w:pPr>
        <w:pStyle w:val="yFootnoteheading"/>
        <w:spacing w:after="60"/>
      </w:pPr>
      <w:r>
        <w:tab/>
        <w:t>[Heading inserted: SL 2023/96 r. 17.]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t>4 </w:t>
            </w:r>
            <w:r>
              <w:rPr>
                <w:szCs w:val="22"/>
              </w:rPr>
              <w:t>000</w:t>
            </w:r>
          </w:p>
          <w:p>
            <w:pPr>
              <w:pStyle w:val="yTableNAm"/>
              <w:tabs>
                <w:tab w:val="clear" w:pos="567"/>
              </w:tabs>
              <w:ind w:left="-505" w:right="147"/>
              <w:jc w:val="right"/>
              <w:rPr>
                <w:szCs w:val="22"/>
              </w:rPr>
            </w:pPr>
            <w:r>
              <w:t>5 </w:t>
            </w:r>
            <w:r>
              <w:rPr>
                <w:szCs w:val="22"/>
              </w:rPr>
              <w:t>000</w:t>
            </w:r>
          </w:p>
          <w:p>
            <w:pPr>
              <w:pStyle w:val="yTableNAm"/>
              <w:tabs>
                <w:tab w:val="clear" w:pos="567"/>
              </w:tabs>
              <w:ind w:left="-505" w:right="147"/>
              <w:jc w:val="right"/>
              <w:rPr>
                <w:szCs w:val="22"/>
              </w:rPr>
            </w:pPr>
            <w:r>
              <w:t>6 </w:t>
            </w:r>
            <w:r>
              <w:rPr>
                <w:szCs w:val="22"/>
              </w:rPr>
              <w:t>000</w:t>
            </w:r>
          </w:p>
          <w:p>
            <w:pPr>
              <w:pStyle w:val="yTableNAm"/>
              <w:tabs>
                <w:tab w:val="clear" w:pos="567"/>
              </w:tabs>
              <w:ind w:left="-505" w:right="147"/>
              <w:jc w:val="right"/>
              <w:rPr>
                <w:szCs w:val="22"/>
              </w:rPr>
            </w:pPr>
            <w:r>
              <w:t>7 </w:t>
            </w:r>
            <w:r>
              <w:rPr>
                <w:szCs w:val="22"/>
              </w:rPr>
              <w:t>000</w:t>
            </w:r>
          </w:p>
          <w:p>
            <w:pPr>
              <w:pStyle w:val="yTableNAm"/>
              <w:tabs>
                <w:tab w:val="clear" w:pos="567"/>
              </w:tabs>
              <w:ind w:left="-505" w:right="147"/>
              <w:jc w:val="right"/>
              <w:rPr>
                <w:szCs w:val="22"/>
              </w:rPr>
            </w:pPr>
            <w:r>
              <w:t>8 </w:t>
            </w:r>
            <w:r>
              <w:rPr>
                <w:szCs w:val="22"/>
              </w:rPr>
              <w:t>000</w:t>
            </w:r>
          </w:p>
          <w:p>
            <w:pPr>
              <w:pStyle w:val="yTableNAm"/>
              <w:tabs>
                <w:tab w:val="clear" w:pos="567"/>
              </w:tabs>
              <w:ind w:left="-505" w:right="147"/>
              <w:jc w:val="right"/>
            </w:pPr>
            <w:r>
              <w:rPr>
                <w:szCs w:val="22"/>
              </w:rPr>
              <w:t>9 000</w:t>
            </w:r>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 2023/96 r. 17.]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4"/>
          <w:pgSz w:w="11907" w:h="16840" w:code="9"/>
          <w:pgMar w:top="2376" w:right="2405" w:bottom="3542" w:left="2405" w:header="706" w:footer="3544" w:gutter="0"/>
          <w:cols w:space="720"/>
          <w:noEndnote/>
          <w:titlePg/>
          <w:docGrid w:linePitch="326"/>
        </w:sectPr>
      </w:pPr>
    </w:p>
    <w:p>
      <w:pPr>
        <w:pStyle w:val="nHeading2"/>
      </w:pPr>
      <w:bookmarkStart w:id="17" w:name="_Toc168661105"/>
      <w:bookmarkStart w:id="18" w:name="_Toc168661380"/>
      <w:bookmarkStart w:id="19" w:name="_Toc168913444"/>
      <w:r>
        <w:lastRenderedPageBreak/>
        <w:t>Notes</w:t>
      </w:r>
      <w:bookmarkEnd w:id="17"/>
      <w:bookmarkEnd w:id="18"/>
      <w:bookmarkEnd w:id="19"/>
    </w:p>
    <w:p>
      <w:pPr>
        <w:pStyle w:val="nStatement"/>
      </w:pPr>
      <w:r>
        <w:t xml:space="preserve">This is a compilation of the </w:t>
      </w:r>
      <w:r>
        <w:rPr>
          <w:i/>
          <w:noProof/>
        </w:rPr>
        <w:t>Private Hospitals (Licensing and Conduct of Private Hospitals) Regulations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 w:name="_Toc168913445"/>
      <w:r>
        <w:t>Compilation table</w:t>
      </w:r>
      <w:bookmarkEnd w:id="2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lastRenderedPageBreak/>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c>
          <w:tcPr>
            <w:tcW w:w="3119" w:type="dxa"/>
            <w:tcBorders>
              <w:top w:val="nil"/>
              <w:bottom w:val="single" w:sz="4" w:space="0" w:color="auto"/>
            </w:tcBorders>
            <w:shd w:val="clear" w:color="auto" w:fill="auto"/>
          </w:tcPr>
          <w:p>
            <w:pPr>
              <w:pStyle w:val="nTable"/>
              <w:spacing w:after="40"/>
              <w:rPr>
                <w:i/>
              </w:rPr>
            </w:pPr>
            <w:r>
              <w:rPr>
                <w:i/>
              </w:rPr>
              <w:t>Health Regulations Amendment (Fees and Charges) Regulations 2023</w:t>
            </w:r>
            <w:r>
              <w:t xml:space="preserve"> Pt. 8</w:t>
            </w:r>
          </w:p>
        </w:tc>
        <w:tc>
          <w:tcPr>
            <w:tcW w:w="1276" w:type="dxa"/>
            <w:tcBorders>
              <w:top w:val="nil"/>
              <w:bottom w:val="single" w:sz="4" w:space="0" w:color="auto"/>
            </w:tcBorders>
            <w:shd w:val="clear" w:color="auto" w:fill="auto"/>
          </w:tcPr>
          <w:p>
            <w:pPr>
              <w:pStyle w:val="nTable"/>
              <w:spacing w:after="40"/>
            </w:pPr>
            <w:r>
              <w:t>SL 2023/96 30 Jun 2023</w:t>
            </w:r>
          </w:p>
        </w:tc>
        <w:tc>
          <w:tcPr>
            <w:tcW w:w="2693" w:type="dxa"/>
            <w:tcBorders>
              <w:top w:val="nil"/>
              <w:bottom w:val="single" w:sz="4" w:space="0" w:color="auto"/>
            </w:tcBorders>
            <w:shd w:val="clear" w:color="auto" w:fill="auto"/>
          </w:tcPr>
          <w:p>
            <w:pPr>
              <w:pStyle w:val="nTable"/>
              <w:spacing w:after="40"/>
              <w:rPr>
                <w:bCs/>
                <w:snapToGrid w:val="0"/>
              </w:rPr>
            </w:pPr>
            <w:r>
              <w:rPr>
                <w:bCs/>
                <w:snapToGrid w:val="0"/>
              </w:rPr>
              <w:t>1 Jul 2023 (see r. 2(b))</w:t>
            </w:r>
          </w:p>
        </w:tc>
      </w:tr>
    </w:tbl>
    <w:p>
      <w:pPr>
        <w:pStyle w:val="nHeading3"/>
      </w:pPr>
      <w:bookmarkStart w:id="21" w:name="_Toc168913446"/>
      <w:r>
        <w:t>Uncommenced provisions table</w:t>
      </w:r>
      <w:bookmarkEnd w:id="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Health Regulations Amendment (Fees and Charges) Regulations 2024 </w:t>
            </w:r>
            <w:r>
              <w:rPr>
                <w:iCs/>
              </w:rPr>
              <w:t>Pt. 8</w:t>
            </w:r>
          </w:p>
        </w:tc>
        <w:tc>
          <w:tcPr>
            <w:tcW w:w="1276" w:type="dxa"/>
          </w:tcPr>
          <w:p>
            <w:pPr>
              <w:pStyle w:val="nTable"/>
              <w:spacing w:after="40"/>
            </w:pPr>
            <w:r>
              <w:t>SL 2024/91 12 Jun 2024</w:t>
            </w:r>
          </w:p>
        </w:tc>
        <w:tc>
          <w:tcPr>
            <w:tcW w:w="2693" w:type="dxa"/>
          </w:tcPr>
          <w:p>
            <w:pPr>
              <w:pStyle w:val="nTable"/>
              <w:spacing w:after="40"/>
            </w:pPr>
            <w:r>
              <w:t>1 Jul 2024 (see r. 2(b))</w:t>
            </w:r>
          </w:p>
        </w:tc>
      </w:tr>
    </w:tbl>
    <w:p>
      <w:pPr>
        <w:pStyle w:val="nHeading3"/>
      </w:pPr>
      <w:bookmarkStart w:id="22" w:name="_Toc168913447"/>
      <w:r>
        <w:t>Other notes</w:t>
      </w:r>
      <w:bookmarkEnd w:id="22"/>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4" w:name="_Toc168661108"/>
      <w:bookmarkStart w:id="25" w:name="_Toc168661384"/>
      <w:bookmarkStart w:id="26" w:name="_Toc168913448"/>
      <w:r>
        <w:rPr>
          <w:sz w:val="28"/>
        </w:rPr>
        <w:lastRenderedPageBreak/>
        <w:t>Defined terms</w:t>
      </w:r>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AB4F1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B3A54F" w14:textId="3095BDDE" w:rsidR="00DD2564" w:rsidRDefault="002C65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9576B">
                        <w:rPr>
                          <w:sz w:val="16"/>
                        </w:rPr>
                        <w:t>2024</w:t>
                      </w:r>
                      <w:r>
                        <w:rPr>
                          <w:sz w:val="16"/>
                        </w:rPr>
                        <w:fldChar w:fldCharType="end"/>
                      </w:r>
                      <w:r>
                        <w:rPr>
                          <w:sz w:val="16"/>
                        </w:rPr>
                        <w:t>.</w:t>
                      </w:r>
                    </w:p>
                    <w:p w14:paraId="01D99CDC" w14:textId="77777777" w:rsidR="00DD2564" w:rsidRDefault="002C65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6354EE" w14:textId="180EFE59" w:rsidR="00DD2564" w:rsidRDefault="002C65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9576B">
                        <w:rPr>
                          <w:sz w:val="16"/>
                        </w:rPr>
                        <w:t>2024</w:t>
                      </w:r>
                      <w:r>
                        <w:rPr>
                          <w:sz w:val="16"/>
                        </w:rPr>
                        <w:fldChar w:fldCharType="end"/>
                      </w:r>
                      <w:r>
                        <w:rPr>
                          <w:sz w:val="16"/>
                        </w:rPr>
                        <w:t>.</w:t>
                      </w:r>
                    </w:p>
                    <w:p w14:paraId="41BDD9FF" w14:textId="77777777" w:rsidR="00DD2564" w:rsidRDefault="002C655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3" w:name="Schedule"/>
    <w:bookmarkEnd w:id="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 w:name="Coversheet"/>
    <w:bookmarkEnd w:id="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35341"/>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 w:name="WAFER_20240607135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5341_GUID" w:val="df91036b-0670-407c-bff6-b58e3239e1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2328</Words>
  <Characters>11180</Characters>
  <Application>Microsoft Office Word</Application>
  <DocSecurity>0</DocSecurity>
  <Lines>430</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1987 - 02-j0-00</dc:title>
  <dc:subject/>
  <dc:creator/>
  <cp:keywords/>
  <dc:description/>
  <cp:lastModifiedBy>Master Repository Process</cp:lastModifiedBy>
  <cp:revision>4</cp:revision>
  <cp:lastPrinted>2017-06-30T06:36:00Z</cp:lastPrinted>
  <dcterms:created xsi:type="dcterms:W3CDTF">2025-06-20T07:05:00Z</dcterms:created>
  <dcterms:modified xsi:type="dcterms:W3CDTF">2025-06-20T07:05:00Z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12 Jun 2024</vt:lpwstr>
  </property>
  <property fmtid="{D5CDD505-2E9C-101B-9397-08002B2CF9AE}" pid="8" name="Suffix">
    <vt:lpwstr>02-j0-00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