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_Toc168909434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_Toc168909435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_Toc168909436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_Toc168909437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_Toc168909438 \h </w:instrText>
      </w:r>
      <w:r>
        <w:fldChar w:fldCharType="separate"/>
      </w:r>
      <w:r>
        <w:t>4</w:t>
      </w:r>
      <w:r>
        <w:fldChar w:fldCharType="end"/>
      </w:r>
    </w:p>
    <w:p>
      <w:pPr>
        <w:pStyle w:val="TOC8"/>
        <w:rPr>
          <w:rFonts w:asciiTheme="minorHAnsi" w:eastAsiaTheme="minorEastAsia" w:hAnsiTheme="minorHAnsi" w:cstheme="minorBidi"/>
          <w:szCs w:val="22"/>
        </w:rPr>
      </w:pPr>
      <w:r>
        <w:t>4AA.</w:t>
      </w:r>
      <w:r>
        <w:tab/>
        <w:t>Educational requirements (Act s. 40B and 50C)</w:t>
      </w:r>
      <w:r>
        <w:tab/>
      </w:r>
      <w:r>
        <w:fldChar w:fldCharType="begin"/>
      </w:r>
      <w:r>
        <w:instrText xml:space="preserve"> PAGEREF _Toc168909439 \h </w:instrText>
      </w:r>
      <w:r>
        <w:fldChar w:fldCharType="separate"/>
      </w:r>
      <w:r>
        <w:t>5</w:t>
      </w:r>
      <w:r>
        <w:fldChar w:fldCharType="end"/>
      </w:r>
    </w:p>
    <w:p>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_Toc168909440 \h </w:instrText>
      </w:r>
      <w:r>
        <w:fldChar w:fldCharType="separate"/>
      </w:r>
      <w:r>
        <w:t>6</w:t>
      </w:r>
      <w:r>
        <w:fldChar w:fldCharType="end"/>
      </w:r>
    </w:p>
    <w:p>
      <w:pPr>
        <w:pStyle w:val="TOC8"/>
        <w:rPr>
          <w:rFonts w:asciiTheme="minorHAnsi" w:eastAsiaTheme="minorEastAsia" w:hAnsiTheme="minorHAnsi" w:cstheme="minorBidi"/>
          <w:szCs w:val="22"/>
        </w:rPr>
      </w:pPr>
      <w:r>
        <w:t>4AC.</w:t>
      </w:r>
      <w:r>
        <w:tab/>
        <w:t>Commissioner to approve continuing professional development activities</w:t>
      </w:r>
      <w:r>
        <w:tab/>
      </w:r>
      <w:r>
        <w:fldChar w:fldCharType="begin"/>
      </w:r>
      <w:r>
        <w:instrText xml:space="preserve"> PAGEREF _Toc168909441 \h </w:instrText>
      </w:r>
      <w:r>
        <w:fldChar w:fldCharType="separate"/>
      </w:r>
      <w:r>
        <w:t>7</w:t>
      </w:r>
      <w:r>
        <w:fldChar w:fldCharType="end"/>
      </w:r>
    </w:p>
    <w:p>
      <w:pPr>
        <w:pStyle w:val="TOC8"/>
        <w:rPr>
          <w:rFonts w:asciiTheme="minorHAnsi" w:eastAsiaTheme="minorEastAsia" w:hAnsiTheme="minorHAnsi" w:cstheme="minorBidi"/>
          <w:szCs w:val="22"/>
        </w:rPr>
      </w:pPr>
      <w:r>
        <w:t>4AD.</w:t>
      </w:r>
      <w:r>
        <w:tab/>
        <w:t>Commissioner to publish list of continuing professional development activities on website</w:t>
      </w:r>
      <w:r>
        <w:tab/>
      </w:r>
      <w:r>
        <w:fldChar w:fldCharType="begin"/>
      </w:r>
      <w:r>
        <w:instrText xml:space="preserve"> PAGEREF _Toc168909442 \h </w:instrText>
      </w:r>
      <w:r>
        <w:fldChar w:fldCharType="separate"/>
      </w:r>
      <w:r>
        <w:t>9</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_Toc168909443 \h </w:instrText>
      </w:r>
      <w:r>
        <w:fldChar w:fldCharType="separate"/>
      </w:r>
      <w:r>
        <w:t>9</w:t>
      </w:r>
      <w:r>
        <w:fldChar w:fldCharType="end"/>
      </w:r>
    </w:p>
    <w:p>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_Toc168909444 \h </w:instrText>
      </w:r>
      <w:r>
        <w:fldChar w:fldCharType="separate"/>
      </w:r>
      <w:r>
        <w:t>9</w:t>
      </w:r>
      <w:r>
        <w:fldChar w:fldCharType="end"/>
      </w:r>
    </w:p>
    <w:p>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_Toc168909445 \h </w:instrText>
      </w:r>
      <w:r>
        <w:fldChar w:fldCharType="separate"/>
      </w:r>
      <w:r>
        <w:t>14</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_Toc168909446 \h </w:instrText>
      </w:r>
      <w:r>
        <w:fldChar w:fldCharType="separate"/>
      </w:r>
      <w:r>
        <w:t>18</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_Toc168909447 \h </w:instrText>
      </w:r>
      <w:r>
        <w:fldChar w:fldCharType="separate"/>
      </w:r>
      <w:r>
        <w:t>18</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_Toc168909448 \h </w:instrText>
      </w:r>
      <w:r>
        <w:fldChar w:fldCharType="separate"/>
      </w:r>
      <w:r>
        <w:t>20</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_Toc168909449 \h </w:instrText>
      </w:r>
      <w:r>
        <w:fldChar w:fldCharType="separate"/>
      </w:r>
      <w:r>
        <w:t>20</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_Toc168909450 \h </w:instrText>
      </w:r>
      <w:r>
        <w:fldChar w:fldCharType="separate"/>
      </w:r>
      <w:r>
        <w:t>20</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_Toc168909451 \h </w:instrText>
      </w:r>
      <w:r>
        <w:fldChar w:fldCharType="separate"/>
      </w:r>
      <w:r>
        <w:t>21</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_Toc168909452 \h </w:instrText>
      </w:r>
      <w:r>
        <w:fldChar w:fldCharType="separate"/>
      </w:r>
      <w:r>
        <w:t>21</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_Toc168909453 \h </w:instrText>
      </w:r>
      <w:r>
        <w:fldChar w:fldCharType="separate"/>
      </w:r>
      <w:r>
        <w:t>22</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_Toc168909454 \h </w:instrText>
      </w:r>
      <w:r>
        <w:fldChar w:fldCharType="separate"/>
      </w:r>
      <w:r>
        <w:t>23</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Registers (Act s. 133(2))</w:t>
      </w:r>
      <w:r>
        <w:tab/>
      </w:r>
      <w:r>
        <w:fldChar w:fldCharType="begin"/>
      </w:r>
      <w:r>
        <w:instrText xml:space="preserve"> PAGEREF _Toc168909455 \h </w:instrText>
      </w:r>
      <w:r>
        <w:fldChar w:fldCharType="separate"/>
      </w:r>
      <w:r>
        <w:t>23</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_Toc168909456 \h </w:instrText>
      </w:r>
      <w:r>
        <w:fldChar w:fldCharType="separate"/>
      </w:r>
      <w:r>
        <w:t>25</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_Toc168909457 \h </w:instrText>
      </w:r>
      <w:r>
        <w:fldChar w:fldCharType="separate"/>
      </w:r>
      <w:r>
        <w:t>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_Toc168909458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_Toc168909459 \h </w:instrText>
      </w:r>
      <w:r>
        <w:fldChar w:fldCharType="separate"/>
      </w:r>
      <w:r>
        <w:t>26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_Toc168909460 \h </w:instrText>
      </w:r>
      <w:r>
        <w:fldChar w:fldCharType="separate"/>
      </w:r>
      <w:r>
        <w:t>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_Toc168909461 \h </w:instrText>
      </w:r>
      <w:r>
        <w:fldChar w:fldCharType="separate"/>
      </w:r>
      <w:r>
        <w:t>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_Toc168909462 \h </w:instrText>
      </w:r>
      <w:r>
        <w:fldChar w:fldCharType="separate"/>
      </w:r>
      <w:r>
        <w:t>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_Toc168909463 \h </w:instrText>
      </w:r>
      <w:r>
        <w:fldChar w:fldCharType="separate"/>
      </w:r>
      <w:r>
        <w:t>28</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_Toc168909464 \h </w:instrText>
      </w:r>
      <w:r>
        <w:fldChar w:fldCharType="separate"/>
      </w:r>
      <w:r>
        <w:t>28</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_Toc168909465 \h </w:instrText>
      </w:r>
      <w:r>
        <w:fldChar w:fldCharType="separate"/>
      </w:r>
      <w:r>
        <w:t>29</w:t>
      </w:r>
      <w:r>
        <w:fldChar w:fldCharType="end"/>
      </w:r>
    </w:p>
    <w:p>
      <w:pPr>
        <w:pStyle w:val="TOC8"/>
        <w:rPr>
          <w:rFonts w:asciiTheme="minorHAnsi" w:eastAsiaTheme="minorEastAsia" w:hAnsiTheme="minorHAnsi" w:cstheme="minorBidi"/>
          <w:szCs w:val="22"/>
        </w:rPr>
      </w:pPr>
      <w:r>
        <w:t>16.</w:t>
      </w:r>
      <w:r>
        <w:tab/>
        <w:t xml:space="preserve">Transitional regulation for </w:t>
      </w:r>
      <w:r>
        <w:rPr>
          <w:i/>
        </w:rPr>
        <w:t>Real Estate and Business Agents (General) Amendment Regulations (No. 2) 2020</w:t>
      </w:r>
      <w:r>
        <w:tab/>
      </w:r>
      <w:r>
        <w:fldChar w:fldCharType="begin"/>
      </w:r>
      <w:r>
        <w:instrText xml:space="preserve"> PAGEREF _Toc168909466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Continuing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_Toc168909472 \h </w:instrText>
      </w:r>
      <w:r>
        <w:fldChar w:fldCharType="separate"/>
      </w:r>
      <w:r>
        <w:t>39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_Toc168909473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_Toc168909474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2" w:name="_Toc168909434"/>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168909435"/>
      <w:r>
        <w:rPr>
          <w:rStyle w:val="CharSectno"/>
        </w:rPr>
        <w:t>2</w:t>
      </w:r>
      <w:r>
        <w:rPr>
          <w:snapToGrid w:val="0"/>
        </w:rPr>
        <w:t>.</w:t>
      </w:r>
      <w:r>
        <w:rPr>
          <w:snapToGrid w:val="0"/>
        </w:rPr>
        <w:tab/>
        <w:t>Terms used</w:t>
      </w:r>
      <w:bookmarkEnd w:id="3"/>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4" w:name="_Toc168909436"/>
      <w:r>
        <w:rPr>
          <w:rStyle w:val="CharSectno"/>
        </w:rPr>
        <w:t>3A</w:t>
      </w:r>
      <w:r>
        <w:t>.</w:t>
      </w:r>
      <w:r>
        <w:tab/>
        <w:t>Prescribed duty (Act s. 4(4)(d))</w:t>
      </w:r>
      <w:bookmarkEnd w:id="4"/>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5" w:name="_Toc168909437"/>
      <w:r>
        <w:rPr>
          <w:rStyle w:val="CharSectno"/>
        </w:rPr>
        <w:t>4</w:t>
      </w:r>
      <w:r>
        <w:t>.</w:t>
      </w:r>
      <w:r>
        <w:tab/>
        <w:t>Fees (Sch. 1)</w:t>
      </w:r>
      <w:bookmarkEnd w:id="5"/>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lastRenderedPageBreak/>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6" w:name="_Toc168909438"/>
      <w:r>
        <w:rPr>
          <w:rStyle w:val="CharSectno"/>
        </w:rPr>
        <w:t>4A</w:t>
      </w:r>
      <w:r>
        <w:rPr>
          <w:snapToGrid w:val="0"/>
        </w:rPr>
        <w:t>.</w:t>
      </w:r>
      <w:r>
        <w:rPr>
          <w:snapToGrid w:val="0"/>
        </w:rPr>
        <w:tab/>
        <w:t xml:space="preserve">Holding </w:t>
      </w:r>
      <w:r>
        <w:t>fee</w:t>
      </w:r>
      <w:bookmarkEnd w:id="6"/>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w:t>
      </w:r>
    </w:p>
    <w:p>
      <w:pPr>
        <w:pStyle w:val="Ednotesection"/>
      </w:pPr>
      <w:r>
        <w:t>[</w:t>
      </w:r>
      <w:r>
        <w:rPr>
          <w:b/>
        </w:rPr>
        <w:t>4AAA.</w:t>
      </w:r>
      <w:r>
        <w:tab/>
        <w:t>Deleted: SL 2021/86 r. 62.]</w:t>
      </w:r>
    </w:p>
    <w:p>
      <w:pPr>
        <w:pStyle w:val="Heading5"/>
      </w:pPr>
      <w:bookmarkStart w:id="7" w:name="_Toc168909439"/>
      <w:r>
        <w:rPr>
          <w:rStyle w:val="CharSectno"/>
        </w:rPr>
        <w:lastRenderedPageBreak/>
        <w:t>4AA</w:t>
      </w:r>
      <w:r>
        <w:t>.</w:t>
      </w:r>
      <w:r>
        <w:tab/>
        <w:t>Educational requirements (Act s. 40B and 50C)</w:t>
      </w:r>
      <w:bookmarkEnd w:id="7"/>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 xml:space="preserve">If a regulated person commences an educational activity in a calendar year before the Commissioner’s approval of the activity as an approved CPD activity takes effect under </w:t>
      </w:r>
      <w:r>
        <w:lastRenderedPageBreak/>
        <w:t>regulation 4AC, the regulated person is taken not to have completed the activity for the purposes of subregulation (1).</w:t>
      </w:r>
    </w:p>
    <w:p>
      <w:pPr>
        <w:pStyle w:val="Footnotesection"/>
      </w:pPr>
      <w:r>
        <w:tab/>
        <w:t>[Regulation 4AA inserted: SL 2020/257 r. 6.]</w:t>
      </w:r>
    </w:p>
    <w:p>
      <w:pPr>
        <w:pStyle w:val="Heading5"/>
      </w:pPr>
      <w:bookmarkStart w:id="8" w:name="_Toc168909440"/>
      <w:r>
        <w:rPr>
          <w:rStyle w:val="CharSectno"/>
        </w:rPr>
        <w:t>4AB</w:t>
      </w:r>
      <w:r>
        <w:t>.</w:t>
      </w:r>
      <w:r>
        <w:tab/>
        <w:t>Exemption from educational requirements</w:t>
      </w:r>
      <w:bookmarkEnd w:id="8"/>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lastRenderedPageBreak/>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9" w:name="_Toc168909441"/>
      <w:r>
        <w:rPr>
          <w:rStyle w:val="CharSectno"/>
        </w:rPr>
        <w:t>4AC</w:t>
      </w:r>
      <w:r>
        <w:t>.</w:t>
      </w:r>
      <w:r>
        <w:tab/>
        <w:t>Commissioner to approve continuing professional development activities</w:t>
      </w:r>
      <w:bookmarkEnd w:id="9"/>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lastRenderedPageBreak/>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0" w:name="_Toc168909442"/>
      <w:r>
        <w:rPr>
          <w:rStyle w:val="CharSectno"/>
        </w:rPr>
        <w:lastRenderedPageBreak/>
        <w:t>4AD</w:t>
      </w:r>
      <w:r>
        <w:t>.</w:t>
      </w:r>
      <w:r>
        <w:tab/>
        <w:t>Commissioner to publish list of continuing professional development activities on website</w:t>
      </w:r>
      <w:bookmarkEnd w:id="10"/>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11" w:name="_Toc168909443"/>
      <w:r>
        <w:rPr>
          <w:rStyle w:val="CharSectno"/>
        </w:rPr>
        <w:t>4B</w:t>
      </w:r>
      <w:r>
        <w:t>.</w:t>
      </w:r>
      <w:r>
        <w:tab/>
        <w:t>Prescribed periods (Act s. 48(1), (2) and 49(2))</w:t>
      </w:r>
      <w:bookmarkEnd w:id="1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2" w:name="_Toc168909444"/>
      <w:r>
        <w:rPr>
          <w:rStyle w:val="CharSectno"/>
        </w:rPr>
        <w:t>6</w:t>
      </w:r>
      <w:r>
        <w:t>.</w:t>
      </w:r>
      <w:r>
        <w:tab/>
        <w:t>Prescribed examinations for licence applicants (Act Sch. 1 cl. 1(a))</w:t>
      </w:r>
      <w:bookmarkEnd w:id="12"/>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lastRenderedPageBreak/>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lastRenderedPageBreak/>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w:t>
            </w:r>
            <w:r>
              <w:rPr>
                <w:sz w:val="22"/>
              </w:rPr>
              <w:lastRenderedPageBreak/>
              <w:t xml:space="preserve">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lastRenderedPageBreak/>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lastRenderedPageBreak/>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lastRenderedPageBreak/>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7.]</w:t>
      </w:r>
    </w:p>
    <w:p>
      <w:pPr>
        <w:pStyle w:val="Heading5"/>
      </w:pPr>
      <w:bookmarkStart w:id="13" w:name="_Toc168909445"/>
      <w:r>
        <w:rPr>
          <w:rStyle w:val="CharSectno"/>
        </w:rPr>
        <w:t>6A</w:t>
      </w:r>
      <w:r>
        <w:t>.</w:t>
      </w:r>
      <w:r>
        <w:tab/>
        <w:t>Prescribed qualifications for certificate applicants (Act s. 47(2))</w:t>
      </w:r>
      <w:bookmarkEnd w:id="13"/>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lastRenderedPageBreak/>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lastRenderedPageBreak/>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lastRenderedPageBreak/>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14" w:name="_Toc168909446"/>
      <w:r>
        <w:rPr>
          <w:rStyle w:val="CharSectno"/>
        </w:rPr>
        <w:lastRenderedPageBreak/>
        <w:t>6B</w:t>
      </w:r>
      <w:r>
        <w:t>.</w:t>
      </w:r>
      <w:r>
        <w:tab/>
        <w:t>Certificate of registration, grant of (Act s. 47)</w:t>
      </w:r>
      <w:bookmarkEnd w:id="14"/>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15" w:name="_Toc168909447"/>
      <w:r>
        <w:rPr>
          <w:rStyle w:val="CharSectno"/>
        </w:rPr>
        <w:t>6BA</w:t>
      </w:r>
      <w:r>
        <w:rPr>
          <w:snapToGrid w:val="0"/>
        </w:rPr>
        <w:t>.</w:t>
      </w:r>
      <w:r>
        <w:rPr>
          <w:snapToGrid w:val="0"/>
        </w:rPr>
        <w:tab/>
        <w:t>Appointment to act as agent, content of</w:t>
      </w:r>
      <w:bookmarkEnd w:id="15"/>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 xml:space="preserve">the commission, reward or other valuable consideration to be received by the agent for the </w:t>
      </w:r>
      <w:r>
        <w:rPr>
          <w:snapToGrid w:val="0"/>
        </w:rPr>
        <w:lastRenderedPageBreak/>
        <w:t>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6" w:name="_Toc168909448"/>
      <w:r>
        <w:rPr>
          <w:rStyle w:val="CharSectno"/>
        </w:rPr>
        <w:lastRenderedPageBreak/>
        <w:t>6BB</w:t>
      </w:r>
      <w:r>
        <w:t>.</w:t>
      </w:r>
      <w:r>
        <w:tab/>
        <w:t>Prescribed transaction</w:t>
      </w:r>
      <w:bookmarkEnd w:id="16"/>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7" w:name="_Toc168909449"/>
      <w:r>
        <w:rPr>
          <w:rStyle w:val="CharSectno"/>
        </w:rPr>
        <w:t>6C</w:t>
      </w:r>
      <w:r>
        <w:t>.</w:t>
      </w:r>
      <w:r>
        <w:tab/>
        <w:t>Authorised financial institution (Act s. 67), classes of body prescribed</w:t>
      </w:r>
      <w:bookmarkEnd w:id="17"/>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8" w:name="_Toc168909450"/>
      <w:r>
        <w:rPr>
          <w:rStyle w:val="CharSectno"/>
        </w:rPr>
        <w:t>6D</w:t>
      </w:r>
      <w:r>
        <w:t>.</w:t>
      </w:r>
      <w:r>
        <w:tab/>
        <w:t>Trust accounts, designation of (Act s. 68(1))</w:t>
      </w:r>
      <w:bookmarkEnd w:id="18"/>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lastRenderedPageBreak/>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19" w:name="_Toc168909451"/>
      <w:r>
        <w:rPr>
          <w:rStyle w:val="CharSectno"/>
        </w:rPr>
        <w:t>6E</w:t>
      </w:r>
      <w:r>
        <w:t>.</w:t>
      </w:r>
      <w:r>
        <w:tab/>
        <w:t>Separate trust accounts, requests for, requirements prescribed (Act s. 68A(4))</w:t>
      </w:r>
      <w:bookmarkEnd w:id="19"/>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0" w:name="_Toc168909452"/>
      <w:r>
        <w:rPr>
          <w:rStyle w:val="CharSectno"/>
        </w:rPr>
        <w:t>6F</w:t>
      </w:r>
      <w:r>
        <w:t>.</w:t>
      </w:r>
      <w:r>
        <w:tab/>
        <w:t>Trust accounts, interest on (Act s. 68B(1))</w:t>
      </w:r>
      <w:bookmarkEnd w:id="20"/>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lastRenderedPageBreak/>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1" w:name="_Toc168909453"/>
      <w:r>
        <w:rPr>
          <w:rStyle w:val="CharSectno"/>
        </w:rPr>
        <w:t>6G</w:t>
      </w:r>
      <w:r>
        <w:t>.</w:t>
      </w:r>
      <w:r>
        <w:tab/>
        <w:t>Receipts by agents, information in (Act s. 69(1)(a))</w:t>
      </w:r>
      <w:bookmarkEnd w:id="2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2" w:name="_Toc168909454"/>
      <w:r>
        <w:rPr>
          <w:rStyle w:val="CharSectno"/>
        </w:rPr>
        <w:lastRenderedPageBreak/>
        <w:t>6H</w:t>
      </w:r>
      <w:r>
        <w:rPr>
          <w:snapToGrid w:val="0"/>
        </w:rPr>
        <w:t>.</w:t>
      </w:r>
      <w:r>
        <w:rPr>
          <w:snapToGrid w:val="0"/>
        </w:rPr>
        <w:tab/>
        <w:t>Record keeping requirements</w:t>
      </w:r>
      <w:bookmarkEnd w:id="22"/>
    </w:p>
    <w:p>
      <w:pPr>
        <w:pStyle w:val="Subsection"/>
        <w:keepNext/>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3" w:name="_Toc168909455"/>
      <w:r>
        <w:rPr>
          <w:rStyle w:val="CharSectno"/>
        </w:rPr>
        <w:t>7</w:t>
      </w:r>
      <w:r>
        <w:rPr>
          <w:snapToGrid w:val="0"/>
        </w:rPr>
        <w:t>.</w:t>
      </w:r>
      <w:r>
        <w:rPr>
          <w:snapToGrid w:val="0"/>
        </w:rPr>
        <w:tab/>
        <w:t>Registers (Act s. 133(2))</w:t>
      </w:r>
      <w:bookmarkEnd w:id="23"/>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lastRenderedPageBreak/>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lastRenderedPageBreak/>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4" w:name="_Toc168909456"/>
      <w:r>
        <w:rPr>
          <w:rStyle w:val="CharSectno"/>
        </w:rPr>
        <w:t>7AA</w:t>
      </w:r>
      <w:r>
        <w:t>.</w:t>
      </w:r>
      <w:r>
        <w:tab/>
        <w:t>Lending institution (Act s. 131A), classes of body prescribed</w:t>
      </w:r>
      <w:bookmarkEnd w:id="2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 xml:space="preserve">of that definition, that </w:t>
      </w:r>
      <w:r>
        <w:rPr>
          <w:snapToGrid w:val="0"/>
        </w:rPr>
        <w:lastRenderedPageBreak/>
        <w:t>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25" w:name="_Toc168909457"/>
      <w:r>
        <w:rPr>
          <w:rStyle w:val="CharSectno"/>
        </w:rPr>
        <w:t>7B</w:t>
      </w:r>
      <w:r>
        <w:rPr>
          <w:snapToGrid w:val="0"/>
        </w:rPr>
        <w:t>.</w:t>
      </w:r>
      <w:r>
        <w:rPr>
          <w:snapToGrid w:val="0"/>
        </w:rPr>
        <w:tab/>
        <w:t>Maximum amount prescribed (Act s. 131M(3))</w:t>
      </w:r>
      <w:bookmarkEnd w:id="25"/>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6" w:name="_Toc168909458"/>
      <w:r>
        <w:rPr>
          <w:rStyle w:val="CharSectno"/>
        </w:rPr>
        <w:t>8</w:t>
      </w:r>
      <w:r>
        <w:rPr>
          <w:snapToGrid w:val="0"/>
        </w:rPr>
        <w:t>.</w:t>
      </w:r>
      <w:r>
        <w:rPr>
          <w:snapToGrid w:val="0"/>
        </w:rPr>
        <w:tab/>
        <w:t>Changes in particulars, licensees to notify Commissioner of</w:t>
      </w:r>
      <w:bookmarkEnd w:id="26"/>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27" w:name="_Toc168909459"/>
      <w:r>
        <w:rPr>
          <w:rStyle w:val="CharSectno"/>
        </w:rPr>
        <w:t>9</w:t>
      </w:r>
      <w:r>
        <w:rPr>
          <w:snapToGrid w:val="0"/>
        </w:rPr>
        <w:t>.</w:t>
      </w:r>
      <w:r>
        <w:rPr>
          <w:snapToGrid w:val="0"/>
        </w:rPr>
        <w:tab/>
        <w:t xml:space="preserve">Fees and costs, </w:t>
      </w:r>
      <w:r>
        <w:t>recovery</w:t>
      </w:r>
      <w:r>
        <w:rPr>
          <w:snapToGrid w:val="0"/>
        </w:rPr>
        <w:t xml:space="preserve"> of</w:t>
      </w:r>
      <w:bookmarkEnd w:id="27"/>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lastRenderedPageBreak/>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28" w:name="_Toc168909460"/>
      <w:r>
        <w:rPr>
          <w:rStyle w:val="CharSectno"/>
        </w:rPr>
        <w:t>10</w:t>
      </w:r>
      <w:r>
        <w:rPr>
          <w:snapToGrid w:val="0"/>
        </w:rPr>
        <w:t>.</w:t>
      </w:r>
      <w:r>
        <w:rPr>
          <w:snapToGrid w:val="0"/>
        </w:rPr>
        <w:tab/>
      </w:r>
      <w:r>
        <w:t>Unsuccessful</w:t>
      </w:r>
      <w:r>
        <w:rPr>
          <w:snapToGrid w:val="0"/>
        </w:rPr>
        <w:t xml:space="preserve"> applicant for licence etc., refund to (Act s. 113)</w:t>
      </w:r>
      <w:bookmarkEnd w:id="28"/>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29" w:name="_Toc168909461"/>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29"/>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lastRenderedPageBreak/>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0" w:name="_Toc168909462"/>
      <w:r>
        <w:rPr>
          <w:rStyle w:val="CharSectno"/>
        </w:rPr>
        <w:t>12</w:t>
      </w:r>
      <w:r>
        <w:rPr>
          <w:snapToGrid w:val="0"/>
        </w:rPr>
        <w:t>.</w:t>
      </w:r>
      <w:r>
        <w:rPr>
          <w:snapToGrid w:val="0"/>
        </w:rPr>
        <w:tab/>
        <w:t>Fidelity Guarantee Account, claims against</w:t>
      </w:r>
      <w:bookmarkEnd w:id="30"/>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1" w:name="_Toc168909463"/>
      <w:r>
        <w:rPr>
          <w:rStyle w:val="CharSectno"/>
        </w:rPr>
        <w:t>13</w:t>
      </w:r>
      <w:r>
        <w:rPr>
          <w:snapToGrid w:val="0"/>
        </w:rPr>
        <w:t>.</w:t>
      </w:r>
      <w:r>
        <w:rPr>
          <w:snapToGrid w:val="0"/>
        </w:rPr>
        <w:tab/>
        <w:t>Codes of conduct prescribed to be published (Act s. 101)</w:t>
      </w:r>
      <w:bookmarkEnd w:id="3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2" w:name="_Toc168909464"/>
      <w:r>
        <w:rPr>
          <w:rStyle w:val="CharSectno"/>
        </w:rPr>
        <w:t>14</w:t>
      </w:r>
      <w:r>
        <w:t>.</w:t>
      </w:r>
      <w:r>
        <w:tab/>
        <w:t>Infringement notices</w:t>
      </w:r>
      <w:bookmarkEnd w:id="3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lastRenderedPageBreak/>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3" w:name="_Toc168909465"/>
      <w:r>
        <w:rPr>
          <w:rStyle w:val="CharSectno"/>
        </w:rPr>
        <w:t>15</w:t>
      </w:r>
      <w:r>
        <w:t>.</w:t>
      </w:r>
      <w:r>
        <w:tab/>
        <w:t>Forms (Sch. 2)</w:t>
      </w:r>
      <w:bookmarkEnd w:id="33"/>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34" w:name="_Toc168909466"/>
      <w:r>
        <w:rPr>
          <w:rStyle w:val="CharSectno"/>
        </w:rPr>
        <w:t>16</w:t>
      </w:r>
      <w:r>
        <w:t>.</w:t>
      </w:r>
      <w:r>
        <w:tab/>
        <w:t xml:space="preserve">Transitional regulation for </w:t>
      </w:r>
      <w:r>
        <w:rPr>
          <w:i/>
        </w:rPr>
        <w:t>Real Estate and Business Agents (General) Amendment Regulations (No. 2) 2020</w:t>
      </w:r>
      <w:bookmarkEnd w:id="34"/>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35" w:name="_Toc168584652"/>
      <w:bookmarkStart w:id="36" w:name="_Toc168584711"/>
      <w:bookmarkStart w:id="37" w:name="_Toc168909467"/>
      <w:r>
        <w:rPr>
          <w:rStyle w:val="CharSchNo"/>
        </w:rPr>
        <w:lastRenderedPageBreak/>
        <w:t>Schedule 1</w:t>
      </w:r>
      <w:r>
        <w:t> — </w:t>
      </w:r>
      <w:r>
        <w:rPr>
          <w:rStyle w:val="CharSchText"/>
        </w:rPr>
        <w:t>Fees</w:t>
      </w:r>
      <w:bookmarkEnd w:id="35"/>
      <w:bookmarkEnd w:id="36"/>
      <w:bookmarkEnd w:id="37"/>
    </w:p>
    <w:p>
      <w:pPr>
        <w:pStyle w:val="yShoulderClause"/>
      </w:pPr>
      <w:r>
        <w:t>[r. 4 and 4A]</w:t>
      </w:r>
    </w:p>
    <w:p>
      <w:pPr>
        <w:pStyle w:val="yFootnoteheading"/>
        <w:spacing w:after="60"/>
      </w:pPr>
      <w:r>
        <w:tab/>
        <w:t>[Heading inserted: SL 2023/35 r. 41.]</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noWrap/>
          </w:tcPr>
          <w:p>
            <w:pPr>
              <w:pStyle w:val="yTableNAm"/>
            </w:pPr>
            <w:r>
              <w:t>1.</w:t>
            </w:r>
          </w:p>
        </w:tc>
        <w:tc>
          <w:tcPr>
            <w:tcW w:w="4961" w:type="dxa"/>
            <w:noWrap/>
          </w:tcPr>
          <w:p>
            <w:pPr>
              <w:pStyle w:val="yTableNAm"/>
            </w:pPr>
            <w:r>
              <w:t>Application for licence</w:t>
            </w:r>
          </w:p>
        </w:tc>
        <w:tc>
          <w:tcPr>
            <w:tcW w:w="1418" w:type="dxa"/>
            <w:noWrap/>
            <w:vAlign w:val="bottom"/>
          </w:tcPr>
          <w:p>
            <w:pPr>
              <w:pStyle w:val="yTableNAm"/>
              <w:ind w:right="182"/>
              <w:jc w:val="right"/>
            </w:pPr>
            <w:r>
              <w:t>93.00</w:t>
            </w:r>
          </w:p>
        </w:tc>
      </w:tr>
      <w:tr>
        <w:trPr>
          <w:cantSplit/>
          <w:jc w:val="center"/>
        </w:trPr>
        <w:tc>
          <w:tcPr>
            <w:tcW w:w="709" w:type="dxa"/>
            <w:noWrap/>
          </w:tcPr>
          <w:p>
            <w:pPr>
              <w:pStyle w:val="yTableNAm"/>
            </w:pPr>
            <w:r>
              <w:t>2.</w:t>
            </w:r>
          </w:p>
        </w:tc>
        <w:tc>
          <w:tcPr>
            <w:tcW w:w="4961" w:type="dxa"/>
            <w:noWrap/>
          </w:tcPr>
          <w:p>
            <w:pPr>
              <w:pStyle w:val="yTableNAm"/>
            </w:pPr>
            <w:r>
              <w:t>Grant of licence to individual</w:t>
            </w:r>
          </w:p>
        </w:tc>
        <w:tc>
          <w:tcPr>
            <w:tcW w:w="1418" w:type="dxa"/>
            <w:noWrap/>
            <w:vAlign w:val="bottom"/>
          </w:tcPr>
          <w:p>
            <w:pPr>
              <w:pStyle w:val="yTableNAm"/>
              <w:ind w:right="182"/>
              <w:jc w:val="right"/>
            </w:pPr>
            <w:r>
              <w:t>995.00</w:t>
            </w:r>
          </w:p>
        </w:tc>
      </w:tr>
      <w:tr>
        <w:trPr>
          <w:cantSplit/>
          <w:jc w:val="center"/>
        </w:trPr>
        <w:tc>
          <w:tcPr>
            <w:tcW w:w="709" w:type="dxa"/>
            <w:noWrap/>
          </w:tcPr>
          <w:p>
            <w:pPr>
              <w:pStyle w:val="yTableNAm"/>
            </w:pPr>
            <w:r>
              <w:t>3.</w:t>
            </w:r>
          </w:p>
        </w:tc>
        <w:tc>
          <w:tcPr>
            <w:tcW w:w="4961" w:type="dxa"/>
            <w:noWrap/>
          </w:tcPr>
          <w:p>
            <w:pPr>
              <w:pStyle w:val="yTableNAm"/>
            </w:pPr>
            <w:r>
              <w:t>Grant of licence to firm</w:t>
            </w:r>
          </w:p>
        </w:tc>
        <w:tc>
          <w:tcPr>
            <w:tcW w:w="1418" w:type="dxa"/>
            <w:noWrap/>
            <w:vAlign w:val="bottom"/>
          </w:tcPr>
          <w:p>
            <w:pPr>
              <w:pStyle w:val="yTableNAm"/>
              <w:ind w:right="182"/>
              <w:jc w:val="right"/>
            </w:pPr>
            <w:r>
              <w:t>1 301.00</w:t>
            </w:r>
          </w:p>
        </w:tc>
      </w:tr>
      <w:tr>
        <w:trPr>
          <w:cantSplit/>
          <w:jc w:val="center"/>
        </w:trPr>
        <w:tc>
          <w:tcPr>
            <w:tcW w:w="709" w:type="dxa"/>
            <w:noWrap/>
          </w:tcPr>
          <w:p>
            <w:pPr>
              <w:pStyle w:val="yTableNAm"/>
            </w:pPr>
            <w:r>
              <w:t>4.</w:t>
            </w:r>
          </w:p>
        </w:tc>
        <w:tc>
          <w:tcPr>
            <w:tcW w:w="4961" w:type="dxa"/>
            <w:noWrap/>
          </w:tcPr>
          <w:p>
            <w:pPr>
              <w:pStyle w:val="yTableNAm"/>
            </w:pPr>
            <w:r>
              <w:t>Grant of licence to body corporate</w:t>
            </w:r>
          </w:p>
        </w:tc>
        <w:tc>
          <w:tcPr>
            <w:tcW w:w="1418" w:type="dxa"/>
            <w:noWrap/>
            <w:vAlign w:val="bottom"/>
          </w:tcPr>
          <w:p>
            <w:pPr>
              <w:pStyle w:val="yTableNAm"/>
              <w:ind w:right="182"/>
              <w:jc w:val="right"/>
            </w:pPr>
            <w:r>
              <w:t>1 301.00</w:t>
            </w:r>
          </w:p>
        </w:tc>
      </w:tr>
      <w:tr>
        <w:trPr>
          <w:cantSplit/>
          <w:jc w:val="center"/>
        </w:trPr>
        <w:tc>
          <w:tcPr>
            <w:tcW w:w="709" w:type="dxa"/>
            <w:noWrap/>
          </w:tcPr>
          <w:p>
            <w:pPr>
              <w:pStyle w:val="yTableNAm"/>
            </w:pPr>
            <w:r>
              <w:t>5.</w:t>
            </w:r>
          </w:p>
        </w:tc>
        <w:tc>
          <w:tcPr>
            <w:tcW w:w="4961" w:type="dxa"/>
            <w:noWrap/>
          </w:tcPr>
          <w:p>
            <w:pPr>
              <w:pStyle w:val="yTableNAm"/>
            </w:pPr>
            <w:r>
              <w:t>Renewal of triennial certificate</w:t>
            </w:r>
          </w:p>
        </w:tc>
        <w:tc>
          <w:tcPr>
            <w:tcW w:w="1418" w:type="dxa"/>
            <w:noWrap/>
            <w:vAlign w:val="bottom"/>
          </w:tcPr>
          <w:p>
            <w:pPr>
              <w:pStyle w:val="yTableNAm"/>
              <w:ind w:right="182"/>
              <w:jc w:val="right"/>
            </w:pPr>
            <w:r>
              <w:t>823.00</w:t>
            </w:r>
          </w:p>
        </w:tc>
      </w:tr>
      <w:tr>
        <w:trPr>
          <w:cantSplit/>
          <w:jc w:val="center"/>
        </w:trPr>
        <w:tc>
          <w:tcPr>
            <w:tcW w:w="709" w:type="dxa"/>
            <w:noWrap/>
          </w:tcPr>
          <w:p>
            <w:pPr>
              <w:pStyle w:val="yTableNAm"/>
            </w:pPr>
            <w:r>
              <w:t>6.</w:t>
            </w:r>
          </w:p>
        </w:tc>
        <w:tc>
          <w:tcPr>
            <w:tcW w:w="4961" w:type="dxa"/>
            <w:noWrap/>
          </w:tcPr>
          <w:p>
            <w:pPr>
              <w:pStyle w:val="yTableNAm"/>
            </w:pPr>
            <w:r>
              <w:t>Grant of certificate of registration</w:t>
            </w:r>
          </w:p>
        </w:tc>
        <w:tc>
          <w:tcPr>
            <w:tcW w:w="1418" w:type="dxa"/>
            <w:noWrap/>
            <w:vAlign w:val="bottom"/>
          </w:tcPr>
          <w:p>
            <w:pPr>
              <w:pStyle w:val="yTableNAm"/>
              <w:ind w:right="182"/>
              <w:jc w:val="right"/>
            </w:pPr>
            <w:r>
              <w:t>252.00</w:t>
            </w:r>
          </w:p>
        </w:tc>
      </w:tr>
      <w:tr>
        <w:trPr>
          <w:cantSplit/>
          <w:jc w:val="center"/>
        </w:trPr>
        <w:tc>
          <w:tcPr>
            <w:tcW w:w="709" w:type="dxa"/>
            <w:noWrap/>
          </w:tcPr>
          <w:p>
            <w:pPr>
              <w:pStyle w:val="yTableNAm"/>
            </w:pPr>
            <w:r>
              <w:t>7.</w:t>
            </w:r>
          </w:p>
        </w:tc>
        <w:tc>
          <w:tcPr>
            <w:tcW w:w="4961" w:type="dxa"/>
            <w:noWrap/>
          </w:tcPr>
          <w:p>
            <w:pPr>
              <w:pStyle w:val="yTableNAm"/>
            </w:pPr>
            <w:r>
              <w:t>Renewal of certificate of registration</w:t>
            </w:r>
          </w:p>
        </w:tc>
        <w:tc>
          <w:tcPr>
            <w:tcW w:w="1418" w:type="dxa"/>
            <w:noWrap/>
            <w:vAlign w:val="bottom"/>
          </w:tcPr>
          <w:p>
            <w:pPr>
              <w:pStyle w:val="yTableNAm"/>
              <w:ind w:right="182"/>
              <w:jc w:val="right"/>
            </w:pPr>
            <w:r>
              <w:t>208.00</w:t>
            </w:r>
          </w:p>
        </w:tc>
      </w:tr>
      <w:tr>
        <w:trPr>
          <w:cantSplit/>
          <w:jc w:val="center"/>
        </w:trPr>
        <w:tc>
          <w:tcPr>
            <w:tcW w:w="709" w:type="dxa"/>
            <w:noWrap/>
          </w:tcPr>
          <w:p>
            <w:pPr>
              <w:pStyle w:val="yTableNAm"/>
            </w:pPr>
            <w:r>
              <w:t>8.</w:t>
            </w:r>
          </w:p>
        </w:tc>
        <w:tc>
          <w:tcPr>
            <w:tcW w:w="4961" w:type="dxa"/>
            <w:noWrap/>
          </w:tcPr>
          <w:p>
            <w:pPr>
              <w:pStyle w:val="yTableNAm"/>
            </w:pPr>
            <w:r>
              <w:t>Inspection of a register</w:t>
            </w:r>
          </w:p>
        </w:tc>
        <w:tc>
          <w:tcPr>
            <w:tcW w:w="1418" w:type="dxa"/>
            <w:noWrap/>
            <w:vAlign w:val="bottom"/>
          </w:tcPr>
          <w:p>
            <w:pPr>
              <w:pStyle w:val="yTableNAm"/>
              <w:ind w:right="182"/>
              <w:jc w:val="right"/>
            </w:pPr>
            <w:r>
              <w:t>11.80</w:t>
            </w:r>
          </w:p>
        </w:tc>
      </w:tr>
      <w:tr>
        <w:trPr>
          <w:cantSplit/>
          <w:jc w:val="center"/>
        </w:trPr>
        <w:tc>
          <w:tcPr>
            <w:tcW w:w="709" w:type="dxa"/>
            <w:noWrap/>
          </w:tcPr>
          <w:p>
            <w:pPr>
              <w:pStyle w:val="yTableNAm"/>
            </w:pPr>
            <w:r>
              <w:t>9.</w:t>
            </w:r>
          </w:p>
        </w:tc>
        <w:tc>
          <w:tcPr>
            <w:tcW w:w="4961" w:type="dxa"/>
            <w:noWrap/>
          </w:tcPr>
          <w:p>
            <w:pPr>
              <w:pStyle w:val="yTableNAm"/>
            </w:pPr>
            <w:r>
              <w:t>Issue of duplicate licence, duplicate certificate of registration or duplicate triennial certificate</w:t>
            </w:r>
          </w:p>
        </w:tc>
        <w:tc>
          <w:tcPr>
            <w:tcW w:w="1418" w:type="dxa"/>
            <w:noWrap/>
            <w:vAlign w:val="bottom"/>
          </w:tcPr>
          <w:p>
            <w:pPr>
              <w:pStyle w:val="yTableNAm"/>
              <w:ind w:right="182"/>
              <w:jc w:val="right"/>
            </w:pPr>
            <w:r>
              <w:t>33.00</w:t>
            </w:r>
          </w:p>
        </w:tc>
      </w:tr>
      <w:tr>
        <w:trPr>
          <w:cantSplit/>
          <w:jc w:val="center"/>
        </w:trPr>
        <w:tc>
          <w:tcPr>
            <w:tcW w:w="709" w:type="dxa"/>
            <w:noWrap/>
          </w:tcPr>
          <w:p>
            <w:pPr>
              <w:pStyle w:val="yTableNAm"/>
            </w:pPr>
            <w:r>
              <w:t>10.</w:t>
            </w:r>
          </w:p>
        </w:tc>
        <w:tc>
          <w:tcPr>
            <w:tcW w:w="4961" w:type="dxa"/>
            <w:noWrap/>
          </w:tcPr>
          <w:p>
            <w:pPr>
              <w:pStyle w:val="yTableNAm"/>
            </w:pPr>
            <w:r>
              <w:t>Copy (certified or uncertified) or an extract of an individual registration —</w:t>
            </w:r>
          </w:p>
        </w:tc>
        <w:tc>
          <w:tcPr>
            <w:tcW w:w="1418" w:type="dxa"/>
            <w:noWrap/>
            <w:vAlign w:val="bottom"/>
          </w:tcPr>
          <w:p>
            <w:pPr>
              <w:pStyle w:val="yTableNAm"/>
              <w:ind w:right="182"/>
              <w:jc w:val="right"/>
            </w:pPr>
          </w:p>
        </w:tc>
      </w:tr>
      <w:tr>
        <w:trPr>
          <w:cantSplit/>
          <w:jc w:val="center"/>
        </w:trPr>
        <w:tc>
          <w:tcPr>
            <w:tcW w:w="709" w:type="dxa"/>
            <w:noWrap/>
          </w:tcPr>
          <w:p>
            <w:pPr>
              <w:pStyle w:val="yTableNAm"/>
            </w:pPr>
          </w:p>
        </w:tc>
        <w:tc>
          <w:tcPr>
            <w:tcW w:w="4961" w:type="dxa"/>
            <w:noWrap/>
          </w:tcPr>
          <w:p>
            <w:pPr>
              <w:pStyle w:val="yTableNAm"/>
            </w:pPr>
            <w:r>
              <w:t>(a)</w:t>
            </w:r>
            <w:r>
              <w:tab/>
              <w:t>first page</w:t>
            </w:r>
          </w:p>
        </w:tc>
        <w:tc>
          <w:tcPr>
            <w:tcW w:w="1418" w:type="dxa"/>
            <w:noWrap/>
            <w:vAlign w:val="bottom"/>
          </w:tcPr>
          <w:p>
            <w:pPr>
              <w:pStyle w:val="yTableNAm"/>
              <w:ind w:right="182"/>
              <w:jc w:val="right"/>
            </w:pPr>
            <w:r>
              <w:t>14.00</w:t>
            </w:r>
          </w:p>
        </w:tc>
      </w:tr>
      <w:tr>
        <w:trPr>
          <w:cantSplit/>
          <w:jc w:val="center"/>
        </w:trPr>
        <w:tc>
          <w:tcPr>
            <w:tcW w:w="709" w:type="dxa"/>
            <w:noWrap/>
          </w:tcPr>
          <w:p>
            <w:pPr>
              <w:pStyle w:val="yTableNAm"/>
            </w:pPr>
          </w:p>
        </w:tc>
        <w:tc>
          <w:tcPr>
            <w:tcW w:w="4961" w:type="dxa"/>
            <w:noWrap/>
          </w:tcPr>
          <w:p>
            <w:pPr>
              <w:pStyle w:val="yTableNAm"/>
            </w:pPr>
            <w:r>
              <w:t>(b)</w:t>
            </w:r>
            <w:r>
              <w:tab/>
              <w:t>each subsequent page</w:t>
            </w:r>
          </w:p>
        </w:tc>
        <w:tc>
          <w:tcPr>
            <w:tcW w:w="1418" w:type="dxa"/>
            <w:noWrap/>
            <w:vAlign w:val="bottom"/>
          </w:tcPr>
          <w:p>
            <w:pPr>
              <w:pStyle w:val="yTableNAm"/>
              <w:ind w:right="182"/>
              <w:jc w:val="right"/>
            </w:pPr>
            <w:r>
              <w:t>2.30</w:t>
            </w:r>
          </w:p>
        </w:tc>
      </w:tr>
      <w:tr>
        <w:trPr>
          <w:cantSplit/>
          <w:jc w:val="center"/>
        </w:trPr>
        <w:tc>
          <w:tcPr>
            <w:tcW w:w="709" w:type="dxa"/>
            <w:noWrap/>
          </w:tcPr>
          <w:p>
            <w:pPr>
              <w:pStyle w:val="yTableNAm"/>
            </w:pPr>
            <w:r>
              <w:t>11.</w:t>
            </w:r>
          </w:p>
        </w:tc>
        <w:tc>
          <w:tcPr>
            <w:tcW w:w="4961" w:type="dxa"/>
            <w:noWrap/>
          </w:tcPr>
          <w:p>
            <w:pPr>
              <w:pStyle w:val="yTableNAm"/>
            </w:pPr>
            <w:r>
              <w:t>Copy (certified or uncertified) or an extract of all registrations in a register</w:t>
            </w:r>
          </w:p>
        </w:tc>
        <w:tc>
          <w:tcPr>
            <w:tcW w:w="1418" w:type="dxa"/>
            <w:noWrap/>
            <w:vAlign w:val="bottom"/>
          </w:tcPr>
          <w:p>
            <w:pPr>
              <w:pStyle w:val="yTableNAm"/>
              <w:ind w:right="182"/>
              <w:jc w:val="right"/>
            </w:pPr>
            <w:r>
              <w:t>127.00</w:t>
            </w:r>
          </w:p>
        </w:tc>
      </w:tr>
      <w:tr>
        <w:trPr>
          <w:cantSplit/>
          <w:jc w:val="center"/>
        </w:trPr>
        <w:tc>
          <w:tcPr>
            <w:tcW w:w="709" w:type="dxa"/>
            <w:tcBorders>
              <w:bottom w:val="single" w:sz="4" w:space="0" w:color="auto"/>
            </w:tcBorders>
            <w:noWrap/>
          </w:tcPr>
          <w:p>
            <w:pPr>
              <w:pStyle w:val="yTableNAm"/>
            </w:pPr>
            <w:r>
              <w:t>12.</w:t>
            </w:r>
          </w:p>
        </w:tc>
        <w:tc>
          <w:tcPr>
            <w:tcW w:w="4961" w:type="dxa"/>
            <w:tcBorders>
              <w:bottom w:val="single" w:sz="4" w:space="0" w:color="auto"/>
            </w:tcBorders>
            <w:noWrap/>
          </w:tcPr>
          <w:p>
            <w:pPr>
              <w:pStyle w:val="yTableNAm"/>
            </w:pPr>
            <w:r>
              <w:t>Fee for the purposes of section 30(2a)(b) of the Act (the holding fee)</w:t>
            </w:r>
          </w:p>
        </w:tc>
        <w:tc>
          <w:tcPr>
            <w:tcW w:w="1418" w:type="dxa"/>
            <w:tcBorders>
              <w:bottom w:val="single" w:sz="4" w:space="0" w:color="auto"/>
            </w:tcBorders>
            <w:noWrap/>
            <w:vAlign w:val="bottom"/>
          </w:tcPr>
          <w:p>
            <w:pPr>
              <w:pStyle w:val="yTableNAm"/>
              <w:ind w:right="182"/>
              <w:jc w:val="right"/>
            </w:pPr>
            <w:r>
              <w:t>271.00</w:t>
            </w:r>
          </w:p>
        </w:tc>
      </w:tr>
    </w:tbl>
    <w:p>
      <w:pPr>
        <w:pStyle w:val="yFootnotesection"/>
      </w:pPr>
      <w:r>
        <w:tab/>
        <w:t>[Schedule 1 inserted: SL 2023/35 r. 41.]</w:t>
      </w:r>
    </w:p>
    <w:p>
      <w:pPr>
        <w:pStyle w:val="yScheduleHeading"/>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39" w:name="_Toc168584653"/>
      <w:bookmarkStart w:id="40" w:name="_Toc168584712"/>
      <w:bookmarkStart w:id="41" w:name="_Toc168909468"/>
      <w:r>
        <w:rPr>
          <w:rStyle w:val="CharSchNo"/>
        </w:rPr>
        <w:lastRenderedPageBreak/>
        <w:t>Schedule 1A</w:t>
      </w:r>
      <w:r>
        <w:rPr>
          <w:rStyle w:val="CharSDivNo"/>
        </w:rPr>
        <w:t> </w:t>
      </w:r>
      <w:r>
        <w:t>—</w:t>
      </w:r>
      <w:r>
        <w:rPr>
          <w:rStyle w:val="CharSDivText"/>
        </w:rPr>
        <w:t> </w:t>
      </w:r>
      <w:r>
        <w:rPr>
          <w:rStyle w:val="CharSchText"/>
        </w:rPr>
        <w:t>Continuing professional development subjects</w:t>
      </w:r>
      <w:bookmarkEnd w:id="39"/>
      <w:bookmarkEnd w:id="40"/>
      <w:bookmarkEnd w:id="41"/>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42" w:name="_Toc168584654"/>
      <w:bookmarkStart w:id="43" w:name="_Toc168584713"/>
      <w:bookmarkStart w:id="44" w:name="_Toc168909469"/>
      <w:r>
        <w:rPr>
          <w:rStyle w:val="CharSchNo"/>
        </w:rPr>
        <w:lastRenderedPageBreak/>
        <w:t>Schedule 2</w:t>
      </w:r>
      <w:r>
        <w:rPr>
          <w:rStyle w:val="CharSDivNo"/>
        </w:rPr>
        <w:t> </w:t>
      </w:r>
      <w:r>
        <w:t>—</w:t>
      </w:r>
      <w:r>
        <w:rPr>
          <w:rStyle w:val="CharSDivText"/>
        </w:rPr>
        <w:t> </w:t>
      </w:r>
      <w:r>
        <w:rPr>
          <w:rStyle w:val="CharSchText"/>
        </w:rPr>
        <w:t>Forms</w:t>
      </w:r>
      <w:bookmarkEnd w:id="42"/>
      <w:bookmarkEnd w:id="43"/>
      <w:bookmarkEnd w:id="44"/>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lastRenderedPageBreak/>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lastRenderedPageBreak/>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lastRenderedPageBreak/>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45" w:name="_Toc168584655"/>
      <w:bookmarkStart w:id="46" w:name="_Toc168584714"/>
      <w:bookmarkStart w:id="47" w:name="_Toc168909470"/>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45"/>
      <w:bookmarkEnd w:id="46"/>
      <w:bookmarkEnd w:id="47"/>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lastRenderedPageBreak/>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nHeading2"/>
      </w:pPr>
      <w:bookmarkStart w:id="48" w:name="_Toc168584656"/>
      <w:bookmarkStart w:id="49" w:name="_Toc168584715"/>
      <w:bookmarkStart w:id="50" w:name="_Toc168909471"/>
      <w:r>
        <w:lastRenderedPageBreak/>
        <w:t>Notes</w:t>
      </w:r>
      <w:bookmarkEnd w:id="48"/>
      <w:bookmarkEnd w:id="49"/>
      <w:bookmarkEnd w:id="50"/>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1" w:name="_Toc168909472"/>
      <w:r>
        <w:t>Compilation table</w:t>
      </w:r>
      <w:bookmarkEnd w:id="5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lastRenderedPageBreak/>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single" w:sz="4" w:space="0" w:color="auto"/>
            </w:tcBorders>
          </w:tcPr>
          <w:p>
            <w:pPr>
              <w:pStyle w:val="nTable"/>
              <w:spacing w:after="40"/>
            </w:pPr>
            <w:r>
              <w:rPr>
                <w:i/>
              </w:rPr>
              <w:t>Commerce Regulations Amendment (Property Licensing) Regulations 2023</w:t>
            </w:r>
            <w:r>
              <w:t xml:space="preserve"> Pt. 3</w:t>
            </w:r>
          </w:p>
        </w:tc>
        <w:tc>
          <w:tcPr>
            <w:tcW w:w="1276" w:type="dxa"/>
            <w:tcBorders>
              <w:top w:val="nil"/>
              <w:bottom w:val="single" w:sz="4" w:space="0" w:color="auto"/>
            </w:tcBorders>
          </w:tcPr>
          <w:p>
            <w:pPr>
              <w:pStyle w:val="nTable"/>
              <w:spacing w:after="40"/>
            </w:pPr>
            <w:r>
              <w:t>SL 2023/131</w:t>
            </w:r>
            <w:r>
              <w:br/>
              <w:t>9 Aug 2023</w:t>
            </w:r>
          </w:p>
        </w:tc>
        <w:tc>
          <w:tcPr>
            <w:tcW w:w="2693" w:type="dxa"/>
            <w:tcBorders>
              <w:top w:val="nil"/>
              <w:bottom w:val="single" w:sz="4" w:space="0" w:color="auto"/>
            </w:tcBorders>
          </w:tcPr>
          <w:p>
            <w:pPr>
              <w:pStyle w:val="nTable"/>
              <w:spacing w:after="40"/>
            </w:pPr>
            <w:r>
              <w:t>10 Aug 2023 (see r. 2(b))</w:t>
            </w:r>
          </w:p>
        </w:tc>
      </w:tr>
    </w:tbl>
    <w:p>
      <w:pPr>
        <w:pStyle w:val="nHeading3"/>
      </w:pPr>
      <w:bookmarkStart w:id="52" w:name="_Toc168909473"/>
      <w:r>
        <w:lastRenderedPageBreak/>
        <w:t>Uncommenced provisions table</w:t>
      </w:r>
      <w:bookmarkEnd w:id="5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2024</w:t>
            </w:r>
            <w:r>
              <w:rPr>
                <w:iCs/>
              </w:rPr>
              <w:t xml:space="preserve"> Pt. 15</w:t>
            </w:r>
          </w:p>
        </w:tc>
        <w:tc>
          <w:tcPr>
            <w:tcW w:w="1276" w:type="dxa"/>
          </w:tcPr>
          <w:p>
            <w:pPr>
              <w:pStyle w:val="nTable"/>
              <w:spacing w:after="40"/>
            </w:pPr>
            <w:r>
              <w:t>SL 2024/96 12 Jun 2024</w:t>
            </w:r>
          </w:p>
        </w:tc>
        <w:tc>
          <w:tcPr>
            <w:tcW w:w="2693" w:type="dxa"/>
          </w:tcPr>
          <w:p>
            <w:pPr>
              <w:pStyle w:val="nTable"/>
              <w:spacing w:after="40"/>
            </w:pPr>
            <w:r>
              <w:t>1 Jul 2024 (see r. 2(c))</w:t>
            </w:r>
          </w:p>
        </w:tc>
      </w:tr>
    </w:tbl>
    <w:p>
      <w:pPr>
        <w:pStyle w:val="nHeading3"/>
      </w:pPr>
      <w:bookmarkStart w:id="53" w:name="_Toc168909474"/>
      <w:r>
        <w:t>Other notes</w:t>
      </w:r>
      <w:bookmarkEnd w:id="53"/>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55" w:name="_Toc168584659"/>
      <w:bookmarkStart w:id="56" w:name="_Toc168584719"/>
      <w:bookmarkStart w:id="57" w:name="_Toc168909475"/>
      <w:r>
        <w:rPr>
          <w:sz w:val="28"/>
        </w:rPr>
        <w:lastRenderedPageBreak/>
        <w:t>Defined terms</w:t>
      </w:r>
      <w:bookmarkEnd w:id="55"/>
      <w:bookmarkEnd w:id="56"/>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2(1)</w:t>
      </w:r>
    </w:p>
    <w:p>
      <w:pPr>
        <w:pStyle w:val="DefinedTerms"/>
      </w:pPr>
      <w:r>
        <w:t>applicant</w:t>
      </w:r>
      <w:r>
        <w:tab/>
        <w:t>4AB(1)</w:t>
      </w:r>
    </w:p>
    <w:p>
      <w:pPr>
        <w:pStyle w:val="DefinedTerms"/>
      </w:pPr>
      <w:r>
        <w:t>approved CPD activity</w:t>
      </w:r>
      <w:r>
        <w:tab/>
        <w:t>2(1)</w:t>
      </w:r>
    </w:p>
    <w:p>
      <w:pPr>
        <w:pStyle w:val="DefinedTerms"/>
      </w:pPr>
      <w:r>
        <w:t>authorised financial institution</w:t>
      </w:r>
      <w:r>
        <w:tab/>
        <w:t>6C</w:t>
      </w:r>
    </w:p>
    <w:p>
      <w:pPr>
        <w:pStyle w:val="DefinedTerms"/>
      </w:pPr>
      <w:r>
        <w:t>business</w:t>
      </w:r>
      <w:r>
        <w:tab/>
        <w:t>6E(2)</w:t>
      </w:r>
    </w:p>
    <w:p>
      <w:pPr>
        <w:pStyle w:val="DefinedTerms"/>
      </w:pPr>
      <w:r>
        <w:t>calendar year</w:t>
      </w:r>
      <w:r>
        <w:tab/>
        <w:t>2(1)</w:t>
      </w:r>
    </w:p>
    <w:p>
      <w:pPr>
        <w:pStyle w:val="DefinedTerms"/>
      </w:pPr>
      <w:r>
        <w:t>commencement day</w:t>
      </w:r>
      <w:r>
        <w:tab/>
        <w:t>16(1)</w:t>
      </w:r>
    </w:p>
    <w:p>
      <w:pPr>
        <w:pStyle w:val="DefinedTerms"/>
      </w:pPr>
      <w:r>
        <w:t>continuing professional development</w:t>
      </w:r>
      <w:r>
        <w:tab/>
        <w:t>2(1)</w:t>
      </w:r>
    </w:p>
    <w:p>
      <w:pPr>
        <w:pStyle w:val="DefinedTerms"/>
      </w:pPr>
      <w:r>
        <w:t>CPD subject</w:t>
      </w:r>
      <w:r>
        <w:tab/>
        <w:t>2(1)</w:t>
      </w:r>
    </w:p>
    <w:p>
      <w:pPr>
        <w:pStyle w:val="DefinedTerms"/>
      </w:pPr>
      <w:r>
        <w:t>educational activity</w:t>
      </w:r>
      <w:r>
        <w:tab/>
        <w:t>2(1)</w:t>
      </w:r>
    </w:p>
    <w:p>
      <w:pPr>
        <w:pStyle w:val="DefinedTerms"/>
      </w:pPr>
      <w:r>
        <w:t>former regulation 4AA</w:t>
      </w:r>
      <w:r>
        <w:tab/>
        <w:t>16(1)</w:t>
      </w:r>
    </w:p>
    <w:p>
      <w:pPr>
        <w:pStyle w:val="DefinedTerms"/>
      </w:pPr>
      <w:r>
        <w:t>holding fee</w:t>
      </w:r>
      <w:r>
        <w:tab/>
        <w:t>4A(1)</w:t>
      </w:r>
    </w:p>
    <w:p>
      <w:pPr>
        <w:pStyle w:val="DefinedTerms"/>
      </w:pPr>
      <w:r>
        <w:t>mandatory CPD activity</w:t>
      </w:r>
      <w:r>
        <w:tab/>
        <w:t>2(1)</w:t>
      </w:r>
    </w:p>
    <w:p>
      <w:pPr>
        <w:pStyle w:val="DefinedTerms"/>
      </w:pPr>
      <w:r>
        <w:t>point value</w:t>
      </w:r>
      <w:r>
        <w:tab/>
        <w:t>2(1)</w:t>
      </w:r>
    </w:p>
    <w:p>
      <w:pPr>
        <w:pStyle w:val="DefinedTerms"/>
      </w:pPr>
      <w:r>
        <w:t>record</w:t>
      </w:r>
      <w:r>
        <w:tab/>
        <w:t>2(1)</w:t>
      </w:r>
    </w:p>
    <w:p>
      <w:pPr>
        <w:pStyle w:val="DefinedTerms"/>
      </w:pPr>
      <w:r>
        <w:t>register</w:t>
      </w:r>
      <w:r>
        <w:tab/>
        <w:t>2(1)</w:t>
      </w:r>
    </w:p>
    <w:p>
      <w:pPr>
        <w:pStyle w:val="DefinedTerms"/>
      </w:pPr>
      <w:r>
        <w:t>registered training provider</w:t>
      </w:r>
      <w:r>
        <w:tab/>
        <w:t>2(1)</w:t>
      </w:r>
    </w:p>
    <w:p>
      <w:pPr>
        <w:pStyle w:val="DefinedTerms"/>
      </w:pPr>
      <w:r>
        <w:t>regulated person</w:t>
      </w:r>
      <w:r>
        <w:tab/>
        <w:t>2(1)</w:t>
      </w:r>
    </w:p>
    <w:p>
      <w:pPr>
        <w:pStyle w:val="DefinedTerms"/>
      </w:pPr>
      <w:r>
        <w:t>relevant bank accepted bills rate</w:t>
      </w:r>
      <w:r>
        <w:tab/>
        <w:t>6F(2)</w:t>
      </w:r>
    </w:p>
    <w:p>
      <w:pPr>
        <w:pStyle w:val="DefinedTerms"/>
      </w:pPr>
      <w:r>
        <w:t>restricted certificate (property management)</w:t>
      </w:r>
      <w:r>
        <w:tab/>
        <w:t>2(1)</w:t>
      </w:r>
    </w:p>
    <w:p>
      <w:pPr>
        <w:pStyle w:val="DefinedTerms"/>
      </w:pPr>
      <w:r>
        <w:t>restricted certificate (sales)</w:t>
      </w:r>
      <w:r>
        <w:tab/>
        <w:t>2(1)</w:t>
      </w:r>
    </w:p>
    <w:p>
      <w:pPr>
        <w:pStyle w:val="DefinedTerms"/>
      </w:pPr>
      <w:r>
        <w:t>unrestricted certificate</w:t>
      </w:r>
      <w:r>
        <w:tab/>
        <w:t>2(1)</w:t>
      </w:r>
    </w:p>
    <w:p>
      <w:pPr>
        <w:pStyle w:val="DefinedTerms"/>
      </w:pPr>
      <w:r>
        <w:t>working day</w:t>
      </w:r>
      <w:r>
        <w:tab/>
        <w:t>2(1)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0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54324"/>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10393</Words>
  <Characters>51968</Characters>
  <Application>Microsoft Office Word</Application>
  <DocSecurity>0</DocSecurity>
  <Lines>2165</Lines>
  <Paragraphs>1355</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1979 - 08-y0-00</dc:title>
  <dc:subject/>
  <dc:creator/>
  <cp:keywords/>
  <dc:description/>
  <cp:lastModifiedBy>Master Repository Process</cp:lastModifiedBy>
  <cp:revision>4</cp:revision>
  <cp:lastPrinted>2014-10-02T03:16:00Z</cp:lastPrinted>
  <dcterms:created xsi:type="dcterms:W3CDTF">2025-06-18T02:09:00Z</dcterms:created>
  <dcterms:modified xsi:type="dcterms:W3CDTF">2025-06-18T02:10:00Z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12 Jun 2024</vt:lpwstr>
  </property>
  <property fmtid="{D5CDD505-2E9C-101B-9397-08002B2CF9AE}" pid="8" name="Suffix">
    <vt:lpwstr>08-y0-00</vt:lpwstr>
  </property>
  <property fmtid="{D5CDD505-2E9C-101B-9397-08002B2CF9AE}" pid="9" name="Official">
    <vt:lpwstr/>
  </property>
  <property fmtid="{D5CDD505-2E9C-101B-9397-08002B2CF9AE}" pid="10" name="CommencementDate">
    <vt:lpwstr>20240612</vt:lpwstr>
  </property>
  <property fmtid="{D5CDD505-2E9C-101B-9397-08002B2CF9AE}" pid="11" name="CommencementAsAt">
    <vt:filetime>2024-06-11T16:00:00Z</vt:filetime>
  </property>
  <property fmtid="{D5CDD505-2E9C-101B-9397-08002B2CF9AE}" pid="12" name="CommencementYear">
    <vt:lpwstr>2024</vt:lpwstr>
  </property>
</Properties>
</file>