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Energy Operators (Electricity Generation and Retail Corporation) (Charges) Amendment By-laws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Amendment By-laws 2024</w:t>
      </w:r>
      <w:r>
        <w:fldChar w:fldCharType="end"/>
      </w:r>
    </w:p>
    <w:p>
      <w:pPr>
        <w:pStyle w:val="Arrangement"/>
        <w:spacing w:after="240"/>
        <w:ind w:left="2302" w:right="2302"/>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_Toc169170627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_Toc169170628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By-laws amended</w:t>
      </w:r>
      <w:r>
        <w:tab/>
      </w:r>
      <w:r>
        <w:fldChar w:fldCharType="begin"/>
      </w:r>
      <w:r>
        <w:instrText xml:space="preserve"> PAGEREF _Toc169170629 \h </w:instrText>
      </w:r>
      <w:r>
        <w:fldChar w:fldCharType="separate"/>
      </w:r>
      <w:r>
        <w:t>1</w:t>
      </w:r>
      <w:r>
        <w:fldChar w:fldCharType="end"/>
      </w:r>
    </w:p>
    <w:p>
      <w:pPr>
        <w:pStyle w:val="TOC8"/>
        <w:rPr>
          <w:rFonts w:asciiTheme="minorHAnsi" w:eastAsiaTheme="minorEastAsia" w:hAnsiTheme="minorHAnsi" w:cstheme="minorBidi"/>
          <w:szCs w:val="22"/>
        </w:rPr>
      </w:pPr>
      <w:r>
        <w:t>4.</w:t>
      </w:r>
      <w:r>
        <w:tab/>
        <w:t>Schedules 1 and 2 replaced</w:t>
      </w:r>
      <w:r>
        <w:tab/>
      </w:r>
      <w:r>
        <w:fldChar w:fldCharType="begin"/>
      </w:r>
      <w:r>
        <w:instrText xml:space="preserve"> PAGEREF _Toc169170630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1 — Supply charges</w:t>
      </w:r>
    </w:p>
    <w:p>
      <w:pPr>
        <w:pStyle w:val="TOC9"/>
        <w:rPr>
          <w:rFonts w:asciiTheme="minorHAnsi" w:eastAsiaTheme="minorEastAsia" w:hAnsiTheme="minorHAnsi" w:cstheme="minorBidi"/>
          <w:noProof/>
          <w:sz w:val="22"/>
          <w:szCs w:val="22"/>
        </w:rPr>
      </w:pPr>
      <w:r>
        <w:rPr>
          <w:noProof/>
        </w:rPr>
        <w:t>1.</w:t>
      </w:r>
      <w:r>
        <w:rPr>
          <w:noProof/>
        </w:rPr>
        <w:tab/>
        <w:t>Tariff L1 (general supply — low/medium voltage tariff)</w:t>
      </w:r>
      <w:r>
        <w:rPr>
          <w:noProof/>
        </w:rPr>
        <w:tab/>
      </w:r>
      <w:r>
        <w:rPr>
          <w:noProof/>
        </w:rPr>
        <w:fldChar w:fldCharType="begin"/>
      </w:r>
      <w:r>
        <w:rPr>
          <w:noProof/>
        </w:rPr>
        <w:instrText xml:space="preserve"> PAGEREF _Toc169170632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Tariff L3 (general supply — low/medium voltage tariff)</w:t>
      </w:r>
      <w:r>
        <w:rPr>
          <w:noProof/>
        </w:rPr>
        <w:tab/>
      </w:r>
      <w:r>
        <w:rPr>
          <w:noProof/>
        </w:rPr>
        <w:fldChar w:fldCharType="begin"/>
      </w:r>
      <w:r>
        <w:rPr>
          <w:noProof/>
        </w:rPr>
        <w:instrText xml:space="preserve"> PAGEREF _Toc169170633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Tariff R1 (time</w:t>
      </w:r>
      <w:r>
        <w:rPr>
          <w:noProof/>
        </w:rPr>
        <w:noBreakHyphen/>
        <w:t>of</w:t>
      </w:r>
      <w:r>
        <w:rPr>
          <w:noProof/>
        </w:rPr>
        <w:noBreakHyphen/>
        <w:t>use tariff — low/medium voltage tariff)</w:t>
      </w:r>
      <w:r>
        <w:rPr>
          <w:noProof/>
        </w:rPr>
        <w:tab/>
      </w:r>
      <w:r>
        <w:rPr>
          <w:noProof/>
        </w:rPr>
        <w:fldChar w:fldCharType="begin"/>
      </w:r>
      <w:r>
        <w:rPr>
          <w:noProof/>
        </w:rPr>
        <w:instrText xml:space="preserve"> PAGEREF _Toc169170634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Tariff R3 (time</w:t>
      </w:r>
      <w:r>
        <w:rPr>
          <w:noProof/>
        </w:rPr>
        <w:noBreakHyphen/>
        <w:t>of</w:t>
      </w:r>
      <w:r>
        <w:rPr>
          <w:noProof/>
        </w:rPr>
        <w:noBreakHyphen/>
        <w:t>use tariff — low/medium voltage tariff)</w:t>
      </w:r>
      <w:r>
        <w:rPr>
          <w:noProof/>
        </w:rPr>
        <w:tab/>
      </w:r>
      <w:r>
        <w:rPr>
          <w:noProof/>
        </w:rPr>
        <w:fldChar w:fldCharType="begin"/>
      </w:r>
      <w:r>
        <w:rPr>
          <w:noProof/>
        </w:rPr>
        <w:instrText xml:space="preserve"> PAGEREF _Toc169170635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Standby charges</w:t>
      </w:r>
      <w:r>
        <w:rPr>
          <w:noProof/>
        </w:rPr>
        <w:tab/>
      </w:r>
      <w:r>
        <w:rPr>
          <w:noProof/>
        </w:rPr>
        <w:fldChar w:fldCharType="begin"/>
      </w:r>
      <w:r>
        <w:rPr>
          <w:noProof/>
        </w:rPr>
        <w:instrText xml:space="preserve"> PAGEREF _Toc169170636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Tariff A1 (residential tariff)</w:t>
      </w:r>
      <w:r>
        <w:rPr>
          <w:noProof/>
        </w:rPr>
        <w:tab/>
      </w:r>
      <w:r>
        <w:rPr>
          <w:noProof/>
        </w:rPr>
        <w:fldChar w:fldCharType="begin"/>
      </w:r>
      <w:r>
        <w:rPr>
          <w:noProof/>
        </w:rPr>
        <w:instrText xml:space="preserve"> PAGEREF _Toc169170637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Tariff B1 (residential water heating tariff)</w:t>
      </w:r>
      <w:r>
        <w:rPr>
          <w:noProof/>
        </w:rPr>
        <w:tab/>
      </w:r>
      <w:r>
        <w:rPr>
          <w:noProof/>
        </w:rPr>
        <w:fldChar w:fldCharType="begin"/>
      </w:r>
      <w:r>
        <w:rPr>
          <w:noProof/>
        </w:rPr>
        <w:instrText xml:space="preserve"> PAGEREF _Toc169170638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Tariff C1 (special community service tariff)</w:t>
      </w:r>
      <w:r>
        <w:rPr>
          <w:noProof/>
        </w:rPr>
        <w:tab/>
      </w:r>
      <w:r>
        <w:rPr>
          <w:noProof/>
        </w:rPr>
        <w:fldChar w:fldCharType="begin"/>
      </w:r>
      <w:r>
        <w:rPr>
          <w:noProof/>
        </w:rPr>
        <w:instrText xml:space="preserve"> PAGEREF _Toc169170639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Tariff D1 (special tariff for certain premises)</w:t>
      </w:r>
      <w:r>
        <w:rPr>
          <w:noProof/>
        </w:rPr>
        <w:tab/>
      </w:r>
      <w:r>
        <w:rPr>
          <w:noProof/>
        </w:rPr>
        <w:fldChar w:fldCharType="begin"/>
      </w:r>
      <w:r>
        <w:rPr>
          <w:noProof/>
        </w:rPr>
        <w:instrText xml:space="preserve"> PAGEREF _Toc169170640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Tariff K1 (general supply with residential tariff)</w:t>
      </w:r>
      <w:r>
        <w:rPr>
          <w:noProof/>
        </w:rPr>
        <w:tab/>
      </w:r>
      <w:r>
        <w:rPr>
          <w:noProof/>
        </w:rPr>
        <w:fldChar w:fldCharType="begin"/>
      </w:r>
      <w:r>
        <w:rPr>
          <w:noProof/>
        </w:rPr>
        <w:instrText xml:space="preserve"> PAGEREF _Toc169170641 \h </w:instrText>
      </w:r>
      <w:r>
        <w:rPr>
          <w:noProof/>
        </w:rPr>
      </w:r>
      <w:r>
        <w:rPr>
          <w:noProof/>
        </w:rPr>
        <w:fldChar w:fldCharType="separate"/>
      </w:r>
      <w:r>
        <w:rPr>
          <w:noProof/>
        </w:rPr>
        <w:t>7</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2 — Unmetered supply</w:t>
      </w:r>
    </w:p>
    <w:p>
      <w:pPr>
        <w:pStyle w:val="TOC5"/>
        <w:tabs>
          <w:tab w:val="right" w:leader="dot" w:pos="7077"/>
        </w:tabs>
        <w:rPr>
          <w:rFonts w:asciiTheme="minorHAnsi" w:eastAsiaTheme="minorEastAsia" w:hAnsiTheme="minorHAnsi" w:cstheme="minorBidi"/>
          <w:b w:val="0"/>
          <w:sz w:val="22"/>
          <w:szCs w:val="22"/>
        </w:rPr>
      </w:pPr>
      <w:r>
        <w:t>Division 1</w:t>
      </w:r>
      <w:r>
        <w:rPr>
          <w:b w:val="0"/>
        </w:rPr>
        <w:t> — </w:t>
      </w:r>
      <w:r>
        <w:t>Street lighting</w:t>
      </w:r>
    </w:p>
    <w:p>
      <w:pPr>
        <w:pStyle w:val="TOC5"/>
        <w:tabs>
          <w:tab w:val="right" w:leader="dot" w:pos="7077"/>
        </w:tabs>
        <w:rPr>
          <w:rFonts w:asciiTheme="minorHAnsi" w:eastAsiaTheme="minorEastAsia" w:hAnsiTheme="minorHAnsi" w:cstheme="minorBidi"/>
          <w:b w:val="0"/>
          <w:sz w:val="22"/>
          <w:szCs w:val="22"/>
        </w:rPr>
      </w:pPr>
      <w:r>
        <w:t>Division 2</w:t>
      </w:r>
      <w:r>
        <w:rPr>
          <w:b w:val="0"/>
        </w:rPr>
        <w:t> — </w:t>
      </w:r>
      <w:r>
        <w:t>Miscellaneous</w:t>
      </w:r>
    </w:p>
    <w:p>
      <w:pPr>
        <w:pStyle w:val="TOC9"/>
        <w:rPr>
          <w:rFonts w:asciiTheme="minorHAnsi" w:eastAsiaTheme="minorEastAsia" w:hAnsiTheme="minorHAnsi" w:cstheme="minorBidi"/>
          <w:noProof/>
          <w:sz w:val="22"/>
          <w:szCs w:val="22"/>
        </w:rPr>
      </w:pPr>
      <w:r>
        <w:rPr>
          <w:noProof/>
        </w:rPr>
        <w:t>1.</w:t>
      </w:r>
      <w:r>
        <w:rPr>
          <w:noProof/>
        </w:rPr>
        <w:tab/>
        <w:t>Traffic light installation</w:t>
      </w:r>
      <w:r>
        <w:rPr>
          <w:noProof/>
        </w:rPr>
        <w:tab/>
      </w:r>
      <w:r>
        <w:rPr>
          <w:noProof/>
        </w:rPr>
        <w:fldChar w:fldCharType="begin"/>
      </w:r>
      <w:r>
        <w:rPr>
          <w:noProof/>
        </w:rPr>
        <w:instrText xml:space="preserve"> PAGEREF _Toc169170645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Public telephone facility</w:t>
      </w:r>
      <w:r>
        <w:rPr>
          <w:noProof/>
        </w:rPr>
        <w:tab/>
      </w:r>
      <w:r>
        <w:rPr>
          <w:noProof/>
        </w:rPr>
        <w:fldChar w:fldCharType="begin"/>
      </w:r>
      <w:r>
        <w:rPr>
          <w:noProof/>
        </w:rPr>
        <w:instrText xml:space="preserve"> PAGEREF _Toc169170646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Railway crossing</w:t>
      </w:r>
      <w:r>
        <w:rPr>
          <w:noProof/>
        </w:rPr>
        <w:tab/>
      </w:r>
      <w:r>
        <w:rPr>
          <w:noProof/>
        </w:rPr>
        <w:fldChar w:fldCharType="begin"/>
      </w:r>
      <w:r>
        <w:rPr>
          <w:noProof/>
        </w:rPr>
        <w:instrText xml:space="preserve"> PAGEREF _Toc169170647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5.</w:t>
      </w:r>
      <w:r>
        <w:tab/>
        <w:t>Schedule 4 amended</w:t>
      </w:r>
      <w:r>
        <w:tab/>
      </w:r>
      <w:r>
        <w:fldChar w:fldCharType="begin"/>
      </w:r>
      <w:r>
        <w:instrText xml:space="preserve"> PAGEREF _Toc169170648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(Electricity Generation and Retail Corporation) (Charges) Amendment By</w:t>
      </w:r>
      <w:r>
        <w:noBreakHyphen/>
        <w:t>laws 2024</w:t>
      </w:r>
    </w:p>
    <w:p>
      <w:pPr>
        <w:pStyle w:val="MadeBy"/>
      </w:pPr>
      <w:r>
        <w:t>Made by the Electricity Generation and Retail Corporation with the approval of the Governor in Executive Council.</w:t>
      </w:r>
    </w:p>
    <w:p>
      <w:pPr>
        <w:pStyle w:val="Heading5"/>
      </w:pPr>
      <w:bookmarkStart w:id="2" w:name="_Toc169167884"/>
      <w:bookmarkStart w:id="3" w:name="_Toc169170627"/>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by-laws</w:t>
      </w:r>
      <w:r>
        <w:t xml:space="preserve"> are the </w:t>
      </w:r>
      <w:r>
        <w:rPr>
          <w:i/>
        </w:rPr>
        <w:t>Energy Operators (Electricity Generation and Retail Corporation) (Charges) Amendment By</w:t>
      </w:r>
      <w:r>
        <w:rPr>
          <w:i/>
        </w:rPr>
        <w:noBreakHyphen/>
        <w:t>laws 2024</w:t>
      </w:r>
      <w:r>
        <w:t>.</w:t>
      </w:r>
    </w:p>
    <w:p>
      <w:pPr>
        <w:pStyle w:val="Heading5"/>
        <w:rPr>
          <w:spacing w:val="-2"/>
        </w:rPr>
      </w:pPr>
      <w:bookmarkStart w:id="5" w:name="_Toc169167885"/>
      <w:bookmarkStart w:id="6" w:name="_Toc16917062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on the WA legislation website;</w:t>
      </w:r>
    </w:p>
    <w:p>
      <w:pPr>
        <w:pStyle w:val="Indenta"/>
      </w:pPr>
      <w:r>
        <w:tab/>
        <w:t>(b)</w:t>
      </w:r>
      <w:r>
        <w:tab/>
        <w:t xml:space="preserve">the rest of the </w:t>
      </w:r>
      <w:r>
        <w:rPr>
          <w:spacing w:val="-2"/>
        </w:rPr>
        <w:t>by-laws</w:t>
      </w:r>
      <w:r>
        <w:t> — on 1 July 2024.</w:t>
      </w:r>
    </w:p>
    <w:p>
      <w:pPr>
        <w:pStyle w:val="Heading5"/>
        <w:rPr>
          <w:snapToGrid w:val="0"/>
        </w:rPr>
      </w:pPr>
      <w:bookmarkStart w:id="7" w:name="_Toc169167886"/>
      <w:bookmarkStart w:id="8" w:name="_Toc169170629"/>
      <w:r>
        <w:rPr>
          <w:rStyle w:val="CharSectno"/>
        </w:rPr>
        <w:t>3</w:t>
      </w:r>
      <w:r>
        <w:rPr>
          <w:snapToGrid w:val="0"/>
        </w:rPr>
        <w:t>.</w:t>
      </w:r>
      <w:r>
        <w:rPr>
          <w:snapToGrid w:val="0"/>
        </w:rPr>
        <w:tab/>
        <w:t>By-laws amended</w:t>
      </w:r>
      <w:bookmarkEnd w:id="7"/>
      <w:bookmarkEnd w:id="8"/>
    </w:p>
    <w:p>
      <w:pPr>
        <w:pStyle w:val="Subsection"/>
      </w:pPr>
      <w:r>
        <w:tab/>
      </w:r>
      <w:r>
        <w:tab/>
        <w:t xml:space="preserve">These </w:t>
      </w:r>
      <w:r>
        <w:rPr>
          <w:spacing w:val="-2"/>
        </w:rPr>
        <w:t>by-laws amend</w:t>
      </w:r>
      <w:r>
        <w:t xml:space="preserve"> the </w:t>
      </w:r>
      <w:r>
        <w:rPr>
          <w:i/>
        </w:rPr>
        <w:t>Energy Operators (Electricity Generation and Retail Corporation) (Charges) By</w:t>
      </w:r>
      <w:r>
        <w:rPr>
          <w:i/>
        </w:rPr>
        <w:noBreakHyphen/>
        <w:t>laws 2006</w:t>
      </w:r>
      <w:r>
        <w:t>.</w:t>
      </w:r>
    </w:p>
    <w:p>
      <w:pPr>
        <w:pStyle w:val="Heading5"/>
      </w:pPr>
      <w:bookmarkStart w:id="9" w:name="_Toc169167887"/>
      <w:bookmarkStart w:id="10" w:name="_Toc169170630"/>
      <w:r>
        <w:rPr>
          <w:rStyle w:val="CharSectno"/>
        </w:rPr>
        <w:lastRenderedPageBreak/>
        <w:t>4</w:t>
      </w:r>
      <w:r>
        <w:t>.</w:t>
      </w:r>
      <w:r>
        <w:tab/>
        <w:t>Schedules 1 and 2 replaced</w:t>
      </w:r>
      <w:bookmarkEnd w:id="9"/>
      <w:bookmarkEnd w:id="10"/>
    </w:p>
    <w:p>
      <w:pPr>
        <w:pStyle w:val="Subsection"/>
        <w:keepNext/>
      </w:pPr>
      <w:r>
        <w:tab/>
      </w:r>
      <w:r>
        <w:tab/>
        <w:t>Delete Schedules 1 and 2 and insert:</w:t>
      </w:r>
    </w:p>
    <w:p>
      <w:pPr>
        <w:pStyle w:val="BlankOpen"/>
      </w:pPr>
    </w:p>
    <w:p>
      <w:pPr>
        <w:pStyle w:val="zyHeading2"/>
      </w:pPr>
      <w:bookmarkStart w:id="11" w:name="_Toc169167888"/>
      <w:bookmarkStart w:id="12" w:name="_Toc169167983"/>
      <w:bookmarkStart w:id="13" w:name="_Toc169168136"/>
      <w:bookmarkStart w:id="14" w:name="_Toc169168509"/>
      <w:bookmarkStart w:id="15" w:name="_Toc169170340"/>
      <w:bookmarkStart w:id="16" w:name="_Toc169170631"/>
      <w:r>
        <w:t>Schedule 1 — Supply charges</w:t>
      </w:r>
      <w:bookmarkEnd w:id="11"/>
      <w:bookmarkEnd w:id="12"/>
      <w:bookmarkEnd w:id="13"/>
      <w:bookmarkEnd w:id="14"/>
      <w:bookmarkEnd w:id="15"/>
      <w:bookmarkEnd w:id="16"/>
    </w:p>
    <w:p>
      <w:pPr>
        <w:pStyle w:val="zyShoulderClause"/>
        <w:keepNext/>
      </w:pPr>
      <w:r>
        <w:t>[bl. 3, 4(1) and 10(1)]</w:t>
      </w:r>
    </w:p>
    <w:p>
      <w:pPr>
        <w:pStyle w:val="zyHeading5"/>
      </w:pPr>
      <w:bookmarkStart w:id="17" w:name="_Toc169167889"/>
      <w:bookmarkStart w:id="18" w:name="_Toc169170632"/>
      <w:r>
        <w:t>1.</w:t>
      </w:r>
      <w:r>
        <w:tab/>
        <w:t>Tariff L1 (general supply — low/medium voltage tariff)</w:t>
      </w:r>
      <w:bookmarkEnd w:id="17"/>
      <w:bookmarkEnd w:id="18"/>
    </w:p>
    <w:p>
      <w:pPr>
        <w:pStyle w:val="zySubsection"/>
      </w:pPr>
      <w:r>
        <w:tab/>
        <w:t>(1)</w:t>
      </w:r>
      <w:r>
        <w:tab/>
        <w:t>Tariff L1 is available for low/medium voltage supply.</w:t>
      </w:r>
    </w:p>
    <w:p>
      <w:pPr>
        <w:pStyle w:val="zySubsection"/>
      </w:pPr>
      <w:r>
        <w:tab/>
        <w:t>(2)</w:t>
      </w:r>
      <w:r>
        <w:tab/>
        <w:t xml:space="preserve">Tariff L1 comprises — </w:t>
      </w:r>
    </w:p>
    <w:p>
      <w:pPr>
        <w:pStyle w:val="zyIndenta"/>
      </w:pPr>
      <w:r>
        <w:tab/>
        <w:t>(a)</w:t>
      </w:r>
      <w:r>
        <w:tab/>
        <w:t>a fixed charge at the rate of $2.0213 per day; and</w:t>
      </w:r>
    </w:p>
    <w:p>
      <w:pPr>
        <w:pStyle w:val="zyIndenta"/>
      </w:pPr>
      <w:r>
        <w:tab/>
        <w:t>(b)</w:t>
      </w:r>
      <w:r>
        <w:tab/>
        <w:t xml:space="preserve">a charge for metered consumption at the rate of — </w:t>
      </w:r>
    </w:p>
    <w:p>
      <w:pPr>
        <w:pStyle w:val="zyIndenti"/>
      </w:pPr>
      <w:r>
        <w:tab/>
        <w:t>(i)</w:t>
      </w:r>
      <w:r>
        <w:tab/>
        <w:t>31.4548 cents per unit for the first 1 650 units per day; and</w:t>
      </w:r>
    </w:p>
    <w:p>
      <w:pPr>
        <w:pStyle w:val="zyIndenti"/>
      </w:pPr>
      <w:r>
        <w:tab/>
        <w:t>(ii)</w:t>
      </w:r>
      <w:r>
        <w:tab/>
        <w:t>35.4642 cents per unit for all units exceeding 1 650 units per day.</w:t>
      </w:r>
    </w:p>
    <w:p>
      <w:pPr>
        <w:pStyle w:val="zySubsection"/>
      </w:pPr>
      <w:r>
        <w:tab/>
        <w:t>(3)</w:t>
      </w:r>
      <w:r>
        <w:tab/>
        <w:t>Tariff L1 is available subject to the condition that the consumer satisfies the corporation that the amount of electricity supplied to the consumer’s premises will be less than 50 MW hours per annum.</w:t>
      </w:r>
    </w:p>
    <w:p>
      <w:pPr>
        <w:pStyle w:val="zyHeading5"/>
      </w:pPr>
      <w:bookmarkStart w:id="19" w:name="_Toc169167890"/>
      <w:bookmarkStart w:id="20" w:name="_Toc169170633"/>
      <w:r>
        <w:t>2.</w:t>
      </w:r>
      <w:r>
        <w:tab/>
        <w:t>Tariff L3 (general supply — low/medium voltage tariff)</w:t>
      </w:r>
      <w:bookmarkEnd w:id="19"/>
      <w:bookmarkEnd w:id="20"/>
      <w:r>
        <w:t xml:space="preserve"> </w:t>
      </w:r>
    </w:p>
    <w:p>
      <w:pPr>
        <w:pStyle w:val="zySubsection"/>
      </w:pPr>
      <w:r>
        <w:tab/>
        <w:t>(1)</w:t>
      </w:r>
      <w:r>
        <w:tab/>
        <w:t>Tariff L3 is available for low/medium voltage supply.</w:t>
      </w:r>
    </w:p>
    <w:p>
      <w:pPr>
        <w:pStyle w:val="zySubsection"/>
        <w:keepNext/>
      </w:pPr>
      <w:r>
        <w:tab/>
        <w:t>(2)</w:t>
      </w:r>
      <w:r>
        <w:tab/>
        <w:t xml:space="preserve">Tariff L3 comprises — </w:t>
      </w:r>
    </w:p>
    <w:p>
      <w:pPr>
        <w:pStyle w:val="zyIndenta"/>
      </w:pPr>
      <w:r>
        <w:tab/>
        <w:t>(a)</w:t>
      </w:r>
      <w:r>
        <w:tab/>
        <w:t>a fixed charge at the rate of $1.7886 per day; and</w:t>
      </w:r>
    </w:p>
    <w:p>
      <w:pPr>
        <w:pStyle w:val="zyIndenta"/>
      </w:pPr>
      <w:r>
        <w:tab/>
        <w:t>(b)</w:t>
      </w:r>
      <w:r>
        <w:tab/>
        <w:t xml:space="preserve">a charge for metered consumption at the rate of — </w:t>
      </w:r>
    </w:p>
    <w:p>
      <w:pPr>
        <w:pStyle w:val="zyIndenti"/>
      </w:pPr>
      <w:r>
        <w:tab/>
        <w:t>(i)</w:t>
      </w:r>
      <w:r>
        <w:tab/>
        <w:t>36.3291</w:t>
      </w:r>
      <w:r>
        <w:rPr>
          <w:szCs w:val="22"/>
        </w:rPr>
        <w:t xml:space="preserve"> </w:t>
      </w:r>
      <w:r>
        <w:t>cents per unit for the first 1 650 units per day; and</w:t>
      </w:r>
    </w:p>
    <w:p>
      <w:pPr>
        <w:pStyle w:val="zyIndenti"/>
      </w:pPr>
      <w:r>
        <w:tab/>
        <w:t>(ii)</w:t>
      </w:r>
      <w:r>
        <w:tab/>
        <w:t>30.8265</w:t>
      </w:r>
      <w:r>
        <w:rPr>
          <w:szCs w:val="22"/>
        </w:rPr>
        <w:t xml:space="preserve"> </w:t>
      </w:r>
      <w:r>
        <w:t>cents per unit for all units exceeding 1 650 units per day.</w:t>
      </w:r>
    </w:p>
    <w:p>
      <w:pPr>
        <w:pStyle w:val="zySubsection"/>
        <w:keepNext/>
        <w:keepLines/>
      </w:pPr>
      <w:r>
        <w:lastRenderedPageBreak/>
        <w:tab/>
        <w:t>(3)</w:t>
      </w:r>
      <w:r>
        <w:tab/>
        <w:t>Tariff L3 is available subject to the condition that the consumer satisfies the corporation that the amount of electricity supplied to the consumer’s premises will be 50 MW hours or more per annum.</w:t>
      </w:r>
    </w:p>
    <w:p>
      <w:pPr>
        <w:pStyle w:val="zyHeading5"/>
      </w:pPr>
      <w:bookmarkStart w:id="21" w:name="_Toc169167891"/>
      <w:bookmarkStart w:id="22" w:name="_Toc169170634"/>
      <w:r>
        <w:t>3.</w:t>
      </w:r>
      <w:r>
        <w:tab/>
        <w:t>Tariff R1 (time</w:t>
      </w:r>
      <w:r>
        <w:noBreakHyphen/>
        <w:t>of</w:t>
      </w:r>
      <w:r>
        <w:noBreakHyphen/>
        <w:t>use tariff — low/medium voltage tariff)</w:t>
      </w:r>
      <w:bookmarkEnd w:id="21"/>
      <w:bookmarkEnd w:id="22"/>
    </w:p>
    <w:p>
      <w:pPr>
        <w:pStyle w:val="zySubsection"/>
      </w:pPr>
      <w:r>
        <w:tab/>
        <w:t>(1)</w:t>
      </w:r>
      <w:r>
        <w:tab/>
        <w:t>Tariff R1 is available for low/medium voltage supply.</w:t>
      </w:r>
    </w:p>
    <w:p>
      <w:pPr>
        <w:pStyle w:val="zySubsection"/>
      </w:pPr>
      <w:r>
        <w:tab/>
        <w:t>(2)</w:t>
      </w:r>
      <w:r>
        <w:tab/>
        <w:t>Tariff R1 comprises —</w:t>
      </w:r>
    </w:p>
    <w:p>
      <w:pPr>
        <w:pStyle w:val="zyIndenta"/>
      </w:pPr>
      <w:r>
        <w:tab/>
        <w:t>(a)</w:t>
      </w:r>
      <w:r>
        <w:tab/>
        <w:t>a fixed charge at the rate of $3.7796 per day; and</w:t>
      </w:r>
    </w:p>
    <w:p>
      <w:pPr>
        <w:pStyle w:val="zyIndenta"/>
      </w:pPr>
      <w:r>
        <w:tab/>
        <w:t>(b)</w:t>
      </w:r>
      <w:r>
        <w:tab/>
        <w:t>an energy charge consisting of — </w:t>
      </w:r>
    </w:p>
    <w:p>
      <w:pPr>
        <w:pStyle w:val="zyIndenti"/>
      </w:pPr>
      <w:r>
        <w:tab/>
        <w:t>(i)</w:t>
      </w:r>
      <w:r>
        <w:tab/>
        <w:t>an on peak energy charge at the rate of 40.9930 cents per unit; and</w:t>
      </w:r>
    </w:p>
    <w:p>
      <w:pPr>
        <w:pStyle w:val="zyIndenti"/>
      </w:pPr>
      <w:r>
        <w:tab/>
        <w:t>(ii)</w:t>
      </w:r>
      <w:r>
        <w:tab/>
        <w:t>an off peak energy charge at the rate of 12.2978 cents per unit.</w:t>
      </w:r>
    </w:p>
    <w:p>
      <w:pPr>
        <w:pStyle w:val="zySubsection"/>
      </w:pPr>
      <w:r>
        <w:tab/>
        <w:t>(3)</w:t>
      </w:r>
      <w:r>
        <w:tab/>
        <w:t>Tariff R1 is available subject to the following conditions —</w:t>
      </w:r>
    </w:p>
    <w:p>
      <w:pPr>
        <w:pStyle w:val="zyIndenta"/>
      </w:pPr>
      <w:r>
        <w:tab/>
        <w:t>(a)</w:t>
      </w:r>
      <w:r>
        <w:tab/>
        <w:t>the consumer agrees to take the tariff for a minimum period of 12 months;</w:t>
      </w:r>
    </w:p>
    <w:p>
      <w:pPr>
        <w:pStyle w:val="zyIndenta"/>
      </w:pPr>
      <w:r>
        <w:tab/>
        <w:t>(b)</w:t>
      </w:r>
      <w:r>
        <w:tab/>
        <w:t>the consumer pays the fee set out in Schedule 4 item 10;</w:t>
      </w:r>
    </w:p>
    <w:p>
      <w:pPr>
        <w:pStyle w:val="zyIndenta"/>
      </w:pPr>
      <w:r>
        <w:tab/>
        <w:t>(c)</w:t>
      </w:r>
      <w:r>
        <w:tab/>
        <w:t>the consumer satisfies the corporation that the amount of electricity supplied to the consumer’s premises will be less than 50 MW hours per annum.</w:t>
      </w:r>
    </w:p>
    <w:p>
      <w:pPr>
        <w:pStyle w:val="zyHeading5"/>
      </w:pPr>
      <w:bookmarkStart w:id="23" w:name="_Toc169167892"/>
      <w:bookmarkStart w:id="24" w:name="_Toc169170635"/>
      <w:r>
        <w:t>4.</w:t>
      </w:r>
      <w:r>
        <w:tab/>
        <w:t>Tariff R3 (time</w:t>
      </w:r>
      <w:r>
        <w:noBreakHyphen/>
        <w:t>of</w:t>
      </w:r>
      <w:r>
        <w:noBreakHyphen/>
        <w:t>use tariff — low/medium voltage tariff)</w:t>
      </w:r>
      <w:bookmarkEnd w:id="23"/>
      <w:bookmarkEnd w:id="24"/>
    </w:p>
    <w:p>
      <w:pPr>
        <w:pStyle w:val="zySubsection"/>
      </w:pPr>
      <w:r>
        <w:tab/>
        <w:t>(1)</w:t>
      </w:r>
      <w:r>
        <w:tab/>
        <w:t>Tariff R3 is available for low/medium voltage supply.</w:t>
      </w:r>
    </w:p>
    <w:p>
      <w:pPr>
        <w:pStyle w:val="zySubsection"/>
      </w:pPr>
      <w:r>
        <w:tab/>
        <w:t>(2)</w:t>
      </w:r>
      <w:r>
        <w:tab/>
        <w:t>Tariff R3 comprises —</w:t>
      </w:r>
    </w:p>
    <w:p>
      <w:pPr>
        <w:pStyle w:val="zyIndenta"/>
      </w:pPr>
      <w:r>
        <w:tab/>
        <w:t>(a)</w:t>
      </w:r>
      <w:r>
        <w:tab/>
        <w:t xml:space="preserve">a fixed charge at the rate of </w:t>
      </w:r>
      <w:r>
        <w:rPr>
          <w:szCs w:val="22"/>
        </w:rPr>
        <w:t>$3.6995</w:t>
      </w:r>
      <w:r>
        <w:t xml:space="preserve"> per day; and</w:t>
      </w:r>
    </w:p>
    <w:p>
      <w:pPr>
        <w:pStyle w:val="zyIndenta"/>
        <w:keepNext/>
      </w:pPr>
      <w:r>
        <w:tab/>
        <w:t>(b)</w:t>
      </w:r>
      <w:r>
        <w:tab/>
        <w:t>an energy charge consisting of — </w:t>
      </w:r>
    </w:p>
    <w:p>
      <w:pPr>
        <w:pStyle w:val="zyIndenti"/>
      </w:pPr>
      <w:r>
        <w:tab/>
        <w:t>(i)</w:t>
      </w:r>
      <w:r>
        <w:tab/>
        <w:t>an on peak energy charge at the rate of 53.9636</w:t>
      </w:r>
      <w:r>
        <w:rPr>
          <w:szCs w:val="22"/>
        </w:rPr>
        <w:t xml:space="preserve"> </w:t>
      </w:r>
      <w:r>
        <w:t>cents per unit; and</w:t>
      </w:r>
    </w:p>
    <w:p>
      <w:pPr>
        <w:pStyle w:val="zyIndenti"/>
      </w:pPr>
      <w:r>
        <w:lastRenderedPageBreak/>
        <w:tab/>
        <w:t>(ii)</w:t>
      </w:r>
      <w:r>
        <w:tab/>
        <w:t>an off peak energy charge at the rate of 16.2107</w:t>
      </w:r>
      <w:r>
        <w:rPr>
          <w:szCs w:val="22"/>
        </w:rPr>
        <w:t xml:space="preserve"> </w:t>
      </w:r>
      <w:r>
        <w:t>cents per unit.</w:t>
      </w:r>
    </w:p>
    <w:p>
      <w:pPr>
        <w:pStyle w:val="zySubsection"/>
      </w:pPr>
      <w:r>
        <w:tab/>
        <w:t>(3)</w:t>
      </w:r>
      <w:r>
        <w:tab/>
        <w:t>Tariff R3 is available subject to the following conditions —</w:t>
      </w:r>
    </w:p>
    <w:p>
      <w:pPr>
        <w:pStyle w:val="zyIndenta"/>
      </w:pPr>
      <w:r>
        <w:tab/>
        <w:t>(a)</w:t>
      </w:r>
      <w:r>
        <w:tab/>
        <w:t>the consumer agrees to take the tariff for a minimum period of 12 months;</w:t>
      </w:r>
    </w:p>
    <w:p>
      <w:pPr>
        <w:pStyle w:val="zyIndenta"/>
      </w:pPr>
      <w:r>
        <w:tab/>
        <w:t>(b)</w:t>
      </w:r>
      <w:r>
        <w:tab/>
        <w:t>the consumer pays the fee set out in Schedule 4 item 10;</w:t>
      </w:r>
    </w:p>
    <w:p>
      <w:pPr>
        <w:pStyle w:val="zyIndenta"/>
      </w:pPr>
      <w:r>
        <w:tab/>
        <w:t>(c)</w:t>
      </w:r>
      <w:r>
        <w:tab/>
        <w:t>the consumer satisfies the corporation that the amount of electricity supplied to the consumer’s premises will be 50 MW hours or more per annum.</w:t>
      </w:r>
    </w:p>
    <w:p>
      <w:pPr>
        <w:pStyle w:val="zyHeading5"/>
      </w:pPr>
      <w:bookmarkStart w:id="25" w:name="_Toc169167893"/>
      <w:bookmarkStart w:id="26" w:name="_Toc169170636"/>
      <w:r>
        <w:t>5.</w:t>
      </w:r>
      <w:r>
        <w:tab/>
        <w:t>Standby charges</w:t>
      </w:r>
      <w:bookmarkEnd w:id="25"/>
      <w:bookmarkEnd w:id="26"/>
    </w:p>
    <w:p>
      <w:pPr>
        <w:pStyle w:val="zySubsection"/>
      </w:pPr>
      <w:r>
        <w:tab/>
        <w:t>(1)</w:t>
      </w:r>
      <w:r>
        <w:tab/>
        <w:t>Standby charges are applicable to consumers with their own generation and supplied on Tariff L1, L3, R1 or R3 and are payable in addition to those tariffs.</w:t>
      </w:r>
    </w:p>
    <w:p>
      <w:pPr>
        <w:pStyle w:val="z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zySubsection"/>
      </w:pPr>
      <w:r>
        <w:tab/>
        <w:t>(3)</w:t>
      </w:r>
      <w:r>
        <w:tab/>
        <w:t>The normal half</w:t>
      </w:r>
      <w:r>
        <w:noBreakHyphen/>
        <w:t>hourly maximum demand must be assessed by the corporation and based on loading normally supplied from the corporation’s supply.</w:t>
      </w:r>
    </w:p>
    <w:p>
      <w:pPr>
        <w:pStyle w:val="z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z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zySubsection"/>
      </w:pPr>
      <w:r>
        <w:tab/>
        <w:t>(6)</w:t>
      </w:r>
      <w:r>
        <w:tab/>
        <w:t>The difference between total half</w:t>
      </w:r>
      <w:r>
        <w:noBreakHyphen/>
        <w:t>hourly maximum demand and normal half</w:t>
      </w:r>
      <w:r>
        <w:noBreakHyphen/>
        <w:t>hourly maximum demand must not exceed —</w:t>
      </w:r>
    </w:p>
    <w:p>
      <w:pPr>
        <w:pStyle w:val="zyIndenta"/>
      </w:pPr>
      <w:r>
        <w:lastRenderedPageBreak/>
        <w:tab/>
        <w:t>(a)</w:t>
      </w:r>
      <w:r>
        <w:tab/>
        <w:t>the capacity of the consumer’s generation equipment; or</w:t>
      </w:r>
    </w:p>
    <w:p>
      <w:pPr>
        <w:pStyle w:val="zyIndenta"/>
      </w:pPr>
      <w:r>
        <w:tab/>
        <w:t>(b)</w:t>
      </w:r>
      <w:r>
        <w:tab/>
        <w:t>the expected maximum loading of such generation equipment, as assessed by the corporation.</w:t>
      </w:r>
    </w:p>
    <w:p>
      <w:pPr>
        <w:pStyle w:val="zySubsection"/>
        <w:keepNext/>
      </w:pPr>
      <w:r>
        <w:tab/>
        <w:t>(7)</w:t>
      </w:r>
      <w:r>
        <w:tab/>
        <w:t xml:space="preserve">The provision of a standby service is subject to the following conditions — </w:t>
      </w:r>
    </w:p>
    <w:p>
      <w:pPr>
        <w:pStyle w:val="zyIndenta"/>
      </w:pPr>
      <w:r>
        <w:tab/>
        <w:t>(a)</w:t>
      </w:r>
      <w:r>
        <w:tab/>
        <w:t>the consumer must pay for the cost of all additional mains and equipment necessary to provide the standby service;</w:t>
      </w:r>
    </w:p>
    <w:p>
      <w:pPr>
        <w:pStyle w:val="zyIndenta"/>
      </w:pPr>
      <w:r>
        <w:tab/>
        <w:t>(b)</w:t>
      </w:r>
      <w:r>
        <w:tab/>
        <w:t>the standby service agreement must be for a minimum period of 12 months;</w:t>
      </w:r>
    </w:p>
    <w:p>
      <w:pPr>
        <w:pStyle w:val="zyIndenta"/>
      </w:pPr>
      <w:r>
        <w:tab/>
        <w:t>(c)</w:t>
      </w:r>
      <w:r>
        <w:tab/>
        <w:t>the consumer must give 6 months’ notice in writing to the corporation of intention to terminate the standby service agreement.</w:t>
      </w:r>
    </w:p>
    <w:p>
      <w:pPr>
        <w:pStyle w:val="zyHeading5"/>
      </w:pPr>
      <w:bookmarkStart w:id="27" w:name="_Toc169167894"/>
      <w:bookmarkStart w:id="28" w:name="_Toc169170637"/>
      <w:r>
        <w:t>6.</w:t>
      </w:r>
      <w:r>
        <w:tab/>
        <w:t>Tariff A1 (residential tariff)</w:t>
      </w:r>
      <w:bookmarkEnd w:id="27"/>
      <w:bookmarkEnd w:id="28"/>
    </w:p>
    <w:p>
      <w:pPr>
        <w:pStyle w:val="zySubsection"/>
      </w:pPr>
      <w:r>
        <w:tab/>
        <w:t>(1)</w:t>
      </w:r>
      <w:r>
        <w:tab/>
        <w:t>Tariff A1 is available for residential use only.</w:t>
      </w:r>
    </w:p>
    <w:p>
      <w:pPr>
        <w:pStyle w:val="zySubsection"/>
      </w:pPr>
      <w:r>
        <w:tab/>
        <w:t>(2)</w:t>
      </w:r>
      <w:r>
        <w:tab/>
        <w:t xml:space="preserve">Tariff A1 comprises — </w:t>
      </w:r>
    </w:p>
    <w:p>
      <w:pPr>
        <w:pStyle w:val="zyIndenta"/>
      </w:pPr>
      <w:r>
        <w:tab/>
        <w:t>(a)</w:t>
      </w:r>
      <w:r>
        <w:tab/>
        <w:t>a fixed charge at the rate of $1.1322 per day or, for multiple dwellings supplied through 1 metered supply point, a fixed charge at the rate of —</w:t>
      </w:r>
    </w:p>
    <w:p>
      <w:pPr>
        <w:pStyle w:val="zyIndenti"/>
      </w:pPr>
      <w:r>
        <w:tab/>
        <w:t>(i)</w:t>
      </w:r>
      <w:r>
        <w:tab/>
        <w:t>$1.1322 per day for the first dwelling; and</w:t>
      </w:r>
    </w:p>
    <w:p>
      <w:pPr>
        <w:pStyle w:val="zyIndenti"/>
      </w:pPr>
      <w:r>
        <w:tab/>
        <w:t>(ii)</w:t>
      </w:r>
      <w:r>
        <w:tab/>
        <w:t>45.0158 cents per day for each additional dwelling;</w:t>
      </w:r>
    </w:p>
    <w:p>
      <w:pPr>
        <w:pStyle w:val="zyIndenta"/>
      </w:pPr>
      <w:r>
        <w:tab/>
      </w:r>
      <w:r>
        <w:tab/>
        <w:t>and</w:t>
      </w:r>
    </w:p>
    <w:p>
      <w:pPr>
        <w:pStyle w:val="zyIndenta"/>
      </w:pPr>
      <w:r>
        <w:tab/>
        <w:t>(b)</w:t>
      </w:r>
      <w:r>
        <w:tab/>
        <w:t>a charge for metered consumption at the rate of 31.5823 cents per unit.</w:t>
      </w:r>
    </w:p>
    <w:p>
      <w:pPr>
        <w:pStyle w:val="zyHeading5"/>
      </w:pPr>
      <w:bookmarkStart w:id="29" w:name="_Toc169167895"/>
      <w:bookmarkStart w:id="30" w:name="_Toc169170638"/>
      <w:r>
        <w:t>7.</w:t>
      </w:r>
      <w:r>
        <w:tab/>
        <w:t>Tariff B1 (residential water heating tariff)</w:t>
      </w:r>
      <w:bookmarkEnd w:id="29"/>
      <w:bookmarkEnd w:id="30"/>
    </w:p>
    <w:p>
      <w:pPr>
        <w:pStyle w:val="z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pPr>
        <w:pStyle w:val="zySubsection"/>
        <w:keepNext/>
        <w:keepLines/>
      </w:pPr>
      <w:r>
        <w:lastRenderedPageBreak/>
        <w:tab/>
        <w:t>(2)</w:t>
      </w:r>
      <w:r>
        <w:tab/>
        <w:t xml:space="preserve">Tariff B1 comprises — </w:t>
      </w:r>
    </w:p>
    <w:p>
      <w:pPr>
        <w:pStyle w:val="zyIndenta"/>
      </w:pPr>
      <w:r>
        <w:tab/>
        <w:t>(a)</w:t>
      </w:r>
      <w:r>
        <w:tab/>
        <w:t>a fixed charge at the rate of 23.8547 cents per day or, for multiple dwellings supplied through 1 metered supply point, a fixed charge at the rate of 23.8547 cents per day for each dwelling; and</w:t>
      </w:r>
    </w:p>
    <w:p>
      <w:pPr>
        <w:pStyle w:val="zyIndenta"/>
      </w:pPr>
      <w:r>
        <w:tab/>
        <w:t>(b)</w:t>
      </w:r>
      <w:r>
        <w:tab/>
        <w:t>a charge for metered consumption at the rate of 13.1783 cents per unit.</w:t>
      </w:r>
    </w:p>
    <w:p>
      <w:pPr>
        <w:pStyle w:val="zyHeading5"/>
      </w:pPr>
      <w:bookmarkStart w:id="31" w:name="_Toc169167896"/>
      <w:bookmarkStart w:id="32" w:name="_Toc169170639"/>
      <w:r>
        <w:t>8.</w:t>
      </w:r>
      <w:r>
        <w:tab/>
        <w:t>Tariff C1 (special community service tariff)</w:t>
      </w:r>
      <w:bookmarkEnd w:id="31"/>
      <w:bookmarkEnd w:id="32"/>
    </w:p>
    <w:p>
      <w:pPr>
        <w:pStyle w:val="zySubsection"/>
      </w:pPr>
      <w:r>
        <w:tab/>
        <w:t>(1)</w:t>
      </w:r>
      <w:r>
        <w:tab/>
        <w:t>Tariff C1 is available for small voluntary and charitable organisations, subject to the conditions listed in subclause (3).</w:t>
      </w:r>
    </w:p>
    <w:p>
      <w:pPr>
        <w:pStyle w:val="zySubsection"/>
      </w:pPr>
      <w:r>
        <w:tab/>
        <w:t>(2)</w:t>
      </w:r>
      <w:r>
        <w:tab/>
        <w:t xml:space="preserve">Tariff C1 comprises — </w:t>
      </w:r>
    </w:p>
    <w:p>
      <w:pPr>
        <w:pStyle w:val="zyIndenta"/>
      </w:pPr>
      <w:r>
        <w:tab/>
        <w:t>(a)</w:t>
      </w:r>
      <w:r>
        <w:tab/>
        <w:t>a fixed charge at the rate of $1.0927 per day; and</w:t>
      </w:r>
    </w:p>
    <w:p>
      <w:pPr>
        <w:pStyle w:val="zyIndenta"/>
      </w:pPr>
      <w:r>
        <w:tab/>
        <w:t>(b)</w:t>
      </w:r>
      <w:r>
        <w:tab/>
        <w:t xml:space="preserve">a charge for metered consumption at the rate of — </w:t>
      </w:r>
    </w:p>
    <w:p>
      <w:pPr>
        <w:pStyle w:val="zyIndenti"/>
      </w:pPr>
      <w:r>
        <w:tab/>
        <w:t>(i)</w:t>
      </w:r>
      <w:r>
        <w:tab/>
        <w:t>25.5261 cents per unit for the first 20 units per day; and</w:t>
      </w:r>
    </w:p>
    <w:p>
      <w:pPr>
        <w:pStyle w:val="zyIndenti"/>
      </w:pPr>
      <w:r>
        <w:tab/>
        <w:t>(ii)</w:t>
      </w:r>
      <w:r>
        <w:tab/>
        <w:t>27.2347 cents per unit for the next 1 630 units per day; and</w:t>
      </w:r>
    </w:p>
    <w:p>
      <w:pPr>
        <w:pStyle w:val="zyIndenti"/>
      </w:pPr>
      <w:r>
        <w:tab/>
        <w:t>(iii)</w:t>
      </w:r>
      <w:r>
        <w:tab/>
        <w:t>25.9779 cents per unit for all units exceeding 1 650 units per day.</w:t>
      </w:r>
    </w:p>
    <w:p>
      <w:pPr>
        <w:pStyle w:val="zySubsection"/>
      </w:pPr>
      <w:r>
        <w:tab/>
        <w:t>(3)</w:t>
      </w:r>
      <w:r>
        <w:tab/>
        <w:t xml:space="preserve">Tariff C1 is available subject to the following conditions — </w:t>
      </w:r>
    </w:p>
    <w:p>
      <w:pPr>
        <w:pStyle w:val="zyIndenta"/>
      </w:pPr>
      <w:r>
        <w:tab/>
        <w:t>(a)</w:t>
      </w:r>
      <w:r>
        <w:tab/>
        <w:t>the consumer must be a direct customer of the corporation;</w:t>
      </w:r>
    </w:p>
    <w:p>
      <w:pPr>
        <w:pStyle w:val="zyIndenta"/>
      </w:pPr>
      <w:r>
        <w:tab/>
        <w:t>(b)</w:t>
      </w:r>
      <w:r>
        <w:tab/>
        <w:t>the consumer must be a voluntary, non</w:t>
      </w:r>
      <w:r>
        <w:noBreakHyphen/>
        <w:t>profit making organisation;</w:t>
      </w:r>
    </w:p>
    <w:p>
      <w:pPr>
        <w:pStyle w:val="z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zyIndenta"/>
        <w:keepLines/>
      </w:pPr>
      <w:r>
        <w:tab/>
        <w:t>(d)</w:t>
      </w:r>
      <w:r>
        <w:tab/>
        <w:t>the consumer must provide a public service, which is available to any member of the public without discrimination;</w:t>
      </w:r>
    </w:p>
    <w:p>
      <w:pPr>
        <w:pStyle w:val="zyIndenta"/>
      </w:pPr>
      <w:r>
        <w:lastRenderedPageBreak/>
        <w:tab/>
        <w:t>(e)</w:t>
      </w:r>
      <w:r>
        <w:tab/>
        <w:t>the consumer must not be a Commonwealth, State or local government department, instrumentality or agency;</w:t>
      </w:r>
    </w:p>
    <w:p>
      <w:pPr>
        <w:pStyle w:val="zyIndenta"/>
      </w:pPr>
      <w:r>
        <w:tab/>
        <w:t>(f)</w:t>
      </w:r>
      <w:r>
        <w:tab/>
        <w:t>the consumer must not receive the major part of its funding from any entity mentioned in paragraph (e).</w:t>
      </w:r>
    </w:p>
    <w:p>
      <w:pPr>
        <w:pStyle w:val="z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zyHeading5"/>
      </w:pPr>
      <w:bookmarkStart w:id="33" w:name="_Toc169167897"/>
      <w:bookmarkStart w:id="34" w:name="_Toc169170640"/>
      <w:r>
        <w:t>9.</w:t>
      </w:r>
      <w:r>
        <w:tab/>
        <w:t>Tariff D1 (special tariff for certain premises)</w:t>
      </w:r>
      <w:bookmarkEnd w:id="33"/>
      <w:bookmarkEnd w:id="34"/>
    </w:p>
    <w:p>
      <w:pPr>
        <w:pStyle w:val="z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zySubsection"/>
      </w:pPr>
      <w:r>
        <w:tab/>
        <w:t>(2)</w:t>
      </w:r>
      <w:r>
        <w:tab/>
        <w:t xml:space="preserve">Tariff D1 comprises — </w:t>
      </w:r>
    </w:p>
    <w:p>
      <w:pPr>
        <w:pStyle w:val="zyIndenta"/>
      </w:pPr>
      <w:r>
        <w:tab/>
        <w:t>(a)</w:t>
      </w:r>
      <w:r>
        <w:tab/>
        <w:t>a fixed charge at the rate of $1.0776 per day; and</w:t>
      </w:r>
    </w:p>
    <w:p>
      <w:pPr>
        <w:pStyle w:val="zyIndenta"/>
      </w:pPr>
      <w:r>
        <w:tab/>
        <w:t>(b)</w:t>
      </w:r>
      <w:r>
        <w:tab/>
        <w:t>if under subclause (3) there is taken to be more than 1 equivalent domestic residence in the premises, a charge of 39.9536 cents per day for each equivalent domestic residence except the first that is taken to be in the premises; and</w:t>
      </w:r>
    </w:p>
    <w:p>
      <w:pPr>
        <w:pStyle w:val="zyIndenta"/>
      </w:pPr>
      <w:r>
        <w:tab/>
        <w:t>(c)</w:t>
      </w:r>
      <w:r>
        <w:tab/>
        <w:t>a charge for metered consumption at the rate of 27.3798 cents per unit.</w:t>
      </w:r>
    </w:p>
    <w:p>
      <w:pPr>
        <w:pStyle w:val="z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zyHeading5"/>
      </w:pPr>
      <w:bookmarkStart w:id="35" w:name="_Toc169167898"/>
      <w:bookmarkStart w:id="36" w:name="_Toc169170641"/>
      <w:r>
        <w:t>10.</w:t>
      </w:r>
      <w:r>
        <w:tab/>
        <w:t>Tariff K1 (general supply with residential tariff)</w:t>
      </w:r>
      <w:bookmarkEnd w:id="35"/>
      <w:bookmarkEnd w:id="36"/>
    </w:p>
    <w:p>
      <w:pPr>
        <w:pStyle w:val="zySubsection"/>
      </w:pPr>
      <w:r>
        <w:tab/>
        <w:t>(1)</w:t>
      </w:r>
      <w:r>
        <w:tab/>
        <w:t>Tariff K1 is available for premises where the circuit wiring is not separate and the electricity is used partly for general purposes and partly for residential purposes.</w:t>
      </w:r>
    </w:p>
    <w:p>
      <w:pPr>
        <w:pStyle w:val="zySubsection"/>
        <w:keepNext/>
      </w:pPr>
      <w:r>
        <w:lastRenderedPageBreak/>
        <w:tab/>
        <w:t>(2)</w:t>
      </w:r>
      <w:r>
        <w:tab/>
        <w:t xml:space="preserve">Tariff K1 comprises — </w:t>
      </w:r>
    </w:p>
    <w:p>
      <w:pPr>
        <w:pStyle w:val="zyIndenta"/>
      </w:pPr>
      <w:r>
        <w:tab/>
        <w:t>(a)</w:t>
      </w:r>
      <w:r>
        <w:tab/>
        <w:t>a fixed charge at the rate of $1.9979 per day; and</w:t>
      </w:r>
    </w:p>
    <w:p>
      <w:pPr>
        <w:pStyle w:val="zyIndenta"/>
      </w:pPr>
      <w:r>
        <w:tab/>
        <w:t>(b)</w:t>
      </w:r>
      <w:r>
        <w:tab/>
        <w:t>a charge for metered consumption at the rate of —</w:t>
      </w:r>
    </w:p>
    <w:p>
      <w:pPr>
        <w:pStyle w:val="zyIndenti"/>
      </w:pPr>
      <w:r>
        <w:tab/>
        <w:t>(i)</w:t>
      </w:r>
      <w:r>
        <w:tab/>
        <w:t>32.9933 cents per unit for the first 20 units per day; and</w:t>
      </w:r>
    </w:p>
    <w:p>
      <w:pPr>
        <w:pStyle w:val="zyIndenti"/>
      </w:pPr>
      <w:r>
        <w:tab/>
        <w:t>(ii)</w:t>
      </w:r>
      <w:r>
        <w:tab/>
        <w:t>31.0918 cents per unit for the next 1 630 units per day; and</w:t>
      </w:r>
    </w:p>
    <w:p>
      <w:pPr>
        <w:pStyle w:val="zyIndenti"/>
      </w:pPr>
      <w:r>
        <w:tab/>
        <w:t>(iii)</w:t>
      </w:r>
      <w:r>
        <w:tab/>
        <w:t>35.0549 cents per unit for all units exceeding 1 650 units per day.</w:t>
      </w:r>
    </w:p>
    <w:p>
      <w:pPr>
        <w:pStyle w:val="zyHeading2"/>
      </w:pPr>
      <w:bookmarkStart w:id="37" w:name="_Toc169167899"/>
      <w:bookmarkStart w:id="38" w:name="_Toc169167994"/>
      <w:bookmarkStart w:id="39" w:name="_Toc169168147"/>
      <w:bookmarkStart w:id="40" w:name="_Toc169168520"/>
      <w:bookmarkStart w:id="41" w:name="_Toc169170351"/>
      <w:bookmarkStart w:id="42" w:name="_Toc169170642"/>
      <w:r>
        <w:t>Schedule 2 — Unmetered supply</w:t>
      </w:r>
      <w:bookmarkEnd w:id="37"/>
      <w:bookmarkEnd w:id="38"/>
      <w:bookmarkEnd w:id="39"/>
      <w:bookmarkEnd w:id="40"/>
      <w:bookmarkEnd w:id="41"/>
      <w:bookmarkEnd w:id="42"/>
    </w:p>
    <w:p>
      <w:pPr>
        <w:pStyle w:val="zyShoulderClause"/>
      </w:pPr>
      <w:r>
        <w:t>[bl. 4(2) and (3)]</w:t>
      </w:r>
    </w:p>
    <w:p>
      <w:pPr>
        <w:pStyle w:val="zyHeading3"/>
        <w:spacing w:after="120"/>
      </w:pPr>
      <w:bookmarkStart w:id="43" w:name="_Toc169167900"/>
      <w:bookmarkStart w:id="44" w:name="_Toc169167995"/>
      <w:bookmarkStart w:id="45" w:name="_Toc169168148"/>
      <w:bookmarkStart w:id="46" w:name="_Toc169168521"/>
      <w:bookmarkStart w:id="47" w:name="_Toc169170352"/>
      <w:bookmarkStart w:id="48" w:name="_Toc169170643"/>
      <w:r>
        <w:t>Division 1</w:t>
      </w:r>
      <w:r>
        <w:rPr>
          <w:b w:val="0"/>
        </w:rPr>
        <w:t> — </w:t>
      </w:r>
      <w:r>
        <w:t>Street lighting</w:t>
      </w:r>
      <w:bookmarkEnd w:id="43"/>
      <w:bookmarkEnd w:id="44"/>
      <w:bookmarkEnd w:id="45"/>
      <w:bookmarkEnd w:id="46"/>
      <w:bookmarkEnd w:id="47"/>
      <w:bookmarkEnd w:id="48"/>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noWrap/>
          </w:tcPr>
          <w:p>
            <w:pPr>
              <w:pStyle w:val="zyTableNAm"/>
            </w:pPr>
            <w:r>
              <w:rPr>
                <w:b/>
                <w:bCs/>
                <w:sz w:val="16"/>
                <w:szCs w:val="16"/>
              </w:rPr>
              <w:t>Item</w:t>
            </w:r>
          </w:p>
        </w:tc>
        <w:tc>
          <w:tcPr>
            <w:tcW w:w="851" w:type="dxa"/>
            <w:gridSpan w:val="2"/>
            <w:tcBorders>
              <w:top w:val="single" w:sz="4" w:space="0" w:color="auto"/>
              <w:bottom w:val="single" w:sz="4" w:space="0" w:color="auto"/>
            </w:tcBorders>
            <w:noWrap/>
          </w:tcPr>
          <w:p>
            <w:pPr>
              <w:pStyle w:val="zyTableNAm"/>
            </w:pPr>
            <w:r>
              <w:rPr>
                <w:b/>
                <w:bCs/>
                <w:sz w:val="16"/>
                <w:szCs w:val="16"/>
              </w:rPr>
              <w:t>Wattage</w:t>
            </w:r>
          </w:p>
        </w:tc>
        <w:tc>
          <w:tcPr>
            <w:tcW w:w="1142" w:type="dxa"/>
            <w:tcBorders>
              <w:top w:val="single" w:sz="4" w:space="0" w:color="auto"/>
              <w:bottom w:val="single" w:sz="4" w:space="0" w:color="auto"/>
            </w:tcBorders>
            <w:noWrap/>
          </w:tcPr>
          <w:p>
            <w:pPr>
              <w:pStyle w:val="zyTableNAm"/>
            </w:pPr>
            <w:r>
              <w:rPr>
                <w:b/>
                <w:bCs/>
                <w:sz w:val="16"/>
                <w:szCs w:val="16"/>
              </w:rPr>
              <w:t>Type</w:t>
            </w:r>
          </w:p>
        </w:tc>
        <w:tc>
          <w:tcPr>
            <w:tcW w:w="1362" w:type="dxa"/>
            <w:gridSpan w:val="3"/>
            <w:tcBorders>
              <w:top w:val="single" w:sz="4" w:space="0" w:color="auto"/>
              <w:bottom w:val="single" w:sz="4" w:space="0" w:color="auto"/>
            </w:tcBorders>
            <w:noWrap/>
          </w:tcPr>
          <w:p>
            <w:pPr>
              <w:pStyle w:val="z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z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z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noWrap/>
          </w:tcPr>
          <w:p>
            <w:pPr>
              <w:pStyle w:val="zyTableNAm"/>
            </w:pPr>
            <w:r>
              <w:rPr>
                <w:b/>
                <w:i/>
                <w:iCs/>
                <w:sz w:val="16"/>
                <w:szCs w:val="16"/>
              </w:rPr>
              <w:t>Street lighting on current offer and for existing services</w:t>
            </w:r>
          </w:p>
        </w:tc>
      </w:tr>
      <w:tr>
        <w:trPr>
          <w:cantSplit/>
        </w:trPr>
        <w:tc>
          <w:tcPr>
            <w:tcW w:w="567" w:type="dxa"/>
            <w:noWrap/>
          </w:tcPr>
          <w:p>
            <w:pPr>
              <w:pStyle w:val="zyTableNAm"/>
              <w:rPr>
                <w:sz w:val="18"/>
                <w:szCs w:val="18"/>
              </w:rPr>
            </w:pPr>
            <w:r>
              <w:rPr>
                <w:sz w:val="18"/>
                <w:szCs w:val="18"/>
              </w:rPr>
              <w:t>Z.01</w:t>
            </w:r>
          </w:p>
        </w:tc>
        <w:tc>
          <w:tcPr>
            <w:tcW w:w="709" w:type="dxa"/>
            <w:noWrap/>
          </w:tcPr>
          <w:p>
            <w:pPr>
              <w:pStyle w:val="zyTableNAm"/>
              <w:rPr>
                <w:sz w:val="18"/>
                <w:szCs w:val="18"/>
              </w:rPr>
            </w:pPr>
            <w:r>
              <w:rPr>
                <w:sz w:val="18"/>
                <w:szCs w:val="18"/>
              </w:rPr>
              <w:t>50</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35.4400</w:t>
            </w:r>
          </w:p>
        </w:tc>
        <w:tc>
          <w:tcPr>
            <w:tcW w:w="1512" w:type="dxa"/>
            <w:noWrap/>
          </w:tcPr>
          <w:p>
            <w:pPr>
              <w:pStyle w:val="zyTableNAm"/>
              <w:jc w:val="right"/>
              <w:rPr>
                <w:sz w:val="18"/>
                <w:szCs w:val="18"/>
              </w:rPr>
            </w:pPr>
            <w:r>
              <w:rPr>
                <w:sz w:val="18"/>
                <w:szCs w:val="18"/>
              </w:rPr>
              <w:t>36.6269</w:t>
            </w:r>
          </w:p>
        </w:tc>
        <w:tc>
          <w:tcPr>
            <w:tcW w:w="1370" w:type="dxa"/>
            <w:noWrap/>
          </w:tcPr>
          <w:p>
            <w:pPr>
              <w:pStyle w:val="zyTableNAm"/>
              <w:jc w:val="right"/>
              <w:rPr>
                <w:sz w:val="18"/>
                <w:szCs w:val="18"/>
              </w:rPr>
            </w:pPr>
            <w:r>
              <w:rPr>
                <w:sz w:val="18"/>
                <w:szCs w:val="18"/>
              </w:rPr>
              <w:t>41.1372</w:t>
            </w:r>
          </w:p>
        </w:tc>
      </w:tr>
      <w:tr>
        <w:trPr>
          <w:cantSplit/>
        </w:trPr>
        <w:tc>
          <w:tcPr>
            <w:tcW w:w="567" w:type="dxa"/>
            <w:noWrap/>
          </w:tcPr>
          <w:p>
            <w:pPr>
              <w:pStyle w:val="zyTableNAm"/>
              <w:rPr>
                <w:sz w:val="18"/>
                <w:szCs w:val="18"/>
              </w:rPr>
            </w:pPr>
            <w:r>
              <w:rPr>
                <w:sz w:val="18"/>
                <w:szCs w:val="18"/>
              </w:rPr>
              <w:t>Z.02</w:t>
            </w:r>
          </w:p>
        </w:tc>
        <w:tc>
          <w:tcPr>
            <w:tcW w:w="709" w:type="dxa"/>
            <w:noWrap/>
          </w:tcPr>
          <w:p>
            <w:pPr>
              <w:pStyle w:val="zyTableNAm"/>
              <w:rPr>
                <w:sz w:val="18"/>
                <w:szCs w:val="18"/>
              </w:rPr>
            </w:pPr>
            <w:r>
              <w:rPr>
                <w:sz w:val="18"/>
                <w:szCs w:val="18"/>
              </w:rPr>
              <w:t>80</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45.7818</w:t>
            </w:r>
          </w:p>
        </w:tc>
        <w:tc>
          <w:tcPr>
            <w:tcW w:w="1512" w:type="dxa"/>
            <w:noWrap/>
          </w:tcPr>
          <w:p>
            <w:pPr>
              <w:pStyle w:val="zyTableNAm"/>
              <w:jc w:val="right"/>
              <w:rPr>
                <w:sz w:val="18"/>
                <w:szCs w:val="18"/>
              </w:rPr>
            </w:pPr>
            <w:r>
              <w:rPr>
                <w:sz w:val="18"/>
                <w:szCs w:val="18"/>
              </w:rPr>
              <w:t>47.6809</w:t>
            </w:r>
          </w:p>
        </w:tc>
        <w:tc>
          <w:tcPr>
            <w:tcW w:w="1370" w:type="dxa"/>
            <w:noWrap/>
          </w:tcPr>
          <w:p>
            <w:pPr>
              <w:pStyle w:val="zyTableNAm"/>
              <w:jc w:val="right"/>
              <w:rPr>
                <w:sz w:val="18"/>
                <w:szCs w:val="18"/>
              </w:rPr>
            </w:pPr>
            <w:r>
              <w:rPr>
                <w:sz w:val="18"/>
                <w:szCs w:val="18"/>
              </w:rPr>
              <w:t>54.8974</w:t>
            </w:r>
          </w:p>
        </w:tc>
      </w:tr>
      <w:tr>
        <w:trPr>
          <w:cantSplit/>
        </w:trPr>
        <w:tc>
          <w:tcPr>
            <w:tcW w:w="567" w:type="dxa"/>
            <w:noWrap/>
          </w:tcPr>
          <w:p>
            <w:pPr>
              <w:pStyle w:val="zyTableNAm"/>
              <w:rPr>
                <w:sz w:val="18"/>
                <w:szCs w:val="18"/>
              </w:rPr>
            </w:pPr>
            <w:r>
              <w:rPr>
                <w:sz w:val="18"/>
                <w:szCs w:val="18"/>
              </w:rPr>
              <w:t>Z.03</w:t>
            </w:r>
          </w:p>
        </w:tc>
        <w:tc>
          <w:tcPr>
            <w:tcW w:w="709" w:type="dxa"/>
            <w:noWrap/>
          </w:tcPr>
          <w:p>
            <w:pPr>
              <w:pStyle w:val="zyTableNAm"/>
              <w:rPr>
                <w:sz w:val="18"/>
                <w:szCs w:val="18"/>
              </w:rPr>
            </w:pPr>
            <w:r>
              <w:rPr>
                <w:sz w:val="18"/>
                <w:szCs w:val="18"/>
              </w:rPr>
              <w:t>125</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56.2423</w:t>
            </w:r>
          </w:p>
        </w:tc>
        <w:tc>
          <w:tcPr>
            <w:tcW w:w="1512" w:type="dxa"/>
            <w:noWrap/>
          </w:tcPr>
          <w:p>
            <w:pPr>
              <w:pStyle w:val="zyTableNAm"/>
              <w:jc w:val="right"/>
              <w:rPr>
                <w:sz w:val="18"/>
                <w:szCs w:val="18"/>
              </w:rPr>
            </w:pPr>
            <w:r>
              <w:rPr>
                <w:sz w:val="18"/>
                <w:szCs w:val="18"/>
              </w:rPr>
              <w:t>59.2096</w:t>
            </w:r>
          </w:p>
        </w:tc>
        <w:tc>
          <w:tcPr>
            <w:tcW w:w="1370" w:type="dxa"/>
            <w:noWrap/>
          </w:tcPr>
          <w:p>
            <w:pPr>
              <w:pStyle w:val="zyTableNAm"/>
              <w:jc w:val="right"/>
              <w:rPr>
                <w:sz w:val="18"/>
                <w:szCs w:val="18"/>
              </w:rPr>
            </w:pPr>
            <w:r>
              <w:rPr>
                <w:sz w:val="18"/>
                <w:szCs w:val="18"/>
              </w:rPr>
              <w:t>70.4854</w:t>
            </w:r>
          </w:p>
        </w:tc>
      </w:tr>
      <w:tr>
        <w:trPr>
          <w:cantSplit/>
        </w:trPr>
        <w:tc>
          <w:tcPr>
            <w:tcW w:w="567" w:type="dxa"/>
            <w:noWrap/>
          </w:tcPr>
          <w:p>
            <w:pPr>
              <w:pStyle w:val="zyTableNAm"/>
              <w:rPr>
                <w:sz w:val="18"/>
                <w:szCs w:val="18"/>
              </w:rPr>
            </w:pPr>
            <w:r>
              <w:rPr>
                <w:sz w:val="18"/>
                <w:szCs w:val="18"/>
              </w:rPr>
              <w:t>Z.07</w:t>
            </w:r>
          </w:p>
        </w:tc>
        <w:tc>
          <w:tcPr>
            <w:tcW w:w="709" w:type="dxa"/>
            <w:noWrap/>
          </w:tcPr>
          <w:p>
            <w:pPr>
              <w:pStyle w:val="zyTableNAm"/>
              <w:rPr>
                <w:sz w:val="18"/>
                <w:szCs w:val="18"/>
              </w:rPr>
            </w:pPr>
            <w:r>
              <w:rPr>
                <w:sz w:val="18"/>
                <w:szCs w:val="18"/>
              </w:rPr>
              <w:t>250</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80.6260</w:t>
            </w:r>
          </w:p>
        </w:tc>
        <w:tc>
          <w:tcPr>
            <w:tcW w:w="1512" w:type="dxa"/>
            <w:noWrap/>
          </w:tcPr>
          <w:p>
            <w:pPr>
              <w:pStyle w:val="zyTableNAm"/>
              <w:jc w:val="right"/>
              <w:rPr>
                <w:sz w:val="18"/>
                <w:szCs w:val="18"/>
              </w:rPr>
            </w:pPr>
            <w:r>
              <w:rPr>
                <w:sz w:val="18"/>
                <w:szCs w:val="18"/>
              </w:rPr>
              <w:t>86.5607</w:t>
            </w:r>
          </w:p>
        </w:tc>
        <w:tc>
          <w:tcPr>
            <w:tcW w:w="1370" w:type="dxa"/>
            <w:noWrap/>
          </w:tcPr>
          <w:p>
            <w:pPr>
              <w:pStyle w:val="zyTableNAm"/>
              <w:jc w:val="right"/>
              <w:rPr>
                <w:sz w:val="18"/>
                <w:szCs w:val="18"/>
              </w:rPr>
            </w:pPr>
            <w:r>
              <w:rPr>
                <w:sz w:val="18"/>
                <w:szCs w:val="18"/>
              </w:rPr>
              <w:t>109.1123</w:t>
            </w:r>
          </w:p>
        </w:tc>
      </w:tr>
      <w:tr>
        <w:trPr>
          <w:cantSplit/>
        </w:trPr>
        <w:tc>
          <w:tcPr>
            <w:tcW w:w="567" w:type="dxa"/>
            <w:noWrap/>
          </w:tcPr>
          <w:p>
            <w:pPr>
              <w:pStyle w:val="zyTableNAm"/>
              <w:rPr>
                <w:sz w:val="18"/>
                <w:szCs w:val="18"/>
              </w:rPr>
            </w:pPr>
            <w:r>
              <w:rPr>
                <w:sz w:val="18"/>
                <w:szCs w:val="18"/>
              </w:rPr>
              <w:t>Z.10</w:t>
            </w:r>
          </w:p>
        </w:tc>
        <w:tc>
          <w:tcPr>
            <w:tcW w:w="709" w:type="dxa"/>
            <w:noWrap/>
          </w:tcPr>
          <w:p>
            <w:pPr>
              <w:pStyle w:val="zyTableNAm"/>
              <w:rPr>
                <w:sz w:val="18"/>
                <w:szCs w:val="18"/>
              </w:rPr>
            </w:pPr>
            <w:r>
              <w:rPr>
                <w:sz w:val="18"/>
                <w:szCs w:val="18"/>
              </w:rPr>
              <w:t>400</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93.4760</w:t>
            </w:r>
          </w:p>
        </w:tc>
        <w:tc>
          <w:tcPr>
            <w:tcW w:w="1512" w:type="dxa"/>
            <w:noWrap/>
          </w:tcPr>
          <w:p>
            <w:pPr>
              <w:pStyle w:val="zyTableNAm"/>
              <w:jc w:val="right"/>
              <w:rPr>
                <w:sz w:val="18"/>
                <w:szCs w:val="18"/>
              </w:rPr>
            </w:pPr>
            <w:r>
              <w:rPr>
                <w:sz w:val="18"/>
                <w:szCs w:val="18"/>
              </w:rPr>
              <w:t>97.2915</w:t>
            </w:r>
          </w:p>
        </w:tc>
        <w:tc>
          <w:tcPr>
            <w:tcW w:w="1370" w:type="dxa"/>
            <w:noWrap/>
          </w:tcPr>
          <w:p>
            <w:pPr>
              <w:pStyle w:val="zyTableNAm"/>
              <w:jc w:val="right"/>
              <w:rPr>
                <w:sz w:val="18"/>
                <w:szCs w:val="18"/>
              </w:rPr>
            </w:pPr>
            <w:r>
              <w:rPr>
                <w:sz w:val="18"/>
                <w:szCs w:val="18"/>
              </w:rPr>
              <w:t>143.6359</w:t>
            </w:r>
          </w:p>
        </w:tc>
      </w:tr>
      <w:tr>
        <w:trPr>
          <w:cantSplit/>
        </w:trPr>
        <w:tc>
          <w:tcPr>
            <w:tcW w:w="567" w:type="dxa"/>
            <w:noWrap/>
          </w:tcPr>
          <w:p>
            <w:pPr>
              <w:pStyle w:val="zyTableNAm"/>
              <w:rPr>
                <w:sz w:val="18"/>
                <w:szCs w:val="18"/>
              </w:rPr>
            </w:pPr>
            <w:r>
              <w:rPr>
                <w:sz w:val="18"/>
                <w:szCs w:val="18"/>
              </w:rPr>
              <w:t>Z.13</w:t>
            </w:r>
          </w:p>
        </w:tc>
        <w:tc>
          <w:tcPr>
            <w:tcW w:w="709" w:type="dxa"/>
            <w:noWrap/>
          </w:tcPr>
          <w:p>
            <w:pPr>
              <w:pStyle w:val="zyTableNAm"/>
              <w:rPr>
                <w:sz w:val="18"/>
                <w:szCs w:val="18"/>
              </w:rPr>
            </w:pPr>
            <w:r>
              <w:rPr>
                <w:sz w:val="18"/>
                <w:szCs w:val="18"/>
              </w:rPr>
              <w:t>150</w:t>
            </w:r>
          </w:p>
        </w:tc>
        <w:tc>
          <w:tcPr>
            <w:tcW w:w="1417" w:type="dxa"/>
            <w:gridSpan w:val="4"/>
            <w:noWrap/>
          </w:tcPr>
          <w:p>
            <w:pPr>
              <w:pStyle w:val="zyTableNAm"/>
              <w:rPr>
                <w:sz w:val="18"/>
                <w:szCs w:val="18"/>
              </w:rPr>
            </w:pPr>
            <w:r>
              <w:rPr>
                <w:sz w:val="18"/>
                <w:szCs w:val="18"/>
              </w:rPr>
              <w:t>High pressure sodium</w:t>
            </w:r>
          </w:p>
        </w:tc>
        <w:tc>
          <w:tcPr>
            <w:tcW w:w="1229" w:type="dxa"/>
            <w:noWrap/>
          </w:tcPr>
          <w:p>
            <w:pPr>
              <w:pStyle w:val="zyTableNAm"/>
              <w:jc w:val="right"/>
              <w:rPr>
                <w:sz w:val="18"/>
                <w:szCs w:val="18"/>
              </w:rPr>
            </w:pPr>
            <w:r>
              <w:rPr>
                <w:sz w:val="18"/>
                <w:szCs w:val="18"/>
              </w:rPr>
              <w:t>61.7481</w:t>
            </w:r>
          </w:p>
        </w:tc>
        <w:tc>
          <w:tcPr>
            <w:tcW w:w="1512" w:type="dxa"/>
            <w:noWrap/>
          </w:tcPr>
          <w:p>
            <w:pPr>
              <w:pStyle w:val="zyTableNAm"/>
              <w:jc w:val="right"/>
              <w:rPr>
                <w:sz w:val="18"/>
                <w:szCs w:val="18"/>
              </w:rPr>
            </w:pPr>
            <w:r>
              <w:rPr>
                <w:sz w:val="18"/>
                <w:szCs w:val="18"/>
              </w:rPr>
              <w:t>65.3090</w:t>
            </w:r>
          </w:p>
        </w:tc>
        <w:tc>
          <w:tcPr>
            <w:tcW w:w="1370" w:type="dxa"/>
            <w:noWrap/>
          </w:tcPr>
          <w:p>
            <w:pPr>
              <w:pStyle w:val="zyTableNAm"/>
              <w:jc w:val="right"/>
              <w:rPr>
                <w:sz w:val="18"/>
                <w:szCs w:val="18"/>
              </w:rPr>
            </w:pPr>
            <w:r>
              <w:rPr>
                <w:sz w:val="18"/>
                <w:szCs w:val="18"/>
              </w:rPr>
              <w:t>78.8397</w:t>
            </w:r>
          </w:p>
        </w:tc>
      </w:tr>
      <w:tr>
        <w:trPr>
          <w:cantSplit/>
        </w:trPr>
        <w:tc>
          <w:tcPr>
            <w:tcW w:w="567" w:type="dxa"/>
            <w:noWrap/>
          </w:tcPr>
          <w:p>
            <w:pPr>
              <w:pStyle w:val="zyTableNAm"/>
              <w:rPr>
                <w:sz w:val="18"/>
                <w:szCs w:val="18"/>
              </w:rPr>
            </w:pPr>
            <w:r>
              <w:rPr>
                <w:sz w:val="18"/>
                <w:szCs w:val="18"/>
              </w:rPr>
              <w:t>Z.15</w:t>
            </w:r>
          </w:p>
        </w:tc>
        <w:tc>
          <w:tcPr>
            <w:tcW w:w="709" w:type="dxa"/>
            <w:noWrap/>
          </w:tcPr>
          <w:p>
            <w:pPr>
              <w:pStyle w:val="zyTableNAm"/>
              <w:rPr>
                <w:sz w:val="18"/>
                <w:szCs w:val="18"/>
              </w:rPr>
            </w:pPr>
            <w:r>
              <w:rPr>
                <w:sz w:val="18"/>
                <w:szCs w:val="18"/>
              </w:rPr>
              <w:t>250</w:t>
            </w:r>
          </w:p>
        </w:tc>
        <w:tc>
          <w:tcPr>
            <w:tcW w:w="1417" w:type="dxa"/>
            <w:gridSpan w:val="4"/>
            <w:noWrap/>
          </w:tcPr>
          <w:p>
            <w:pPr>
              <w:pStyle w:val="zyTableNAm"/>
              <w:rPr>
                <w:sz w:val="18"/>
                <w:szCs w:val="18"/>
              </w:rPr>
            </w:pPr>
            <w:r>
              <w:rPr>
                <w:sz w:val="18"/>
                <w:szCs w:val="18"/>
              </w:rPr>
              <w:t>High pressure sodium</w:t>
            </w:r>
          </w:p>
        </w:tc>
        <w:tc>
          <w:tcPr>
            <w:tcW w:w="1229" w:type="dxa"/>
            <w:noWrap/>
          </w:tcPr>
          <w:p>
            <w:pPr>
              <w:pStyle w:val="zyTableNAm"/>
              <w:jc w:val="right"/>
              <w:rPr>
                <w:sz w:val="18"/>
                <w:szCs w:val="18"/>
              </w:rPr>
            </w:pPr>
            <w:r>
              <w:rPr>
                <w:sz w:val="18"/>
                <w:szCs w:val="18"/>
              </w:rPr>
              <w:t>71.8322</w:t>
            </w:r>
          </w:p>
        </w:tc>
        <w:tc>
          <w:tcPr>
            <w:tcW w:w="1512" w:type="dxa"/>
            <w:noWrap/>
          </w:tcPr>
          <w:p>
            <w:pPr>
              <w:pStyle w:val="zyTableNAm"/>
              <w:jc w:val="right"/>
              <w:rPr>
                <w:sz w:val="18"/>
                <w:szCs w:val="18"/>
              </w:rPr>
            </w:pPr>
            <w:r>
              <w:rPr>
                <w:sz w:val="18"/>
                <w:szCs w:val="18"/>
              </w:rPr>
              <w:t>77.7669</w:t>
            </w:r>
          </w:p>
        </w:tc>
        <w:tc>
          <w:tcPr>
            <w:tcW w:w="1370" w:type="dxa"/>
            <w:noWrap/>
          </w:tcPr>
          <w:p>
            <w:pPr>
              <w:pStyle w:val="zyTableNAm"/>
              <w:jc w:val="right"/>
              <w:rPr>
                <w:sz w:val="18"/>
                <w:szCs w:val="18"/>
              </w:rPr>
            </w:pPr>
            <w:r>
              <w:rPr>
                <w:sz w:val="18"/>
                <w:szCs w:val="18"/>
              </w:rPr>
              <w:t>100.3185</w:t>
            </w:r>
          </w:p>
        </w:tc>
      </w:tr>
      <w:tr>
        <w:trPr>
          <w:cantSplit/>
        </w:trPr>
        <w:tc>
          <w:tcPr>
            <w:tcW w:w="567" w:type="dxa"/>
            <w:noWrap/>
          </w:tcPr>
          <w:p>
            <w:pPr>
              <w:pStyle w:val="zyTableNAm"/>
              <w:rPr>
                <w:sz w:val="18"/>
                <w:szCs w:val="18"/>
              </w:rPr>
            </w:pPr>
            <w:r>
              <w:rPr>
                <w:sz w:val="18"/>
                <w:szCs w:val="18"/>
              </w:rPr>
              <w:t>Z.18</w:t>
            </w:r>
          </w:p>
        </w:tc>
        <w:tc>
          <w:tcPr>
            <w:tcW w:w="709" w:type="dxa"/>
            <w:noWrap/>
          </w:tcPr>
          <w:p>
            <w:pPr>
              <w:pStyle w:val="zyTableNAm"/>
              <w:rPr>
                <w:sz w:val="18"/>
                <w:szCs w:val="18"/>
              </w:rPr>
            </w:pPr>
            <w:r>
              <w:rPr>
                <w:sz w:val="18"/>
                <w:szCs w:val="18"/>
              </w:rPr>
              <w:t>per kW</w:t>
            </w:r>
          </w:p>
        </w:tc>
        <w:tc>
          <w:tcPr>
            <w:tcW w:w="1417" w:type="dxa"/>
            <w:gridSpan w:val="4"/>
            <w:noWrap/>
          </w:tcPr>
          <w:p>
            <w:pPr>
              <w:pStyle w:val="zyTableNAm"/>
              <w:rPr>
                <w:sz w:val="18"/>
                <w:szCs w:val="18"/>
              </w:rPr>
            </w:pPr>
            <w:r>
              <w:rPr>
                <w:sz w:val="18"/>
                <w:szCs w:val="18"/>
              </w:rPr>
              <w:t>Auxiliary lighting in public places</w:t>
            </w:r>
          </w:p>
        </w:tc>
        <w:tc>
          <w:tcPr>
            <w:tcW w:w="1229" w:type="dxa"/>
            <w:noWrap/>
          </w:tcPr>
          <w:p>
            <w:pPr>
              <w:pStyle w:val="zyTableNAm"/>
              <w:jc w:val="right"/>
              <w:rPr>
                <w:sz w:val="18"/>
                <w:szCs w:val="18"/>
              </w:rPr>
            </w:pPr>
            <w:r>
              <w:rPr>
                <w:sz w:val="18"/>
                <w:szCs w:val="18"/>
              </w:rPr>
              <w:t>Not applicable</w:t>
            </w:r>
          </w:p>
        </w:tc>
        <w:tc>
          <w:tcPr>
            <w:tcW w:w="1512" w:type="dxa"/>
            <w:noWrap/>
          </w:tcPr>
          <w:p>
            <w:pPr>
              <w:pStyle w:val="zyTableNAm"/>
              <w:jc w:val="right"/>
              <w:rPr>
                <w:sz w:val="18"/>
                <w:szCs w:val="18"/>
              </w:rPr>
            </w:pPr>
            <w:r>
              <w:rPr>
                <w:sz w:val="18"/>
                <w:szCs w:val="18"/>
              </w:rPr>
              <w:t>Not applicable</w:t>
            </w:r>
          </w:p>
        </w:tc>
        <w:tc>
          <w:tcPr>
            <w:tcW w:w="1370" w:type="dxa"/>
            <w:noWrap/>
          </w:tcPr>
          <w:p>
            <w:pPr>
              <w:pStyle w:val="zyTableNAm"/>
              <w:jc w:val="right"/>
              <w:rPr>
                <w:sz w:val="18"/>
                <w:szCs w:val="18"/>
              </w:rPr>
            </w:pPr>
            <w:r>
              <w:rPr>
                <w:sz w:val="18"/>
                <w:szCs w:val="18"/>
              </w:rPr>
              <w:t>314.3270</w:t>
            </w:r>
          </w:p>
        </w:tc>
      </w:tr>
      <w:tr>
        <w:trPr>
          <w:cantSplit/>
        </w:trPr>
        <w:tc>
          <w:tcPr>
            <w:tcW w:w="6804" w:type="dxa"/>
            <w:gridSpan w:val="9"/>
            <w:noWrap/>
          </w:tcPr>
          <w:p>
            <w:pPr>
              <w:pStyle w:val="zyTableNAm"/>
              <w:keepNext/>
              <w:keepLines/>
            </w:pPr>
            <w:r>
              <w:rPr>
                <w:b/>
                <w:i/>
                <w:iCs/>
                <w:sz w:val="16"/>
                <w:szCs w:val="16"/>
              </w:rPr>
              <w:t>Street lighting for existing services only</w:t>
            </w:r>
          </w:p>
        </w:tc>
      </w:tr>
      <w:tr>
        <w:trPr>
          <w:cantSplit/>
        </w:trPr>
        <w:tc>
          <w:tcPr>
            <w:tcW w:w="567" w:type="dxa"/>
            <w:noWrap/>
          </w:tcPr>
          <w:p>
            <w:pPr>
              <w:pStyle w:val="zyTableNAm"/>
              <w:rPr>
                <w:sz w:val="18"/>
                <w:szCs w:val="18"/>
              </w:rPr>
            </w:pPr>
            <w:r>
              <w:rPr>
                <w:sz w:val="18"/>
                <w:szCs w:val="18"/>
              </w:rPr>
              <w:t>Z.52</w:t>
            </w:r>
          </w:p>
        </w:tc>
        <w:tc>
          <w:tcPr>
            <w:tcW w:w="851" w:type="dxa"/>
            <w:gridSpan w:val="2"/>
            <w:noWrap/>
          </w:tcPr>
          <w:p>
            <w:pPr>
              <w:pStyle w:val="zyTableNAm"/>
              <w:rPr>
                <w:sz w:val="18"/>
                <w:szCs w:val="18"/>
              </w:rPr>
            </w:pPr>
            <w:r>
              <w:rPr>
                <w:sz w:val="18"/>
                <w:szCs w:val="18"/>
              </w:rPr>
              <w:t>100</w:t>
            </w:r>
          </w:p>
        </w:tc>
        <w:tc>
          <w:tcPr>
            <w:tcW w:w="1205" w:type="dxa"/>
            <w:gridSpan w:val="2"/>
            <w:noWrap/>
          </w:tcPr>
          <w:p>
            <w:pPr>
              <w:pStyle w:val="zyTableNAm"/>
              <w:rPr>
                <w:sz w:val="18"/>
                <w:szCs w:val="18"/>
              </w:rPr>
            </w:pPr>
            <w:r>
              <w:rPr>
                <w:sz w:val="18"/>
                <w:szCs w:val="18"/>
              </w:rPr>
              <w:t>Incandescent</w:t>
            </w:r>
          </w:p>
        </w:tc>
        <w:tc>
          <w:tcPr>
            <w:tcW w:w="1299" w:type="dxa"/>
            <w:gridSpan w:val="2"/>
            <w:noWrap/>
          </w:tcPr>
          <w:p>
            <w:pPr>
              <w:pStyle w:val="zyTableNAm"/>
              <w:jc w:val="right"/>
              <w:rPr>
                <w:sz w:val="18"/>
                <w:szCs w:val="18"/>
              </w:rPr>
            </w:pPr>
            <w:r>
              <w:rPr>
                <w:sz w:val="18"/>
                <w:szCs w:val="18"/>
              </w:rPr>
              <w:t>40.4820</w:t>
            </w:r>
          </w:p>
        </w:tc>
        <w:tc>
          <w:tcPr>
            <w:tcW w:w="1512" w:type="dxa"/>
            <w:noWrap/>
          </w:tcPr>
          <w:p>
            <w:pPr>
              <w:pStyle w:val="zyTableNAm"/>
              <w:jc w:val="right"/>
              <w:rPr>
                <w:sz w:val="18"/>
                <w:szCs w:val="18"/>
              </w:rPr>
            </w:pPr>
            <w:r>
              <w:rPr>
                <w:sz w:val="18"/>
                <w:szCs w:val="18"/>
              </w:rPr>
              <w:t>42.1674</w:t>
            </w:r>
          </w:p>
        </w:tc>
        <w:tc>
          <w:tcPr>
            <w:tcW w:w="1370" w:type="dxa"/>
            <w:noWrap/>
          </w:tcPr>
          <w:p>
            <w:pPr>
              <w:pStyle w:val="zyTableNAm"/>
              <w:jc w:val="right"/>
              <w:rPr>
                <w:sz w:val="18"/>
                <w:szCs w:val="18"/>
              </w:rPr>
            </w:pPr>
            <w:r>
              <w:rPr>
                <w:sz w:val="18"/>
                <w:szCs w:val="18"/>
              </w:rPr>
              <w:t>46.8751</w:t>
            </w:r>
          </w:p>
        </w:tc>
      </w:tr>
      <w:tr>
        <w:trPr>
          <w:cantSplit/>
        </w:trPr>
        <w:tc>
          <w:tcPr>
            <w:tcW w:w="567" w:type="dxa"/>
            <w:tcBorders>
              <w:bottom w:val="single" w:sz="4" w:space="0" w:color="auto"/>
            </w:tcBorders>
            <w:noWrap/>
          </w:tcPr>
          <w:p>
            <w:pPr>
              <w:pStyle w:val="zyTableNAm"/>
              <w:rPr>
                <w:sz w:val="18"/>
                <w:szCs w:val="18"/>
              </w:rPr>
            </w:pPr>
            <w:r>
              <w:rPr>
                <w:sz w:val="18"/>
                <w:szCs w:val="18"/>
              </w:rPr>
              <w:t>Z.56</w:t>
            </w:r>
          </w:p>
        </w:tc>
        <w:tc>
          <w:tcPr>
            <w:tcW w:w="851" w:type="dxa"/>
            <w:gridSpan w:val="2"/>
            <w:tcBorders>
              <w:bottom w:val="single" w:sz="4" w:space="0" w:color="auto"/>
            </w:tcBorders>
            <w:noWrap/>
          </w:tcPr>
          <w:p>
            <w:pPr>
              <w:pStyle w:val="zyTableNAm"/>
              <w:rPr>
                <w:sz w:val="18"/>
                <w:szCs w:val="18"/>
              </w:rPr>
            </w:pPr>
            <w:r>
              <w:rPr>
                <w:sz w:val="18"/>
                <w:szCs w:val="18"/>
              </w:rPr>
              <w:t>40</w:t>
            </w:r>
          </w:p>
        </w:tc>
        <w:tc>
          <w:tcPr>
            <w:tcW w:w="1205" w:type="dxa"/>
            <w:gridSpan w:val="2"/>
            <w:tcBorders>
              <w:bottom w:val="single" w:sz="4" w:space="0" w:color="auto"/>
            </w:tcBorders>
            <w:noWrap/>
          </w:tcPr>
          <w:p>
            <w:pPr>
              <w:pStyle w:val="zyTableNAm"/>
              <w:rPr>
                <w:sz w:val="18"/>
                <w:szCs w:val="18"/>
              </w:rPr>
            </w:pPr>
            <w:r>
              <w:rPr>
                <w:sz w:val="18"/>
                <w:szCs w:val="18"/>
              </w:rPr>
              <w:t>Fluorescent</w:t>
            </w:r>
          </w:p>
        </w:tc>
        <w:tc>
          <w:tcPr>
            <w:tcW w:w="1299" w:type="dxa"/>
            <w:gridSpan w:val="2"/>
            <w:tcBorders>
              <w:bottom w:val="single" w:sz="4" w:space="0" w:color="auto"/>
            </w:tcBorders>
            <w:noWrap/>
          </w:tcPr>
          <w:p>
            <w:pPr>
              <w:pStyle w:val="zyTableNAm"/>
              <w:jc w:val="right"/>
              <w:rPr>
                <w:sz w:val="18"/>
                <w:szCs w:val="18"/>
              </w:rPr>
            </w:pPr>
            <w:r>
              <w:rPr>
                <w:sz w:val="18"/>
                <w:szCs w:val="18"/>
              </w:rPr>
              <w:t>34.4316</w:t>
            </w:r>
          </w:p>
        </w:tc>
        <w:tc>
          <w:tcPr>
            <w:tcW w:w="1512" w:type="dxa"/>
            <w:tcBorders>
              <w:bottom w:val="single" w:sz="4" w:space="0" w:color="auto"/>
            </w:tcBorders>
            <w:noWrap/>
          </w:tcPr>
          <w:p>
            <w:pPr>
              <w:pStyle w:val="zyTableNAm"/>
              <w:jc w:val="right"/>
              <w:rPr>
                <w:sz w:val="18"/>
                <w:szCs w:val="18"/>
              </w:rPr>
            </w:pPr>
            <w:r>
              <w:rPr>
                <w:sz w:val="18"/>
                <w:szCs w:val="18"/>
              </w:rPr>
              <w:t>35.3810</w:t>
            </w:r>
          </w:p>
        </w:tc>
        <w:tc>
          <w:tcPr>
            <w:tcW w:w="1370" w:type="dxa"/>
            <w:tcBorders>
              <w:bottom w:val="single" w:sz="4" w:space="0" w:color="auto"/>
            </w:tcBorders>
            <w:noWrap/>
          </w:tcPr>
          <w:p>
            <w:pPr>
              <w:pStyle w:val="zyTableNAm"/>
              <w:jc w:val="right"/>
              <w:rPr>
                <w:sz w:val="18"/>
                <w:szCs w:val="18"/>
              </w:rPr>
            </w:pPr>
            <w:r>
              <w:rPr>
                <w:sz w:val="18"/>
                <w:szCs w:val="18"/>
              </w:rPr>
              <w:t>38.9893</w:t>
            </w:r>
          </w:p>
        </w:tc>
      </w:tr>
    </w:tbl>
    <w:p>
      <w:pPr>
        <w:pStyle w:val="zyHeading3"/>
      </w:pPr>
      <w:bookmarkStart w:id="49" w:name="_Toc169167901"/>
      <w:bookmarkStart w:id="50" w:name="_Toc169167996"/>
      <w:bookmarkStart w:id="51" w:name="_Toc169168149"/>
      <w:bookmarkStart w:id="52" w:name="_Toc169168522"/>
      <w:bookmarkStart w:id="53" w:name="_Toc169170353"/>
      <w:bookmarkStart w:id="54" w:name="_Toc169170644"/>
      <w:r>
        <w:lastRenderedPageBreak/>
        <w:t>Division 2</w:t>
      </w:r>
      <w:r>
        <w:rPr>
          <w:b w:val="0"/>
        </w:rPr>
        <w:t> — </w:t>
      </w:r>
      <w:r>
        <w:t>Miscellaneous</w:t>
      </w:r>
      <w:bookmarkEnd w:id="49"/>
      <w:bookmarkEnd w:id="50"/>
      <w:bookmarkEnd w:id="51"/>
      <w:bookmarkEnd w:id="52"/>
      <w:bookmarkEnd w:id="53"/>
      <w:bookmarkEnd w:id="54"/>
    </w:p>
    <w:p>
      <w:pPr>
        <w:pStyle w:val="zyHeading5"/>
        <w:spacing w:before="120"/>
      </w:pPr>
      <w:bookmarkStart w:id="55" w:name="_Toc169167902"/>
      <w:bookmarkStart w:id="56" w:name="_Toc169170645"/>
      <w:r>
        <w:t>1.</w:t>
      </w:r>
      <w:r>
        <w:tab/>
        <w:t>Traffic light installation</w:t>
      </w:r>
      <w:bookmarkEnd w:id="55"/>
      <w:bookmarkEnd w:id="56"/>
    </w:p>
    <w:p>
      <w:pPr>
        <w:pStyle w:val="zySubsection"/>
      </w:pPr>
      <w:r>
        <w:tab/>
      </w:r>
      <w:r>
        <w:tab/>
        <w:t xml:space="preserve">Supply of electricity to traffic light installations comprises a charge of </w:t>
      </w:r>
      <w:r>
        <w:rPr>
          <w:szCs w:val="22"/>
        </w:rPr>
        <w:t xml:space="preserve">$9.0214 </w:t>
      </w:r>
      <w:r>
        <w:t>per day per kW of installed wattage.</w:t>
      </w:r>
    </w:p>
    <w:p>
      <w:pPr>
        <w:pStyle w:val="zyHeading5"/>
      </w:pPr>
      <w:bookmarkStart w:id="57" w:name="_Toc169167903"/>
      <w:bookmarkStart w:id="58" w:name="_Toc169170646"/>
      <w:r>
        <w:t>2.</w:t>
      </w:r>
      <w:r>
        <w:tab/>
        <w:t>Public telephone facility</w:t>
      </w:r>
      <w:bookmarkEnd w:id="57"/>
      <w:bookmarkEnd w:id="58"/>
    </w:p>
    <w:p>
      <w:pPr>
        <w:pStyle w:val="zySubsection"/>
      </w:pPr>
      <w:r>
        <w:tab/>
      </w:r>
      <w:r>
        <w:tab/>
        <w:t>Supply of electricity to a standard public telephone facility where supply is not independently metered comprises a charge of 76.4435 cents per day.</w:t>
      </w:r>
    </w:p>
    <w:p>
      <w:pPr>
        <w:pStyle w:val="zyHeading5"/>
      </w:pPr>
      <w:bookmarkStart w:id="59" w:name="_Toc169167904"/>
      <w:bookmarkStart w:id="60" w:name="_Toc169170647"/>
      <w:r>
        <w:t>3.</w:t>
      </w:r>
      <w:r>
        <w:tab/>
        <w:t>Railway crossing</w:t>
      </w:r>
      <w:bookmarkEnd w:id="59"/>
      <w:bookmarkEnd w:id="60"/>
    </w:p>
    <w:p>
      <w:pPr>
        <w:pStyle w:val="zySubsection"/>
      </w:pPr>
      <w:r>
        <w:tab/>
      </w:r>
      <w:r>
        <w:tab/>
        <w:t xml:space="preserve">Supply of electricity to standard railway crossing lights comprises a charge of </w:t>
      </w:r>
      <w:r>
        <w:rPr>
          <w:szCs w:val="22"/>
        </w:rPr>
        <w:t xml:space="preserve">97.6897 </w:t>
      </w:r>
      <w:r>
        <w:t>cents per day.</w:t>
      </w:r>
    </w:p>
    <w:p>
      <w:pPr>
        <w:pStyle w:val="BlankClose"/>
      </w:pPr>
    </w:p>
    <w:p>
      <w:pPr>
        <w:pStyle w:val="Heading5"/>
      </w:pPr>
      <w:bookmarkStart w:id="61" w:name="_Toc169167905"/>
      <w:bookmarkStart w:id="62" w:name="_Toc169170648"/>
      <w:r>
        <w:rPr>
          <w:rStyle w:val="CharSectno"/>
        </w:rPr>
        <w:t>5</w:t>
      </w:r>
      <w:r>
        <w:t>.</w:t>
      </w:r>
      <w:r>
        <w:tab/>
        <w:t>Schedule 4 amended</w:t>
      </w:r>
      <w:bookmarkEnd w:id="61"/>
      <w:bookmarkEnd w:id="62"/>
    </w:p>
    <w:p>
      <w:pPr>
        <w:pStyle w:val="Subsection"/>
      </w:pPr>
      <w:r>
        <w:tab/>
      </w:r>
      <w:r>
        <w:tab/>
        <w:t>In Schedule 4:</w:t>
      </w:r>
    </w:p>
    <w:p>
      <w:pPr>
        <w:pStyle w:val="Indenta"/>
      </w:pPr>
      <w:r>
        <w:tab/>
        <w:t>(a)</w:t>
      </w:r>
      <w:r>
        <w:tab/>
        <w:t>in item 1 delete “</w:t>
      </w:r>
      <w:r>
        <w:rPr>
          <w:sz w:val="22"/>
        </w:rPr>
        <w:t>$30.95</w:t>
      </w:r>
      <w:r>
        <w:t>” and insert:</w:t>
      </w:r>
    </w:p>
    <w:p>
      <w:pPr>
        <w:pStyle w:val="BlankOpen"/>
      </w:pPr>
    </w:p>
    <w:p>
      <w:pPr>
        <w:pStyle w:val="Indenta"/>
      </w:pPr>
      <w:r>
        <w:tab/>
      </w:r>
      <w:r>
        <w:tab/>
      </w:r>
      <w:r>
        <w:rPr>
          <w:sz w:val="22"/>
        </w:rPr>
        <w:t>$26.84</w:t>
      </w:r>
    </w:p>
    <w:p>
      <w:pPr>
        <w:pStyle w:val="BlankClose"/>
      </w:pPr>
    </w:p>
    <w:p>
      <w:pPr>
        <w:pStyle w:val="Indenta"/>
      </w:pPr>
      <w:r>
        <w:tab/>
        <w:t>(b)</w:t>
      </w:r>
      <w:r>
        <w:tab/>
        <w:t>in item 2(a) delete “</w:t>
      </w:r>
      <w:r>
        <w:rPr>
          <w:sz w:val="22"/>
        </w:rPr>
        <w:t>$193.80</w:t>
      </w:r>
      <w:r>
        <w:t>” and insert:</w:t>
      </w:r>
    </w:p>
    <w:p>
      <w:pPr>
        <w:pStyle w:val="BlankOpen"/>
      </w:pPr>
    </w:p>
    <w:p>
      <w:pPr>
        <w:pStyle w:val="Indenta"/>
      </w:pPr>
      <w:r>
        <w:tab/>
      </w:r>
      <w:r>
        <w:tab/>
      </w:r>
      <w:r>
        <w:rPr>
          <w:sz w:val="22"/>
        </w:rPr>
        <w:t>$208.01</w:t>
      </w:r>
    </w:p>
    <w:p>
      <w:pPr>
        <w:pStyle w:val="BlankClose"/>
      </w:pPr>
    </w:p>
    <w:p>
      <w:pPr>
        <w:pStyle w:val="Indenta"/>
        <w:keepNext/>
      </w:pPr>
      <w:r>
        <w:tab/>
        <w:t>(c)</w:t>
      </w:r>
      <w:r>
        <w:tab/>
        <w:t>in item 5 delete “</w:t>
      </w:r>
      <w:r>
        <w:rPr>
          <w:sz w:val="22"/>
        </w:rPr>
        <w:t>$101.30</w:t>
      </w:r>
      <w:r>
        <w:t>” and insert:</w:t>
      </w:r>
    </w:p>
    <w:p>
      <w:pPr>
        <w:pStyle w:val="BlankOpen"/>
      </w:pPr>
    </w:p>
    <w:p>
      <w:pPr>
        <w:pStyle w:val="Indenta"/>
      </w:pPr>
      <w:r>
        <w:tab/>
      </w:r>
      <w:r>
        <w:tab/>
      </w:r>
      <w:r>
        <w:rPr>
          <w:sz w:val="22"/>
        </w:rPr>
        <w:t>$105.93</w:t>
      </w:r>
    </w:p>
    <w:p>
      <w:pPr>
        <w:pStyle w:val="BlankClose"/>
      </w:pPr>
    </w:p>
    <w:p>
      <w:pPr>
        <w:pStyle w:val="Indenta"/>
        <w:rPr>
          <w:rStyle w:val="DraftersNotes"/>
          <w:b w:val="0"/>
          <w:i w:val="0"/>
          <w:sz w:val="24"/>
        </w:rPr>
      </w:pPr>
      <w:r>
        <w:tab/>
        <w:t>(d)</w:t>
      </w:r>
      <w:r>
        <w:tab/>
        <w:t>in item 7 delete “</w:t>
      </w:r>
      <w:r>
        <w:rPr>
          <w:sz w:val="22"/>
          <w:szCs w:val="18"/>
        </w:rPr>
        <w:t>$27.90</w:t>
      </w:r>
      <w:r>
        <w:t>” and insert:</w:t>
      </w:r>
    </w:p>
    <w:p>
      <w:pPr>
        <w:pStyle w:val="BlankOpen"/>
      </w:pPr>
    </w:p>
    <w:p>
      <w:pPr>
        <w:pStyle w:val="Indenta"/>
        <w:rPr>
          <w:sz w:val="22"/>
          <w:szCs w:val="18"/>
        </w:rPr>
      </w:pPr>
      <w:r>
        <w:rPr>
          <w:sz w:val="22"/>
          <w:szCs w:val="18"/>
        </w:rPr>
        <w:tab/>
      </w:r>
      <w:r>
        <w:rPr>
          <w:sz w:val="22"/>
          <w:szCs w:val="18"/>
        </w:rPr>
        <w:tab/>
        <w:t>$25.96</w:t>
      </w:r>
    </w:p>
    <w:p>
      <w:pPr>
        <w:pStyle w:val="BlankClose"/>
      </w:pPr>
    </w:p>
    <w:p>
      <w:pPr>
        <w:pStyle w:val="Indenta"/>
      </w:pPr>
      <w:r>
        <w:lastRenderedPageBreak/>
        <w:tab/>
        <w:t>(e)</w:t>
      </w:r>
      <w:r>
        <w:tab/>
        <w:t>in item 8 delete “</w:t>
      </w:r>
      <w:r>
        <w:rPr>
          <w:sz w:val="22"/>
          <w:szCs w:val="22"/>
        </w:rPr>
        <w:t>$15.80</w:t>
      </w:r>
      <w:r>
        <w:t>” and insert:</w:t>
      </w:r>
    </w:p>
    <w:p>
      <w:pPr>
        <w:pStyle w:val="BlankOpen"/>
      </w:pPr>
    </w:p>
    <w:p>
      <w:pPr>
        <w:pStyle w:val="Indenta"/>
        <w:rPr>
          <w:sz w:val="22"/>
          <w:szCs w:val="22"/>
        </w:rPr>
      </w:pPr>
      <w:r>
        <w:tab/>
      </w:r>
      <w:r>
        <w:tab/>
      </w:r>
      <w:r>
        <w:rPr>
          <w:sz w:val="22"/>
          <w:szCs w:val="22"/>
        </w:rPr>
        <w:t>$20.46</w:t>
      </w:r>
    </w:p>
    <w:p>
      <w:pPr>
        <w:pStyle w:val="BlankClose"/>
      </w:pPr>
    </w:p>
    <w:p>
      <w:pPr>
        <w:pStyle w:val="Indenta"/>
      </w:pPr>
      <w:r>
        <w:tab/>
        <w:t>(f)</w:t>
      </w:r>
      <w:r>
        <w:tab/>
        <w:t>in item 9 delete “</w:t>
      </w:r>
      <w:r>
        <w:rPr>
          <w:sz w:val="22"/>
          <w:szCs w:val="18"/>
        </w:rPr>
        <w:t>$6.15</w:t>
      </w:r>
      <w:r>
        <w:t>” and insert:</w:t>
      </w:r>
    </w:p>
    <w:p>
      <w:pPr>
        <w:pStyle w:val="BlankOpen"/>
      </w:pPr>
    </w:p>
    <w:p>
      <w:pPr>
        <w:pStyle w:val="Indenta"/>
        <w:rPr>
          <w:sz w:val="22"/>
          <w:szCs w:val="18"/>
        </w:rPr>
      </w:pPr>
      <w:r>
        <w:rPr>
          <w:sz w:val="22"/>
          <w:szCs w:val="18"/>
        </w:rPr>
        <w:tab/>
      </w:r>
      <w:r>
        <w:rPr>
          <w:sz w:val="22"/>
          <w:szCs w:val="18"/>
        </w:rPr>
        <w:tab/>
        <w:t>$5.72</w:t>
      </w:r>
    </w:p>
    <w:p>
      <w:pPr>
        <w:pStyle w:val="BlankClose"/>
      </w:pPr>
    </w:p>
    <w:p>
      <w:pPr>
        <w:pStyle w:val="Indenta"/>
      </w:pPr>
      <w:r>
        <w:tab/>
        <w:t>(g)</w:t>
      </w:r>
      <w:r>
        <w:tab/>
        <w:t>in item 11 delete “</w:t>
      </w:r>
      <w:r>
        <w:rPr>
          <w:sz w:val="22"/>
          <w:szCs w:val="22"/>
        </w:rPr>
        <w:t>$384.00</w:t>
      </w:r>
      <w:r>
        <w:t>” and insert:</w:t>
      </w:r>
    </w:p>
    <w:p>
      <w:pPr>
        <w:pStyle w:val="BlankOpen"/>
      </w:pPr>
    </w:p>
    <w:p>
      <w:pPr>
        <w:pStyle w:val="Indenta"/>
        <w:rPr>
          <w:sz w:val="22"/>
          <w:szCs w:val="22"/>
        </w:rPr>
      </w:pPr>
      <w:r>
        <w:tab/>
      </w:r>
      <w:r>
        <w:tab/>
      </w:r>
      <w:r>
        <w:rPr>
          <w:sz w:val="22"/>
          <w:szCs w:val="22"/>
        </w:rPr>
        <w:t>$419.54</w:t>
      </w:r>
    </w:p>
    <w:p>
      <w:pPr>
        <w:pStyle w:val="BlankClose"/>
      </w:pPr>
    </w:p>
    <w:p>
      <w:pPr>
        <w:pStyle w:val="Indenta"/>
      </w:pPr>
      <w:r>
        <w:tab/>
        <w:t>(h)</w:t>
      </w:r>
      <w:r>
        <w:tab/>
        <w:t>in item 13 delete “</w:t>
      </w:r>
      <w:r>
        <w:rPr>
          <w:sz w:val="22"/>
          <w:szCs w:val="22"/>
        </w:rPr>
        <w:t>$1.30</w:t>
      </w:r>
      <w:r>
        <w:t>” and insert:</w:t>
      </w:r>
    </w:p>
    <w:p>
      <w:pPr>
        <w:pStyle w:val="BlankOpen"/>
      </w:pPr>
    </w:p>
    <w:p>
      <w:pPr>
        <w:pStyle w:val="Indenta"/>
        <w:rPr>
          <w:sz w:val="22"/>
          <w:szCs w:val="22"/>
        </w:rPr>
      </w:pPr>
      <w:r>
        <w:tab/>
      </w:r>
      <w:r>
        <w:tab/>
      </w:r>
      <w:r>
        <w:rPr>
          <w:sz w:val="22"/>
          <w:szCs w:val="22"/>
        </w:rPr>
        <w:t>$1.54</w:t>
      </w:r>
    </w:p>
    <w:p>
      <w:pPr>
        <w:pStyle w:val="BlankClos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9"/>
        <w:gridCol w:w="1211"/>
        <w:gridCol w:w="2147"/>
      </w:tblGrid>
      <w:tr>
        <w:tc>
          <w:tcPr>
            <w:tcW w:w="3729" w:type="dxa"/>
            <w:noWrap/>
          </w:tcPr>
          <w:p>
            <w:pPr>
              <w:pStyle w:val="MiscellaneousBody"/>
              <w:keepNext/>
              <w:keepLines/>
              <w:tabs>
                <w:tab w:val="left" w:pos="3402"/>
              </w:tabs>
              <w:spacing w:before="0"/>
            </w:pPr>
          </w:p>
          <w:p>
            <w:pPr>
              <w:pStyle w:val="MiscellaneousBody"/>
              <w:keepNext/>
              <w:keepLines/>
              <w:tabs>
                <w:tab w:val="left" w:pos="3402"/>
              </w:tabs>
              <w:spacing w:before="0"/>
            </w:pPr>
            <w:r>
              <w:t>The Common Seal of the</w:t>
            </w:r>
            <w:r>
              <w:tab/>
              <w:t>)</w:t>
            </w:r>
          </w:p>
          <w:p>
            <w:pPr>
              <w:pStyle w:val="MiscellaneousBody"/>
              <w:keepNext/>
              <w:keepLines/>
              <w:tabs>
                <w:tab w:val="left" w:pos="3402"/>
              </w:tabs>
              <w:spacing w:before="0"/>
            </w:pPr>
            <w:r>
              <w:t>Electricity Generation and Retail</w:t>
            </w:r>
            <w:r>
              <w:tab/>
              <w:t>)</w:t>
            </w:r>
          </w:p>
          <w:p>
            <w:pPr>
              <w:pStyle w:val="MiscellaneousBody"/>
              <w:keepNext/>
              <w:keepLines/>
              <w:tabs>
                <w:tab w:val="left" w:pos="3402"/>
              </w:tabs>
              <w:spacing w:before="0"/>
            </w:pPr>
            <w:r>
              <w:t xml:space="preserve">Corporation was affixed to these </w:t>
            </w:r>
            <w:r>
              <w:tab/>
              <w:t>)</w:t>
            </w:r>
          </w:p>
          <w:p>
            <w:pPr>
              <w:pStyle w:val="MiscellaneousBody"/>
              <w:keepNext/>
              <w:keepLines/>
              <w:tabs>
                <w:tab w:val="left" w:pos="3402"/>
              </w:tabs>
              <w:spacing w:before="0"/>
            </w:pPr>
            <w:r>
              <w:t>by</w:t>
            </w:r>
            <w:r>
              <w:noBreakHyphen/>
              <w:t>laws in the presence of —</w:t>
            </w:r>
            <w:r>
              <w:tab/>
              <w:t>)</w:t>
            </w:r>
          </w:p>
        </w:tc>
        <w:tc>
          <w:tcPr>
            <w:tcW w:w="1211" w:type="dxa"/>
            <w:noWrap/>
          </w:tcPr>
          <w:p>
            <w:pPr>
              <w:pStyle w:val="MiscellaneousBody"/>
              <w:keepNext/>
              <w:spacing w:before="0"/>
              <w:ind w:left="1026"/>
            </w:pPr>
          </w:p>
        </w:tc>
        <w:tc>
          <w:tcPr>
            <w:tcW w:w="2147" w:type="dxa"/>
            <w:noWrap/>
            <w:vAlign w:val="center"/>
          </w:tcPr>
          <w:p>
            <w:pPr>
              <w:pStyle w:val="MiscellaneousBody"/>
              <w:keepNext/>
              <w:spacing w:before="0"/>
              <w:ind w:left="1026" w:hanging="963"/>
              <w:jc w:val="both"/>
            </w:pPr>
            <w:r>
              <w:t>[LS]</w:t>
            </w:r>
          </w:p>
        </w:tc>
      </w:tr>
      <w:tr>
        <w:tc>
          <w:tcPr>
            <w:tcW w:w="7087" w:type="dxa"/>
            <w:gridSpan w:val="3"/>
            <w:noWrap/>
          </w:tcPr>
          <w:p>
            <w:pPr>
              <w:pStyle w:val="MiscellaneousBody"/>
              <w:keepNext/>
              <w:keepLines/>
              <w:spacing w:before="0"/>
            </w:pPr>
          </w:p>
          <w:p>
            <w:pPr>
              <w:pStyle w:val="MiscellaneousBody"/>
              <w:keepNext/>
              <w:keepLines/>
              <w:spacing w:before="0"/>
              <w:jc w:val="right"/>
            </w:pPr>
            <w:r>
              <w:t>MICHELLE SHEPHERD, Board Chair and Director</w:t>
            </w:r>
          </w:p>
          <w:p>
            <w:pPr>
              <w:pStyle w:val="MiscellaneousBody"/>
              <w:spacing w:before="0"/>
              <w:jc w:val="right"/>
            </w:pPr>
            <w:r>
              <w:t>PIPPA MARANDO, Executive Officer</w:t>
            </w:r>
          </w:p>
          <w:p>
            <w:pPr>
              <w:pStyle w:val="MiscellaneousBody"/>
              <w:keepNext/>
              <w:keepLines/>
              <w:spacing w:before="0"/>
            </w:pPr>
          </w:p>
          <w:p>
            <w:pPr>
              <w:pStyle w:val="MiscellaneousBody"/>
              <w:keepNext/>
              <w:spacing w:before="0"/>
              <w:ind w:left="1026" w:hanging="963"/>
              <w:jc w:val="both"/>
            </w:pPr>
          </w:p>
        </w:tc>
      </w:tr>
    </w:tbl>
    <w:p>
      <w:pPr>
        <w:pStyle w:val="ByCommand"/>
        <w:spacing w:before="120"/>
        <w:sectPr>
          <w:headerReference w:type="even" r:id="rId21"/>
          <w:headerReference w:type="default" r:id="rId22"/>
          <w:headerReference w:type="first" r:id="rId23"/>
          <w:endnotePr>
            <w:numFmt w:val="decimal"/>
          </w:endnotePr>
          <w:pgSz w:w="11907" w:h="16840" w:code="9"/>
          <w:pgMar w:top="2381" w:right="2410" w:bottom="4253" w:left="2410" w:header="720" w:footer="3544" w:gutter="0"/>
          <w:pgNumType w:start="1"/>
          <w:cols w:space="720"/>
          <w:noEndnote/>
          <w:titlePg/>
        </w:sectPr>
      </w:pPr>
    </w:p>
    <w:p>
      <w:pPr>
        <w:rPr>
          <w:sz w:val="16"/>
          <w:szCs w:val="12"/>
        </w:rPr>
      </w:pPr>
      <w:r>
        <w:rPr>
          <w:noProof/>
          <w:sz w:val="16"/>
          <w:szCs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DE697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2A5D36" w14:textId="6015ABD3" w:rsidR="00313BAD" w:rsidRDefault="00313B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7EE4">
                        <w:rPr>
                          <w:sz w:val="16"/>
                        </w:rPr>
                        <w:t>2024</w:t>
                      </w:r>
                      <w:r>
                        <w:rPr>
                          <w:sz w:val="16"/>
                        </w:rPr>
                        <w:fldChar w:fldCharType="end"/>
                      </w:r>
                      <w:r>
                        <w:rPr>
                          <w:sz w:val="16"/>
                        </w:rPr>
                        <w:t>.</w:t>
                      </w:r>
                    </w:p>
                    <w:p w14:paraId="09469E36" w14:textId="77777777" w:rsidR="00313BAD" w:rsidRDefault="00313B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303CEE" w14:textId="72825923" w:rsidR="00313BAD" w:rsidRDefault="00313B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7EE4">
                        <w:rPr>
                          <w:sz w:val="16"/>
                        </w:rPr>
                        <w:t>2024</w:t>
                      </w:r>
                      <w:r>
                        <w:rPr>
                          <w:sz w:val="16"/>
                        </w:rPr>
                        <w:fldChar w:fldCharType="end"/>
                      </w:r>
                      <w:r>
                        <w:rPr>
                          <w:sz w:val="16"/>
                        </w:rPr>
                        <w:t>.</w:t>
                      </w:r>
                    </w:p>
                    <w:p w14:paraId="569E62F5" w14:textId="77777777" w:rsidR="00313BAD" w:rsidRDefault="00313BA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Amendment By-laws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Amendment By-laws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Amendment By-laws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Amendment By-laws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131044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429093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093016_GUID" w:val="19e5d2fb-5465-4296-98fd-bed7588a27ed"/>
    <w:docVar w:name="WAFER_202405071317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7131751_GUID" w:val="fc6c2fc3-a56f-49d8-93c8-73b937ef239e"/>
    <w:docVar w:name="WAFER_2024061310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13104409_GUID" w:val="2251f345-1d23-4884-aa78-e7f6daf58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FA3EC426-2954-4D7D-AEAE-7660468F3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2205</Words>
  <Characters>11094</Characters>
  <Application>Microsoft Office Word</Application>
  <DocSecurity>0</DocSecurity>
  <Lines>443</Lines>
  <Paragraphs>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Amendment By-laws 2024 - 00-00-00</dc:title>
  <dc:subject/>
  <dc:creator/>
  <cp:keywords/>
  <dc:description/>
  <cp:lastModifiedBy>Master Repository Process</cp:lastModifiedBy>
  <cp:revision>4</cp:revision>
  <cp:lastPrinted>2021-03-14T07:59:00Z</cp:lastPrinted>
  <dcterms:created xsi:type="dcterms:W3CDTF">2025-05-28T05:39:00Z</dcterms:created>
  <dcterms:modified xsi:type="dcterms:W3CDTF">2025-05-28T05:39:00Z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54833</vt:lpwstr>
  </property>
  <property fmtid="{D5CDD505-2E9C-101B-9397-08002B2CF9AE}" pid="3" name="DocumentType">
    <vt:lpwstr>Reg</vt:lpwstr>
  </property>
  <property fmtid="{D5CDD505-2E9C-101B-9397-08002B2CF9AE}" pid="4" name="AsAtDate">
    <vt:lpwstr>14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2024/102</vt:lpwstr>
  </property>
  <property fmtid="{D5CDD505-2E9C-101B-9397-08002B2CF9AE}" pid="8" name="PublishDate">
    <vt:lpwstr>14 Jun 2024</vt:lpwstr>
  </property>
  <property fmtid="{D5CDD505-2E9C-101B-9397-08002B2CF9AE}" pid="9" name="CommencementDate">
    <vt:lpwstr>20240614</vt:lpwstr>
  </property>
  <property fmtid="{D5CDD505-2E9C-101B-9397-08002B2CF9AE}" pid="10" name="CommencementAsAt">
    <vt:filetime>2024-06-13T16:00:00Z</vt:filetime>
  </property>
  <property fmtid="{D5CDD505-2E9C-101B-9397-08002B2CF9AE}" pid="11" name="CommencementYear">
    <vt:lpwstr>2024</vt:lpwstr>
  </property>
</Properties>
</file>