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_Toc169171356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_Toc169171357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_Toc169171358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_Toc169171359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_Toc169171360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_Toc169171361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_Toc169171362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_Toc169171363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_Toc169171364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_Toc169171365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_Toc169171366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_Toc169171368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_Toc169171369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 — low/medium voltage tariff)</w:t>
      </w:r>
      <w:r>
        <w:tab/>
      </w:r>
      <w:r>
        <w:fldChar w:fldCharType="begin"/>
      </w:r>
      <w:r>
        <w:instrText xml:space="preserve"> PAGEREF _Toc169171370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 — low/medium voltage tariff)</w:t>
      </w:r>
      <w:r>
        <w:tab/>
      </w:r>
      <w:r>
        <w:fldChar w:fldCharType="begin"/>
      </w:r>
      <w:r>
        <w:instrText xml:space="preserve"> PAGEREF _Toc169171371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_Toc169171372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_Toc169171373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_Toc169171374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_Toc169171375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_Toc169171376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10.</w:t>
      </w:r>
      <w:r>
        <w:tab/>
        <w:t>Tariff K1 (general supply with residential tariff)</w:t>
      </w:r>
      <w:r>
        <w:tab/>
      </w:r>
      <w:r>
        <w:fldChar w:fldCharType="begin"/>
      </w:r>
      <w:r>
        <w:instrText xml:space="preserve"> PAGEREF _Toc169171377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_Toc169171381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_Toc169171382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_Toc169171383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_Toc169171387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_Toc169171388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_Toc169171389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2" w:name="_Toc169171356"/>
      <w:r>
        <w:rPr>
          <w:rStyle w:val="CharSectno"/>
        </w:rPr>
        <w:t>1</w:t>
      </w:r>
      <w:r>
        <w:t>.</w:t>
      </w:r>
      <w:r>
        <w:tab/>
        <w:t>Citation</w:t>
      </w:r>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69171357"/>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69171358"/>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5" w:name="_Toc169171359"/>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6" w:name="_Toc169171360"/>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169171361"/>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169171362"/>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69171363"/>
      <w:r>
        <w:rPr>
          <w:rStyle w:val="CharSectno"/>
        </w:rPr>
        <w:lastRenderedPageBreak/>
        <w:t>8</w:t>
      </w:r>
      <w:r>
        <w:t>.</w:t>
      </w:r>
      <w:r>
        <w:tab/>
        <w:t>When charges payable; interest on unpaid charges</w:t>
      </w:r>
      <w:bookmarkEnd w:id="9"/>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0" w:name="_Toc169171364"/>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1" w:name="_Toc169171365"/>
      <w:r>
        <w:rPr>
          <w:rStyle w:val="CharSectno"/>
        </w:rPr>
        <w:lastRenderedPageBreak/>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69171366"/>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69169329"/>
      <w:bookmarkStart w:id="14" w:name="_Toc169169564"/>
      <w:bookmarkStart w:id="15" w:name="_Toc169171367"/>
      <w:r>
        <w:rPr>
          <w:rStyle w:val="CharSchNo"/>
        </w:rPr>
        <w:lastRenderedPageBreak/>
        <w:t>Schedule 1</w:t>
      </w:r>
      <w:r>
        <w:t> — </w:t>
      </w:r>
      <w:r>
        <w:rPr>
          <w:rStyle w:val="CharSchText"/>
        </w:rPr>
        <w:t>Supply charges</w:t>
      </w:r>
      <w:bookmarkEnd w:id="13"/>
      <w:bookmarkEnd w:id="14"/>
      <w:bookmarkEnd w:id="15"/>
    </w:p>
    <w:p>
      <w:pPr>
        <w:pStyle w:val="yShoulderClause"/>
      </w:pPr>
      <w:r>
        <w:t>[bl. 3, 4(1) and 10(1)]</w:t>
      </w:r>
    </w:p>
    <w:p>
      <w:pPr>
        <w:pStyle w:val="yFootnoteheading"/>
      </w:pPr>
      <w:r>
        <w:tab/>
        <w:t>[Heading inserted: SL 2023/85 bl. 4.]</w:t>
      </w:r>
    </w:p>
    <w:p>
      <w:pPr>
        <w:pStyle w:val="yHeading5"/>
      </w:pPr>
      <w:bookmarkStart w:id="16" w:name="_Toc169171368"/>
      <w:r>
        <w:rPr>
          <w:rStyle w:val="CharSClsNo"/>
        </w:rPr>
        <w:t>1</w:t>
      </w:r>
      <w:r>
        <w:t>.</w:t>
      </w:r>
      <w:r>
        <w:tab/>
        <w:t>Tariff L1 (general supply — low/medium voltage tariff)</w:t>
      </w:r>
      <w:bookmarkEnd w:id="16"/>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2023/85 bl. 4.]</w:t>
      </w:r>
    </w:p>
    <w:p>
      <w:pPr>
        <w:pStyle w:val="yHeading5"/>
      </w:pPr>
      <w:bookmarkStart w:id="17" w:name="_Toc169171369"/>
      <w:r>
        <w:rPr>
          <w:rStyle w:val="CharSClsNo"/>
        </w:rPr>
        <w:t>2</w:t>
      </w:r>
      <w:r>
        <w:t>.</w:t>
      </w:r>
      <w:r>
        <w:tab/>
        <w:t>Tariff L3 (general supply — low/medium voltage tariff)</w:t>
      </w:r>
      <w:bookmarkEnd w:id="1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2023/85 bl. 4.]</w:t>
      </w:r>
    </w:p>
    <w:p>
      <w:pPr>
        <w:pStyle w:val="yHeading5"/>
      </w:pPr>
      <w:bookmarkStart w:id="18" w:name="_Toc169171370"/>
      <w:r>
        <w:rPr>
          <w:rStyle w:val="CharSClsNo"/>
        </w:rPr>
        <w:lastRenderedPageBreak/>
        <w:t>3</w:t>
      </w:r>
      <w:r>
        <w:t>.</w:t>
      </w:r>
      <w:r>
        <w:tab/>
        <w:t>Tariff R1 (time</w:t>
      </w:r>
      <w:r>
        <w:noBreakHyphen/>
        <w:t>of</w:t>
      </w:r>
      <w:r>
        <w:noBreakHyphen/>
        <w:t>use tariff — low/medium voltage tariff)</w:t>
      </w:r>
      <w:bookmarkEnd w:id="18"/>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$3.6874 per day; and</w:t>
      </w:r>
    </w:p>
    <w:p>
      <w:pPr>
        <w:pStyle w:val="yIndenta"/>
      </w:pPr>
      <w:r>
        <w:tab/>
        <w:t>(b)</w:t>
      </w:r>
      <w:r>
        <w:tab/>
        <w:t>an energy charge consisting of — </w:t>
      </w:r>
    </w:p>
    <w:p>
      <w:pPr>
        <w:pStyle w:val="yIndenti0"/>
      </w:pPr>
      <w:r>
        <w:tab/>
        <w:t>(i)</w:t>
      </w:r>
      <w:r>
        <w:tab/>
        <w:t>an on peak energy charge at the rate of 39.9932 cents per unit; and</w:t>
      </w:r>
    </w:p>
    <w:p>
      <w:pPr>
        <w:pStyle w:val="yIndenti0"/>
      </w:pPr>
      <w:r>
        <w:tab/>
        <w:t>(ii)</w:t>
      </w:r>
      <w:r>
        <w:tab/>
        <w:t>an off peak energy charge at the rate of 11.9979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2023/85 bl. 4.]</w:t>
      </w:r>
    </w:p>
    <w:p>
      <w:pPr>
        <w:pStyle w:val="yHeading5"/>
      </w:pPr>
      <w:bookmarkStart w:id="19" w:name="_Toc169171371"/>
      <w:r>
        <w:rPr>
          <w:rStyle w:val="CharSClsNo"/>
        </w:rPr>
        <w:t>4</w:t>
      </w:r>
      <w:r>
        <w:t>.</w:t>
      </w:r>
      <w:r>
        <w:tab/>
        <w:t>Tariff R3 (time</w:t>
      </w:r>
      <w:r>
        <w:noBreakHyphen/>
        <w:t>of</w:t>
      </w:r>
      <w:r>
        <w:noBreakHyphen/>
        <w:t>use tariff — low/medium voltage tariff)</w:t>
      </w:r>
      <w:bookmarkEnd w:id="19"/>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$3.6220</w:t>
      </w:r>
      <w:r>
        <w:t xml:space="preserve"> per day; and</w:t>
      </w:r>
    </w:p>
    <w:p>
      <w:pPr>
        <w:pStyle w:val="yIndenta"/>
      </w:pPr>
      <w:r>
        <w:tab/>
        <w:t>(b)</w:t>
      </w:r>
      <w:r>
        <w:tab/>
        <w:t>an energy charge consisting of — </w:t>
      </w:r>
    </w:p>
    <w:p>
      <w:pPr>
        <w:pStyle w:val="yIndenti0"/>
      </w:pPr>
      <w:r>
        <w:tab/>
        <w:t>(i)</w:t>
      </w:r>
      <w:r>
        <w:tab/>
        <w:t>an on peak energy charge at the rate of 52.8330</w:t>
      </w:r>
      <w:r>
        <w:rPr>
          <w:szCs w:val="22"/>
        </w:rPr>
        <w:t xml:space="preserve"> </w:t>
      </w:r>
      <w:r>
        <w:t>cents per unit; and</w:t>
      </w:r>
    </w:p>
    <w:p>
      <w:pPr>
        <w:pStyle w:val="yIndenti0"/>
      </w:pPr>
      <w:r>
        <w:tab/>
        <w:t>(ii)</w:t>
      </w:r>
      <w:r>
        <w:tab/>
        <w:t>an off peak energy charge at the rate of 15.8711</w:t>
      </w:r>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lastRenderedPageBreak/>
        <w:tab/>
        <w:t>(c)</w:t>
      </w:r>
      <w:r>
        <w:tab/>
        <w:t>the consumer satisfies the corporation that the amount of electricity supplied to the consumer’s premises will be 50 MW hours or more per annum.</w:t>
      </w:r>
    </w:p>
    <w:p>
      <w:pPr>
        <w:pStyle w:val="yFootnotesection"/>
      </w:pPr>
      <w:r>
        <w:tab/>
        <w:t>[Clause 4 inserted: SL 2023/85 bl. 4.]</w:t>
      </w:r>
    </w:p>
    <w:p>
      <w:pPr>
        <w:pStyle w:val="yHeading5"/>
      </w:pPr>
      <w:bookmarkStart w:id="20" w:name="_Toc169171372"/>
      <w:r>
        <w:rPr>
          <w:rStyle w:val="CharSClsNo"/>
        </w:rPr>
        <w:t>5</w:t>
      </w:r>
      <w:r>
        <w:t>.</w:t>
      </w:r>
      <w:r>
        <w:tab/>
        <w:t>Standby charges</w:t>
      </w:r>
      <w:bookmarkEnd w:id="2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2023/85 bl. 4.]</w:t>
      </w:r>
    </w:p>
    <w:p>
      <w:pPr>
        <w:pStyle w:val="yHeading5"/>
      </w:pPr>
      <w:bookmarkStart w:id="21" w:name="_Toc169171373"/>
      <w:r>
        <w:rPr>
          <w:rStyle w:val="CharSClsNo"/>
        </w:rPr>
        <w:t>6</w:t>
      </w:r>
      <w:r>
        <w:t>.</w:t>
      </w:r>
      <w:r>
        <w:tab/>
        <w:t>Tariff A1 (residential tariff)</w:t>
      </w:r>
      <w:bookmarkEnd w:id="2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6 inserted: SL 2023/85 bl. 4.]</w:t>
      </w:r>
    </w:p>
    <w:p>
      <w:pPr>
        <w:pStyle w:val="yHeading5"/>
      </w:pPr>
      <w:bookmarkStart w:id="22" w:name="_Toc169171374"/>
      <w:r>
        <w:rPr>
          <w:rStyle w:val="CharSClsNo"/>
        </w:rPr>
        <w:t>7</w:t>
      </w:r>
      <w:r>
        <w:t>.</w:t>
      </w:r>
      <w:r>
        <w:tab/>
        <w:t>Tariff B1 (residential water heating tariff)</w:t>
      </w:r>
      <w:bookmarkEnd w:id="22"/>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23.2729 cents per day or, for multiple dwellings supplied through 1 metered supply point, a fixed charge at the rate of 23.2729 cents per day for each dwelling; and</w:t>
      </w:r>
    </w:p>
    <w:p>
      <w:pPr>
        <w:pStyle w:val="yIndenta"/>
      </w:pPr>
      <w:r>
        <w:tab/>
        <w:t>(b)</w:t>
      </w:r>
      <w:r>
        <w:tab/>
        <w:t>a charge for metered consumption at the rate of 12.8569 cents per unit.</w:t>
      </w:r>
    </w:p>
    <w:p>
      <w:pPr>
        <w:pStyle w:val="yFootnotesection"/>
      </w:pPr>
      <w:r>
        <w:tab/>
        <w:t>[Clause 7 inserted: SL 2023/85 bl. 4.]</w:t>
      </w:r>
    </w:p>
    <w:p>
      <w:pPr>
        <w:pStyle w:val="yHeading5"/>
      </w:pPr>
      <w:bookmarkStart w:id="23" w:name="_Toc169171375"/>
      <w:r>
        <w:rPr>
          <w:rStyle w:val="CharSClsNo"/>
        </w:rPr>
        <w:lastRenderedPageBreak/>
        <w:t>8</w:t>
      </w:r>
      <w:r>
        <w:t>.</w:t>
      </w:r>
      <w:r>
        <w:tab/>
        <w:t>Tariff C1 (special community service tariff)</w:t>
      </w:r>
      <w:bookmarkEnd w:id="23"/>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2023/85 bl. 4.]</w:t>
      </w:r>
    </w:p>
    <w:p>
      <w:pPr>
        <w:pStyle w:val="yHeading5"/>
      </w:pPr>
      <w:bookmarkStart w:id="24" w:name="_Toc169171376"/>
      <w:r>
        <w:rPr>
          <w:rStyle w:val="CharSClsNo"/>
        </w:rPr>
        <w:lastRenderedPageBreak/>
        <w:t>9</w:t>
      </w:r>
      <w:r>
        <w:t>.</w:t>
      </w:r>
      <w:r>
        <w:tab/>
        <w:t>Tariff D1 (special tariff for certain premises)</w:t>
      </w:r>
      <w:bookmarkEnd w:id="24"/>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9 inserted: SL 2023/85 bl. 4.]</w:t>
      </w:r>
    </w:p>
    <w:p>
      <w:pPr>
        <w:pStyle w:val="yHeading5"/>
      </w:pPr>
      <w:bookmarkStart w:id="25" w:name="_Toc169171377"/>
      <w:r>
        <w:rPr>
          <w:rStyle w:val="CharSClsNo"/>
        </w:rPr>
        <w:t>10</w:t>
      </w:r>
      <w:r>
        <w:t>.</w:t>
      </w:r>
      <w:r>
        <w:tab/>
        <w:t>Tariff K1 (general supply with residential tariff)</w:t>
      </w:r>
      <w:bookmarkEnd w:id="25"/>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10 inserted: SL 2023/85 bl.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6" w:name="_Toc169169340"/>
      <w:bookmarkStart w:id="27" w:name="_Toc169169575"/>
      <w:bookmarkStart w:id="28" w:name="_Toc169171378"/>
      <w:r>
        <w:rPr>
          <w:rStyle w:val="CharSchNo"/>
        </w:rPr>
        <w:lastRenderedPageBreak/>
        <w:t>Schedule 2</w:t>
      </w:r>
      <w:r>
        <w:t> — </w:t>
      </w:r>
      <w:r>
        <w:rPr>
          <w:rStyle w:val="CharSchText"/>
        </w:rPr>
        <w:t>Unmetered supply</w:t>
      </w:r>
      <w:bookmarkEnd w:id="26"/>
      <w:bookmarkEnd w:id="27"/>
      <w:bookmarkEnd w:id="28"/>
    </w:p>
    <w:p>
      <w:pPr>
        <w:pStyle w:val="yShoulderClause"/>
      </w:pPr>
      <w:r>
        <w:t>[bl. 4(2) and (3)]</w:t>
      </w:r>
    </w:p>
    <w:p>
      <w:pPr>
        <w:pStyle w:val="yFootnoteheading"/>
      </w:pPr>
      <w:r>
        <w:tab/>
        <w:t>[Heading inserted: SL 2023/85 bl. 4.]</w:t>
      </w:r>
    </w:p>
    <w:p>
      <w:pPr>
        <w:pStyle w:val="yHeading3"/>
      </w:pPr>
      <w:bookmarkStart w:id="29" w:name="_Toc169169341"/>
      <w:bookmarkStart w:id="30" w:name="_Toc169169576"/>
      <w:bookmarkStart w:id="31" w:name="_Toc169171379"/>
      <w:r>
        <w:rPr>
          <w:rStyle w:val="CharSDivNo"/>
        </w:rPr>
        <w:t>Division 1</w:t>
      </w:r>
      <w:r>
        <w:rPr>
          <w:b w:val="0"/>
        </w:rPr>
        <w:t> — </w:t>
      </w:r>
      <w:r>
        <w:rPr>
          <w:rStyle w:val="CharSDivText"/>
        </w:rPr>
        <w:t>Street lighting</w:t>
      </w:r>
      <w:bookmarkEnd w:id="29"/>
      <w:bookmarkEnd w:id="30"/>
      <w:bookmarkEnd w:id="31"/>
    </w:p>
    <w:p>
      <w:pPr>
        <w:pStyle w:val="yFootnoteheading"/>
        <w:spacing w:after="60"/>
      </w:pPr>
      <w:r>
        <w:tab/>
        <w:t>[Heading inserted: SL 2023/85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33.9919</w:t>
            </w:r>
          </w:p>
        </w:tc>
        <w:tc>
          <w:tcPr>
            <w:tcW w:w="1512" w:type="dxa"/>
          </w:tcPr>
          <w:p>
            <w:pPr>
              <w:pStyle w:val="yTableNAm"/>
              <w:jc w:val="right"/>
              <w:rPr>
                <w:sz w:val="18"/>
                <w:szCs w:val="18"/>
              </w:rPr>
            </w:pPr>
            <w:r>
              <w:rPr>
                <w:sz w:val="18"/>
                <w:szCs w:val="18"/>
              </w:rPr>
              <w:t>35.1303</w:t>
            </w:r>
          </w:p>
        </w:tc>
        <w:tc>
          <w:tcPr>
            <w:tcW w:w="1370" w:type="dxa"/>
          </w:tcPr>
          <w:p>
            <w:pPr>
              <w:pStyle w:val="yTableNAm"/>
              <w:jc w:val="right"/>
              <w:rPr>
                <w:sz w:val="18"/>
                <w:szCs w:val="18"/>
              </w:rPr>
            </w:pPr>
            <w:r>
              <w:rPr>
                <w:sz w:val="18"/>
                <w:szCs w:val="18"/>
              </w:rPr>
              <w:t>39.4564</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43.9112</w:t>
            </w:r>
          </w:p>
        </w:tc>
        <w:tc>
          <w:tcPr>
            <w:tcW w:w="1512" w:type="dxa"/>
          </w:tcPr>
          <w:p>
            <w:pPr>
              <w:pStyle w:val="yTableNAm"/>
              <w:jc w:val="right"/>
              <w:rPr>
                <w:sz w:val="18"/>
                <w:szCs w:val="18"/>
              </w:rPr>
            </w:pPr>
            <w:r>
              <w:rPr>
                <w:sz w:val="18"/>
                <w:szCs w:val="18"/>
              </w:rPr>
              <w:t>45.7327</w:t>
            </w:r>
          </w:p>
        </w:tc>
        <w:tc>
          <w:tcPr>
            <w:tcW w:w="1370" w:type="dxa"/>
          </w:tcPr>
          <w:p>
            <w:pPr>
              <w:pStyle w:val="yTableNAm"/>
              <w:jc w:val="right"/>
              <w:rPr>
                <w:sz w:val="18"/>
                <w:szCs w:val="18"/>
              </w:rPr>
            </w:pPr>
            <w:r>
              <w:rPr>
                <w:sz w:val="18"/>
                <w:szCs w:val="18"/>
              </w:rPr>
              <w:t>52.6543</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53.9443</w:t>
            </w:r>
          </w:p>
        </w:tc>
        <w:tc>
          <w:tcPr>
            <w:tcW w:w="1512" w:type="dxa"/>
          </w:tcPr>
          <w:p>
            <w:pPr>
              <w:pStyle w:val="yTableNAm"/>
              <w:jc w:val="right"/>
              <w:rPr>
                <w:sz w:val="18"/>
                <w:szCs w:val="18"/>
              </w:rPr>
            </w:pPr>
            <w:r>
              <w:rPr>
                <w:sz w:val="18"/>
                <w:szCs w:val="18"/>
              </w:rPr>
              <w:t>56.7903</w:t>
            </w:r>
          </w:p>
        </w:tc>
        <w:tc>
          <w:tcPr>
            <w:tcW w:w="1370" w:type="dxa"/>
          </w:tcPr>
          <w:p>
            <w:pPr>
              <w:pStyle w:val="yTableNAm"/>
              <w:jc w:val="right"/>
              <w:rPr>
                <w:sz w:val="18"/>
                <w:szCs w:val="18"/>
              </w:rPr>
            </w:pPr>
            <w:r>
              <w:rPr>
                <w:sz w:val="18"/>
                <w:szCs w:val="18"/>
              </w:rPr>
              <w:t>67.6054</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77.3317</w:t>
            </w:r>
          </w:p>
        </w:tc>
        <w:tc>
          <w:tcPr>
            <w:tcW w:w="1512" w:type="dxa"/>
          </w:tcPr>
          <w:p>
            <w:pPr>
              <w:pStyle w:val="yTableNAm"/>
              <w:jc w:val="right"/>
              <w:rPr>
                <w:sz w:val="18"/>
                <w:szCs w:val="18"/>
              </w:rPr>
            </w:pPr>
            <w:r>
              <w:rPr>
                <w:sz w:val="18"/>
                <w:szCs w:val="18"/>
              </w:rPr>
              <w:t>83.0239</w:t>
            </w:r>
          </w:p>
        </w:tc>
        <w:tc>
          <w:tcPr>
            <w:tcW w:w="1370" w:type="dxa"/>
          </w:tcPr>
          <w:p>
            <w:pPr>
              <w:pStyle w:val="yTableNAm"/>
              <w:jc w:val="right"/>
              <w:rPr>
                <w:sz w:val="18"/>
                <w:szCs w:val="18"/>
              </w:rPr>
            </w:pPr>
            <w:r>
              <w:rPr>
                <w:sz w:val="18"/>
                <w:szCs w:val="18"/>
              </w:rPr>
              <w:t>104.6540</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89.6566</w:t>
            </w:r>
          </w:p>
        </w:tc>
        <w:tc>
          <w:tcPr>
            <w:tcW w:w="1512" w:type="dxa"/>
          </w:tcPr>
          <w:p>
            <w:pPr>
              <w:pStyle w:val="yTableNAm"/>
              <w:jc w:val="right"/>
              <w:rPr>
                <w:sz w:val="18"/>
                <w:szCs w:val="18"/>
              </w:rPr>
            </w:pPr>
            <w:r>
              <w:rPr>
                <w:sz w:val="18"/>
                <w:szCs w:val="18"/>
              </w:rPr>
              <w:t>93.3162</w:t>
            </w:r>
          </w:p>
        </w:tc>
        <w:tc>
          <w:tcPr>
            <w:tcW w:w="1370" w:type="dxa"/>
          </w:tcPr>
          <w:p>
            <w:pPr>
              <w:pStyle w:val="yTableNAm"/>
              <w:jc w:val="right"/>
              <w:rPr>
                <w:sz w:val="18"/>
                <w:szCs w:val="18"/>
              </w:rPr>
            </w:pPr>
            <w:r>
              <w:rPr>
                <w:sz w:val="18"/>
                <w:szCs w:val="18"/>
              </w:rPr>
              <w:t>137.7670</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59.2251</w:t>
            </w:r>
          </w:p>
        </w:tc>
        <w:tc>
          <w:tcPr>
            <w:tcW w:w="1512" w:type="dxa"/>
          </w:tcPr>
          <w:p>
            <w:pPr>
              <w:pStyle w:val="yTableNAm"/>
              <w:jc w:val="right"/>
              <w:rPr>
                <w:sz w:val="18"/>
                <w:szCs w:val="18"/>
              </w:rPr>
            </w:pPr>
            <w:r>
              <w:rPr>
                <w:sz w:val="18"/>
                <w:szCs w:val="18"/>
              </w:rPr>
              <w:t>62.6405</w:t>
            </w:r>
          </w:p>
        </w:tc>
        <w:tc>
          <w:tcPr>
            <w:tcW w:w="1370" w:type="dxa"/>
          </w:tcPr>
          <w:p>
            <w:pPr>
              <w:pStyle w:val="yTableNAm"/>
              <w:jc w:val="right"/>
              <w:rPr>
                <w:sz w:val="18"/>
                <w:szCs w:val="18"/>
              </w:rPr>
            </w:pPr>
            <w:r>
              <w:rPr>
                <w:sz w:val="18"/>
                <w:szCs w:val="18"/>
              </w:rPr>
              <w:t>75.6184</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68.8972</w:t>
            </w:r>
          </w:p>
        </w:tc>
        <w:tc>
          <w:tcPr>
            <w:tcW w:w="1512" w:type="dxa"/>
          </w:tcPr>
          <w:p>
            <w:pPr>
              <w:pStyle w:val="yTableNAm"/>
              <w:jc w:val="right"/>
              <w:rPr>
                <w:sz w:val="18"/>
                <w:szCs w:val="18"/>
              </w:rPr>
            </w:pPr>
            <w:r>
              <w:rPr>
                <w:sz w:val="18"/>
                <w:szCs w:val="18"/>
              </w:rPr>
              <w:t>74.5894</w:t>
            </w:r>
          </w:p>
        </w:tc>
        <w:tc>
          <w:tcPr>
            <w:tcW w:w="1370" w:type="dxa"/>
          </w:tcPr>
          <w:p>
            <w:pPr>
              <w:pStyle w:val="yTableNAm"/>
              <w:jc w:val="right"/>
              <w:rPr>
                <w:sz w:val="18"/>
                <w:szCs w:val="18"/>
              </w:rPr>
            </w:pPr>
            <w:r>
              <w:rPr>
                <w:sz w:val="18"/>
                <w:szCs w:val="18"/>
              </w:rPr>
              <w:t>96.2195</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jc w:val="right"/>
              <w:rPr>
                <w:sz w:val="18"/>
                <w:szCs w:val="18"/>
              </w:rPr>
            </w:pPr>
            <w:r>
              <w:rPr>
                <w:sz w:val="18"/>
                <w:szCs w:val="18"/>
              </w:rPr>
              <w:t>Not applicable</w:t>
            </w:r>
          </w:p>
        </w:tc>
        <w:tc>
          <w:tcPr>
            <w:tcW w:w="1512" w:type="dxa"/>
          </w:tcPr>
          <w:p>
            <w:pPr>
              <w:pStyle w:val="yTableNAm"/>
              <w:jc w:val="right"/>
              <w:rPr>
                <w:sz w:val="18"/>
                <w:szCs w:val="18"/>
              </w:rPr>
            </w:pPr>
            <w:r>
              <w:rPr>
                <w:sz w:val="18"/>
                <w:szCs w:val="18"/>
              </w:rPr>
              <w:t>Not applicable</w:t>
            </w:r>
          </w:p>
        </w:tc>
        <w:tc>
          <w:tcPr>
            <w:tcW w:w="1370" w:type="dxa"/>
          </w:tcPr>
          <w:p>
            <w:pPr>
              <w:pStyle w:val="yTableNAm"/>
              <w:jc w:val="right"/>
              <w:rPr>
                <w:sz w:val="18"/>
                <w:szCs w:val="18"/>
              </w:rPr>
            </w:pPr>
            <w:r>
              <w:rPr>
                <w:sz w:val="18"/>
                <w:szCs w:val="18"/>
              </w:rPr>
              <w:t>301.4838</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jc w:val="right"/>
              <w:rPr>
                <w:sz w:val="18"/>
                <w:szCs w:val="18"/>
              </w:rPr>
            </w:pPr>
            <w:r>
              <w:rPr>
                <w:sz w:val="18"/>
                <w:szCs w:val="18"/>
              </w:rPr>
              <w:t>38.8279</w:t>
            </w:r>
          </w:p>
        </w:tc>
        <w:tc>
          <w:tcPr>
            <w:tcW w:w="1512" w:type="dxa"/>
          </w:tcPr>
          <w:p>
            <w:pPr>
              <w:pStyle w:val="yTableNAm"/>
              <w:jc w:val="right"/>
              <w:rPr>
                <w:sz w:val="18"/>
                <w:szCs w:val="18"/>
              </w:rPr>
            </w:pPr>
            <w:r>
              <w:rPr>
                <w:sz w:val="18"/>
                <w:szCs w:val="18"/>
              </w:rPr>
              <w:t>40.4445</w:t>
            </w:r>
          </w:p>
        </w:tc>
        <w:tc>
          <w:tcPr>
            <w:tcW w:w="1370" w:type="dxa"/>
          </w:tcPr>
          <w:p>
            <w:pPr>
              <w:pStyle w:val="yTableNAm"/>
              <w:jc w:val="right"/>
              <w:rPr>
                <w:sz w:val="18"/>
                <w:szCs w:val="18"/>
              </w:rPr>
            </w:pPr>
            <w:r>
              <w:rPr>
                <w:sz w:val="18"/>
                <w:szCs w:val="18"/>
              </w:rPr>
              <w:t>44.9598</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jc w:val="right"/>
              <w:rPr>
                <w:sz w:val="18"/>
                <w:szCs w:val="18"/>
              </w:rPr>
            </w:pPr>
            <w:r>
              <w:rPr>
                <w:sz w:val="18"/>
                <w:szCs w:val="18"/>
              </w:rPr>
              <w:t>33.0247</w:t>
            </w:r>
          </w:p>
        </w:tc>
        <w:tc>
          <w:tcPr>
            <w:tcW w:w="1512" w:type="dxa"/>
            <w:tcBorders>
              <w:bottom w:val="single" w:sz="4" w:space="0" w:color="auto"/>
            </w:tcBorders>
          </w:tcPr>
          <w:p>
            <w:pPr>
              <w:pStyle w:val="yTableNAm"/>
              <w:jc w:val="right"/>
              <w:rPr>
                <w:sz w:val="18"/>
                <w:szCs w:val="18"/>
              </w:rPr>
            </w:pPr>
            <w:r>
              <w:rPr>
                <w:sz w:val="18"/>
                <w:szCs w:val="18"/>
              </w:rPr>
              <w:t>33.9354</w:t>
            </w:r>
          </w:p>
        </w:tc>
        <w:tc>
          <w:tcPr>
            <w:tcW w:w="1370" w:type="dxa"/>
            <w:tcBorders>
              <w:bottom w:val="single" w:sz="4" w:space="0" w:color="auto"/>
            </w:tcBorders>
          </w:tcPr>
          <w:p>
            <w:pPr>
              <w:pStyle w:val="yTableNAm"/>
              <w:jc w:val="right"/>
              <w:rPr>
                <w:sz w:val="18"/>
                <w:szCs w:val="18"/>
              </w:rPr>
            </w:pPr>
            <w:r>
              <w:rPr>
                <w:sz w:val="18"/>
                <w:szCs w:val="18"/>
              </w:rPr>
              <w:t>37.3962</w:t>
            </w:r>
          </w:p>
        </w:tc>
      </w:tr>
    </w:tbl>
    <w:p>
      <w:pPr>
        <w:pStyle w:val="yFootnotesection"/>
      </w:pPr>
      <w:r>
        <w:tab/>
        <w:t>[Division 1 inserted: SL 2023/85 bl. 4.]</w:t>
      </w:r>
    </w:p>
    <w:p>
      <w:pPr>
        <w:pStyle w:val="yHeading3"/>
      </w:pPr>
      <w:bookmarkStart w:id="32" w:name="_Toc169169342"/>
      <w:bookmarkStart w:id="33" w:name="_Toc169169577"/>
      <w:bookmarkStart w:id="34" w:name="_Toc169171380"/>
      <w:r>
        <w:rPr>
          <w:rStyle w:val="CharSDivNo"/>
        </w:rPr>
        <w:lastRenderedPageBreak/>
        <w:t>Division 2</w:t>
      </w:r>
      <w:r>
        <w:rPr>
          <w:b w:val="0"/>
        </w:rPr>
        <w:t> — </w:t>
      </w:r>
      <w:r>
        <w:rPr>
          <w:rStyle w:val="CharSDivText"/>
        </w:rPr>
        <w:t>Miscellaneous</w:t>
      </w:r>
      <w:bookmarkEnd w:id="32"/>
      <w:bookmarkEnd w:id="33"/>
      <w:bookmarkEnd w:id="34"/>
    </w:p>
    <w:p>
      <w:pPr>
        <w:pStyle w:val="yFootnoteheading"/>
        <w:keepNext/>
      </w:pPr>
      <w:r>
        <w:tab/>
        <w:t>[Heading inserted: SL 2023/85 bl. 4.]</w:t>
      </w:r>
    </w:p>
    <w:p>
      <w:pPr>
        <w:pStyle w:val="yHeading5"/>
      </w:pPr>
      <w:bookmarkStart w:id="35" w:name="_Toc169171381"/>
      <w:r>
        <w:rPr>
          <w:rStyle w:val="CharSClsNo"/>
        </w:rPr>
        <w:t>1</w:t>
      </w:r>
      <w:r>
        <w:t>.</w:t>
      </w:r>
      <w:r>
        <w:tab/>
        <w:t>Traffic light installation</w:t>
      </w:r>
      <w:bookmarkEnd w:id="35"/>
    </w:p>
    <w:p>
      <w:pPr>
        <w:pStyle w:val="ySubsection"/>
        <w:keepNext/>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2023/85 bl. 4.]</w:t>
      </w:r>
    </w:p>
    <w:p>
      <w:pPr>
        <w:pStyle w:val="yHeading5"/>
      </w:pPr>
      <w:bookmarkStart w:id="36" w:name="_Toc169171382"/>
      <w:r>
        <w:rPr>
          <w:rStyle w:val="CharSClsNo"/>
        </w:rPr>
        <w:t>2</w:t>
      </w:r>
      <w:r>
        <w:t>.</w:t>
      </w:r>
      <w:r>
        <w:tab/>
        <w:t>Public telephone facility</w:t>
      </w:r>
      <w:bookmarkEnd w:id="36"/>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2023/85 bl. 4.]</w:t>
      </w:r>
    </w:p>
    <w:p>
      <w:pPr>
        <w:pStyle w:val="yHeading5"/>
      </w:pPr>
      <w:bookmarkStart w:id="37" w:name="_Toc169171383"/>
      <w:r>
        <w:rPr>
          <w:rStyle w:val="CharSClsNo"/>
        </w:rPr>
        <w:t>3</w:t>
      </w:r>
      <w:r>
        <w:t>.</w:t>
      </w:r>
      <w:r>
        <w:tab/>
        <w:t>Railway crossing</w:t>
      </w:r>
      <w:bookmarkEnd w:id="37"/>
    </w:p>
    <w:p>
      <w:pPr>
        <w:pStyle w:val="ySubsection"/>
      </w:pPr>
      <w:r>
        <w:tab/>
      </w:r>
      <w:r>
        <w:tab/>
        <w:t xml:space="preserve">Supply of electricity to standard railway crossing lights comprises a charge of </w:t>
      </w:r>
      <w:r>
        <w:rPr>
          <w:szCs w:val="22"/>
        </w:rPr>
        <w:t xml:space="preserve">92.0299 </w:t>
      </w:r>
      <w:r>
        <w:t>cents per day.</w:t>
      </w:r>
    </w:p>
    <w:p>
      <w:pPr>
        <w:pStyle w:val="yFootnotesection"/>
      </w:pPr>
      <w:r>
        <w:tab/>
        <w:t>[Clause 3 inserted: SL 2023/85 bl. 4.]</w:t>
      </w:r>
    </w:p>
    <w:p>
      <w:pPr>
        <w:sectPr>
          <w:headerReference w:type="even" r:id="rId25"/>
          <w:headerReference w:type="default" r:id="rId26"/>
          <w:pgSz w:w="11907" w:h="16840" w:code="9"/>
          <w:pgMar w:top="2381" w:right="2410" w:bottom="3544" w:left="2410" w:header="720" w:footer="3544" w:gutter="0"/>
          <w:cols w:space="720"/>
          <w:titlePg/>
        </w:sectPr>
      </w:pPr>
    </w:p>
    <w:p>
      <w:pPr>
        <w:pStyle w:val="yScheduleHeading"/>
      </w:pPr>
      <w:bookmarkStart w:id="38" w:name="_Toc169169346"/>
      <w:bookmarkStart w:id="39" w:name="_Toc169169581"/>
      <w:bookmarkStart w:id="40" w:name="_Toc169171384"/>
      <w:r>
        <w:rPr>
          <w:rStyle w:val="CharSchNo"/>
        </w:rPr>
        <w:lastRenderedPageBreak/>
        <w:t>Schedule 3</w:t>
      </w:r>
      <w:r>
        <w:rPr>
          <w:rStyle w:val="CharSDivNo"/>
        </w:rPr>
        <w:t> </w:t>
      </w:r>
      <w:r>
        <w:t>—</w:t>
      </w:r>
      <w:r>
        <w:rPr>
          <w:rStyle w:val="CharSDivText"/>
        </w:rPr>
        <w:t> </w:t>
      </w:r>
      <w:r>
        <w:rPr>
          <w:rStyle w:val="CharSchText"/>
        </w:rPr>
        <w:t>Meter rental</w:t>
      </w:r>
      <w:bookmarkEnd w:id="38"/>
      <w:bookmarkEnd w:id="39"/>
      <w:bookmarkEnd w:id="40"/>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1" w:name="_Toc169169347"/>
      <w:bookmarkStart w:id="42" w:name="_Toc169169582"/>
      <w:bookmarkStart w:id="43" w:name="_Toc169171385"/>
      <w:r>
        <w:rPr>
          <w:rStyle w:val="CharSchNo"/>
        </w:rPr>
        <w:lastRenderedPageBreak/>
        <w:t>Schedule 4</w:t>
      </w:r>
      <w:r>
        <w:t> — </w:t>
      </w:r>
      <w:r>
        <w:rPr>
          <w:rStyle w:val="CharSchText"/>
        </w:rPr>
        <w:t>Fees</w:t>
      </w:r>
      <w:bookmarkEnd w:id="41"/>
      <w:bookmarkEnd w:id="42"/>
      <w:bookmarkEnd w:id="43"/>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$30.95</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$193.80</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$101.30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$15.80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$1.30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4" w:name="_Toc169169348"/>
      <w:bookmarkStart w:id="45" w:name="_Toc169169583"/>
      <w:bookmarkStart w:id="46" w:name="_Toc169171386"/>
      <w:r>
        <w:lastRenderedPageBreak/>
        <w:t>Notes</w:t>
      </w:r>
      <w:bookmarkEnd w:id="44"/>
      <w:bookmarkEnd w:id="45"/>
      <w:bookmarkEnd w:id="46"/>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 w:name="_Toc169171387"/>
      <w:r>
        <w:t>Compilation table</w:t>
      </w:r>
      <w:bookmarkEnd w:id="47"/>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bottom w:val="single" w:sz="4" w:space="0" w:color="auto"/>
            </w:tcBorders>
            <w:shd w:val="clear" w:color="auto" w:fill="auto"/>
          </w:tcPr>
          <w:p>
            <w:pPr>
              <w:pStyle w:val="nTable"/>
              <w:spacing w:after="40"/>
            </w:pPr>
            <w:r>
              <w:t>SL 2023/85 27 Jun 2023</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bl>
    <w:p>
      <w:pPr>
        <w:pStyle w:val="nHeading3"/>
      </w:pPr>
      <w:bookmarkStart w:id="48" w:name="_Toc169171388"/>
      <w:r>
        <w:lastRenderedPageBreak/>
        <w:t>Uncommenced provisions table</w:t>
      </w:r>
      <w:bookmarkEnd w:id="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(Electricity Generation and Retail Corporation) (Charges) Amendment By-laws 2024</w:t>
            </w:r>
            <w:r>
              <w:rPr>
                <w:iCs/>
              </w:rPr>
              <w:t xml:space="preserve"> bl. 3</w:t>
            </w:r>
            <w:r>
              <w:rPr>
                <w:iCs/>
              </w:rPr>
              <w:noBreakHyphen/>
              <w:t>5</w:t>
            </w:r>
          </w:p>
        </w:tc>
        <w:tc>
          <w:tcPr>
            <w:tcW w:w="1276" w:type="dxa"/>
          </w:tcPr>
          <w:p>
            <w:pPr>
              <w:pStyle w:val="nTable"/>
              <w:spacing w:after="40"/>
            </w:pPr>
            <w:r>
              <w:t>SL 2024/102 14 Jun 2024</w:t>
            </w:r>
          </w:p>
        </w:tc>
        <w:tc>
          <w:tcPr>
            <w:tcW w:w="2693" w:type="dxa"/>
          </w:tcPr>
          <w:p>
            <w:pPr>
              <w:pStyle w:val="nTable"/>
              <w:spacing w:after="40"/>
            </w:pPr>
            <w:r>
              <w:t>1 Jul 2024 (see bl. 2(b))</w:t>
            </w:r>
          </w:p>
        </w:tc>
      </w:tr>
    </w:tbl>
    <w:p>
      <w:pPr>
        <w:pStyle w:val="nHeading3"/>
      </w:pPr>
      <w:bookmarkStart w:id="49" w:name="_Toc169171389"/>
      <w:r>
        <w:t>Other notes</w:t>
      </w:r>
      <w:bookmarkEnd w:id="49"/>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1" w:name="_Toc169169351"/>
      <w:bookmarkStart w:id="52" w:name="_Toc169169587"/>
      <w:bookmarkStart w:id="53" w:name="_Toc169171390"/>
      <w:r>
        <w:rPr>
          <w:sz w:val="28"/>
        </w:rPr>
        <w:lastRenderedPageBreak/>
        <w:t>Defined terms</w:t>
      </w:r>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AF038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DA8DBE9" w14:textId="37971178" w:rsidR="0009716A" w:rsidRDefault="003C2B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0AD6">
                        <w:rPr>
                          <w:sz w:val="16"/>
                        </w:rPr>
                        <w:t>2024</w:t>
                      </w:r>
                      <w:r>
                        <w:rPr>
                          <w:sz w:val="16"/>
                        </w:rPr>
                        <w:fldChar w:fldCharType="end"/>
                      </w:r>
                      <w:r>
                        <w:rPr>
                          <w:sz w:val="16"/>
                        </w:rPr>
                        <w:t>.</w:t>
                      </w:r>
                    </w:p>
                    <w:p w14:paraId="52097354" w14:textId="77777777" w:rsidR="0009716A" w:rsidRDefault="003C2B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9A36C1" w14:textId="661D9C21" w:rsidR="0009716A" w:rsidRDefault="003C2B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0AD6">
                        <w:rPr>
                          <w:sz w:val="16"/>
                        </w:rPr>
                        <w:t>2024</w:t>
                      </w:r>
                      <w:r>
                        <w:rPr>
                          <w:sz w:val="16"/>
                        </w:rPr>
                        <w:fldChar w:fldCharType="end"/>
                      </w:r>
                      <w:r>
                        <w:rPr>
                          <w:sz w:val="16"/>
                        </w:rPr>
                        <w:t>.</w:t>
                      </w:r>
                    </w:p>
                    <w:p w14:paraId="6A3370C3" w14:textId="77777777" w:rsidR="0009716A" w:rsidRDefault="003C2B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0702"/>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4864</Words>
  <Characters>23936</Characters>
  <Application>Microsoft Office Word</Application>
  <DocSecurity>0</DocSecurity>
  <Lines>886</Lines>
  <Paragraphs>587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2006 - 04-l0-00</dc:title>
  <dc:subject/>
  <dc:creator/>
  <cp:keywords/>
  <dc:description/>
  <cp:lastModifiedBy>Master Repository Process</cp:lastModifiedBy>
  <cp:revision>4</cp:revision>
  <cp:lastPrinted>2019-06-24T07:01:00Z</cp:lastPrinted>
  <dcterms:created xsi:type="dcterms:W3CDTF">2025-06-05T02:43:00Z</dcterms:created>
  <dcterms:modified xsi:type="dcterms:W3CDTF">2025-06-05T02:44:00Z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20240614</vt:lpwstr>
  </property>
  <property fmtid="{D5CDD505-2E9C-101B-9397-08002B2CF9AE}" pid="8" name="CommencementAsAt">
    <vt:filetime>2024-06-13T16:00:00Z</vt:filetime>
  </property>
  <property fmtid="{D5CDD505-2E9C-101B-9397-08002B2CF9AE}" pid="9" name="CommencementYear">
    <vt:lpwstr>2024</vt:lpwstr>
  </property>
  <property fmtid="{D5CDD505-2E9C-101B-9397-08002B2CF9AE}" pid="10" name="AsAtDate">
    <vt:lpwstr>14 Jun 2024</vt:lpwstr>
  </property>
  <property fmtid="{D5CDD505-2E9C-101B-9397-08002B2CF9AE}" pid="11" name="Suffix">
    <vt:lpwstr>04-l0-00</vt:lpwstr>
  </property>
  <property fmtid="{D5CDD505-2E9C-101B-9397-08002B2CF9AE}" pid="12" name="Official">
    <vt:lpwstr/>
  </property>
</Properties>
</file>