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_Toc169248617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_Toc169248618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_Toc169248619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_Toc169248620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_Toc169248621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_Toc169248622 \h </w:instrText>
      </w:r>
      <w:r>
        <w:fldChar w:fldCharType="separate"/>
      </w:r>
      <w:r>
        <w:t>4</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_Toc169248623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_Toc169248624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_Toc169248625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_Toc169248626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_Toc169248627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_Toc169248630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_Toc169248631 \h </w:instrText>
      </w:r>
      <w:r>
        <w:fldChar w:fldCharType="separate"/>
      </w:r>
      <w:r>
        <w:t>7</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_Toc169248632 \h </w:instrText>
      </w:r>
      <w:r>
        <w:fldChar w:fldCharType="separate"/>
      </w:r>
      <w:r>
        <w:t>8</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_Toc169248633 \h </w:instrText>
      </w:r>
      <w:r>
        <w:fldChar w:fldCharType="separate"/>
      </w:r>
      <w:r>
        <w:t>8</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_Toc169248634 \h </w:instrText>
      </w:r>
      <w:r>
        <w:fldChar w:fldCharType="separate"/>
      </w:r>
      <w:r>
        <w:t>9</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_Toc169248635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_Toc169248637 \h </w:instrText>
      </w:r>
      <w:r>
        <w:fldChar w:fldCharType="separate"/>
      </w:r>
      <w:r>
        <w:t>10</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_Toc169248638 \h </w:instrText>
      </w:r>
      <w:r>
        <w:fldChar w:fldCharType="separate"/>
      </w:r>
      <w:r>
        <w:t>11</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_Toc169248639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10.</w:t>
      </w:r>
      <w:r>
        <w:tab/>
        <w:t>Eligibility criteria for MyPower tariffs</w:t>
      </w:r>
      <w:r>
        <w:tab/>
      </w:r>
      <w:r>
        <w:fldChar w:fldCharType="begin"/>
      </w:r>
      <w:r>
        <w:instrText xml:space="preserve"> PAGEREF _Toc169248640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_Toc169248644 \h </w:instrText>
      </w:r>
      <w:r>
        <w:fldChar w:fldCharType="separate"/>
      </w:r>
      <w:r>
        <w:t>20</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_Toc169248645 \h </w:instrText>
      </w:r>
      <w:r>
        <w:fldChar w:fldCharType="separate"/>
      </w:r>
      <w:r>
        <w:t>20</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_Toc169248646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_Toc169248650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_Toc169248651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2" w:name="_Toc169248617"/>
      <w:r>
        <w:rPr>
          <w:rStyle w:val="CharSectno"/>
        </w:rPr>
        <w:t>1</w:t>
      </w:r>
      <w:r>
        <w:t>.</w:t>
      </w:r>
      <w:r>
        <w:tab/>
        <w:t>Citation</w:t>
      </w:r>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169248618"/>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169248619"/>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5" w:name="_Toc169248620"/>
      <w:r>
        <w:rPr>
          <w:rStyle w:val="CharSectno"/>
        </w:rPr>
        <w:t>4</w:t>
      </w:r>
      <w:r>
        <w:t>.</w:t>
      </w:r>
      <w:r>
        <w:tab/>
      </w:r>
      <w:r>
        <w:rPr>
          <w:snapToGrid w:val="0"/>
        </w:rPr>
        <w:t>Electricity charges</w:t>
      </w:r>
      <w:bookmarkEnd w:id="5"/>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6" w:name="_Toc169248621"/>
      <w:r>
        <w:rPr>
          <w:rStyle w:val="CharSectno"/>
        </w:rPr>
        <w:t>5</w:t>
      </w:r>
      <w:r>
        <w:t>.</w:t>
      </w:r>
      <w:r>
        <w:tab/>
        <w:t>Application of residential tariffs</w:t>
      </w:r>
      <w:bookmarkEnd w:id="6"/>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7" w:name="_Toc169248622"/>
      <w:r>
        <w:rPr>
          <w:rStyle w:val="CharSectno"/>
        </w:rPr>
        <w:lastRenderedPageBreak/>
        <w:t>6</w:t>
      </w:r>
      <w:r>
        <w:t>.</w:t>
      </w:r>
      <w:r>
        <w:tab/>
        <w:t>Meter rental</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8" w:name="_Toc169248623"/>
      <w:r>
        <w:rPr>
          <w:rStyle w:val="CharSectno"/>
        </w:rPr>
        <w:t>7</w:t>
      </w:r>
      <w:r>
        <w:t>.</w:t>
      </w:r>
      <w:r>
        <w:tab/>
        <w:t>Fees</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169248624"/>
      <w:r>
        <w:rPr>
          <w:rStyle w:val="CharSectno"/>
        </w:rPr>
        <w:t>8</w:t>
      </w:r>
      <w:r>
        <w:t>.</w:t>
      </w:r>
      <w:r>
        <w:tab/>
        <w:t>Payment</w:t>
      </w:r>
      <w:bookmarkEnd w:id="9"/>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 xml:space="preserve">for each day that the charge remains unpaid at a rate that is </w:t>
      </w:r>
      <w:r>
        <w:lastRenderedPageBreak/>
        <w:t>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0" w:name="_Toc169248625"/>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1" w:name="_Toc169248626"/>
      <w:r>
        <w:rPr>
          <w:rStyle w:val="CharSectno"/>
        </w:rPr>
        <w:t>11</w:t>
      </w:r>
      <w:r>
        <w:t>.</w:t>
      </w:r>
      <w:r>
        <w:tab/>
        <w:t>Changes in rates</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169248627"/>
      <w:r>
        <w:rPr>
          <w:rStyle w:val="CharSectno"/>
        </w:rPr>
        <w:t>12</w:t>
      </w:r>
      <w:r>
        <w:t>.</w:t>
      </w:r>
      <w:r>
        <w:tab/>
        <w:t>Prescribed rate of interest for s. 62(16) of Act</w:t>
      </w:r>
      <w:bookmarkEnd w:id="12"/>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lastRenderedPageBreak/>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 w:name="_Toc169169717"/>
      <w:bookmarkStart w:id="14" w:name="_Toc169169852"/>
      <w:bookmarkStart w:id="15" w:name="_Toc169171463"/>
      <w:bookmarkStart w:id="16" w:name="_Toc169248628"/>
      <w:r>
        <w:rPr>
          <w:rStyle w:val="CharSchNo"/>
        </w:rPr>
        <w:lastRenderedPageBreak/>
        <w:t>Schedule 1</w:t>
      </w:r>
      <w:r>
        <w:t> — </w:t>
      </w:r>
      <w:r>
        <w:rPr>
          <w:rStyle w:val="CharSchText"/>
        </w:rPr>
        <w:t>Supply charges</w:t>
      </w:r>
      <w:bookmarkEnd w:id="13"/>
      <w:bookmarkEnd w:id="14"/>
      <w:bookmarkEnd w:id="15"/>
      <w:bookmarkEnd w:id="16"/>
    </w:p>
    <w:p>
      <w:pPr>
        <w:pStyle w:val="yShoulderClause"/>
      </w:pPr>
      <w:r>
        <w:t>[bl. 3, 4(1) and 10(1)]</w:t>
      </w:r>
    </w:p>
    <w:p>
      <w:pPr>
        <w:pStyle w:val="yFootnoteheading"/>
      </w:pPr>
      <w:r>
        <w:tab/>
        <w:t>[Heading inserted: SL 2023/84 bl. 4.]</w:t>
      </w:r>
    </w:p>
    <w:p>
      <w:pPr>
        <w:pStyle w:val="yHeading3"/>
      </w:pPr>
      <w:bookmarkStart w:id="17" w:name="_Toc169169718"/>
      <w:bookmarkStart w:id="18" w:name="_Toc169169853"/>
      <w:bookmarkStart w:id="19" w:name="_Toc169171464"/>
      <w:bookmarkStart w:id="20" w:name="_Toc169248629"/>
      <w:r>
        <w:rPr>
          <w:rStyle w:val="CharSDivNo"/>
        </w:rPr>
        <w:t>Division 1</w:t>
      </w:r>
      <w:r>
        <w:t> — </w:t>
      </w:r>
      <w:r>
        <w:rPr>
          <w:rStyle w:val="CharSDivText"/>
        </w:rPr>
        <w:t>Tariffs other than MyPower tariffs</w:t>
      </w:r>
      <w:bookmarkEnd w:id="17"/>
      <w:bookmarkEnd w:id="18"/>
      <w:bookmarkEnd w:id="19"/>
      <w:bookmarkEnd w:id="20"/>
    </w:p>
    <w:p>
      <w:pPr>
        <w:pStyle w:val="yFootnoteheading"/>
      </w:pPr>
      <w:r>
        <w:tab/>
        <w:t>[Heading inserted: SL 2023/84 bl. 4.]</w:t>
      </w:r>
    </w:p>
    <w:p>
      <w:pPr>
        <w:pStyle w:val="yHeading5"/>
      </w:pPr>
      <w:bookmarkStart w:id="21" w:name="_Toc169248630"/>
      <w:r>
        <w:rPr>
          <w:rStyle w:val="CharSClsNo"/>
        </w:rPr>
        <w:t>1</w:t>
      </w:r>
      <w:r>
        <w:t>.</w:t>
      </w:r>
      <w:r>
        <w:tab/>
        <w:t>Tariff L2 (general supply — low/medium voltage tariff)</w:t>
      </w:r>
      <w:bookmarkEnd w:id="2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$1.9720 per day; and</w:t>
      </w:r>
    </w:p>
    <w:p>
      <w:pPr>
        <w:pStyle w:val="yIndenta"/>
      </w:pPr>
      <w:r>
        <w:tab/>
        <w:t>(b)</w:t>
      </w:r>
      <w:r>
        <w:tab/>
        <w:t xml:space="preserve">a charge for metered consumption at the rate of — </w:t>
      </w:r>
    </w:p>
    <w:p>
      <w:pPr>
        <w:pStyle w:val="yIndenti0"/>
      </w:pPr>
      <w:r>
        <w:tab/>
        <w:t>(i)</w:t>
      </w:r>
      <w:r>
        <w:tab/>
        <w:t>30.6876 cents per unit for the first 1 650 units per day; and</w:t>
      </w:r>
    </w:p>
    <w:p>
      <w:pPr>
        <w:pStyle w:val="yIndenti0"/>
      </w:pPr>
      <w:r>
        <w:tab/>
        <w:t>(ii)</w:t>
      </w:r>
      <w:r>
        <w:tab/>
        <w:t>34.5992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2023/84 bl. 4.]</w:t>
      </w:r>
    </w:p>
    <w:p>
      <w:pPr>
        <w:pStyle w:val="yHeading5"/>
      </w:pPr>
      <w:bookmarkStart w:id="22" w:name="_Toc169248631"/>
      <w:r>
        <w:rPr>
          <w:rStyle w:val="CharSClsNo"/>
        </w:rPr>
        <w:t>2</w:t>
      </w:r>
      <w:r>
        <w:t>.</w:t>
      </w:r>
      <w:r>
        <w:tab/>
        <w:t>Tariff L4 (general supply — low/medium voltage tariff)</w:t>
      </w:r>
      <w:bookmarkEnd w:id="22"/>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$1.7797 per day; and</w:t>
      </w:r>
    </w:p>
    <w:p>
      <w:pPr>
        <w:pStyle w:val="yIndenta"/>
      </w:pPr>
      <w:r>
        <w:tab/>
        <w:t>(b)</w:t>
      </w:r>
      <w:r>
        <w:tab/>
        <w:t xml:space="preserve">a charge for metered consumption at the rate of — </w:t>
      </w:r>
    </w:p>
    <w:p>
      <w:pPr>
        <w:pStyle w:val="yIndenti0"/>
      </w:pPr>
      <w:r>
        <w:tab/>
        <w:t>(i)</w:t>
      </w:r>
      <w:r>
        <w:tab/>
        <w:t>36.1484</w:t>
      </w:r>
      <w:r>
        <w:rPr>
          <w:szCs w:val="22"/>
        </w:rPr>
        <w:t xml:space="preserve"> </w:t>
      </w:r>
      <w:r>
        <w:t>cents per unit for the first 1 650 units per day; and</w:t>
      </w:r>
    </w:p>
    <w:p>
      <w:pPr>
        <w:pStyle w:val="yIndenti0"/>
      </w:pPr>
      <w:r>
        <w:tab/>
        <w:t>(ii)</w:t>
      </w:r>
      <w:r>
        <w:tab/>
        <w:t>30.6731</w:t>
      </w:r>
      <w:r>
        <w:rPr>
          <w:szCs w:val="22"/>
        </w:rPr>
        <w:t xml:space="preserve"> </w:t>
      </w:r>
      <w:r>
        <w:t>cents per unit for all units exceeding 1 650 units per day.</w:t>
      </w:r>
    </w:p>
    <w:p>
      <w:pPr>
        <w:pStyle w:val="ySubsection"/>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2023/84 bl. 4.]</w:t>
      </w:r>
    </w:p>
    <w:p>
      <w:pPr>
        <w:pStyle w:val="yHeading5"/>
      </w:pPr>
      <w:bookmarkStart w:id="23" w:name="_Toc169248632"/>
      <w:r>
        <w:rPr>
          <w:rStyle w:val="CharSClsNo"/>
        </w:rPr>
        <w:t>3</w:t>
      </w:r>
      <w:r>
        <w:t>.</w:t>
      </w:r>
      <w:r>
        <w:tab/>
        <w:t>Tariff A2 (residential tariff)</w:t>
      </w:r>
      <w:bookmarkEnd w:id="23"/>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$1.1046 per day or, for multiple dwellings supplied through 1 metered supply point, a fixed charge at the rate of —</w:t>
      </w:r>
    </w:p>
    <w:p>
      <w:pPr>
        <w:pStyle w:val="yIndenti0"/>
      </w:pPr>
      <w:r>
        <w:tab/>
        <w:t>(i)</w:t>
      </w:r>
      <w:r>
        <w:tab/>
        <w:t>$1.1046 per day for the first dwelling; and</w:t>
      </w:r>
    </w:p>
    <w:p>
      <w:pPr>
        <w:pStyle w:val="yIndenti0"/>
      </w:pPr>
      <w:r>
        <w:tab/>
        <w:t>(ii)</w:t>
      </w:r>
      <w:r>
        <w:tab/>
        <w:t>43.9179 cents per day for each additional dwelling;</w:t>
      </w:r>
    </w:p>
    <w:p>
      <w:pPr>
        <w:pStyle w:val="yIndenta"/>
      </w:pPr>
      <w:r>
        <w:tab/>
      </w:r>
      <w:r>
        <w:tab/>
        <w:t>and</w:t>
      </w:r>
    </w:p>
    <w:p>
      <w:pPr>
        <w:pStyle w:val="yIndenta"/>
      </w:pPr>
      <w:r>
        <w:tab/>
        <w:t>(b)</w:t>
      </w:r>
      <w:r>
        <w:tab/>
        <w:t>a charge for metered consumption at the rate of 30.8120 cents per unit.</w:t>
      </w:r>
    </w:p>
    <w:p>
      <w:pPr>
        <w:pStyle w:val="yFootnotesection"/>
      </w:pPr>
      <w:r>
        <w:tab/>
        <w:t>[Clause 3 inserted: SL 2023/84 bl. 4.]</w:t>
      </w:r>
    </w:p>
    <w:p>
      <w:pPr>
        <w:pStyle w:val="yHeading5"/>
      </w:pPr>
      <w:bookmarkStart w:id="24" w:name="_Toc169248633"/>
      <w:r>
        <w:rPr>
          <w:rStyle w:val="CharSClsNo"/>
        </w:rPr>
        <w:t>4</w:t>
      </w:r>
      <w:r>
        <w:t>.</w:t>
      </w:r>
      <w:r>
        <w:tab/>
        <w:t>Tariff C2 (special community service tariff)</w:t>
      </w:r>
      <w:bookmarkEnd w:id="24"/>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$1.0660 per day; and</w:t>
      </w:r>
    </w:p>
    <w:p>
      <w:pPr>
        <w:pStyle w:val="yIndenta"/>
      </w:pPr>
      <w:r>
        <w:tab/>
        <w:t>(b)</w:t>
      </w:r>
      <w:r>
        <w:tab/>
        <w:t xml:space="preserve">a charge for metered consumption at the rate of — </w:t>
      </w:r>
    </w:p>
    <w:p>
      <w:pPr>
        <w:pStyle w:val="yIndenti0"/>
      </w:pPr>
      <w:r>
        <w:tab/>
        <w:t>(i)</w:t>
      </w:r>
      <w:r>
        <w:tab/>
        <w:t>24.9035 cents per unit for the first 20 units per day; and</w:t>
      </w:r>
    </w:p>
    <w:p>
      <w:pPr>
        <w:pStyle w:val="yIndenti0"/>
      </w:pPr>
      <w:r>
        <w:tab/>
        <w:t>(ii)</w:t>
      </w:r>
      <w:r>
        <w:tab/>
        <w:t>26.5704 cents per unit for the next 1 630 units per day; and</w:t>
      </w:r>
    </w:p>
    <w:p>
      <w:pPr>
        <w:pStyle w:val="yIndenti0"/>
      </w:pPr>
      <w:r>
        <w:tab/>
        <w:t>(iii)</w:t>
      </w:r>
      <w:r>
        <w:tab/>
        <w:t>25.3443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lastRenderedPageBreak/>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2023/84 bl. 4.]</w:t>
      </w:r>
    </w:p>
    <w:p>
      <w:pPr>
        <w:pStyle w:val="yHeading5"/>
      </w:pPr>
      <w:bookmarkStart w:id="25" w:name="_Toc169248634"/>
      <w:r>
        <w:rPr>
          <w:rStyle w:val="CharSClsNo"/>
        </w:rPr>
        <w:t>5</w:t>
      </w:r>
      <w:r>
        <w:t>.</w:t>
      </w:r>
      <w:r>
        <w:tab/>
        <w:t>Tariff D2 (special tariff for certain premises)</w:t>
      </w:r>
      <w:bookmarkEnd w:id="25"/>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$1.0513 per day; and</w:t>
      </w:r>
    </w:p>
    <w:p>
      <w:pPr>
        <w:pStyle w:val="yIndenta"/>
      </w:pPr>
      <w:r>
        <w:tab/>
        <w:t>(b)</w:t>
      </w:r>
      <w:r>
        <w:tab/>
        <w:t>if under subclause (3) there is taken to be more than 1 equivalent domestic residence in the premises — a charge of 38.9791 cents per day for each equivalent domestic residence except the first that is taken to be in the premises; and</w:t>
      </w:r>
    </w:p>
    <w:p>
      <w:pPr>
        <w:pStyle w:val="yIndenta"/>
      </w:pPr>
      <w:r>
        <w:tab/>
        <w:t>(c)</w:t>
      </w:r>
      <w:r>
        <w:tab/>
        <w:t>a charge for metered consumption at the rate of 26.7120 cents per unit.</w:t>
      </w:r>
    </w:p>
    <w:p>
      <w:pPr>
        <w:pStyle w:val="ySubsection"/>
        <w:keepNext/>
      </w:pPr>
      <w:r>
        <w:tab/>
        <w:t>(3)</w:t>
      </w:r>
      <w:r>
        <w:tab/>
        <w:t xml:space="preserve">The number of equivalent domestic residences taken to be in particular premises is ascertained by dividing the facility’s total bed </w:t>
      </w:r>
      <w:r>
        <w:lastRenderedPageBreak/>
        <w:t>capacity by 5 and, where the quotient is not a whole number, by increasing it to the next highest whole number.</w:t>
      </w:r>
    </w:p>
    <w:p>
      <w:pPr>
        <w:pStyle w:val="yFootnotesection"/>
      </w:pPr>
      <w:r>
        <w:tab/>
        <w:t>[Clause 5 inserted: SL 2023/84 bl. 4.]</w:t>
      </w:r>
    </w:p>
    <w:p>
      <w:pPr>
        <w:pStyle w:val="yHeading5"/>
      </w:pPr>
      <w:bookmarkStart w:id="26" w:name="_Toc169248635"/>
      <w:r>
        <w:rPr>
          <w:rStyle w:val="CharSClsNo"/>
        </w:rPr>
        <w:t>6</w:t>
      </w:r>
      <w:r>
        <w:t>.</w:t>
      </w:r>
      <w:r>
        <w:tab/>
        <w:t>Tariff K2 (general supply with residential tariff)</w:t>
      </w:r>
      <w:bookmarkEnd w:id="26"/>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$1.9492 per day; and</w:t>
      </w:r>
    </w:p>
    <w:p>
      <w:pPr>
        <w:pStyle w:val="yIndenta"/>
      </w:pPr>
      <w:r>
        <w:tab/>
        <w:t>(b)</w:t>
      </w:r>
      <w:r>
        <w:tab/>
        <w:t>a charge for metered consumption at the rate of —</w:t>
      </w:r>
    </w:p>
    <w:p>
      <w:pPr>
        <w:pStyle w:val="yIndenti0"/>
      </w:pPr>
      <w:r>
        <w:tab/>
        <w:t>(i)</w:t>
      </w:r>
      <w:r>
        <w:tab/>
        <w:t>32.1886 cents per unit for the first 20 units per day; and</w:t>
      </w:r>
    </w:p>
    <w:p>
      <w:pPr>
        <w:pStyle w:val="yIndenti0"/>
      </w:pPr>
      <w:r>
        <w:tab/>
        <w:t>(ii)</w:t>
      </w:r>
      <w:r>
        <w:tab/>
        <w:t>30.3335 cents per unit for the next 1 630 units per day; and</w:t>
      </w:r>
    </w:p>
    <w:p>
      <w:pPr>
        <w:pStyle w:val="yIndenti0"/>
      </w:pPr>
      <w:r>
        <w:tab/>
        <w:t>(iii)</w:t>
      </w:r>
      <w:r>
        <w:tab/>
        <w:t>34.1999 cents per unit for all units exceeding 1 650 units per day.</w:t>
      </w:r>
    </w:p>
    <w:p>
      <w:pPr>
        <w:pStyle w:val="yFootnotesection"/>
      </w:pPr>
      <w:r>
        <w:tab/>
        <w:t>[Clause 6 inserted: SL 2023/84 bl. 4.]</w:t>
      </w:r>
    </w:p>
    <w:p>
      <w:pPr>
        <w:pStyle w:val="yHeading3"/>
      </w:pPr>
      <w:bookmarkStart w:id="27" w:name="_Toc169169725"/>
      <w:bookmarkStart w:id="28" w:name="_Toc169169860"/>
      <w:bookmarkStart w:id="29" w:name="_Toc169171471"/>
      <w:bookmarkStart w:id="30" w:name="_Toc169248636"/>
      <w:r>
        <w:rPr>
          <w:rStyle w:val="CharSDivNo"/>
        </w:rPr>
        <w:t>Division 2</w:t>
      </w:r>
      <w:r>
        <w:t> — </w:t>
      </w:r>
      <w:r>
        <w:rPr>
          <w:rStyle w:val="CharSDivText"/>
        </w:rPr>
        <w:t>MyPower tariffs</w:t>
      </w:r>
      <w:bookmarkEnd w:id="27"/>
      <w:bookmarkEnd w:id="28"/>
      <w:bookmarkEnd w:id="29"/>
      <w:bookmarkEnd w:id="30"/>
    </w:p>
    <w:p>
      <w:pPr>
        <w:pStyle w:val="yFootnoteheading"/>
      </w:pPr>
      <w:r>
        <w:tab/>
        <w:t>[Heading inserted: SL 2023/84 bl. 4.]</w:t>
      </w:r>
    </w:p>
    <w:p>
      <w:pPr>
        <w:pStyle w:val="yHeading5"/>
      </w:pPr>
      <w:bookmarkStart w:id="31" w:name="_Toc169248637"/>
      <w:r>
        <w:rPr>
          <w:rStyle w:val="CharSClsNo"/>
        </w:rPr>
        <w:t>7</w:t>
      </w:r>
      <w:r>
        <w:t>.</w:t>
      </w:r>
      <w:r>
        <w:tab/>
        <w:t>Terms used</w:t>
      </w:r>
      <w:bookmarkEnd w:id="31"/>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 xml:space="preserve">in relation to a MyPower residential tariff as defined in clause 8(1) — a day that is in a peak period and is not a </w:t>
      </w:r>
      <w:r>
        <w:lastRenderedPageBreak/>
        <w:t>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2023/84 bl. 4.]</w:t>
      </w:r>
    </w:p>
    <w:p>
      <w:pPr>
        <w:pStyle w:val="yHeading5"/>
      </w:pPr>
      <w:bookmarkStart w:id="32" w:name="_Toc169248638"/>
      <w:r>
        <w:rPr>
          <w:rStyle w:val="CharSClsNo"/>
        </w:rPr>
        <w:t>8</w:t>
      </w:r>
      <w:r>
        <w:t>.</w:t>
      </w:r>
      <w:r>
        <w:tab/>
        <w:t>MyPower residential tariffs</w:t>
      </w:r>
      <w:bookmarkEnd w:id="32"/>
    </w:p>
    <w:p>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lastRenderedPageBreak/>
        <w:tab/>
        <w:t>(b)</w:t>
      </w:r>
      <w:r>
        <w:tab/>
        <w:t>if, before 1 July 2022, the consumer elected to be supplied electricity at the premises at the MyPower residential tariff (subject to subclause (5)); and</w:t>
      </w:r>
    </w:p>
    <w:p>
      <w:pPr>
        <w:pStyle w:val="yIndenta"/>
      </w:pPr>
      <w:r>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keepNext/>
              <w:rPr>
                <w:b/>
              </w:rPr>
            </w:pPr>
            <w:r>
              <w:rPr>
                <w:b/>
              </w:rPr>
              <w:t>Tariff name</w:t>
            </w:r>
          </w:p>
        </w:tc>
        <w:tc>
          <w:tcPr>
            <w:tcW w:w="1417" w:type="dxa"/>
            <w:noWrap/>
          </w:tcPr>
          <w:p>
            <w:pPr>
              <w:pStyle w:val="yTableNAm"/>
              <w:keepNext/>
              <w:rPr>
                <w:b/>
              </w:rPr>
            </w:pPr>
            <w:r>
              <w:rPr>
                <w:b/>
              </w:rPr>
              <w:t>Rate of fixed charge</w:t>
            </w:r>
          </w:p>
        </w:tc>
        <w:tc>
          <w:tcPr>
            <w:tcW w:w="1560" w:type="dxa"/>
            <w:noWrap/>
          </w:tcPr>
          <w:p>
            <w:pPr>
              <w:pStyle w:val="yTableNAm"/>
              <w:keepNext/>
              <w:rPr>
                <w:b/>
              </w:rPr>
            </w:pPr>
            <w:r>
              <w:rPr>
                <w:b/>
              </w:rPr>
              <w:t>Rate of metered consumption charge</w:t>
            </w:r>
          </w:p>
        </w:tc>
        <w:tc>
          <w:tcPr>
            <w:tcW w:w="1275" w:type="dxa"/>
            <w:noWrap/>
          </w:tcPr>
          <w:p>
            <w:pPr>
              <w:pStyle w:val="yTableNAm"/>
              <w:keepNext/>
              <w:rPr>
                <w:b/>
              </w:rPr>
            </w:pPr>
            <w:r>
              <w:rPr>
                <w:b/>
              </w:rPr>
              <w:t>Peak allowance</w:t>
            </w:r>
          </w:p>
        </w:tc>
      </w:tr>
      <w:tr>
        <w:trPr>
          <w:cantSplit/>
        </w:trPr>
        <w:tc>
          <w:tcPr>
            <w:tcW w:w="1276" w:type="dxa"/>
            <w:noWrap/>
          </w:tcPr>
          <w:p>
            <w:pPr>
              <w:pStyle w:val="yTableNAm"/>
            </w:pPr>
            <w:r>
              <w:t>MyPower residential 1.5 fixed plan price</w:t>
            </w:r>
          </w:p>
        </w:tc>
        <w:tc>
          <w:tcPr>
            <w:tcW w:w="1417" w:type="dxa"/>
            <w:noWrap/>
          </w:tcPr>
          <w:p>
            <w:pPr>
              <w:pStyle w:val="yTableNAm"/>
            </w:pPr>
            <w:r>
              <w:t>$1.208232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t>MyPower residential 3 fixed plan price</w:t>
            </w:r>
          </w:p>
        </w:tc>
        <w:tc>
          <w:tcPr>
            <w:tcW w:w="1417" w:type="dxa"/>
            <w:noWrap/>
          </w:tcPr>
          <w:p>
            <w:pPr>
              <w:pStyle w:val="yTableNAm"/>
            </w:pPr>
            <w:r>
              <w:t>$2.614571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lastRenderedPageBreak/>
              <w:t>MyPower residential 5 fixed plan price</w:t>
            </w:r>
          </w:p>
        </w:tc>
        <w:tc>
          <w:tcPr>
            <w:tcW w:w="1417" w:type="dxa"/>
            <w:noWrap/>
          </w:tcPr>
          <w:p>
            <w:pPr>
              <w:pStyle w:val="yTableNAm"/>
            </w:pPr>
            <w:r>
              <w:t>$5.290679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$8.713957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$13.154094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$26.785995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r>
        <w:tab/>
        <w:t>[Clause 8 inserted: SL 2023/84 bl. 4.]</w:t>
      </w:r>
    </w:p>
    <w:p>
      <w:pPr>
        <w:pStyle w:val="yHeading5"/>
      </w:pPr>
      <w:bookmarkStart w:id="33" w:name="_Toc169248639"/>
      <w:r>
        <w:rPr>
          <w:rStyle w:val="CharSClsNo"/>
        </w:rPr>
        <w:lastRenderedPageBreak/>
        <w:t>9</w:t>
      </w:r>
      <w:r>
        <w:t>.</w:t>
      </w:r>
      <w:r>
        <w:tab/>
        <w:t>MyPower non</w:t>
      </w:r>
      <w:r>
        <w:noBreakHyphen/>
        <w:t>residential tariffs</w:t>
      </w:r>
      <w:bookmarkEnd w:id="33"/>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rPr>
                <w:b/>
              </w:rPr>
            </w:pPr>
            <w:r>
              <w:rPr>
                <w:b/>
              </w:rPr>
              <w:t>Tariff name</w:t>
            </w:r>
          </w:p>
        </w:tc>
        <w:tc>
          <w:tcPr>
            <w:tcW w:w="1560" w:type="dxa"/>
            <w:noWrap/>
          </w:tcPr>
          <w:p>
            <w:pPr>
              <w:pStyle w:val="yTableNAm"/>
              <w:rPr>
                <w:b/>
              </w:rPr>
            </w:pPr>
            <w:r>
              <w:rPr>
                <w:b/>
              </w:rPr>
              <w:t>Rate of fixed charge</w:t>
            </w:r>
          </w:p>
        </w:tc>
        <w:tc>
          <w:tcPr>
            <w:tcW w:w="1531" w:type="dxa"/>
            <w:noWrap/>
          </w:tcPr>
          <w:p>
            <w:pPr>
              <w:pStyle w:val="yTableNAm"/>
              <w:rPr>
                <w:b/>
              </w:rPr>
            </w:pPr>
            <w:r>
              <w:rPr>
                <w:b/>
              </w:rPr>
              <w:t>Rate of metered consumption charge</w:t>
            </w:r>
          </w:p>
        </w:tc>
        <w:tc>
          <w:tcPr>
            <w:tcW w:w="1275" w:type="dxa"/>
            <w:noWrap/>
          </w:tcPr>
          <w:p>
            <w:pPr>
              <w:pStyle w:val="yTableNAm"/>
              <w:rPr>
                <w:b/>
              </w:rPr>
            </w:pPr>
            <w:r>
              <w:rPr>
                <w:b/>
              </w:rPr>
              <w:t>Peak allowance</w:t>
            </w:r>
          </w:p>
        </w:tc>
      </w:tr>
      <w:tr>
        <w:trPr>
          <w:cantSplit/>
        </w:trPr>
        <w:tc>
          <w:tcPr>
            <w:tcW w:w="1162" w:type="dxa"/>
            <w:noWrap/>
          </w:tcPr>
          <w:p>
            <w:pPr>
              <w:pStyle w:val="yTableNAm"/>
            </w:pPr>
            <w:r>
              <w:t>MyPower non</w:t>
            </w:r>
            <w:r>
              <w:noBreakHyphen/>
              <w:t>residential 3 fixed plan price</w:t>
            </w:r>
          </w:p>
        </w:tc>
        <w:tc>
          <w:tcPr>
            <w:tcW w:w="1560" w:type="dxa"/>
            <w:noWrap/>
          </w:tcPr>
          <w:p>
            <w:pPr>
              <w:pStyle w:val="yTableNAm"/>
            </w:pPr>
            <w:r>
              <w:t>$2.939720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r>
              <w:noBreakHyphen/>
              <w:t>residential 5 fixed plan price</w:t>
            </w:r>
          </w:p>
        </w:tc>
        <w:tc>
          <w:tcPr>
            <w:tcW w:w="1560" w:type="dxa"/>
            <w:noWrap/>
          </w:tcPr>
          <w:p>
            <w:pPr>
              <w:pStyle w:val="yTableNAm"/>
            </w:pPr>
            <w:r>
              <w:t>$6.911214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r>
              <w:noBreakHyphen/>
              <w:t>residential 7 fixed plan price</w:t>
            </w:r>
          </w:p>
        </w:tc>
        <w:tc>
          <w:tcPr>
            <w:tcW w:w="1560" w:type="dxa"/>
            <w:noWrap/>
          </w:tcPr>
          <w:p>
            <w:pPr>
              <w:pStyle w:val="yTableNAm"/>
            </w:pPr>
            <w:r>
              <w:t>$12.337059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r>
              <w:noBreakHyphen/>
              <w:t>residential 10 fixed plan price</w:t>
            </w:r>
          </w:p>
        </w:tc>
        <w:tc>
          <w:tcPr>
            <w:tcW w:w="1560" w:type="dxa"/>
            <w:noWrap/>
          </w:tcPr>
          <w:p>
            <w:pPr>
              <w:pStyle w:val="yTableNAm"/>
            </w:pPr>
            <w:r>
              <w:t>$18.319169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r>
              <w:noBreakHyphen/>
              <w:t>residential 15 fixed plan price</w:t>
            </w:r>
          </w:p>
        </w:tc>
        <w:tc>
          <w:tcPr>
            <w:tcW w:w="1560" w:type="dxa"/>
            <w:noWrap/>
          </w:tcPr>
          <w:p>
            <w:pPr>
              <w:pStyle w:val="yTableNAm"/>
            </w:pPr>
            <w:r>
              <w:t>$28.178562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lastRenderedPageBreak/>
              <w:t>MyPower non</w:t>
            </w:r>
            <w:r>
              <w:noBreakHyphen/>
              <w:t>residential 20 fixed plan price</w:t>
            </w:r>
          </w:p>
        </w:tc>
        <w:tc>
          <w:tcPr>
            <w:tcW w:w="1560" w:type="dxa"/>
            <w:noWrap/>
          </w:tcPr>
          <w:p>
            <w:pPr>
              <w:pStyle w:val="yTableNAm"/>
            </w:pPr>
            <w:r>
              <w:t>$42.392975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r>
              <w:noBreakHyphen/>
              <w:t>residential 25 fixed plan price</w:t>
            </w:r>
          </w:p>
        </w:tc>
        <w:tc>
          <w:tcPr>
            <w:tcW w:w="1560" w:type="dxa"/>
            <w:noWrap/>
          </w:tcPr>
          <w:p>
            <w:pPr>
              <w:pStyle w:val="yTableNAm"/>
            </w:pPr>
            <w:r>
              <w:t>$43.624580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r>
              <w:noBreakHyphen/>
              <w:t>residential 30 fixed plan price</w:t>
            </w:r>
          </w:p>
        </w:tc>
        <w:tc>
          <w:tcPr>
            <w:tcW w:w="1560" w:type="dxa"/>
            <w:noWrap/>
          </w:tcPr>
          <w:p>
            <w:pPr>
              <w:pStyle w:val="yTableNAm"/>
            </w:pPr>
            <w:r>
              <w:t>$60.051012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r>
              <w:noBreakHyphen/>
              <w:t>residential 35 fixed plan price</w:t>
            </w:r>
          </w:p>
        </w:tc>
        <w:tc>
          <w:tcPr>
            <w:tcW w:w="1560" w:type="dxa"/>
            <w:noWrap/>
          </w:tcPr>
          <w:p>
            <w:pPr>
              <w:pStyle w:val="yTableNAm"/>
            </w:pPr>
            <w:r>
              <w:t>$64.079763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r>
              <w:noBreakHyphen/>
              <w:t>residential 40 fixed plan price</w:t>
            </w:r>
          </w:p>
        </w:tc>
        <w:tc>
          <w:tcPr>
            <w:tcW w:w="1560" w:type="dxa"/>
            <w:noWrap/>
          </w:tcPr>
          <w:p>
            <w:pPr>
              <w:pStyle w:val="yTableNAm"/>
            </w:pPr>
            <w:r>
              <w:t>$87.529342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lastRenderedPageBreak/>
              <w:t>MyPower non</w:t>
            </w:r>
            <w:r>
              <w:noBreakHyphen/>
              <w:t>residential 50 fixed plan price</w:t>
            </w:r>
          </w:p>
        </w:tc>
        <w:tc>
          <w:tcPr>
            <w:tcW w:w="1560" w:type="dxa"/>
            <w:noWrap/>
          </w:tcPr>
          <w:p>
            <w:pPr>
              <w:pStyle w:val="yTableNAm"/>
            </w:pPr>
            <w:r>
              <w:t>$121.101439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r>
        <w:tab/>
        <w:t>[Clause 9 inserted: SL 2023/84 bl. 4.]</w:t>
      </w:r>
    </w:p>
    <w:p>
      <w:pPr>
        <w:pStyle w:val="yHeading5"/>
      </w:pPr>
      <w:bookmarkStart w:id="34" w:name="_Toc169248640"/>
      <w:r>
        <w:rPr>
          <w:rStyle w:val="CharSClsNo"/>
        </w:rPr>
        <w:t>10</w:t>
      </w:r>
      <w:r>
        <w:t>.</w:t>
      </w:r>
      <w:r>
        <w:tab/>
        <w:t>Eligibility criteria for MyPower tariffs</w:t>
      </w:r>
      <w:bookmarkEnd w:id="34"/>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lastRenderedPageBreak/>
        <w:tab/>
        <w:t>(b)</w:t>
      </w:r>
      <w:r>
        <w:tab/>
        <w:t>bills from the corporation at an email address nominated by the consumer.</w:t>
      </w:r>
    </w:p>
    <w:p>
      <w:pPr>
        <w:pStyle w:val="yFootnotesection"/>
      </w:pPr>
      <w:r>
        <w:tab/>
        <w:t>[Clause 10 inserted: SL 2023/84 bl. 4.]</w:t>
      </w:r>
    </w:p>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5" w:name="_Toc169169730"/>
      <w:bookmarkStart w:id="36" w:name="_Toc169169865"/>
      <w:bookmarkStart w:id="37" w:name="_Toc169171476"/>
      <w:bookmarkStart w:id="38" w:name="_Toc169248641"/>
      <w:r>
        <w:rPr>
          <w:rStyle w:val="CharSchNo"/>
        </w:rPr>
        <w:lastRenderedPageBreak/>
        <w:t>Schedule 2</w:t>
      </w:r>
      <w:r>
        <w:t> — </w:t>
      </w:r>
      <w:r>
        <w:rPr>
          <w:rStyle w:val="CharSchText"/>
        </w:rPr>
        <w:t>Unmetered supply</w:t>
      </w:r>
      <w:bookmarkEnd w:id="35"/>
      <w:bookmarkEnd w:id="36"/>
      <w:bookmarkEnd w:id="37"/>
      <w:bookmarkEnd w:id="38"/>
    </w:p>
    <w:p>
      <w:pPr>
        <w:pStyle w:val="yShoulderClause"/>
      </w:pPr>
      <w:r>
        <w:t>[bl. 4(2) and (3)]</w:t>
      </w:r>
    </w:p>
    <w:p>
      <w:pPr>
        <w:pStyle w:val="yFootnoteheading"/>
      </w:pPr>
      <w:r>
        <w:tab/>
        <w:t>[Heading inserted: SL 2023/84 bl. 4.]</w:t>
      </w:r>
    </w:p>
    <w:p>
      <w:pPr>
        <w:pStyle w:val="yHeading3"/>
      </w:pPr>
      <w:bookmarkStart w:id="39" w:name="_Toc169169731"/>
      <w:bookmarkStart w:id="40" w:name="_Toc169169866"/>
      <w:bookmarkStart w:id="41" w:name="_Toc169171477"/>
      <w:bookmarkStart w:id="42" w:name="_Toc169248642"/>
      <w:r>
        <w:rPr>
          <w:rStyle w:val="CharSDivNo"/>
        </w:rPr>
        <w:t>Division 1</w:t>
      </w:r>
      <w:r>
        <w:t> — </w:t>
      </w:r>
      <w:r>
        <w:rPr>
          <w:rStyle w:val="CharSDivText"/>
        </w:rPr>
        <w:t>Street lighting</w:t>
      </w:r>
      <w:bookmarkEnd w:id="39"/>
      <w:bookmarkEnd w:id="40"/>
      <w:bookmarkEnd w:id="41"/>
      <w:bookmarkEnd w:id="42"/>
    </w:p>
    <w:p>
      <w:pPr>
        <w:pStyle w:val="yFootnoteheading"/>
        <w:spacing w:after="60"/>
      </w:pPr>
      <w:r>
        <w:tab/>
        <w:t>[Heading inserted: SL 2023/84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jc w:val="center"/>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58.6881</w:t>
            </w:r>
          </w:p>
        </w:tc>
        <w:tc>
          <w:tcPr>
            <w:tcW w:w="1512" w:type="dxa"/>
            <w:noWrap/>
          </w:tcPr>
          <w:p>
            <w:pPr>
              <w:pStyle w:val="yTableNAm"/>
              <w:jc w:val="right"/>
              <w:rPr>
                <w:sz w:val="16"/>
                <w:szCs w:val="16"/>
              </w:rPr>
            </w:pPr>
            <w:r>
              <w:rPr>
                <w:sz w:val="16"/>
                <w:szCs w:val="16"/>
              </w:rPr>
              <w:t>59.8393</w:t>
            </w:r>
          </w:p>
        </w:tc>
        <w:tc>
          <w:tcPr>
            <w:tcW w:w="1370" w:type="dxa"/>
            <w:noWrap/>
          </w:tcPr>
          <w:p>
            <w:pPr>
              <w:pStyle w:val="yTableNAm"/>
              <w:jc w:val="right"/>
              <w:rPr>
                <w:sz w:val="16"/>
                <w:szCs w:val="16"/>
              </w:rPr>
            </w:pPr>
            <w:r>
              <w:rPr>
                <w:sz w:val="16"/>
                <w:szCs w:val="16"/>
              </w:rPr>
              <w:t>64.1308</w:t>
            </w:r>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64.4156</w:t>
            </w:r>
          </w:p>
        </w:tc>
        <w:tc>
          <w:tcPr>
            <w:tcW w:w="1512" w:type="dxa"/>
            <w:noWrap/>
          </w:tcPr>
          <w:p>
            <w:pPr>
              <w:pStyle w:val="yTableNAm"/>
              <w:jc w:val="right"/>
              <w:rPr>
                <w:sz w:val="16"/>
                <w:szCs w:val="16"/>
              </w:rPr>
            </w:pPr>
            <w:r>
              <w:rPr>
                <w:sz w:val="16"/>
                <w:szCs w:val="16"/>
              </w:rPr>
              <w:t>65.8049</w:t>
            </w:r>
          </w:p>
        </w:tc>
        <w:tc>
          <w:tcPr>
            <w:tcW w:w="1370" w:type="dxa"/>
            <w:noWrap/>
          </w:tcPr>
          <w:p>
            <w:pPr>
              <w:pStyle w:val="yTableNAm"/>
              <w:jc w:val="right"/>
              <w:rPr>
                <w:sz w:val="16"/>
                <w:szCs w:val="16"/>
              </w:rPr>
            </w:pPr>
            <w:r>
              <w:rPr>
                <w:sz w:val="16"/>
                <w:szCs w:val="16"/>
              </w:rPr>
              <w:t>71.4395</w:t>
            </w:r>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72.9941</w:t>
            </w:r>
          </w:p>
        </w:tc>
        <w:tc>
          <w:tcPr>
            <w:tcW w:w="1512" w:type="dxa"/>
            <w:noWrap/>
          </w:tcPr>
          <w:p>
            <w:pPr>
              <w:pStyle w:val="yTableNAm"/>
              <w:jc w:val="right"/>
              <w:rPr>
                <w:sz w:val="16"/>
                <w:szCs w:val="16"/>
              </w:rPr>
            </w:pPr>
            <w:r>
              <w:rPr>
                <w:sz w:val="16"/>
                <w:szCs w:val="16"/>
              </w:rPr>
              <w:t>75.2517</w:t>
            </w:r>
          </w:p>
        </w:tc>
        <w:tc>
          <w:tcPr>
            <w:tcW w:w="1370" w:type="dxa"/>
            <w:noWrap/>
          </w:tcPr>
          <w:p>
            <w:pPr>
              <w:pStyle w:val="yTableNAm"/>
              <w:jc w:val="right"/>
              <w:rPr>
                <w:sz w:val="16"/>
                <w:szCs w:val="16"/>
              </w:rPr>
            </w:pPr>
            <w:r>
              <w:rPr>
                <w:sz w:val="16"/>
                <w:szCs w:val="16"/>
              </w:rPr>
              <w:t>83.6507</w:t>
            </w:r>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86.5374</w:t>
            </w:r>
          </w:p>
        </w:tc>
        <w:tc>
          <w:tcPr>
            <w:tcW w:w="1512" w:type="dxa"/>
            <w:noWrap/>
          </w:tcPr>
          <w:p>
            <w:pPr>
              <w:pStyle w:val="yTableNAm"/>
              <w:jc w:val="right"/>
              <w:rPr>
                <w:sz w:val="16"/>
                <w:szCs w:val="16"/>
              </w:rPr>
            </w:pPr>
            <w:r>
              <w:rPr>
                <w:sz w:val="16"/>
                <w:szCs w:val="16"/>
              </w:rPr>
              <w:t>90.6815</w:t>
            </w:r>
          </w:p>
        </w:tc>
        <w:tc>
          <w:tcPr>
            <w:tcW w:w="1370" w:type="dxa"/>
            <w:noWrap/>
          </w:tcPr>
          <w:p>
            <w:pPr>
              <w:pStyle w:val="yTableNAm"/>
              <w:jc w:val="right"/>
              <w:rPr>
                <w:sz w:val="16"/>
                <w:szCs w:val="16"/>
              </w:rPr>
            </w:pPr>
            <w:r>
              <w:rPr>
                <w:sz w:val="16"/>
                <w:szCs w:val="16"/>
              </w:rPr>
              <w:t>106.2839</w:t>
            </w:r>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99.3749</w:t>
            </w:r>
          </w:p>
        </w:tc>
        <w:tc>
          <w:tcPr>
            <w:tcW w:w="1512" w:type="dxa"/>
            <w:noWrap/>
          </w:tcPr>
          <w:p>
            <w:pPr>
              <w:pStyle w:val="yTableNAm"/>
              <w:jc w:val="right"/>
              <w:rPr>
                <w:sz w:val="16"/>
                <w:szCs w:val="16"/>
              </w:rPr>
            </w:pPr>
            <w:r>
              <w:rPr>
                <w:sz w:val="16"/>
                <w:szCs w:val="16"/>
              </w:rPr>
              <w:t>103.6722</w:t>
            </w:r>
          </w:p>
        </w:tc>
        <w:tc>
          <w:tcPr>
            <w:tcW w:w="1370" w:type="dxa"/>
            <w:noWrap/>
          </w:tcPr>
          <w:p>
            <w:pPr>
              <w:pStyle w:val="yTableNAm"/>
              <w:jc w:val="right"/>
              <w:rPr>
                <w:sz w:val="16"/>
                <w:szCs w:val="16"/>
              </w:rPr>
            </w:pPr>
            <w:r>
              <w:rPr>
                <w:sz w:val="16"/>
                <w:szCs w:val="16"/>
              </w:rPr>
              <w:t>135.7478</w:t>
            </w:r>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72.8359</w:t>
            </w:r>
          </w:p>
        </w:tc>
        <w:tc>
          <w:tcPr>
            <w:tcW w:w="1512" w:type="dxa"/>
            <w:noWrap/>
          </w:tcPr>
          <w:p>
            <w:pPr>
              <w:pStyle w:val="yTableNAm"/>
              <w:jc w:val="right"/>
              <w:rPr>
                <w:sz w:val="16"/>
                <w:szCs w:val="16"/>
              </w:rPr>
            </w:pPr>
            <w:r>
              <w:rPr>
                <w:sz w:val="16"/>
                <w:szCs w:val="16"/>
              </w:rPr>
              <w:t>75.2635</w:t>
            </w:r>
          </w:p>
        </w:tc>
        <w:tc>
          <w:tcPr>
            <w:tcW w:w="1370" w:type="dxa"/>
            <w:noWrap/>
          </w:tcPr>
          <w:p>
            <w:pPr>
              <w:pStyle w:val="yTableNAm"/>
              <w:jc w:val="right"/>
              <w:rPr>
                <w:sz w:val="16"/>
                <w:szCs w:val="16"/>
              </w:rPr>
            </w:pPr>
            <w:r>
              <w:rPr>
                <w:sz w:val="16"/>
                <w:szCs w:val="16"/>
              </w:rPr>
              <w:t>86.0759</w:t>
            </w:r>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89.0592</w:t>
            </w:r>
          </w:p>
        </w:tc>
        <w:tc>
          <w:tcPr>
            <w:tcW w:w="1512" w:type="dxa"/>
            <w:noWrap/>
          </w:tcPr>
          <w:p>
            <w:pPr>
              <w:pStyle w:val="yTableNAm"/>
              <w:jc w:val="right"/>
              <w:rPr>
                <w:sz w:val="16"/>
                <w:szCs w:val="16"/>
              </w:rPr>
            </w:pPr>
            <w:r>
              <w:rPr>
                <w:sz w:val="16"/>
                <w:szCs w:val="16"/>
              </w:rPr>
              <w:t>93.5399</w:t>
            </w:r>
          </w:p>
        </w:tc>
        <w:tc>
          <w:tcPr>
            <w:tcW w:w="1370" w:type="dxa"/>
            <w:noWrap/>
          </w:tcPr>
          <w:p>
            <w:pPr>
              <w:pStyle w:val="yTableNAm"/>
              <w:jc w:val="right"/>
              <w:rPr>
                <w:sz w:val="16"/>
                <w:szCs w:val="16"/>
              </w:rPr>
            </w:pPr>
            <w:r>
              <w:rPr>
                <w:sz w:val="16"/>
                <w:szCs w:val="16"/>
              </w:rPr>
              <w:t>110.6437</w:t>
            </w:r>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jc w:val="right"/>
              <w:rPr>
                <w:sz w:val="16"/>
                <w:szCs w:val="16"/>
              </w:rPr>
            </w:pPr>
            <w:r>
              <w:rPr>
                <w:sz w:val="16"/>
                <w:szCs w:val="16"/>
              </w:rPr>
              <w:t>Not applicable</w:t>
            </w:r>
          </w:p>
        </w:tc>
        <w:tc>
          <w:tcPr>
            <w:tcW w:w="1512" w:type="dxa"/>
            <w:noWrap/>
          </w:tcPr>
          <w:p>
            <w:pPr>
              <w:pStyle w:val="yTableNAm"/>
              <w:jc w:val="right"/>
              <w:rPr>
                <w:sz w:val="16"/>
                <w:szCs w:val="16"/>
              </w:rPr>
            </w:pPr>
            <w:r>
              <w:rPr>
                <w:sz w:val="16"/>
                <w:szCs w:val="16"/>
              </w:rPr>
              <w:t>Not applicable</w:t>
            </w:r>
          </w:p>
        </w:tc>
        <w:tc>
          <w:tcPr>
            <w:tcW w:w="1370" w:type="dxa"/>
            <w:noWrap/>
          </w:tcPr>
          <w:p>
            <w:pPr>
              <w:pStyle w:val="yTableNAm"/>
              <w:jc w:val="right"/>
              <w:rPr>
                <w:sz w:val="16"/>
                <w:szCs w:val="16"/>
              </w:rPr>
            </w:pPr>
            <w:r>
              <w:rPr>
                <w:sz w:val="16"/>
                <w:szCs w:val="16"/>
              </w:rPr>
              <w:t>322.5459</w:t>
            </w:r>
          </w:p>
        </w:tc>
      </w:tr>
      <w:tr>
        <w:trPr>
          <w:cantSplit/>
        </w:trPr>
        <w:tc>
          <w:tcPr>
            <w:tcW w:w="567" w:type="dxa"/>
            <w:noWrap/>
          </w:tcPr>
          <w:p>
            <w:pPr>
              <w:pStyle w:val="yTableNAm"/>
              <w:rPr>
                <w:sz w:val="16"/>
                <w:szCs w:val="16"/>
              </w:rPr>
            </w:pPr>
            <w:r>
              <w:rPr>
                <w:sz w:val="16"/>
                <w:szCs w:val="16"/>
              </w:rPr>
              <w:t>Z.59</w:t>
            </w:r>
          </w:p>
        </w:tc>
        <w:tc>
          <w:tcPr>
            <w:tcW w:w="781" w:type="dxa"/>
            <w:noWrap/>
          </w:tcPr>
          <w:p>
            <w:pPr>
              <w:pStyle w:val="yTableNAm"/>
              <w:rPr>
                <w:sz w:val="16"/>
                <w:szCs w:val="16"/>
              </w:rPr>
            </w:pPr>
            <w:r>
              <w:rPr>
                <w:sz w:val="16"/>
                <w:szCs w:val="16"/>
              </w:rPr>
              <w:t>66</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59.9260</w:t>
            </w:r>
          </w:p>
        </w:tc>
        <w:tc>
          <w:tcPr>
            <w:tcW w:w="1512" w:type="dxa"/>
            <w:noWrap/>
            <w:vAlign w:val="bottom"/>
          </w:tcPr>
          <w:p>
            <w:pPr>
              <w:pStyle w:val="yTableNAm"/>
              <w:jc w:val="right"/>
              <w:rPr>
                <w:sz w:val="16"/>
                <w:szCs w:val="16"/>
              </w:rPr>
            </w:pPr>
            <w:r>
              <w:rPr>
                <w:sz w:val="16"/>
                <w:szCs w:val="16"/>
              </w:rPr>
              <w:t>61.1030</w:t>
            </w:r>
          </w:p>
        </w:tc>
        <w:tc>
          <w:tcPr>
            <w:tcW w:w="1370" w:type="dxa"/>
            <w:noWrap/>
          </w:tcPr>
          <w:p>
            <w:pPr>
              <w:pStyle w:val="yTableNAm"/>
              <w:jc w:val="right"/>
              <w:rPr>
                <w:sz w:val="16"/>
                <w:szCs w:val="16"/>
              </w:rPr>
            </w:pPr>
            <w:r>
              <w:rPr>
                <w:sz w:val="16"/>
                <w:szCs w:val="16"/>
              </w:rPr>
              <w:t>64.7935</w:t>
            </w:r>
          </w:p>
        </w:tc>
      </w:tr>
      <w:tr>
        <w:trPr>
          <w:cantSplit/>
        </w:trPr>
        <w:tc>
          <w:tcPr>
            <w:tcW w:w="567" w:type="dxa"/>
            <w:noWrap/>
          </w:tcPr>
          <w:p>
            <w:pPr>
              <w:pStyle w:val="yTableNAm"/>
              <w:rPr>
                <w:sz w:val="16"/>
                <w:szCs w:val="16"/>
              </w:rPr>
            </w:pPr>
            <w:r>
              <w:rPr>
                <w:sz w:val="16"/>
                <w:szCs w:val="16"/>
              </w:rPr>
              <w:t>Z.60</w:t>
            </w:r>
          </w:p>
        </w:tc>
        <w:tc>
          <w:tcPr>
            <w:tcW w:w="781" w:type="dxa"/>
            <w:noWrap/>
          </w:tcPr>
          <w:p>
            <w:pPr>
              <w:pStyle w:val="yTableNAm"/>
              <w:rPr>
                <w:sz w:val="16"/>
                <w:szCs w:val="16"/>
              </w:rPr>
            </w:pPr>
            <w:r>
              <w:rPr>
                <w:sz w:val="16"/>
                <w:szCs w:val="16"/>
              </w:rPr>
              <w:t>132</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73.0455</w:t>
            </w:r>
          </w:p>
        </w:tc>
        <w:tc>
          <w:tcPr>
            <w:tcW w:w="1512" w:type="dxa"/>
            <w:noWrap/>
            <w:vAlign w:val="bottom"/>
          </w:tcPr>
          <w:p>
            <w:pPr>
              <w:pStyle w:val="yTableNAm"/>
              <w:jc w:val="right"/>
              <w:rPr>
                <w:sz w:val="16"/>
                <w:szCs w:val="16"/>
              </w:rPr>
            </w:pPr>
            <w:r>
              <w:rPr>
                <w:sz w:val="16"/>
                <w:szCs w:val="16"/>
              </w:rPr>
              <w:t>76.0219</w:t>
            </w:r>
          </w:p>
        </w:tc>
        <w:tc>
          <w:tcPr>
            <w:tcW w:w="1370" w:type="dxa"/>
            <w:noWrap/>
          </w:tcPr>
          <w:p>
            <w:pPr>
              <w:pStyle w:val="yTableNAm"/>
              <w:jc w:val="right"/>
              <w:rPr>
                <w:sz w:val="16"/>
                <w:szCs w:val="16"/>
              </w:rPr>
            </w:pPr>
            <w:r>
              <w:rPr>
                <w:sz w:val="16"/>
                <w:szCs w:val="16"/>
              </w:rPr>
              <w:t>88.8773</w:t>
            </w:r>
          </w:p>
        </w:tc>
      </w:tr>
      <w:tr>
        <w:trPr>
          <w:cantSplit/>
        </w:trPr>
        <w:tc>
          <w:tcPr>
            <w:tcW w:w="567" w:type="dxa"/>
            <w:noWrap/>
          </w:tcPr>
          <w:p>
            <w:pPr>
              <w:pStyle w:val="yTableNAm"/>
              <w:rPr>
                <w:sz w:val="16"/>
                <w:szCs w:val="16"/>
              </w:rPr>
            </w:pPr>
            <w:r>
              <w:rPr>
                <w:sz w:val="16"/>
                <w:szCs w:val="16"/>
              </w:rPr>
              <w:t>Z.61</w:t>
            </w:r>
          </w:p>
        </w:tc>
        <w:tc>
          <w:tcPr>
            <w:tcW w:w="781" w:type="dxa"/>
            <w:noWrap/>
          </w:tcPr>
          <w:p>
            <w:pPr>
              <w:pStyle w:val="yTableNAm"/>
              <w:rPr>
                <w:sz w:val="16"/>
                <w:szCs w:val="16"/>
              </w:rPr>
            </w:pPr>
            <w:r>
              <w:rPr>
                <w:sz w:val="16"/>
                <w:szCs w:val="16"/>
              </w:rPr>
              <w:t>198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75.4287</w:t>
            </w:r>
          </w:p>
        </w:tc>
        <w:tc>
          <w:tcPr>
            <w:tcW w:w="1512" w:type="dxa"/>
            <w:noWrap/>
          </w:tcPr>
          <w:p>
            <w:pPr>
              <w:pStyle w:val="yTableNAm"/>
              <w:jc w:val="right"/>
              <w:rPr>
                <w:sz w:val="16"/>
                <w:szCs w:val="16"/>
              </w:rPr>
            </w:pPr>
            <w:r>
              <w:rPr>
                <w:sz w:val="16"/>
                <w:szCs w:val="16"/>
              </w:rPr>
              <w:t>79.2986</w:t>
            </w:r>
          </w:p>
        </w:tc>
        <w:tc>
          <w:tcPr>
            <w:tcW w:w="1370" w:type="dxa"/>
            <w:noWrap/>
          </w:tcPr>
          <w:p>
            <w:pPr>
              <w:pStyle w:val="yTableNAm"/>
              <w:jc w:val="right"/>
              <w:rPr>
                <w:sz w:val="16"/>
                <w:szCs w:val="16"/>
              </w:rPr>
            </w:pPr>
            <w:r>
              <w:rPr>
                <w:sz w:val="16"/>
                <w:szCs w:val="16"/>
              </w:rPr>
              <w:t>96.0257</w:t>
            </w:r>
          </w:p>
        </w:tc>
      </w:tr>
      <w:tr>
        <w:trPr>
          <w:cantSplit/>
        </w:trPr>
        <w:tc>
          <w:tcPr>
            <w:tcW w:w="567" w:type="dxa"/>
            <w:noWrap/>
          </w:tcPr>
          <w:p>
            <w:pPr>
              <w:pStyle w:val="yTableNAm"/>
              <w:rPr>
                <w:sz w:val="16"/>
                <w:szCs w:val="16"/>
              </w:rPr>
            </w:pPr>
            <w:r>
              <w:rPr>
                <w:sz w:val="16"/>
                <w:szCs w:val="16"/>
              </w:rPr>
              <w:t>Z.62</w:t>
            </w:r>
          </w:p>
        </w:tc>
        <w:tc>
          <w:tcPr>
            <w:tcW w:w="781" w:type="dxa"/>
            <w:noWrap/>
          </w:tcPr>
          <w:p>
            <w:pPr>
              <w:pStyle w:val="yTableNAm"/>
              <w:rPr>
                <w:sz w:val="16"/>
                <w:szCs w:val="16"/>
              </w:rPr>
            </w:pPr>
            <w:r>
              <w:rPr>
                <w:sz w:val="16"/>
                <w:szCs w:val="16"/>
              </w:rPr>
              <w:t>25</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57.1655</w:t>
            </w:r>
          </w:p>
        </w:tc>
        <w:tc>
          <w:tcPr>
            <w:tcW w:w="1512" w:type="dxa"/>
            <w:noWrap/>
          </w:tcPr>
          <w:p>
            <w:pPr>
              <w:pStyle w:val="yTableNAm"/>
              <w:jc w:val="right"/>
              <w:rPr>
                <w:sz w:val="16"/>
                <w:szCs w:val="16"/>
              </w:rPr>
            </w:pPr>
            <w:r>
              <w:rPr>
                <w:sz w:val="16"/>
                <w:szCs w:val="16"/>
              </w:rPr>
              <w:t>57.6782</w:t>
            </w:r>
          </w:p>
        </w:tc>
        <w:tc>
          <w:tcPr>
            <w:tcW w:w="1370" w:type="dxa"/>
            <w:noWrap/>
          </w:tcPr>
          <w:p>
            <w:pPr>
              <w:pStyle w:val="yTableNAm"/>
              <w:jc w:val="right"/>
              <w:rPr>
                <w:sz w:val="16"/>
                <w:szCs w:val="16"/>
              </w:rPr>
            </w:pPr>
            <w:r>
              <w:rPr>
                <w:sz w:val="16"/>
                <w:szCs w:val="16"/>
              </w:rPr>
              <w:t>58.8497</w:t>
            </w:r>
          </w:p>
        </w:tc>
      </w:tr>
      <w:tr>
        <w:trPr>
          <w:cantSplit/>
        </w:trPr>
        <w:tc>
          <w:tcPr>
            <w:tcW w:w="567" w:type="dxa"/>
            <w:noWrap/>
          </w:tcPr>
          <w:p>
            <w:pPr>
              <w:pStyle w:val="yTableNAm"/>
              <w:rPr>
                <w:sz w:val="16"/>
                <w:szCs w:val="16"/>
              </w:rPr>
            </w:pPr>
            <w:r>
              <w:rPr>
                <w:sz w:val="16"/>
                <w:szCs w:val="16"/>
              </w:rPr>
              <w:t>Z.63</w:t>
            </w:r>
          </w:p>
        </w:tc>
        <w:tc>
          <w:tcPr>
            <w:tcW w:w="781" w:type="dxa"/>
            <w:noWrap/>
          </w:tcPr>
          <w:p>
            <w:pPr>
              <w:pStyle w:val="yTableNAm"/>
              <w:rPr>
                <w:sz w:val="16"/>
                <w:szCs w:val="16"/>
              </w:rPr>
            </w:pPr>
            <w:r>
              <w:rPr>
                <w:sz w:val="16"/>
                <w:szCs w:val="16"/>
              </w:rPr>
              <w:t>120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68.1228</w:t>
            </w:r>
          </w:p>
        </w:tc>
        <w:tc>
          <w:tcPr>
            <w:tcW w:w="1512" w:type="dxa"/>
            <w:noWrap/>
          </w:tcPr>
          <w:p>
            <w:pPr>
              <w:pStyle w:val="yTableNAm"/>
              <w:jc w:val="right"/>
              <w:rPr>
                <w:sz w:val="16"/>
                <w:szCs w:val="16"/>
              </w:rPr>
            </w:pPr>
            <w:r>
              <w:rPr>
                <w:sz w:val="16"/>
                <w:szCs w:val="16"/>
              </w:rPr>
              <w:t>69.9471</w:t>
            </w:r>
          </w:p>
        </w:tc>
        <w:tc>
          <w:tcPr>
            <w:tcW w:w="1370" w:type="dxa"/>
            <w:noWrap/>
          </w:tcPr>
          <w:p>
            <w:pPr>
              <w:pStyle w:val="yTableNAm"/>
              <w:jc w:val="right"/>
              <w:rPr>
                <w:sz w:val="16"/>
                <w:szCs w:val="16"/>
              </w:rPr>
            </w:pPr>
            <w:r>
              <w:rPr>
                <w:sz w:val="16"/>
                <w:szCs w:val="16"/>
              </w:rPr>
              <w:t>78.1496</w:t>
            </w:r>
          </w:p>
        </w:tc>
      </w:tr>
      <w:tr>
        <w:trPr>
          <w:cantSplit/>
        </w:trPr>
        <w:tc>
          <w:tcPr>
            <w:tcW w:w="567" w:type="dxa"/>
            <w:noWrap/>
          </w:tcPr>
          <w:p>
            <w:pPr>
              <w:pStyle w:val="yTableNAm"/>
              <w:rPr>
                <w:sz w:val="16"/>
                <w:szCs w:val="16"/>
              </w:rPr>
            </w:pPr>
            <w:r>
              <w:rPr>
                <w:sz w:val="16"/>
                <w:szCs w:val="16"/>
              </w:rPr>
              <w:t>Z.64</w:t>
            </w:r>
          </w:p>
        </w:tc>
        <w:tc>
          <w:tcPr>
            <w:tcW w:w="781" w:type="dxa"/>
            <w:noWrap/>
          </w:tcPr>
          <w:p>
            <w:pPr>
              <w:pStyle w:val="yTableNAm"/>
              <w:rPr>
                <w:sz w:val="16"/>
                <w:szCs w:val="16"/>
              </w:rPr>
            </w:pPr>
            <w:r>
              <w:rPr>
                <w:sz w:val="16"/>
                <w:szCs w:val="16"/>
              </w:rPr>
              <w:t>180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75.2792</w:t>
            </w:r>
          </w:p>
        </w:tc>
        <w:tc>
          <w:tcPr>
            <w:tcW w:w="1512" w:type="dxa"/>
            <w:noWrap/>
          </w:tcPr>
          <w:p>
            <w:pPr>
              <w:pStyle w:val="yTableNAm"/>
              <w:jc w:val="right"/>
              <w:rPr>
                <w:sz w:val="16"/>
                <w:szCs w:val="16"/>
              </w:rPr>
            </w:pPr>
            <w:r>
              <w:rPr>
                <w:sz w:val="16"/>
                <w:szCs w:val="16"/>
              </w:rPr>
              <w:t>79.1114</w:t>
            </w:r>
          </w:p>
        </w:tc>
        <w:tc>
          <w:tcPr>
            <w:tcW w:w="1370" w:type="dxa"/>
            <w:noWrap/>
          </w:tcPr>
          <w:p>
            <w:pPr>
              <w:pStyle w:val="yTableNAm"/>
              <w:jc w:val="right"/>
              <w:rPr>
                <w:sz w:val="16"/>
                <w:szCs w:val="16"/>
              </w:rPr>
            </w:pPr>
            <w:r>
              <w:rPr>
                <w:sz w:val="16"/>
                <w:szCs w:val="16"/>
              </w:rPr>
              <w:t>95.6778</w:t>
            </w:r>
          </w:p>
        </w:tc>
      </w:tr>
      <w:tr>
        <w:trPr>
          <w:cantSplit/>
        </w:trPr>
        <w:tc>
          <w:tcPr>
            <w:tcW w:w="567" w:type="dxa"/>
            <w:noWrap/>
          </w:tcPr>
          <w:p>
            <w:pPr>
              <w:pStyle w:val="yTableNAm"/>
              <w:rPr>
                <w:sz w:val="16"/>
                <w:szCs w:val="16"/>
              </w:rPr>
            </w:pPr>
            <w:r>
              <w:rPr>
                <w:sz w:val="16"/>
                <w:szCs w:val="16"/>
              </w:rPr>
              <w:t>Z.65</w:t>
            </w:r>
          </w:p>
        </w:tc>
        <w:tc>
          <w:tcPr>
            <w:tcW w:w="781" w:type="dxa"/>
            <w:noWrap/>
          </w:tcPr>
          <w:p>
            <w:pPr>
              <w:pStyle w:val="yTableNAm"/>
              <w:rPr>
                <w:sz w:val="16"/>
                <w:szCs w:val="16"/>
              </w:rPr>
            </w:pPr>
            <w:r>
              <w:rPr>
                <w:sz w:val="16"/>
                <w:szCs w:val="16"/>
              </w:rPr>
              <w:t>18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56.1222</w:t>
            </w:r>
          </w:p>
        </w:tc>
        <w:tc>
          <w:tcPr>
            <w:tcW w:w="1512" w:type="dxa"/>
            <w:noWrap/>
          </w:tcPr>
          <w:p>
            <w:pPr>
              <w:pStyle w:val="yTableNAm"/>
              <w:jc w:val="right"/>
              <w:rPr>
                <w:sz w:val="16"/>
                <w:szCs w:val="16"/>
              </w:rPr>
            </w:pPr>
            <w:r>
              <w:rPr>
                <w:sz w:val="16"/>
                <w:szCs w:val="16"/>
              </w:rPr>
              <w:t>56.3979</w:t>
            </w:r>
          </w:p>
        </w:tc>
        <w:tc>
          <w:tcPr>
            <w:tcW w:w="1370" w:type="dxa"/>
            <w:noWrap/>
          </w:tcPr>
          <w:p>
            <w:pPr>
              <w:pStyle w:val="yTableNAm"/>
              <w:jc w:val="right"/>
              <w:rPr>
                <w:sz w:val="16"/>
                <w:szCs w:val="16"/>
              </w:rPr>
            </w:pPr>
            <w:r>
              <w:rPr>
                <w:sz w:val="16"/>
                <w:szCs w:val="16"/>
              </w:rPr>
              <w:t>56.6945</w:t>
            </w:r>
          </w:p>
        </w:tc>
      </w:tr>
      <w:tr>
        <w:trPr>
          <w:cantSplit/>
        </w:trPr>
        <w:tc>
          <w:tcPr>
            <w:tcW w:w="567" w:type="dxa"/>
            <w:noWrap/>
          </w:tcPr>
          <w:p>
            <w:pPr>
              <w:pStyle w:val="yTableNAm"/>
              <w:rPr>
                <w:sz w:val="16"/>
                <w:szCs w:val="16"/>
              </w:rPr>
            </w:pPr>
            <w:r>
              <w:rPr>
                <w:sz w:val="16"/>
                <w:szCs w:val="16"/>
              </w:rPr>
              <w:t>Z.66</w:t>
            </w:r>
          </w:p>
        </w:tc>
        <w:tc>
          <w:tcPr>
            <w:tcW w:w="781" w:type="dxa"/>
            <w:noWrap/>
          </w:tcPr>
          <w:p>
            <w:pPr>
              <w:pStyle w:val="yTableNAm"/>
              <w:rPr>
                <w:sz w:val="16"/>
                <w:szCs w:val="16"/>
              </w:rPr>
            </w:pPr>
            <w:r>
              <w:rPr>
                <w:sz w:val="16"/>
                <w:szCs w:val="16"/>
              </w:rPr>
              <w:t>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56.2936</w:t>
            </w:r>
          </w:p>
        </w:tc>
        <w:tc>
          <w:tcPr>
            <w:tcW w:w="1512" w:type="dxa"/>
            <w:noWrap/>
          </w:tcPr>
          <w:p>
            <w:pPr>
              <w:pStyle w:val="yTableNAm"/>
              <w:jc w:val="right"/>
              <w:rPr>
                <w:sz w:val="16"/>
                <w:szCs w:val="16"/>
              </w:rPr>
            </w:pPr>
            <w:r>
              <w:rPr>
                <w:sz w:val="16"/>
                <w:szCs w:val="16"/>
              </w:rPr>
              <w:t>56.6084</w:t>
            </w:r>
          </w:p>
        </w:tc>
        <w:tc>
          <w:tcPr>
            <w:tcW w:w="1370" w:type="dxa"/>
            <w:noWrap/>
          </w:tcPr>
          <w:p>
            <w:pPr>
              <w:pStyle w:val="yTableNAm"/>
              <w:jc w:val="right"/>
              <w:rPr>
                <w:sz w:val="16"/>
                <w:szCs w:val="16"/>
              </w:rPr>
            </w:pPr>
            <w:r>
              <w:rPr>
                <w:sz w:val="16"/>
                <w:szCs w:val="16"/>
              </w:rPr>
              <w:t>57.0487</w:t>
            </w:r>
          </w:p>
        </w:tc>
      </w:tr>
      <w:tr>
        <w:trPr>
          <w:cantSplit/>
        </w:trPr>
        <w:tc>
          <w:tcPr>
            <w:tcW w:w="567" w:type="dxa"/>
            <w:noWrap/>
          </w:tcPr>
          <w:p>
            <w:pPr>
              <w:pStyle w:val="yTableNAm"/>
              <w:rPr>
                <w:sz w:val="16"/>
                <w:szCs w:val="16"/>
              </w:rPr>
            </w:pPr>
            <w:r>
              <w:rPr>
                <w:sz w:val="16"/>
                <w:szCs w:val="16"/>
              </w:rPr>
              <w:t>Z.67</w:t>
            </w:r>
          </w:p>
        </w:tc>
        <w:tc>
          <w:tcPr>
            <w:tcW w:w="781" w:type="dxa"/>
            <w:noWrap/>
          </w:tcPr>
          <w:p>
            <w:pPr>
              <w:pStyle w:val="yTableNAm"/>
              <w:rPr>
                <w:sz w:val="16"/>
                <w:szCs w:val="16"/>
              </w:rPr>
            </w:pPr>
            <w:r>
              <w:rPr>
                <w:sz w:val="16"/>
                <w:szCs w:val="16"/>
              </w:rPr>
              <w:t>53</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59.3816</w:t>
            </w:r>
          </w:p>
        </w:tc>
        <w:tc>
          <w:tcPr>
            <w:tcW w:w="1512" w:type="dxa"/>
            <w:noWrap/>
          </w:tcPr>
          <w:p>
            <w:pPr>
              <w:pStyle w:val="yTableNAm"/>
              <w:jc w:val="right"/>
              <w:rPr>
                <w:sz w:val="16"/>
                <w:szCs w:val="16"/>
              </w:rPr>
            </w:pPr>
            <w:r>
              <w:rPr>
                <w:sz w:val="16"/>
                <w:szCs w:val="16"/>
              </w:rPr>
              <w:t>60.4304</w:t>
            </w:r>
          </w:p>
        </w:tc>
        <w:tc>
          <w:tcPr>
            <w:tcW w:w="1370" w:type="dxa"/>
            <w:noWrap/>
          </w:tcPr>
          <w:p>
            <w:pPr>
              <w:pStyle w:val="yTableNAm"/>
              <w:jc w:val="right"/>
              <w:rPr>
                <w:sz w:val="16"/>
                <w:szCs w:val="16"/>
              </w:rPr>
            </w:pPr>
            <w:r>
              <w:rPr>
                <w:sz w:val="16"/>
                <w:szCs w:val="16"/>
              </w:rPr>
              <w:t>63.6331</w:t>
            </w:r>
          </w:p>
        </w:tc>
      </w:tr>
      <w:tr>
        <w:trPr>
          <w:cantSplit/>
        </w:trPr>
        <w:tc>
          <w:tcPr>
            <w:tcW w:w="567" w:type="dxa"/>
            <w:noWrap/>
          </w:tcPr>
          <w:p>
            <w:pPr>
              <w:pStyle w:val="yTableNAm"/>
              <w:rPr>
                <w:sz w:val="16"/>
                <w:szCs w:val="16"/>
              </w:rPr>
            </w:pPr>
            <w:r>
              <w:rPr>
                <w:sz w:val="16"/>
                <w:szCs w:val="16"/>
              </w:rPr>
              <w:t>Z.68</w:t>
            </w:r>
          </w:p>
        </w:tc>
        <w:tc>
          <w:tcPr>
            <w:tcW w:w="781" w:type="dxa"/>
            <w:noWrap/>
          </w:tcPr>
          <w:p>
            <w:pPr>
              <w:pStyle w:val="yTableNAm"/>
              <w:rPr>
                <w:sz w:val="16"/>
                <w:szCs w:val="16"/>
              </w:rPr>
            </w:pPr>
            <w:r>
              <w:rPr>
                <w:sz w:val="16"/>
                <w:szCs w:val="16"/>
              </w:rPr>
              <w:t>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60.5733</w:t>
            </w:r>
          </w:p>
        </w:tc>
        <w:tc>
          <w:tcPr>
            <w:tcW w:w="1512" w:type="dxa"/>
            <w:noWrap/>
          </w:tcPr>
          <w:p>
            <w:pPr>
              <w:pStyle w:val="yTableNAm"/>
              <w:jc w:val="right"/>
              <w:rPr>
                <w:sz w:val="16"/>
                <w:szCs w:val="16"/>
              </w:rPr>
            </w:pPr>
            <w:r>
              <w:rPr>
                <w:sz w:val="16"/>
                <w:szCs w:val="16"/>
              </w:rPr>
              <w:t>61.9027</w:t>
            </w:r>
          </w:p>
        </w:tc>
        <w:tc>
          <w:tcPr>
            <w:tcW w:w="1370" w:type="dxa"/>
            <w:noWrap/>
          </w:tcPr>
          <w:p>
            <w:pPr>
              <w:pStyle w:val="yTableNAm"/>
              <w:jc w:val="right"/>
              <w:rPr>
                <w:sz w:val="16"/>
                <w:szCs w:val="16"/>
              </w:rPr>
            </w:pPr>
            <w:r>
              <w:rPr>
                <w:sz w:val="16"/>
                <w:szCs w:val="16"/>
              </w:rPr>
              <w:t>66.1734</w:t>
            </w:r>
          </w:p>
        </w:tc>
      </w:tr>
      <w:tr>
        <w:trPr>
          <w:cantSplit/>
        </w:trPr>
        <w:tc>
          <w:tcPr>
            <w:tcW w:w="567" w:type="dxa"/>
            <w:noWrap/>
          </w:tcPr>
          <w:p>
            <w:pPr>
              <w:pStyle w:val="yTableNAm"/>
              <w:rPr>
                <w:sz w:val="16"/>
                <w:szCs w:val="16"/>
              </w:rPr>
            </w:pPr>
            <w:r>
              <w:rPr>
                <w:sz w:val="16"/>
                <w:szCs w:val="16"/>
              </w:rPr>
              <w:t>Z.69</w:t>
            </w:r>
          </w:p>
        </w:tc>
        <w:tc>
          <w:tcPr>
            <w:tcW w:w="781" w:type="dxa"/>
            <w:noWrap/>
          </w:tcPr>
          <w:p>
            <w:pPr>
              <w:pStyle w:val="yTableNAm"/>
              <w:rPr>
                <w:sz w:val="16"/>
                <w:szCs w:val="16"/>
              </w:rPr>
            </w:pPr>
            <w:r>
              <w:rPr>
                <w:sz w:val="16"/>
                <w:szCs w:val="16"/>
              </w:rPr>
              <w:t>160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70.0478</w:t>
            </w:r>
          </w:p>
        </w:tc>
        <w:tc>
          <w:tcPr>
            <w:tcW w:w="1512" w:type="dxa"/>
            <w:noWrap/>
          </w:tcPr>
          <w:p>
            <w:pPr>
              <w:pStyle w:val="yTableNAm"/>
              <w:jc w:val="right"/>
              <w:rPr>
                <w:sz w:val="16"/>
                <w:szCs w:val="16"/>
              </w:rPr>
            </w:pPr>
            <w:r>
              <w:rPr>
                <w:sz w:val="16"/>
                <w:szCs w:val="16"/>
              </w:rPr>
              <w:t>72.3227</w:t>
            </w:r>
          </w:p>
        </w:tc>
        <w:tc>
          <w:tcPr>
            <w:tcW w:w="1370" w:type="dxa"/>
            <w:noWrap/>
          </w:tcPr>
          <w:p>
            <w:pPr>
              <w:pStyle w:val="yTableNAm"/>
              <w:jc w:val="right"/>
              <w:rPr>
                <w:sz w:val="16"/>
                <w:szCs w:val="16"/>
              </w:rPr>
            </w:pPr>
            <w:r>
              <w:rPr>
                <w:sz w:val="16"/>
                <w:szCs w:val="16"/>
              </w:rPr>
              <w:t>82.3447</w:t>
            </w:r>
          </w:p>
        </w:tc>
      </w:tr>
      <w:tr>
        <w:trPr>
          <w:cantSplit/>
        </w:trPr>
        <w:tc>
          <w:tcPr>
            <w:tcW w:w="6804" w:type="dxa"/>
            <w:gridSpan w:val="6"/>
            <w:noWrap/>
          </w:tcPr>
          <w:p>
            <w:pPr>
              <w:pStyle w:val="yTableNAm"/>
              <w:keepNext/>
            </w:pPr>
            <w:r>
              <w:rPr>
                <w:b/>
                <w:i/>
                <w:iCs/>
                <w:sz w:val="16"/>
                <w:szCs w:val="16"/>
              </w:rPr>
              <w:lastRenderedPageBreak/>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jc w:val="right"/>
              <w:rPr>
                <w:sz w:val="16"/>
                <w:szCs w:val="16"/>
              </w:rPr>
            </w:pPr>
            <w:r>
              <w:rPr>
                <w:sz w:val="16"/>
                <w:szCs w:val="16"/>
              </w:rPr>
              <w:t>43.5685</w:t>
            </w:r>
          </w:p>
        </w:tc>
        <w:tc>
          <w:tcPr>
            <w:tcW w:w="1512" w:type="dxa"/>
            <w:noWrap/>
          </w:tcPr>
          <w:p>
            <w:pPr>
              <w:pStyle w:val="yTableNAm"/>
              <w:jc w:val="right"/>
              <w:rPr>
                <w:sz w:val="16"/>
                <w:szCs w:val="16"/>
              </w:rPr>
            </w:pPr>
            <w:r>
              <w:rPr>
                <w:sz w:val="16"/>
                <w:szCs w:val="16"/>
              </w:rPr>
              <w:t>45.2017</w:t>
            </w:r>
          </w:p>
        </w:tc>
        <w:tc>
          <w:tcPr>
            <w:tcW w:w="1370" w:type="dxa"/>
            <w:noWrap/>
          </w:tcPr>
          <w:p>
            <w:pPr>
              <w:pStyle w:val="yTableNAm"/>
              <w:jc w:val="right"/>
              <w:rPr>
                <w:sz w:val="16"/>
                <w:szCs w:val="16"/>
              </w:rPr>
            </w:pPr>
            <w:r>
              <w:rPr>
                <w:sz w:val="16"/>
                <w:szCs w:val="16"/>
              </w:rPr>
              <w:t>49.7633</w:t>
            </w:r>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jc w:val="right"/>
              <w:rPr>
                <w:sz w:val="16"/>
                <w:szCs w:val="16"/>
              </w:rPr>
            </w:pPr>
            <w:r>
              <w:rPr>
                <w:sz w:val="16"/>
                <w:szCs w:val="16"/>
              </w:rPr>
              <w:t>57.0620</w:t>
            </w:r>
          </w:p>
        </w:tc>
        <w:tc>
          <w:tcPr>
            <w:tcW w:w="1512" w:type="dxa"/>
            <w:tcBorders>
              <w:bottom w:val="single" w:sz="4" w:space="0" w:color="auto"/>
            </w:tcBorders>
            <w:noWrap/>
          </w:tcPr>
          <w:p>
            <w:pPr>
              <w:pStyle w:val="yTableNAm"/>
              <w:jc w:val="right"/>
              <w:rPr>
                <w:sz w:val="16"/>
                <w:szCs w:val="16"/>
              </w:rPr>
            </w:pPr>
            <w:r>
              <w:rPr>
                <w:sz w:val="16"/>
                <w:szCs w:val="16"/>
              </w:rPr>
              <w:t>57.8454</w:t>
            </w:r>
          </w:p>
        </w:tc>
        <w:tc>
          <w:tcPr>
            <w:tcW w:w="1370" w:type="dxa"/>
            <w:tcBorders>
              <w:bottom w:val="single" w:sz="4" w:space="0" w:color="auto"/>
            </w:tcBorders>
            <w:noWrap/>
          </w:tcPr>
          <w:p>
            <w:pPr>
              <w:pStyle w:val="yTableNAm"/>
              <w:jc w:val="right"/>
              <w:rPr>
                <w:sz w:val="16"/>
                <w:szCs w:val="16"/>
              </w:rPr>
            </w:pPr>
            <w:r>
              <w:rPr>
                <w:sz w:val="16"/>
                <w:szCs w:val="16"/>
              </w:rPr>
              <w:t>60.7466</w:t>
            </w:r>
          </w:p>
        </w:tc>
      </w:tr>
    </w:tbl>
    <w:p>
      <w:pPr>
        <w:pStyle w:val="yFootnotesection"/>
      </w:pPr>
      <w:r>
        <w:tab/>
        <w:t>[Division 1 inserted: SL 2023/84 bl. 4.]</w:t>
      </w:r>
    </w:p>
    <w:p>
      <w:pPr>
        <w:pStyle w:val="yHeading3"/>
      </w:pPr>
      <w:bookmarkStart w:id="43" w:name="_Toc169169732"/>
      <w:bookmarkStart w:id="44" w:name="_Toc169169867"/>
      <w:bookmarkStart w:id="45" w:name="_Toc169171478"/>
      <w:bookmarkStart w:id="46" w:name="_Toc169248643"/>
      <w:r>
        <w:rPr>
          <w:rStyle w:val="CharSDivNo"/>
        </w:rPr>
        <w:t>Division 2</w:t>
      </w:r>
      <w:r>
        <w:t> — </w:t>
      </w:r>
      <w:r>
        <w:rPr>
          <w:rStyle w:val="CharSDivText"/>
        </w:rPr>
        <w:t>Miscellaneous</w:t>
      </w:r>
      <w:bookmarkEnd w:id="43"/>
      <w:bookmarkEnd w:id="44"/>
      <w:bookmarkEnd w:id="45"/>
      <w:bookmarkEnd w:id="46"/>
    </w:p>
    <w:p>
      <w:pPr>
        <w:pStyle w:val="yFootnoteheading"/>
      </w:pPr>
      <w:r>
        <w:tab/>
        <w:t>[Heading inserted: SL 2023/84 bl. 4.]</w:t>
      </w:r>
    </w:p>
    <w:p>
      <w:pPr>
        <w:pStyle w:val="yHeading5"/>
      </w:pPr>
      <w:bookmarkStart w:id="47" w:name="_Toc169248644"/>
      <w:r>
        <w:rPr>
          <w:rStyle w:val="CharSClsNo"/>
        </w:rPr>
        <w:t>1</w:t>
      </w:r>
      <w:r>
        <w:t>.</w:t>
      </w:r>
      <w:r>
        <w:tab/>
        <w:t>Traffic light installation</w:t>
      </w:r>
      <w:bookmarkEnd w:id="47"/>
    </w:p>
    <w:p>
      <w:pPr>
        <w:pStyle w:val="ySubsection"/>
      </w:pPr>
      <w:r>
        <w:tab/>
      </w:r>
      <w:r>
        <w:tab/>
        <w:t xml:space="preserve">Supply of electricity to traffic light installations comprises a charge of </w:t>
      </w:r>
      <w:r>
        <w:rPr>
          <w:szCs w:val="22"/>
        </w:rPr>
        <w:t xml:space="preserve">$8.4605 </w:t>
      </w:r>
      <w:r>
        <w:t>per day per kW of installed wattage.</w:t>
      </w:r>
    </w:p>
    <w:p>
      <w:pPr>
        <w:pStyle w:val="yFootnotesection"/>
      </w:pPr>
      <w:r>
        <w:tab/>
        <w:t>[Clause 1 inserted: SL 2023/84 bl. 4.]</w:t>
      </w:r>
    </w:p>
    <w:p>
      <w:pPr>
        <w:pStyle w:val="yHeading5"/>
      </w:pPr>
      <w:bookmarkStart w:id="48" w:name="_Toc169248645"/>
      <w:r>
        <w:rPr>
          <w:rStyle w:val="CharSClsNo"/>
        </w:rPr>
        <w:t>2</w:t>
      </w:r>
      <w:r>
        <w:t>.</w:t>
      </w:r>
      <w:r>
        <w:tab/>
        <w:t>Public telephone facility</w:t>
      </w:r>
      <w:bookmarkEnd w:id="48"/>
    </w:p>
    <w:p>
      <w:pPr>
        <w:pStyle w:val="ySubsection"/>
      </w:pPr>
      <w:r>
        <w:tab/>
      </w:r>
      <w:r>
        <w:tab/>
        <w:t>Supply of electricity to a standard public telephone facility where supply is not independently metered comprises a charge of 72.0146 cents per day.</w:t>
      </w:r>
    </w:p>
    <w:p>
      <w:pPr>
        <w:pStyle w:val="yFootnotesection"/>
      </w:pPr>
      <w:r>
        <w:tab/>
        <w:t>[Clause 2 inserted: SL 2023/84 bl. 4.]</w:t>
      </w:r>
    </w:p>
    <w:p>
      <w:pPr>
        <w:pStyle w:val="yHeading5"/>
      </w:pPr>
      <w:bookmarkStart w:id="49" w:name="_Toc169248646"/>
      <w:r>
        <w:rPr>
          <w:rStyle w:val="CharSClsNo"/>
        </w:rPr>
        <w:t>3</w:t>
      </w:r>
      <w:r>
        <w:t>.</w:t>
      </w:r>
      <w:r>
        <w:tab/>
        <w:t>Railway crossing</w:t>
      </w:r>
      <w:bookmarkEnd w:id="49"/>
    </w:p>
    <w:p>
      <w:pPr>
        <w:pStyle w:val="ySubsection"/>
      </w:pPr>
      <w:r>
        <w:tab/>
      </w:r>
      <w:r>
        <w:tab/>
        <w:t>Supply of electricity to standard railway crossing lights comprises a charge of 92.0299</w:t>
      </w:r>
      <w:r>
        <w:rPr>
          <w:szCs w:val="22"/>
        </w:rPr>
        <w:t xml:space="preserve"> </w:t>
      </w:r>
      <w:r>
        <w:t>cents per day.</w:t>
      </w:r>
    </w:p>
    <w:p>
      <w:pPr>
        <w:pStyle w:val="yFootnotesection"/>
      </w:pPr>
      <w:r>
        <w:tab/>
        <w:t>[Clause 3 inserted: SL 2023/84 bl. 4.]</w:t>
      </w:r>
    </w:p>
    <w:p>
      <w:pPr>
        <w:sectPr>
          <w:headerReference w:type="even" r:id="rId26"/>
          <w:headerReference w:type="default" r:id="rId27"/>
          <w:headerReference w:type="first" r:id="rId28"/>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50" w:name="_Toc169169736"/>
      <w:bookmarkStart w:id="51" w:name="_Toc169169871"/>
      <w:bookmarkStart w:id="52" w:name="_Toc169171482"/>
      <w:bookmarkStart w:id="53" w:name="_Toc169248647"/>
      <w:r>
        <w:rPr>
          <w:rStyle w:val="CharSchNo"/>
        </w:rPr>
        <w:lastRenderedPageBreak/>
        <w:t>Schedule 3</w:t>
      </w:r>
      <w:r>
        <w:rPr>
          <w:rStyle w:val="CharSDivNo"/>
        </w:rPr>
        <w:t> </w:t>
      </w:r>
      <w:r>
        <w:t>—</w:t>
      </w:r>
      <w:r>
        <w:rPr>
          <w:rStyle w:val="CharSDivText"/>
        </w:rPr>
        <w:t> </w:t>
      </w:r>
      <w:r>
        <w:rPr>
          <w:rStyle w:val="CharSchText"/>
        </w:rPr>
        <w:t>Meter rentals</w:t>
      </w:r>
      <w:bookmarkEnd w:id="50"/>
      <w:bookmarkEnd w:id="51"/>
      <w:bookmarkEnd w:id="52"/>
      <w:bookmarkEnd w:id="53"/>
    </w:p>
    <w:p>
      <w:pPr>
        <w:pStyle w:val="yShoulderClause"/>
      </w:pPr>
      <w:r>
        <w:t>[bl. 6(1)]</w:t>
      </w:r>
    </w:p>
    <w:p>
      <w:pPr>
        <w:pStyle w:val="yFootnoteheading"/>
      </w:pPr>
      <w:r>
        <w:tab/>
        <w:t>[Heading inserted: SL 2020/78 bl. 4.]</w:t>
      </w:r>
    </w:p>
    <w:p>
      <w:pPr>
        <w:pStyle w:val="ySubsection"/>
      </w:pPr>
      <w:r>
        <w:tab/>
      </w:r>
      <w:r>
        <w:tab/>
        <w:t>The rental payable in respect of a subsidiary meter is 17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 SL 2023/84 bl. 5.]</w:t>
      </w:r>
    </w:p>
    <w:p>
      <w:pPr>
        <w:pStyle w:val="yScheduleHeading"/>
      </w:pPr>
      <w:bookmarkStart w:id="54" w:name="_Toc169169737"/>
      <w:bookmarkStart w:id="55" w:name="_Toc169169872"/>
      <w:bookmarkStart w:id="56" w:name="_Toc169171483"/>
      <w:bookmarkStart w:id="57" w:name="_Toc169248648"/>
      <w:r>
        <w:rPr>
          <w:rStyle w:val="CharSchNo"/>
        </w:rPr>
        <w:lastRenderedPageBreak/>
        <w:t>Schedule 4</w:t>
      </w:r>
      <w:r>
        <w:t> — </w:t>
      </w:r>
      <w:r>
        <w:rPr>
          <w:rStyle w:val="CharSchText"/>
        </w:rPr>
        <w:t>Fees</w:t>
      </w:r>
      <w:bookmarkEnd w:id="54"/>
      <w:bookmarkEnd w:id="55"/>
      <w:bookmarkEnd w:id="56"/>
      <w:bookmarkEnd w:id="57"/>
    </w:p>
    <w:p>
      <w:pPr>
        <w:pStyle w:val="yShoulderClause"/>
      </w:pPr>
      <w:r>
        <w:t>[bl. 7]</w:t>
      </w:r>
    </w:p>
    <w:p>
      <w:pPr>
        <w:pStyle w:val="yFootnoteheading"/>
        <w:spacing w:after="60"/>
      </w:pPr>
      <w:r>
        <w:tab/>
        <w:t>[Heading inserted: SL 2023/84 bl. 6.]</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$25.21</w:t>
            </w:r>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$960.00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$960.00</w:t>
            </w:r>
          </w:p>
          <w:p>
            <w:pPr>
              <w:pStyle w:val="yTableNAm"/>
              <w:jc w:val="right"/>
            </w:pPr>
            <w:r>
              <w:t>$960.00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$259.70</w:t>
            </w:r>
          </w:p>
          <w:p>
            <w:pPr>
              <w:pStyle w:val="yTableNAm"/>
              <w:jc w:val="right"/>
            </w:pPr>
            <w:r>
              <w:t>$162.20</w:t>
            </w:r>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$642.11</w:t>
            </w:r>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$6.09</w:t>
            </w:r>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$28.89</w:t>
            </w:r>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$27.63</w:t>
            </w:r>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$894.00</w:t>
            </w:r>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$6.52</w:t>
            </w:r>
          </w:p>
        </w:tc>
      </w:tr>
      <w:tr>
        <w:trPr>
          <w:cantSplit/>
        </w:trPr>
        <w:tc>
          <w:tcPr>
            <w:tcW w:w="567" w:type="dxa"/>
            <w:noWrap/>
          </w:tcPr>
          <w:p>
            <w:pPr>
              <w:pStyle w:val="yTableNAm"/>
            </w:pPr>
            <w:r>
              <w:t>12.</w:t>
            </w:r>
          </w:p>
        </w:tc>
        <w:tc>
          <w:tcPr>
            <w:tcW w:w="5245" w:type="dxa"/>
            <w:noWrap/>
          </w:tcPr>
          <w:p>
            <w:pPr>
              <w:pStyle w:val="yTableNAm"/>
              <w:tabs>
                <w:tab w:val="clear" w:pos="567"/>
                <w:tab w:val="right" w:leader="dot" w:pos="5160"/>
              </w:tabs>
              <w:ind w:right="135"/>
            </w:pPr>
            <w:r>
              <w:t xml:space="preserve">Paper bill fee </w:t>
            </w:r>
            <w:r>
              <w:tab/>
            </w:r>
          </w:p>
        </w:tc>
        <w:tc>
          <w:tcPr>
            <w:tcW w:w="1191" w:type="dxa"/>
            <w:noWrap/>
          </w:tcPr>
          <w:p>
            <w:pPr>
              <w:pStyle w:val="yTableNAm"/>
              <w:jc w:val="right"/>
            </w:pPr>
            <w:r>
              <w:t>$1.26</w:t>
            </w:r>
          </w:p>
        </w:tc>
      </w:tr>
      <w:tr>
        <w:trPr>
          <w:cantSplit/>
        </w:trPr>
        <w:tc>
          <w:tcPr>
            <w:tcW w:w="567" w:type="dxa"/>
            <w:tcBorders>
              <w:bottom w:val="single" w:sz="4" w:space="0" w:color="auto"/>
            </w:tcBorders>
            <w:noWrap/>
          </w:tcPr>
          <w:p>
            <w:pPr>
              <w:pStyle w:val="yTableNAm"/>
              <w:keepNext/>
            </w:pPr>
            <w:r>
              <w:lastRenderedPageBreak/>
              <w:t>13.</w:t>
            </w:r>
          </w:p>
        </w:tc>
        <w:tc>
          <w:tcPr>
            <w:tcW w:w="5245" w:type="dxa"/>
            <w:tcBorders>
              <w:bottom w:val="single" w:sz="4" w:space="0" w:color="auto"/>
            </w:tcBorders>
            <w:noWrap/>
          </w:tcPr>
          <w:p>
            <w:pPr>
              <w:pStyle w:val="yTableNAm"/>
              <w:keepNext/>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keepNext/>
              <w:jc w:val="right"/>
            </w:pPr>
            <w:r>
              <w:t>$2.67</w:t>
            </w:r>
          </w:p>
        </w:tc>
      </w:tr>
    </w:tbl>
    <w:p>
      <w:pPr>
        <w:pStyle w:val="yFootnotesection"/>
      </w:pPr>
      <w:r>
        <w:tab/>
        <w:t>[Schedule 4 inserted: SL 2023/84 bl.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58" w:name="_Toc169169738"/>
      <w:bookmarkStart w:id="59" w:name="_Toc169169873"/>
      <w:bookmarkStart w:id="60" w:name="_Toc169171484"/>
      <w:bookmarkStart w:id="61" w:name="_Toc169248649"/>
      <w:r>
        <w:lastRenderedPageBreak/>
        <w:t>Notes</w:t>
      </w:r>
      <w:bookmarkEnd w:id="58"/>
      <w:bookmarkEnd w:id="59"/>
      <w:bookmarkEnd w:id="60"/>
      <w:bookmarkEnd w:id="61"/>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2" w:name="_Toc169248650"/>
      <w:r>
        <w:t>Compilation table</w:t>
      </w:r>
      <w:bookmarkEnd w:id="6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lastRenderedPageBreak/>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lastRenderedPageBreak/>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2023</w:t>
            </w:r>
          </w:p>
        </w:tc>
        <w:tc>
          <w:tcPr>
            <w:tcW w:w="1276" w:type="dxa"/>
            <w:tcBorders>
              <w:bottom w:val="single" w:sz="8" w:space="0" w:color="auto"/>
            </w:tcBorders>
            <w:shd w:val="clear" w:color="auto" w:fill="auto"/>
          </w:tcPr>
          <w:p>
            <w:pPr>
              <w:pStyle w:val="nTable"/>
              <w:keepLines/>
              <w:spacing w:after="40"/>
            </w:pPr>
            <w:r>
              <w:t>SL 2022/84 27 Jun 2023</w:t>
            </w:r>
          </w:p>
        </w:tc>
        <w:tc>
          <w:tcPr>
            <w:tcW w:w="2693" w:type="dxa"/>
            <w:tcBorders>
              <w:bottom w:val="single" w:sz="8" w:space="0" w:color="auto"/>
            </w:tcBorders>
            <w:shd w:val="clear" w:color="auto" w:fill="auto"/>
          </w:tcPr>
          <w:p>
            <w:pPr>
              <w:pStyle w:val="nTable"/>
              <w:keepLines/>
              <w:spacing w:after="40"/>
            </w:pPr>
            <w:r>
              <w:t>bl. 1 and 2: 27 Jun 2023 (see bl. 2(a));</w:t>
            </w:r>
            <w:r>
              <w:br/>
              <w:t>By</w:t>
            </w:r>
            <w:r>
              <w:noBreakHyphen/>
              <w:t>laws other than bl. 1 and 2: 1 Jul 2023 (see bl. 2(b))</w:t>
            </w:r>
          </w:p>
        </w:tc>
      </w:tr>
    </w:tbl>
    <w:p>
      <w:pPr>
        <w:pStyle w:val="nHeading3"/>
      </w:pPr>
      <w:bookmarkStart w:id="63" w:name="_Toc169248651"/>
      <w:r>
        <w:t>Uncommenced provisions table</w:t>
      </w:r>
      <w:bookmarkEnd w:id="6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(Regional Power Corporation) (Charges) Amendment By-laws 2024</w:t>
            </w:r>
            <w:r>
              <w:rPr>
                <w:iCs/>
              </w:rPr>
              <w:t xml:space="preserve"> bl. 3</w:t>
            </w:r>
            <w:r>
              <w:rPr>
                <w:iCs/>
              </w:rPr>
              <w:noBreakHyphen/>
              <w:t>6</w:t>
            </w:r>
          </w:p>
        </w:tc>
        <w:tc>
          <w:tcPr>
            <w:tcW w:w="1276" w:type="dxa"/>
          </w:tcPr>
          <w:p>
            <w:pPr>
              <w:pStyle w:val="nTable"/>
              <w:spacing w:after="40"/>
            </w:pPr>
            <w:r>
              <w:t>SL 2024/103 14 Jun 2024</w:t>
            </w:r>
          </w:p>
        </w:tc>
        <w:tc>
          <w:tcPr>
            <w:tcW w:w="2693" w:type="dxa"/>
          </w:tcPr>
          <w:p>
            <w:pPr>
              <w:pStyle w:val="nTable"/>
              <w:spacing w:after="40"/>
            </w:pPr>
            <w:r>
              <w:t>1 Jul 2024 (see bl.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65" w:name="_Toc169169740"/>
      <w:bookmarkStart w:id="66" w:name="_Toc169169876"/>
      <w:bookmarkStart w:id="67" w:name="_Toc169171487"/>
      <w:bookmarkStart w:id="68" w:name="_Toc169248652"/>
      <w:r>
        <w:rPr>
          <w:sz w:val="28"/>
        </w:rPr>
        <w:lastRenderedPageBreak/>
        <w:t>Defined terms</w:t>
      </w:r>
      <w:bookmarkEnd w:id="65"/>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government consumer</w:t>
      </w:r>
      <w:r>
        <w:tab/>
        <w:t>4(1A)</w:t>
      </w:r>
    </w:p>
    <w:p>
      <w:pPr>
        <w:pStyle w:val="DefinedTerms"/>
      </w:pPr>
      <w:r>
        <w:t>interest period</w:t>
      </w:r>
      <w:r>
        <w:tab/>
        <w:t>12(1)</w:t>
      </w:r>
    </w:p>
    <w:p>
      <w:pPr>
        <w:pStyle w:val="DefinedTerms"/>
      </w:pPr>
      <w:r>
        <w:t>MyPower non-residential tariff</w:t>
      </w:r>
      <w:r>
        <w:tab/>
        <w:t>Sch. 1 cl. 9(1)</w:t>
      </w:r>
    </w:p>
    <w:p>
      <w:pPr>
        <w:pStyle w:val="DefinedTerms"/>
      </w:pPr>
      <w:r>
        <w:t>MyPower residential tariff</w:t>
      </w:r>
      <w:r>
        <w:tab/>
        <w:t>Sch. 1 cl. 8(1)</w:t>
      </w:r>
    </w:p>
    <w:p>
      <w:pPr>
        <w:pStyle w:val="DefinedTerms"/>
      </w:pPr>
      <w:r>
        <w:t>MyPower tariff</w:t>
      </w:r>
      <w:r>
        <w:tab/>
        <w:t>Sch. 1 cl. 7(1)</w:t>
      </w:r>
    </w:p>
    <w:p>
      <w:pPr>
        <w:pStyle w:val="DefinedTerms"/>
      </w:pPr>
      <w:r>
        <w:t>North West interconnected system</w:t>
      </w:r>
      <w:r>
        <w:tab/>
        <w:t>4(1A)</w:t>
      </w:r>
    </w:p>
    <w:p>
      <w:pPr>
        <w:pStyle w:val="DefinedTerms"/>
      </w:pPr>
      <w:r>
        <w:t>original tariff</w:t>
      </w:r>
      <w:r>
        <w:tab/>
        <w:t>Sch. 1 cl. 8(5)  and 9(5)</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1D87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7D7EE99" w14:textId="52B9824E" w:rsidR="00CF182D" w:rsidRDefault="00442C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C4AE9">
                        <w:rPr>
                          <w:sz w:val="16"/>
                        </w:rPr>
                        <w:t>2024</w:t>
                      </w:r>
                      <w:r>
                        <w:rPr>
                          <w:sz w:val="16"/>
                        </w:rPr>
                        <w:fldChar w:fldCharType="end"/>
                      </w:r>
                      <w:r>
                        <w:rPr>
                          <w:sz w:val="16"/>
                        </w:rPr>
                        <w:t>.</w:t>
                      </w:r>
                    </w:p>
                    <w:p w14:paraId="21E93AE0" w14:textId="77777777" w:rsidR="00CF182D" w:rsidRDefault="00442C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8479CF" w14:textId="0028CC5B" w:rsidR="00CF182D" w:rsidRDefault="00442C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C4AE9">
                        <w:rPr>
                          <w:sz w:val="16"/>
                        </w:rPr>
                        <w:t>2024</w:t>
                      </w:r>
                      <w:r>
                        <w:rPr>
                          <w:sz w:val="16"/>
                        </w:rPr>
                        <w:fldChar w:fldCharType="end"/>
                      </w:r>
                      <w:r>
                        <w:rPr>
                          <w:sz w:val="16"/>
                        </w:rPr>
                        <w:t>.</w:t>
                      </w:r>
                    </w:p>
                    <w:p w14:paraId="7441AE89" w14:textId="77777777" w:rsidR="00CF182D" w:rsidRDefault="00442C9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0712"/>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5521</Words>
  <Characters>27222</Characters>
  <Application>Microsoft Office Word</Application>
  <DocSecurity>0</DocSecurity>
  <Lines>1237</Lines>
  <Paragraphs>798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2006 - 02-q0-01</dc:title>
  <dc:subject/>
  <dc:creator/>
  <cp:keywords/>
  <dc:description/>
  <cp:lastModifiedBy>Master Repository Process</cp:lastModifiedBy>
  <cp:revision>4</cp:revision>
  <cp:lastPrinted>2019-06-24T07:21:00Z</cp:lastPrinted>
  <dcterms:created xsi:type="dcterms:W3CDTF">2025-06-05T02:47:00Z</dcterms:created>
  <dcterms:modified xsi:type="dcterms:W3CDTF">2025-06-05T02:47:00Z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14 Jun 2024</vt:lpwstr>
  </property>
  <property fmtid="{D5CDD505-2E9C-101B-9397-08002B2CF9AE}" pid="8" name="Suffix">
    <vt:lpwstr>02-q0-01</vt:lpwstr>
  </property>
  <property fmtid="{D5CDD505-2E9C-101B-9397-08002B2CF9AE}" pid="9" name="Official">
    <vt:lpwstr/>
  </property>
  <property fmtid="{D5CDD505-2E9C-101B-9397-08002B2CF9AE}" pid="10" name="CommencementDate">
    <vt:lpwstr>20240614</vt:lpwstr>
  </property>
  <property fmtid="{D5CDD505-2E9C-101B-9397-08002B2CF9AE}" pid="11" name="CommencementAsAt">
    <vt:filetime>2024-06-13T16:00:00Z</vt:filetime>
  </property>
  <property fmtid="{D5CDD505-2E9C-101B-9397-08002B2CF9AE}" pid="12" name="CommencementYear">
    <vt:lpwstr>2024</vt:lpwstr>
  </property>
</Properties>
</file>