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Regulations 1995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_Toc163378672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_Toc163378673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Form of written statement given to a young person not represented by a legal practitioner</w:t>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Form of written statement given to a young person not represented by a legal practitioner</w:t>
      </w:r>
      <w:r>
        <w:rPr>
          <w:noProof/>
        </w:rPr>
        <w:tab/>
      </w:r>
      <w:r>
        <w:rPr>
          <w:noProof/>
        </w:rPr>
        <w:fldChar w:fldCharType="begin"/>
      </w:r>
      <w:r>
        <w:rPr>
          <w:noProof/>
        </w:rPr>
        <w:instrText xml:space="preserve"> PAGEREF _Toc163378675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3 — Youth community based orders and intensive youth supervision orders</w:t>
      </w:r>
    </w:p>
    <w:p>
      <w:pPr>
        <w:pStyle w:val="TOC3"/>
        <w:rPr>
          <w:b w:val="0"/>
          <w:noProof/>
          <w:sz w:val="24"/>
          <w:szCs w:val="24"/>
        </w:rPr>
      </w:pPr>
      <w:r>
        <w:rPr>
          <w:noProof/>
          <w:szCs w:val="26"/>
        </w:rPr>
        <w:t>Division 2</w:t>
      </w:r>
      <w:r>
        <w:rPr>
          <w:noProof/>
          <w:snapToGrid w:val="0"/>
          <w:szCs w:val="26"/>
        </w:rPr>
        <w:t> — </w:t>
      </w:r>
      <w:r>
        <w:rPr>
          <w:noProof/>
          <w:szCs w:val="26"/>
        </w:rPr>
        <w:t>Taking of body samples</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Taking of body samples</w:t>
      </w:r>
      <w:r>
        <w:rPr>
          <w:noProof/>
        </w:rPr>
        <w:tab/>
      </w:r>
      <w:r>
        <w:rPr>
          <w:noProof/>
        </w:rPr>
        <w:fldChar w:fldCharType="begin"/>
      </w:r>
      <w:r>
        <w:rPr>
          <w:noProof/>
        </w:rPr>
        <w:instrText xml:space="preserve"> PAGEREF _Toc163378678 \h </w:instrText>
      </w:r>
      <w:r>
        <w:rPr>
          <w:noProof/>
        </w:rPr>
      </w:r>
      <w:r>
        <w:rPr>
          <w:noProof/>
        </w:rPr>
        <w:fldChar w:fldCharType="separate"/>
      </w:r>
      <w:r>
        <w:rPr>
          <w:noProof/>
        </w:rPr>
        <w:t>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Attendance conditions</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Proposed agenda</w:t>
      </w:r>
      <w:r>
        <w:rPr>
          <w:noProof/>
        </w:rPr>
        <w:tab/>
      </w:r>
      <w:r>
        <w:rPr>
          <w:noProof/>
        </w:rPr>
        <w:fldChar w:fldCharType="begin"/>
      </w:r>
      <w:r>
        <w:rPr>
          <w:noProof/>
        </w:rPr>
        <w:instrText xml:space="preserve"> PAGEREF _Toc163378680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Community work conditions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_Toc163378682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Offender subject to community work conditions</w:t>
      </w:r>
      <w:r>
        <w:rPr>
          <w:noProof/>
        </w:rPr>
        <w:tab/>
      </w:r>
      <w:r>
        <w:rPr>
          <w:noProof/>
        </w:rPr>
        <w:fldChar w:fldCharType="begin"/>
      </w:r>
      <w:r>
        <w:rPr>
          <w:noProof/>
        </w:rPr>
        <w:instrText xml:space="preserve"> PAGEREF _Toc163378683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Maximum number of hours to be worked in any day</w:t>
      </w:r>
      <w:r>
        <w:rPr>
          <w:noProof/>
        </w:rPr>
        <w:tab/>
      </w:r>
      <w:r>
        <w:rPr>
          <w:noProof/>
        </w:rPr>
        <w:fldChar w:fldCharType="begin"/>
      </w:r>
      <w:r>
        <w:rPr>
          <w:noProof/>
        </w:rPr>
        <w:instrText xml:space="preserve"> PAGEREF _Toc163378684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Safe working environment and safe manner of work</w:t>
      </w:r>
      <w:r>
        <w:rPr>
          <w:noProof/>
        </w:rPr>
        <w:tab/>
      </w:r>
      <w:r>
        <w:rPr>
          <w:noProof/>
        </w:rPr>
        <w:fldChar w:fldCharType="begin"/>
      </w:r>
      <w:r>
        <w:rPr>
          <w:noProof/>
        </w:rPr>
        <w:instrText xml:space="preserve"> PAGEREF _Toc163378685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Authorised breaks counted as work</w:t>
      </w:r>
      <w:r>
        <w:rPr>
          <w:noProof/>
        </w:rPr>
        <w:tab/>
      </w:r>
      <w:r>
        <w:rPr>
          <w:noProof/>
        </w:rPr>
        <w:fldChar w:fldCharType="begin"/>
      </w:r>
      <w:r>
        <w:rPr>
          <w:noProof/>
        </w:rPr>
        <w:instrText xml:space="preserve"> PAGEREF _Toc163378686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Certain breaks allowed and counted as work</w:t>
      </w:r>
      <w:r>
        <w:rPr>
          <w:noProof/>
        </w:rPr>
        <w:tab/>
      </w:r>
      <w:r>
        <w:rPr>
          <w:noProof/>
        </w:rPr>
        <w:fldChar w:fldCharType="begin"/>
      </w:r>
      <w:r>
        <w:rPr>
          <w:noProof/>
        </w:rPr>
        <w:instrText xml:space="preserve"> PAGEREF _Toc163378687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Offender not required to work if supervising officer or overseer fails to arrive unless alternative arrangements made</w:t>
      </w:r>
      <w:r>
        <w:rPr>
          <w:noProof/>
        </w:rPr>
        <w:tab/>
      </w:r>
      <w:r>
        <w:rPr>
          <w:noProof/>
        </w:rPr>
        <w:fldChar w:fldCharType="begin"/>
      </w:r>
      <w:r>
        <w:rPr>
          <w:noProof/>
        </w:rPr>
        <w:instrText xml:space="preserve"> PAGEREF _Toc163378688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Certain substances prohibited</w:t>
      </w:r>
      <w:r>
        <w:rPr>
          <w:noProof/>
        </w:rPr>
        <w:tab/>
      </w:r>
      <w:r>
        <w:rPr>
          <w:noProof/>
        </w:rPr>
        <w:fldChar w:fldCharType="begin"/>
      </w:r>
      <w:r>
        <w:rPr>
          <w:noProof/>
        </w:rPr>
        <w:instrText xml:space="preserve"> PAGEREF _Toc163378689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Offender under the influence of alcohol, etc.</w:t>
      </w:r>
      <w:r>
        <w:rPr>
          <w:noProof/>
        </w:rPr>
        <w:tab/>
      </w:r>
      <w:r>
        <w:rPr>
          <w:noProof/>
        </w:rPr>
        <w:fldChar w:fldCharType="begin"/>
      </w:r>
      <w:r>
        <w:rPr>
          <w:noProof/>
        </w:rPr>
        <w:instrText xml:space="preserve"> PAGEREF _Toc163378690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Offender not to possess weapon, and confiscation</w:t>
      </w:r>
      <w:r>
        <w:rPr>
          <w:noProof/>
        </w:rPr>
        <w:tab/>
      </w:r>
      <w:r>
        <w:rPr>
          <w:noProof/>
        </w:rPr>
        <w:fldChar w:fldCharType="begin"/>
      </w:r>
      <w:r>
        <w:rPr>
          <w:noProof/>
        </w:rPr>
        <w:instrText xml:space="preserve"> PAGEREF _Toc163378691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Offender not to drive vehicle unless authorised</w:t>
      </w:r>
      <w:r>
        <w:rPr>
          <w:noProof/>
        </w:rPr>
        <w:tab/>
      </w:r>
      <w:r>
        <w:rPr>
          <w:noProof/>
        </w:rPr>
        <w:fldChar w:fldCharType="begin"/>
      </w:r>
      <w:r>
        <w:rPr>
          <w:noProof/>
        </w:rPr>
        <w:instrText xml:space="preserve"> PAGEREF _Toc163378692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Offender may be excused from work</w:t>
      </w:r>
      <w:r>
        <w:rPr>
          <w:noProof/>
        </w:rPr>
        <w:tab/>
      </w:r>
      <w:r>
        <w:rPr>
          <w:noProof/>
        </w:rPr>
        <w:fldChar w:fldCharType="begin"/>
      </w:r>
      <w:r>
        <w:rPr>
          <w:noProof/>
        </w:rPr>
        <w:instrText xml:space="preserve"> PAGEREF _Toc163378693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Offender ill or injured while performing work</w:t>
      </w:r>
      <w:r>
        <w:rPr>
          <w:noProof/>
        </w:rPr>
        <w:tab/>
      </w:r>
      <w:r>
        <w:rPr>
          <w:noProof/>
        </w:rPr>
        <w:fldChar w:fldCharType="begin"/>
      </w:r>
      <w:r>
        <w:rPr>
          <w:noProof/>
        </w:rPr>
        <w:instrText xml:space="preserve"> PAGEREF _Toc163378694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Supervising officer to notify responsible adult</w:t>
      </w:r>
      <w:r>
        <w:rPr>
          <w:noProof/>
        </w:rPr>
        <w:tab/>
      </w:r>
      <w:r>
        <w:rPr>
          <w:noProof/>
        </w:rPr>
        <w:fldChar w:fldCharType="begin"/>
      </w:r>
      <w:r>
        <w:rPr>
          <w:noProof/>
        </w:rPr>
        <w:instrText xml:space="preserve"> PAGEREF _Toc163378695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Offender unable to attend to perform work because of illness</w:t>
      </w:r>
      <w:r>
        <w:rPr>
          <w:noProof/>
        </w:rPr>
        <w:tab/>
      </w:r>
      <w:r>
        <w:rPr>
          <w:noProof/>
        </w:rPr>
        <w:fldChar w:fldCharType="begin"/>
      </w:r>
      <w:r>
        <w:rPr>
          <w:noProof/>
        </w:rPr>
        <w:instrText xml:space="preserve"> PAGEREF _Toc163378696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Supervision conditions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Limits on the reporting requirements of supervision conditions</w:t>
      </w:r>
      <w:r>
        <w:rPr>
          <w:noProof/>
        </w:rPr>
        <w:tab/>
      </w:r>
      <w:r>
        <w:rPr>
          <w:noProof/>
        </w:rPr>
        <w:fldChar w:fldCharType="begin"/>
      </w:r>
      <w:r>
        <w:rPr>
          <w:noProof/>
        </w:rPr>
        <w:instrText xml:space="preserve"> PAGEREF _Toc163378698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Requirement to report for offender who lives in remote area of the State</w:t>
      </w:r>
      <w:r>
        <w:rPr>
          <w:noProof/>
        </w:rPr>
        <w:tab/>
      </w:r>
      <w:r>
        <w:rPr>
          <w:noProof/>
        </w:rPr>
        <w:fldChar w:fldCharType="begin"/>
      </w:r>
      <w:r>
        <w:rPr>
          <w:noProof/>
        </w:rPr>
        <w:instrText xml:space="preserve"> PAGEREF _Toc163378699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Intensive youth supervision orders without detention</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_Toc163378701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Application of Divisions 3, 4 and 5 to supervision orders</w:t>
      </w:r>
      <w:r>
        <w:rPr>
          <w:noProof/>
        </w:rPr>
        <w:tab/>
      </w:r>
      <w:r>
        <w:rPr>
          <w:noProof/>
        </w:rPr>
        <w:fldChar w:fldCharType="begin"/>
      </w:r>
      <w:r>
        <w:rPr>
          <w:noProof/>
        </w:rPr>
        <w:instrText xml:space="preserve"> PAGEREF _Toc163378702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Limits on the reporting requirements of supervision conditions</w:t>
      </w:r>
      <w:r>
        <w:rPr>
          <w:noProof/>
        </w:rPr>
        <w:tab/>
      </w:r>
      <w:r>
        <w:rPr>
          <w:noProof/>
        </w:rPr>
        <w:fldChar w:fldCharType="begin"/>
      </w:r>
      <w:r>
        <w:rPr>
          <w:noProof/>
        </w:rPr>
        <w:instrText xml:space="preserve"> PAGEREF _Toc163378703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Offender to inform supervising officer of change in address within 48 hours</w:t>
      </w:r>
      <w:r>
        <w:rPr>
          <w:noProof/>
        </w:rPr>
        <w:tab/>
      </w:r>
      <w:r>
        <w:rPr>
          <w:noProof/>
        </w:rPr>
        <w:fldChar w:fldCharType="begin"/>
      </w:r>
      <w:r>
        <w:rPr>
          <w:noProof/>
        </w:rPr>
        <w:instrText xml:space="preserve"> PAGEREF _Toc163378704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Conditional release orders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Application of Division 4 to offender released under conditional release order</w:t>
      </w:r>
      <w:r>
        <w:rPr>
          <w:noProof/>
        </w:rPr>
        <w:tab/>
      </w:r>
      <w:r>
        <w:rPr>
          <w:noProof/>
        </w:rPr>
        <w:fldChar w:fldCharType="begin"/>
      </w:r>
      <w:r>
        <w:rPr>
          <w:noProof/>
        </w:rPr>
        <w:instrText xml:space="preserve"> PAGEREF _Toc163378706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Offender unable to attend to perform work because of illness</w:t>
      </w:r>
      <w:r>
        <w:rPr>
          <w:noProof/>
        </w:rPr>
        <w:tab/>
      </w:r>
      <w:r>
        <w:rPr>
          <w:noProof/>
        </w:rPr>
        <w:fldChar w:fldCharType="begin"/>
      </w:r>
      <w:r>
        <w:rPr>
          <w:noProof/>
        </w:rPr>
        <w:instrText xml:space="preserve"> PAGEREF _Toc163378707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4 — Special detention centres</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Detention centres established and operated as special detention centres</w:t>
      </w:r>
      <w:r>
        <w:rPr>
          <w:noProof/>
        </w:rPr>
        <w:tab/>
      </w:r>
      <w:r>
        <w:rPr>
          <w:noProof/>
        </w:rPr>
        <w:fldChar w:fldCharType="begin"/>
      </w:r>
      <w:r>
        <w:rPr>
          <w:noProof/>
        </w:rPr>
        <w:instrText xml:space="preserve"> PAGEREF _Toc163378709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6 — Hearing and determination of detention offences</w:t>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_Toc163378711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Charge of detention offence</w:t>
      </w:r>
      <w:r>
        <w:rPr>
          <w:noProof/>
        </w:rPr>
        <w:tab/>
      </w:r>
      <w:r>
        <w:rPr>
          <w:noProof/>
        </w:rPr>
        <w:fldChar w:fldCharType="begin"/>
      </w:r>
      <w:r>
        <w:rPr>
          <w:noProof/>
        </w:rPr>
        <w:instrText xml:space="preserve"> PAGEREF _Toc163378712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Notification of hearing</w:t>
      </w:r>
      <w:r>
        <w:rPr>
          <w:noProof/>
        </w:rPr>
        <w:tab/>
      </w:r>
      <w:r>
        <w:rPr>
          <w:noProof/>
        </w:rPr>
        <w:fldChar w:fldCharType="begin"/>
      </w:r>
      <w:r>
        <w:rPr>
          <w:noProof/>
        </w:rPr>
        <w:instrText xml:space="preserve"> PAGEREF _Toc163378713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Representation of detainee</w:t>
      </w:r>
      <w:r>
        <w:rPr>
          <w:noProof/>
        </w:rPr>
        <w:tab/>
      </w:r>
      <w:r>
        <w:rPr>
          <w:noProof/>
        </w:rPr>
        <w:fldChar w:fldCharType="begin"/>
      </w:r>
      <w:r>
        <w:rPr>
          <w:noProof/>
        </w:rPr>
        <w:instrText xml:space="preserve"> PAGEREF _Toc163378714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_Toc163378715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6A — Miscellaneous</w:t>
      </w:r>
    </w:p>
    <w:p>
      <w:pPr>
        <w:pStyle w:val="TOC4"/>
        <w:tabs>
          <w:tab w:val="left" w:pos="1701"/>
        </w:tabs>
        <w:rPr>
          <w:noProof/>
          <w:sz w:val="24"/>
          <w:szCs w:val="24"/>
        </w:rPr>
      </w:pPr>
      <w:r>
        <w:rPr>
          <w:noProof/>
          <w:szCs w:val="24"/>
        </w:rPr>
        <w:t>40A</w:t>
      </w:r>
      <w:r>
        <w:rPr>
          <w:noProof/>
          <w:snapToGrid w:val="0"/>
          <w:szCs w:val="24"/>
        </w:rPr>
        <w:t>.</w:t>
      </w:r>
      <w:r>
        <w:rPr>
          <w:noProof/>
          <w:sz w:val="24"/>
          <w:szCs w:val="24"/>
        </w:rPr>
        <w:tab/>
      </w:r>
      <w:r>
        <w:rPr>
          <w:noProof/>
          <w:snapToGrid w:val="0"/>
          <w:szCs w:val="24"/>
        </w:rPr>
        <w:t>Calculation of period of detention by reference to unpaid amount (s. 65C(2))</w:t>
      </w:r>
      <w:r>
        <w:rPr>
          <w:noProof/>
        </w:rPr>
        <w:tab/>
      </w:r>
      <w:r>
        <w:rPr>
          <w:noProof/>
        </w:rPr>
        <w:fldChar w:fldCharType="begin"/>
      </w:r>
      <w:r>
        <w:rPr>
          <w:noProof/>
        </w:rPr>
        <w:instrText xml:space="preserve"> PAGEREF _Toc163378717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40B.</w:t>
      </w:r>
      <w:r>
        <w:rPr>
          <w:noProof/>
          <w:sz w:val="24"/>
          <w:szCs w:val="24"/>
        </w:rPr>
        <w:tab/>
      </w:r>
      <w:r>
        <w:rPr>
          <w:noProof/>
          <w:szCs w:val="24"/>
        </w:rPr>
        <w:t>Restriction of access to exchange information (s. 16(8)(b))</w:t>
      </w:r>
      <w:r>
        <w:rPr>
          <w:noProof/>
        </w:rPr>
        <w:tab/>
      </w:r>
      <w:r>
        <w:rPr>
          <w:noProof/>
        </w:rPr>
        <w:fldChar w:fldCharType="begin"/>
      </w:r>
      <w:r>
        <w:rPr>
          <w:noProof/>
        </w:rPr>
        <w:instrText xml:space="preserve"> PAGEREF _Toc163378718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7 — Detainee gratuities</w:t>
      </w:r>
    </w:p>
    <w:p>
      <w:pPr>
        <w:pStyle w:val="TOC3"/>
        <w:rPr>
          <w:b w:val="0"/>
          <w:noProof/>
          <w:sz w:val="24"/>
          <w:szCs w:val="24"/>
        </w:rPr>
      </w:pPr>
      <w:r>
        <w:rPr>
          <w:noProof/>
          <w:szCs w:val="26"/>
        </w:rPr>
        <w:t>Division 1</w:t>
      </w:r>
      <w:r>
        <w:rPr>
          <w:noProof/>
          <w:snapToGrid w:val="0"/>
          <w:szCs w:val="26"/>
        </w:rPr>
        <w:t> — </w:t>
      </w:r>
      <w:r>
        <w:rPr>
          <w:noProof/>
          <w:szCs w:val="26"/>
        </w:rPr>
        <w:t>Special detention centres</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Classification of activities undertaken by detainees in special detention centres</w:t>
      </w:r>
      <w:r>
        <w:rPr>
          <w:noProof/>
        </w:rPr>
        <w:tab/>
      </w:r>
      <w:r>
        <w:rPr>
          <w:noProof/>
        </w:rPr>
        <w:fldChar w:fldCharType="begin"/>
      </w:r>
      <w:r>
        <w:rPr>
          <w:noProof/>
        </w:rPr>
        <w:instrText xml:space="preserve"> PAGEREF _Toc163378721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Gratuities credited to a detainee in special detention centre</w:t>
      </w:r>
      <w:r>
        <w:rPr>
          <w:noProof/>
        </w:rPr>
        <w:tab/>
      </w:r>
      <w:r>
        <w:rPr>
          <w:noProof/>
        </w:rPr>
        <w:fldChar w:fldCharType="begin"/>
      </w:r>
      <w:r>
        <w:rPr>
          <w:noProof/>
        </w:rPr>
        <w:instrText xml:space="preserve"> PAGEREF _Toc163378722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Detention centres other than special detention centres</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Gratuities credited to a detainee in detention centre that is not a special detention centre</w:t>
      </w:r>
      <w:r>
        <w:rPr>
          <w:noProof/>
        </w:rPr>
        <w:tab/>
      </w:r>
      <w:r>
        <w:rPr>
          <w:noProof/>
        </w:rPr>
        <w:fldChar w:fldCharType="begin"/>
      </w:r>
      <w:r>
        <w:rPr>
          <w:noProof/>
        </w:rPr>
        <w:instrText xml:space="preserve"> PAGEREF _Toc163378724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General</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Superintendent may direct gratuities be withheld or reduced</w:t>
      </w:r>
      <w:r>
        <w:rPr>
          <w:noProof/>
        </w:rPr>
        <w:tab/>
      </w:r>
      <w:r>
        <w:rPr>
          <w:noProof/>
        </w:rPr>
        <w:fldChar w:fldCharType="begin"/>
      </w:r>
      <w:r>
        <w:rPr>
          <w:noProof/>
        </w:rPr>
        <w:instrText xml:space="preserve"> PAGEREF _Toc163378726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Superintendent may direct deductions from gratuities</w:t>
      </w:r>
      <w:r>
        <w:rPr>
          <w:noProof/>
        </w:rPr>
        <w:tab/>
      </w:r>
      <w:r>
        <w:rPr>
          <w:noProof/>
        </w:rPr>
        <w:fldChar w:fldCharType="begin"/>
      </w:r>
      <w:r>
        <w:rPr>
          <w:noProof/>
        </w:rPr>
        <w:instrText xml:space="preserve"> PAGEREF _Toc163378727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Superintendent may direct when gratuities are to be credited</w:t>
      </w:r>
      <w:r>
        <w:rPr>
          <w:noProof/>
        </w:rPr>
        <w:tab/>
      </w:r>
      <w:r>
        <w:rPr>
          <w:noProof/>
        </w:rPr>
        <w:fldChar w:fldCharType="begin"/>
      </w:r>
      <w:r>
        <w:rPr>
          <w:noProof/>
        </w:rPr>
        <w:instrText xml:space="preserve"> PAGEREF _Toc163378728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7A</w:t>
      </w:r>
      <w:r>
        <w:rPr>
          <w:b w:val="0"/>
          <w:noProof/>
          <w:szCs w:val="30"/>
        </w:rPr>
        <w:t> </w:t>
      </w:r>
      <w:r>
        <w:rPr>
          <w:noProof/>
          <w:szCs w:val="30"/>
        </w:rPr>
        <w:t>—</w:t>
      </w:r>
      <w:r>
        <w:rPr>
          <w:b w:val="0"/>
          <w:noProof/>
          <w:szCs w:val="30"/>
        </w:rPr>
        <w:t> </w:t>
      </w:r>
      <w:r>
        <w:rPr>
          <w:noProof/>
          <w:szCs w:val="30"/>
        </w:rPr>
        <w:t>Detainee privileges</w:t>
      </w:r>
    </w:p>
    <w:p>
      <w:pPr>
        <w:pStyle w:val="TOC4"/>
        <w:tabs>
          <w:tab w:val="left" w:pos="1701"/>
        </w:tabs>
        <w:rPr>
          <w:noProof/>
          <w:sz w:val="24"/>
          <w:szCs w:val="24"/>
        </w:rPr>
      </w:pPr>
      <w:r>
        <w:rPr>
          <w:noProof/>
          <w:szCs w:val="24"/>
        </w:rPr>
        <w:t>46A.</w:t>
      </w:r>
      <w:r>
        <w:rPr>
          <w:noProof/>
          <w:sz w:val="24"/>
          <w:szCs w:val="24"/>
        </w:rPr>
        <w:tab/>
      </w:r>
      <w:r>
        <w:rPr>
          <w:noProof/>
          <w:szCs w:val="24"/>
        </w:rPr>
        <w:t>Granting and withdrawing of privileges</w:t>
      </w:r>
      <w:r>
        <w:rPr>
          <w:noProof/>
        </w:rPr>
        <w:tab/>
      </w:r>
      <w:r>
        <w:rPr>
          <w:noProof/>
        </w:rPr>
        <w:fldChar w:fldCharType="begin"/>
      </w:r>
      <w:r>
        <w:rPr>
          <w:noProof/>
        </w:rPr>
        <w:instrText xml:space="preserve"> PAGEREF _Toc163378730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46B.</w:t>
      </w:r>
      <w:r>
        <w:rPr>
          <w:noProof/>
          <w:sz w:val="24"/>
          <w:szCs w:val="24"/>
        </w:rPr>
        <w:tab/>
      </w:r>
      <w:r>
        <w:rPr>
          <w:noProof/>
          <w:szCs w:val="24"/>
        </w:rPr>
        <w:t>Privileges</w:t>
      </w:r>
      <w:r>
        <w:rPr>
          <w:noProof/>
        </w:rPr>
        <w:tab/>
      </w:r>
      <w:r>
        <w:rPr>
          <w:noProof/>
        </w:rPr>
        <w:fldChar w:fldCharType="begin"/>
      </w:r>
      <w:r>
        <w:rPr>
          <w:noProof/>
        </w:rPr>
        <w:instrText xml:space="preserve"> PAGEREF _Toc163378731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8</w:t>
      </w:r>
      <w:r>
        <w:rPr>
          <w:b w:val="0"/>
          <w:noProof/>
          <w:szCs w:val="30"/>
        </w:rPr>
        <w:t> </w:t>
      </w:r>
      <w:r>
        <w:rPr>
          <w:noProof/>
          <w:szCs w:val="30"/>
        </w:rPr>
        <w:t>— Responsibilities and discipline of employees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47.</w:t>
      </w:r>
      <w:r>
        <w:rPr>
          <w:noProof/>
          <w:sz w:val="24"/>
          <w:szCs w:val="24"/>
        </w:rPr>
        <w:tab/>
      </w:r>
      <w:r>
        <w:rPr>
          <w:noProof/>
          <w:szCs w:val="24"/>
        </w:rPr>
        <w:t>Interpretation and application</w:t>
      </w:r>
      <w:r>
        <w:rPr>
          <w:noProof/>
        </w:rPr>
        <w:tab/>
      </w:r>
      <w:r>
        <w:rPr>
          <w:noProof/>
        </w:rPr>
        <w:fldChar w:fldCharType="begin"/>
      </w:r>
      <w:r>
        <w:rPr>
          <w:noProof/>
        </w:rPr>
        <w:instrText xml:space="preserve"> PAGEREF _Toc163378734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2 — Employment generally</w:t>
      </w:r>
    </w:p>
    <w:p>
      <w:pPr>
        <w:pStyle w:val="TOC4"/>
        <w:tabs>
          <w:tab w:val="left" w:pos="1701"/>
        </w:tabs>
        <w:rPr>
          <w:noProof/>
          <w:sz w:val="24"/>
          <w:szCs w:val="24"/>
        </w:rPr>
      </w:pPr>
      <w:r>
        <w:rPr>
          <w:noProof/>
          <w:szCs w:val="24"/>
        </w:rPr>
        <w:t>48.</w:t>
      </w:r>
      <w:r>
        <w:rPr>
          <w:noProof/>
          <w:sz w:val="24"/>
          <w:szCs w:val="24"/>
        </w:rPr>
        <w:tab/>
      </w:r>
      <w:r>
        <w:rPr>
          <w:noProof/>
          <w:szCs w:val="24"/>
        </w:rPr>
        <w:t>Application</w:t>
      </w:r>
      <w:r>
        <w:rPr>
          <w:noProof/>
        </w:rPr>
        <w:tab/>
      </w:r>
      <w:r>
        <w:rPr>
          <w:noProof/>
        </w:rPr>
        <w:fldChar w:fldCharType="begin"/>
      </w:r>
      <w:r>
        <w:rPr>
          <w:noProof/>
        </w:rPr>
        <w:instrText xml:space="preserve"> PAGEREF _Toc163378736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Officers and employees of particular classes prescribed (section 11(1a)(b))</w:t>
      </w:r>
      <w:r>
        <w:rPr>
          <w:noProof/>
        </w:rPr>
        <w:tab/>
      </w:r>
      <w:r>
        <w:rPr>
          <w:noProof/>
        </w:rPr>
        <w:fldChar w:fldCharType="begin"/>
      </w:r>
      <w:r>
        <w:rPr>
          <w:noProof/>
        </w:rPr>
        <w:instrText xml:space="preserve"> PAGEREF _Toc163378737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Functions of officers and employees of particular classes prescribed (section 11(2))</w:t>
      </w:r>
      <w:r>
        <w:rPr>
          <w:noProof/>
        </w:rPr>
        <w:tab/>
      </w:r>
      <w:r>
        <w:rPr>
          <w:noProof/>
        </w:rPr>
        <w:fldChar w:fldCharType="begin"/>
      </w:r>
      <w:r>
        <w:rPr>
          <w:noProof/>
        </w:rPr>
        <w:instrText xml:space="preserve"> PAGEREF _Toc163378738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Circumstances in which employment may be terminated (section 11(1a))</w:t>
      </w:r>
      <w:r>
        <w:rPr>
          <w:noProof/>
        </w:rPr>
        <w:tab/>
      </w:r>
      <w:r>
        <w:rPr>
          <w:noProof/>
        </w:rPr>
        <w:fldChar w:fldCharType="begin"/>
      </w:r>
      <w:r>
        <w:rPr>
          <w:noProof/>
        </w:rPr>
        <w:instrText xml:space="preserve"> PAGEREF _Toc163378739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Notice prior to termination of employment (section 11(1a))</w:t>
      </w:r>
      <w:r>
        <w:rPr>
          <w:noProof/>
        </w:rPr>
        <w:tab/>
      </w:r>
      <w:r>
        <w:rPr>
          <w:noProof/>
        </w:rPr>
        <w:fldChar w:fldCharType="begin"/>
      </w:r>
      <w:r>
        <w:rPr>
          <w:noProof/>
        </w:rPr>
        <w:instrText xml:space="preserve"> PAGEREF _Toc163378740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3 — Employee Discipline</w:t>
      </w:r>
    </w:p>
    <w:p>
      <w:pPr>
        <w:pStyle w:val="TOC4"/>
        <w:tabs>
          <w:tab w:val="left" w:pos="1701"/>
        </w:tabs>
        <w:rPr>
          <w:noProof/>
          <w:sz w:val="24"/>
          <w:szCs w:val="24"/>
        </w:rPr>
      </w:pPr>
      <w:r>
        <w:rPr>
          <w:noProof/>
          <w:szCs w:val="24"/>
        </w:rPr>
        <w:t>53.</w:t>
      </w:r>
      <w:r>
        <w:rPr>
          <w:noProof/>
          <w:sz w:val="24"/>
          <w:szCs w:val="24"/>
        </w:rPr>
        <w:tab/>
      </w:r>
      <w:r>
        <w:rPr>
          <w:noProof/>
          <w:szCs w:val="24"/>
        </w:rPr>
        <w:t>Application</w:t>
      </w:r>
      <w:r>
        <w:rPr>
          <w:noProof/>
        </w:rPr>
        <w:tab/>
      </w:r>
      <w:r>
        <w:rPr>
          <w:noProof/>
        </w:rPr>
        <w:fldChar w:fldCharType="begin"/>
      </w:r>
      <w:r>
        <w:rPr>
          <w:noProof/>
        </w:rPr>
        <w:instrText xml:space="preserve"> PAGEREF _Toc163378742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Breaches of discipline</w:t>
      </w:r>
      <w:r>
        <w:rPr>
          <w:noProof/>
        </w:rPr>
        <w:tab/>
      </w:r>
      <w:r>
        <w:rPr>
          <w:noProof/>
        </w:rPr>
        <w:fldChar w:fldCharType="begin"/>
      </w:r>
      <w:r>
        <w:rPr>
          <w:noProof/>
        </w:rPr>
        <w:instrText xml:space="preserve"> PAGEREF _Toc163378743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Laying a charge</w:t>
      </w:r>
      <w:r>
        <w:rPr>
          <w:noProof/>
        </w:rPr>
        <w:tab/>
      </w:r>
      <w:r>
        <w:rPr>
          <w:noProof/>
        </w:rPr>
        <w:fldChar w:fldCharType="begin"/>
      </w:r>
      <w:r>
        <w:rPr>
          <w:noProof/>
        </w:rPr>
        <w:instrText xml:space="preserve"> PAGEREF _Toc163378744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Give notice when charge is laid</w:t>
      </w:r>
      <w:r>
        <w:rPr>
          <w:noProof/>
        </w:rPr>
        <w:tab/>
      </w:r>
      <w:r>
        <w:rPr>
          <w:noProof/>
        </w:rPr>
        <w:fldChar w:fldCharType="begin"/>
      </w:r>
      <w:r>
        <w:rPr>
          <w:noProof/>
        </w:rPr>
        <w:instrText xml:space="preserve"> PAGEREF _Toc163378745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Where a charge is denied or ignored</w:t>
      </w:r>
      <w:r>
        <w:rPr>
          <w:noProof/>
        </w:rPr>
        <w:tab/>
      </w:r>
      <w:r>
        <w:rPr>
          <w:noProof/>
        </w:rPr>
        <w:fldChar w:fldCharType="begin"/>
      </w:r>
      <w:r>
        <w:rPr>
          <w:noProof/>
        </w:rPr>
        <w:instrText xml:space="preserve"> PAGEREF _Toc163378746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Where a breach of discipline is admitted</w:t>
      </w:r>
      <w:r>
        <w:rPr>
          <w:noProof/>
        </w:rPr>
        <w:tab/>
      </w:r>
      <w:r>
        <w:rPr>
          <w:noProof/>
        </w:rPr>
        <w:fldChar w:fldCharType="begin"/>
      </w:r>
      <w:r>
        <w:rPr>
          <w:noProof/>
        </w:rPr>
        <w:instrText xml:space="preserve"> PAGEREF _Toc163378747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Inquiry into charge</w:t>
      </w:r>
      <w:r>
        <w:rPr>
          <w:noProof/>
        </w:rPr>
        <w:tab/>
      </w:r>
      <w:r>
        <w:rPr>
          <w:noProof/>
        </w:rPr>
        <w:fldChar w:fldCharType="begin"/>
      </w:r>
      <w:r>
        <w:rPr>
          <w:noProof/>
        </w:rPr>
        <w:instrText xml:space="preserve"> PAGEREF _Toc163378748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Persons involved in an inquiry</w:t>
      </w:r>
      <w:r>
        <w:rPr>
          <w:noProof/>
        </w:rPr>
        <w:tab/>
      </w:r>
      <w:r>
        <w:rPr>
          <w:noProof/>
        </w:rPr>
        <w:fldChar w:fldCharType="begin"/>
      </w:r>
      <w:r>
        <w:rPr>
          <w:noProof/>
        </w:rPr>
        <w:instrText xml:space="preserve"> PAGEREF _Toc163378749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Determination of charge</w:t>
      </w:r>
      <w:r>
        <w:rPr>
          <w:noProof/>
        </w:rPr>
        <w:tab/>
      </w:r>
      <w:r>
        <w:rPr>
          <w:noProof/>
        </w:rPr>
        <w:fldChar w:fldCharType="begin"/>
      </w:r>
      <w:r>
        <w:rPr>
          <w:noProof/>
        </w:rPr>
        <w:instrText xml:space="preserve"> PAGEREF _Toc163378750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Guidelines for person conducting inquiry</w:t>
      </w:r>
      <w:r>
        <w:rPr>
          <w:noProof/>
        </w:rPr>
        <w:tab/>
      </w:r>
      <w:r>
        <w:rPr>
          <w:noProof/>
        </w:rPr>
        <w:fldChar w:fldCharType="begin"/>
      </w:r>
      <w:r>
        <w:rPr>
          <w:noProof/>
        </w:rPr>
        <w:instrText xml:space="preserve"> PAGEREF _Toc163378751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Finding following inquiry</w:t>
      </w:r>
      <w:r>
        <w:rPr>
          <w:noProof/>
        </w:rPr>
        <w:tab/>
      </w:r>
      <w:r>
        <w:rPr>
          <w:noProof/>
        </w:rPr>
        <w:fldChar w:fldCharType="begin"/>
      </w:r>
      <w:r>
        <w:rPr>
          <w:noProof/>
        </w:rPr>
        <w:instrText xml:space="preserve"> PAGEREF _Toc163378752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Action that may be taken following finding</w:t>
      </w:r>
      <w:r>
        <w:rPr>
          <w:noProof/>
        </w:rPr>
        <w:tab/>
      </w:r>
      <w:r>
        <w:rPr>
          <w:noProof/>
        </w:rPr>
        <w:fldChar w:fldCharType="begin"/>
      </w:r>
      <w:r>
        <w:rPr>
          <w:noProof/>
        </w:rPr>
        <w:instrText xml:space="preserve"> PAGEREF _Toc163378753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Review by CEO</w:t>
      </w:r>
      <w:r>
        <w:rPr>
          <w:noProof/>
        </w:rPr>
        <w:tab/>
      </w:r>
      <w:r>
        <w:rPr>
          <w:noProof/>
        </w:rPr>
        <w:fldChar w:fldCharType="begin"/>
      </w:r>
      <w:r>
        <w:rPr>
          <w:noProof/>
        </w:rPr>
        <w:instrText xml:space="preserve"> PAGEREF _Toc163378754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Referral where charge appears too serious</w:t>
      </w:r>
      <w:r>
        <w:rPr>
          <w:noProof/>
        </w:rPr>
        <w:tab/>
      </w:r>
      <w:r>
        <w:rPr>
          <w:noProof/>
        </w:rPr>
        <w:fldChar w:fldCharType="begin"/>
      </w:r>
      <w:r>
        <w:rPr>
          <w:noProof/>
        </w:rPr>
        <w:instrText xml:space="preserve"> PAGEREF _Toc163378755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Inquiry into a referred charge</w:t>
      </w:r>
      <w:r>
        <w:rPr>
          <w:noProof/>
        </w:rPr>
        <w:tab/>
      </w:r>
      <w:r>
        <w:rPr>
          <w:noProof/>
        </w:rPr>
        <w:fldChar w:fldCharType="begin"/>
      </w:r>
      <w:r>
        <w:rPr>
          <w:noProof/>
        </w:rPr>
        <w:instrText xml:space="preserve"> PAGEREF _Toc163378756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Outcome of inquiry into a referred charge</w:t>
      </w:r>
      <w:r>
        <w:rPr>
          <w:noProof/>
        </w:rPr>
        <w:tab/>
      </w:r>
      <w:r>
        <w:rPr>
          <w:noProof/>
        </w:rPr>
        <w:fldChar w:fldCharType="begin"/>
      </w:r>
      <w:r>
        <w:rPr>
          <w:noProof/>
        </w:rPr>
        <w:instrText xml:space="preserve"> PAGEREF _Toc163378757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Fines may be deducted from pay, etc.</w:t>
      </w:r>
      <w:r>
        <w:rPr>
          <w:noProof/>
        </w:rPr>
        <w:tab/>
      </w:r>
      <w:r>
        <w:rPr>
          <w:noProof/>
        </w:rPr>
        <w:fldChar w:fldCharType="begin"/>
      </w:r>
      <w:r>
        <w:rPr>
          <w:noProof/>
        </w:rPr>
        <w:instrText xml:space="preserve"> PAGEREF _Toc163378758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4 — Use of force</w:t>
      </w:r>
    </w:p>
    <w:p>
      <w:pPr>
        <w:pStyle w:val="TOC4"/>
        <w:tabs>
          <w:tab w:val="left" w:pos="1701"/>
        </w:tabs>
        <w:rPr>
          <w:noProof/>
          <w:sz w:val="24"/>
          <w:szCs w:val="24"/>
        </w:rPr>
      </w:pPr>
      <w:r>
        <w:rPr>
          <w:noProof/>
          <w:szCs w:val="24"/>
        </w:rPr>
        <w:t>70.</w:t>
      </w:r>
      <w:r>
        <w:rPr>
          <w:noProof/>
          <w:sz w:val="24"/>
          <w:szCs w:val="24"/>
        </w:rPr>
        <w:tab/>
      </w:r>
      <w:r>
        <w:rPr>
          <w:noProof/>
          <w:szCs w:val="24"/>
        </w:rPr>
        <w:t>Application</w:t>
      </w:r>
      <w:r>
        <w:rPr>
          <w:noProof/>
        </w:rPr>
        <w:tab/>
      </w:r>
      <w:r>
        <w:rPr>
          <w:noProof/>
        </w:rPr>
        <w:fldChar w:fldCharType="begin"/>
      </w:r>
      <w:r>
        <w:rPr>
          <w:noProof/>
        </w:rPr>
        <w:instrText xml:space="preserve"> PAGEREF _Toc163378760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Prescribed force (section 11C(1))</w:t>
      </w:r>
      <w:r>
        <w:rPr>
          <w:noProof/>
        </w:rPr>
        <w:tab/>
      </w:r>
      <w:r>
        <w:rPr>
          <w:noProof/>
        </w:rPr>
        <w:fldChar w:fldCharType="begin"/>
      </w:r>
      <w:r>
        <w:rPr>
          <w:noProof/>
        </w:rPr>
        <w:instrText xml:space="preserve"> PAGEREF _Toc163378761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Prescribed circumstances for use of force (section 11C(2))</w:t>
      </w:r>
      <w:r>
        <w:rPr>
          <w:noProof/>
        </w:rPr>
        <w:tab/>
      </w:r>
      <w:r>
        <w:rPr>
          <w:noProof/>
        </w:rPr>
        <w:fldChar w:fldCharType="begin"/>
      </w:r>
      <w:r>
        <w:rPr>
          <w:noProof/>
        </w:rPr>
        <w:instrText xml:space="preserve"> PAGEREF _Toc163378762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9</w:t>
      </w:r>
      <w:r>
        <w:rPr>
          <w:b w:val="0"/>
          <w:noProof/>
          <w:szCs w:val="30"/>
        </w:rPr>
        <w:t> </w:t>
      </w:r>
      <w:r>
        <w:rPr>
          <w:noProof/>
          <w:szCs w:val="30"/>
        </w:rPr>
        <w:t>— Confinement of detainees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73.</w:t>
      </w:r>
      <w:r>
        <w:rPr>
          <w:noProof/>
          <w:sz w:val="24"/>
          <w:szCs w:val="24"/>
        </w:rPr>
        <w:tab/>
      </w:r>
      <w:r>
        <w:rPr>
          <w:noProof/>
          <w:szCs w:val="24"/>
        </w:rPr>
        <w:t>Interpretation</w:t>
      </w:r>
      <w:r>
        <w:rPr>
          <w:noProof/>
        </w:rPr>
        <w:tab/>
      </w:r>
      <w:r>
        <w:rPr>
          <w:noProof/>
        </w:rPr>
        <w:fldChar w:fldCharType="begin"/>
      </w:r>
      <w:r>
        <w:rPr>
          <w:noProof/>
        </w:rPr>
        <w:instrText xml:space="preserve"> PAGEREF _Toc163378765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Imposition of confinement</w:t>
      </w:r>
      <w:r>
        <w:rPr>
          <w:noProof/>
        </w:rPr>
        <w:tab/>
      </w:r>
      <w:r>
        <w:rPr>
          <w:noProof/>
        </w:rPr>
        <w:fldChar w:fldCharType="begin"/>
      </w:r>
      <w:r>
        <w:rPr>
          <w:noProof/>
        </w:rPr>
        <w:instrText xml:space="preserve"> PAGEREF _Toc163378766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2 — Detention offence confinement</w:t>
      </w:r>
    </w:p>
    <w:p>
      <w:pPr>
        <w:pStyle w:val="TOC4"/>
        <w:tabs>
          <w:tab w:val="left" w:pos="1701"/>
        </w:tabs>
        <w:rPr>
          <w:noProof/>
          <w:sz w:val="24"/>
          <w:szCs w:val="24"/>
        </w:rPr>
      </w:pPr>
      <w:r>
        <w:rPr>
          <w:noProof/>
          <w:szCs w:val="24"/>
        </w:rPr>
        <w:t>75.</w:t>
      </w:r>
      <w:r>
        <w:rPr>
          <w:noProof/>
          <w:sz w:val="24"/>
          <w:szCs w:val="24"/>
        </w:rPr>
        <w:tab/>
      </w:r>
      <w:r>
        <w:rPr>
          <w:noProof/>
          <w:szCs w:val="24"/>
        </w:rPr>
        <w:t>Application</w:t>
      </w:r>
      <w:r>
        <w:rPr>
          <w:noProof/>
        </w:rPr>
        <w:tab/>
      </w:r>
      <w:r>
        <w:rPr>
          <w:noProof/>
        </w:rPr>
        <w:fldChar w:fldCharType="begin"/>
      </w:r>
      <w:r>
        <w:rPr>
          <w:noProof/>
        </w:rPr>
        <w:instrText xml:space="preserve"> PAGEREF _Toc163378768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Confinement procedures</w:t>
      </w:r>
      <w:r>
        <w:rPr>
          <w:noProof/>
        </w:rPr>
        <w:tab/>
      </w:r>
      <w:r>
        <w:rPr>
          <w:noProof/>
        </w:rPr>
        <w:fldChar w:fldCharType="begin"/>
      </w:r>
      <w:r>
        <w:rPr>
          <w:noProof/>
        </w:rPr>
        <w:instrText xml:space="preserve"> PAGEREF _Toc163378769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Confinement monitoring, searches, etc.</w:t>
      </w:r>
      <w:r>
        <w:rPr>
          <w:noProof/>
        </w:rPr>
        <w:tab/>
      </w:r>
      <w:r>
        <w:rPr>
          <w:noProof/>
        </w:rPr>
        <w:fldChar w:fldCharType="begin"/>
      </w:r>
      <w:r>
        <w:rPr>
          <w:noProof/>
        </w:rPr>
        <w:instrText xml:space="preserve"> PAGEREF _Toc163378770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3 — Good government, good order or security confinement</w:t>
      </w:r>
    </w:p>
    <w:p>
      <w:pPr>
        <w:pStyle w:val="TOC4"/>
        <w:tabs>
          <w:tab w:val="left" w:pos="1701"/>
        </w:tabs>
        <w:rPr>
          <w:noProof/>
          <w:sz w:val="24"/>
          <w:szCs w:val="24"/>
        </w:rPr>
      </w:pPr>
      <w:r>
        <w:rPr>
          <w:noProof/>
          <w:szCs w:val="24"/>
        </w:rPr>
        <w:t>78.</w:t>
      </w:r>
      <w:r>
        <w:rPr>
          <w:noProof/>
          <w:sz w:val="24"/>
          <w:szCs w:val="24"/>
        </w:rPr>
        <w:tab/>
      </w:r>
      <w:r>
        <w:rPr>
          <w:noProof/>
          <w:szCs w:val="24"/>
        </w:rPr>
        <w:t>Application</w:t>
      </w:r>
      <w:r>
        <w:rPr>
          <w:noProof/>
        </w:rPr>
        <w:tab/>
      </w:r>
      <w:r>
        <w:rPr>
          <w:noProof/>
        </w:rPr>
        <w:fldChar w:fldCharType="begin"/>
      </w:r>
      <w:r>
        <w:rPr>
          <w:noProof/>
        </w:rPr>
        <w:instrText xml:space="preserve"> PAGEREF _Toc163378772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Confinement procedures</w:t>
      </w:r>
      <w:r>
        <w:rPr>
          <w:noProof/>
        </w:rPr>
        <w:tab/>
      </w:r>
      <w:r>
        <w:rPr>
          <w:noProof/>
        </w:rPr>
        <w:fldChar w:fldCharType="begin"/>
      </w:r>
      <w:r>
        <w:rPr>
          <w:noProof/>
        </w:rPr>
        <w:instrText xml:space="preserve"> PAGEREF _Toc163378773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Confinement monitoring, searches, etc.</w:t>
      </w:r>
      <w:r>
        <w:rPr>
          <w:noProof/>
        </w:rPr>
        <w:tab/>
      </w:r>
      <w:r>
        <w:rPr>
          <w:noProof/>
        </w:rPr>
        <w:fldChar w:fldCharType="begin"/>
      </w:r>
      <w:r>
        <w:rPr>
          <w:noProof/>
        </w:rPr>
        <w:instrText xml:space="preserve"> PAGEREF _Toc163378774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10</w:t>
      </w:r>
      <w:r>
        <w:rPr>
          <w:b w:val="0"/>
          <w:noProof/>
          <w:szCs w:val="30"/>
        </w:rPr>
        <w:t> </w:t>
      </w:r>
      <w:r>
        <w:rPr>
          <w:noProof/>
          <w:szCs w:val="30"/>
        </w:rPr>
        <w:t>— Search and seizure</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81.</w:t>
      </w:r>
      <w:r>
        <w:rPr>
          <w:noProof/>
          <w:sz w:val="24"/>
          <w:szCs w:val="24"/>
        </w:rPr>
        <w:tab/>
      </w:r>
      <w:r>
        <w:rPr>
          <w:noProof/>
          <w:szCs w:val="24"/>
        </w:rPr>
        <w:t>Interpretation and application of Part 10</w:t>
      </w:r>
      <w:r>
        <w:rPr>
          <w:noProof/>
        </w:rPr>
        <w:tab/>
      </w:r>
      <w:r>
        <w:rPr>
          <w:noProof/>
        </w:rPr>
        <w:fldChar w:fldCharType="begin"/>
      </w:r>
      <w:r>
        <w:rPr>
          <w:noProof/>
        </w:rPr>
        <w:instrText xml:space="preserve"> PAGEREF _Toc163378777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Superintendent empowered to search</w:t>
      </w:r>
      <w:r>
        <w:rPr>
          <w:noProof/>
        </w:rPr>
        <w:tab/>
      </w:r>
      <w:r>
        <w:rPr>
          <w:noProof/>
        </w:rPr>
        <w:fldChar w:fldCharType="begin"/>
      </w:r>
      <w:r>
        <w:rPr>
          <w:noProof/>
        </w:rPr>
        <w:instrText xml:space="preserve"> PAGEREF _Toc163378778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Superintendent empowered to search with assistance of trained dog</w:t>
      </w:r>
      <w:r>
        <w:rPr>
          <w:noProof/>
        </w:rPr>
        <w:tab/>
      </w:r>
      <w:r>
        <w:rPr>
          <w:noProof/>
        </w:rPr>
        <w:fldChar w:fldCharType="begin"/>
      </w:r>
      <w:r>
        <w:rPr>
          <w:noProof/>
        </w:rPr>
        <w:instrText xml:space="preserve"> PAGEREF _Toc163378779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Superintendent empowered to use force when searching detainees</w:t>
      </w:r>
      <w:r>
        <w:rPr>
          <w:noProof/>
        </w:rPr>
        <w:tab/>
      </w:r>
      <w:r>
        <w:rPr>
          <w:noProof/>
        </w:rPr>
        <w:fldChar w:fldCharType="begin"/>
      </w:r>
      <w:r>
        <w:rPr>
          <w:noProof/>
        </w:rPr>
        <w:instrText xml:space="preserve"> PAGEREF _Toc163378780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2 — Searching detainees</w:t>
      </w:r>
    </w:p>
    <w:p>
      <w:pPr>
        <w:pStyle w:val="TOC4"/>
        <w:tabs>
          <w:tab w:val="left" w:pos="1701"/>
        </w:tabs>
        <w:rPr>
          <w:noProof/>
          <w:sz w:val="24"/>
          <w:szCs w:val="24"/>
        </w:rPr>
      </w:pPr>
      <w:r>
        <w:rPr>
          <w:noProof/>
          <w:szCs w:val="24"/>
        </w:rPr>
        <w:t>85.</w:t>
      </w:r>
      <w:r>
        <w:rPr>
          <w:noProof/>
          <w:sz w:val="24"/>
          <w:szCs w:val="24"/>
        </w:rPr>
        <w:tab/>
      </w:r>
      <w:r>
        <w:rPr>
          <w:noProof/>
          <w:szCs w:val="24"/>
        </w:rPr>
        <w:t>When</w:t>
      </w:r>
      <w:r>
        <w:rPr>
          <w:noProof/>
        </w:rPr>
        <w:tab/>
      </w:r>
      <w:r>
        <w:rPr>
          <w:noProof/>
        </w:rPr>
        <w:fldChar w:fldCharType="begin"/>
      </w:r>
      <w:r>
        <w:rPr>
          <w:noProof/>
        </w:rPr>
        <w:instrText xml:space="preserve"> PAGEREF _Toc163378782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How</w:t>
      </w:r>
      <w:r>
        <w:rPr>
          <w:noProof/>
        </w:rPr>
        <w:tab/>
      </w:r>
      <w:r>
        <w:rPr>
          <w:noProof/>
        </w:rPr>
        <w:fldChar w:fldCharType="begin"/>
      </w:r>
      <w:r>
        <w:rPr>
          <w:noProof/>
        </w:rPr>
        <w:instrText xml:space="preserve"> PAGEREF _Toc163378783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If illegal or unauthorised things are found</w:t>
      </w:r>
      <w:r>
        <w:rPr>
          <w:noProof/>
        </w:rPr>
        <w:tab/>
      </w:r>
      <w:r>
        <w:rPr>
          <w:noProof/>
        </w:rPr>
        <w:fldChar w:fldCharType="begin"/>
      </w:r>
      <w:r>
        <w:rPr>
          <w:noProof/>
        </w:rPr>
        <w:instrText xml:space="preserve"> PAGEREF _Toc163378784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3 — Searching officers or other employees</w:t>
      </w:r>
    </w:p>
    <w:p>
      <w:pPr>
        <w:pStyle w:val="TOC4"/>
        <w:tabs>
          <w:tab w:val="left" w:pos="1701"/>
        </w:tabs>
        <w:rPr>
          <w:noProof/>
          <w:sz w:val="24"/>
          <w:szCs w:val="24"/>
        </w:rPr>
      </w:pPr>
      <w:r>
        <w:rPr>
          <w:noProof/>
          <w:szCs w:val="24"/>
        </w:rPr>
        <w:t>88.</w:t>
      </w:r>
      <w:r>
        <w:rPr>
          <w:noProof/>
          <w:sz w:val="24"/>
          <w:szCs w:val="24"/>
        </w:rPr>
        <w:tab/>
      </w:r>
      <w:r>
        <w:rPr>
          <w:noProof/>
          <w:szCs w:val="24"/>
        </w:rPr>
        <w:t>When</w:t>
      </w:r>
      <w:r>
        <w:rPr>
          <w:noProof/>
        </w:rPr>
        <w:tab/>
      </w:r>
      <w:r>
        <w:rPr>
          <w:noProof/>
        </w:rPr>
        <w:fldChar w:fldCharType="begin"/>
      </w:r>
      <w:r>
        <w:rPr>
          <w:noProof/>
        </w:rPr>
        <w:instrText xml:space="preserve"> PAGEREF _Toc163378786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How</w:t>
      </w:r>
      <w:r>
        <w:rPr>
          <w:noProof/>
        </w:rPr>
        <w:tab/>
      </w:r>
      <w:r>
        <w:rPr>
          <w:noProof/>
        </w:rPr>
        <w:fldChar w:fldCharType="begin"/>
      </w:r>
      <w:r>
        <w:rPr>
          <w:noProof/>
        </w:rPr>
        <w:instrText xml:space="preserve"> PAGEREF _Toc163378787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If illegal or unauthorised things are found</w:t>
      </w:r>
      <w:r>
        <w:rPr>
          <w:noProof/>
        </w:rPr>
        <w:tab/>
      </w:r>
      <w:r>
        <w:rPr>
          <w:noProof/>
        </w:rPr>
        <w:fldChar w:fldCharType="begin"/>
      </w:r>
      <w:r>
        <w:rPr>
          <w:noProof/>
        </w:rPr>
        <w:instrText xml:space="preserve"> PAGEREF _Toc163378788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4 — Searching other persons</w:t>
      </w:r>
    </w:p>
    <w:p>
      <w:pPr>
        <w:pStyle w:val="TOC4"/>
        <w:tabs>
          <w:tab w:val="left" w:pos="1701"/>
        </w:tabs>
        <w:rPr>
          <w:noProof/>
          <w:sz w:val="24"/>
          <w:szCs w:val="24"/>
        </w:rPr>
      </w:pPr>
      <w:r>
        <w:rPr>
          <w:noProof/>
          <w:szCs w:val="24"/>
        </w:rPr>
        <w:t>91.</w:t>
      </w:r>
      <w:r>
        <w:rPr>
          <w:noProof/>
          <w:sz w:val="24"/>
          <w:szCs w:val="24"/>
        </w:rPr>
        <w:tab/>
      </w:r>
      <w:r>
        <w:rPr>
          <w:noProof/>
          <w:szCs w:val="24"/>
        </w:rPr>
        <w:t>When</w:t>
      </w:r>
      <w:r>
        <w:rPr>
          <w:noProof/>
        </w:rPr>
        <w:tab/>
      </w:r>
      <w:r>
        <w:rPr>
          <w:noProof/>
        </w:rPr>
        <w:fldChar w:fldCharType="begin"/>
      </w:r>
      <w:r>
        <w:rPr>
          <w:noProof/>
        </w:rPr>
        <w:instrText xml:space="preserve"> PAGEREF _Toc163378790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How</w:t>
      </w:r>
      <w:r>
        <w:rPr>
          <w:noProof/>
        </w:rPr>
        <w:tab/>
      </w:r>
      <w:r>
        <w:rPr>
          <w:noProof/>
        </w:rPr>
        <w:fldChar w:fldCharType="begin"/>
      </w:r>
      <w:r>
        <w:rPr>
          <w:noProof/>
        </w:rPr>
        <w:instrText xml:space="preserve"> PAGEREF _Toc163378791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If illegal or unauthorised things are found</w:t>
      </w:r>
      <w:r>
        <w:rPr>
          <w:noProof/>
        </w:rPr>
        <w:tab/>
      </w:r>
      <w:r>
        <w:rPr>
          <w:noProof/>
        </w:rPr>
        <w:fldChar w:fldCharType="begin"/>
      </w:r>
      <w:r>
        <w:rPr>
          <w:noProof/>
        </w:rPr>
        <w:instrText xml:space="preserve"> PAGEREF _Toc163378792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5 — Use of dogs</w:t>
      </w:r>
    </w:p>
    <w:p>
      <w:pPr>
        <w:pStyle w:val="TOC4"/>
        <w:tabs>
          <w:tab w:val="left" w:pos="1701"/>
        </w:tabs>
        <w:rPr>
          <w:noProof/>
          <w:sz w:val="24"/>
          <w:szCs w:val="24"/>
        </w:rPr>
      </w:pPr>
      <w:r>
        <w:rPr>
          <w:noProof/>
          <w:szCs w:val="24"/>
        </w:rPr>
        <w:t>94.</w:t>
      </w:r>
      <w:r>
        <w:rPr>
          <w:noProof/>
          <w:sz w:val="24"/>
          <w:szCs w:val="24"/>
        </w:rPr>
        <w:tab/>
      </w:r>
      <w:r>
        <w:rPr>
          <w:noProof/>
          <w:szCs w:val="24"/>
        </w:rPr>
        <w:t>Dogs can be used to search for drugs</w:t>
      </w:r>
      <w:r>
        <w:rPr>
          <w:noProof/>
        </w:rPr>
        <w:tab/>
      </w:r>
      <w:r>
        <w:rPr>
          <w:noProof/>
        </w:rPr>
        <w:fldChar w:fldCharType="begin"/>
      </w:r>
      <w:r>
        <w:rPr>
          <w:noProof/>
        </w:rPr>
        <w:instrText xml:space="preserve"> PAGEREF _Toc163378794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Dogs to be under the control of a dog handler</w:t>
      </w:r>
      <w:r>
        <w:rPr>
          <w:noProof/>
        </w:rPr>
        <w:tab/>
      </w:r>
      <w:r>
        <w:rPr>
          <w:noProof/>
        </w:rPr>
        <w:fldChar w:fldCharType="begin"/>
      </w:r>
      <w:r>
        <w:rPr>
          <w:noProof/>
        </w:rPr>
        <w:instrText xml:space="preserve"> PAGEREF _Toc163378795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Dogs to be used in authorised manner</w:t>
      </w:r>
      <w:r>
        <w:rPr>
          <w:noProof/>
        </w:rPr>
        <w:tab/>
      </w:r>
      <w:r>
        <w:rPr>
          <w:noProof/>
        </w:rPr>
        <w:fldChar w:fldCharType="begin"/>
      </w:r>
      <w:r>
        <w:rPr>
          <w:noProof/>
        </w:rPr>
        <w:instrText xml:space="preserve"> PAGEREF _Toc163378796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Dogs in searches</w:t>
      </w:r>
      <w:r>
        <w:rPr>
          <w:noProof/>
        </w:rPr>
        <w:tab/>
      </w:r>
      <w:r>
        <w:rPr>
          <w:noProof/>
        </w:rPr>
        <w:fldChar w:fldCharType="begin"/>
      </w:r>
      <w:r>
        <w:rPr>
          <w:noProof/>
        </w:rPr>
        <w:instrText xml:space="preserve"> PAGEREF _Toc163378797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6 — Securing illegal or unauthorised things</w:t>
      </w:r>
    </w:p>
    <w:p>
      <w:pPr>
        <w:pStyle w:val="TOC4"/>
        <w:tabs>
          <w:tab w:val="left" w:pos="1701"/>
        </w:tabs>
        <w:rPr>
          <w:noProof/>
          <w:sz w:val="24"/>
          <w:szCs w:val="24"/>
        </w:rPr>
      </w:pPr>
      <w:r>
        <w:rPr>
          <w:noProof/>
          <w:szCs w:val="24"/>
        </w:rPr>
        <w:t>98.</w:t>
      </w:r>
      <w:r>
        <w:rPr>
          <w:noProof/>
          <w:sz w:val="24"/>
          <w:szCs w:val="24"/>
        </w:rPr>
        <w:tab/>
      </w:r>
      <w:r>
        <w:rPr>
          <w:noProof/>
          <w:szCs w:val="24"/>
        </w:rPr>
        <w:t>Securing illegal or unauthorised things</w:t>
      </w:r>
      <w:r>
        <w:rPr>
          <w:noProof/>
        </w:rPr>
        <w:tab/>
      </w:r>
      <w:r>
        <w:rPr>
          <w:noProof/>
        </w:rPr>
        <w:fldChar w:fldCharType="begin"/>
      </w:r>
      <w:r>
        <w:rPr>
          <w:noProof/>
        </w:rPr>
        <w:instrText xml:space="preserve"> PAGEREF _Toc163378799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30"/>
        </w:rPr>
        <w:t>Part 11</w:t>
      </w:r>
      <w:r>
        <w:rPr>
          <w:b w:val="0"/>
          <w:noProof/>
          <w:szCs w:val="30"/>
        </w:rPr>
        <w:t> </w:t>
      </w:r>
      <w:r>
        <w:rPr>
          <w:noProof/>
          <w:szCs w:val="30"/>
        </w:rPr>
        <w:t>—</w:t>
      </w:r>
      <w:r>
        <w:rPr>
          <w:b w:val="0"/>
          <w:noProof/>
          <w:szCs w:val="30"/>
        </w:rPr>
        <w:t> </w:t>
      </w:r>
      <w:r>
        <w:rPr>
          <w:noProof/>
          <w:szCs w:val="30"/>
        </w:rPr>
        <w:t>Body samples</w:t>
      </w:r>
    </w:p>
    <w:p>
      <w:pPr>
        <w:pStyle w:val="TOC3"/>
        <w:rPr>
          <w:b w:val="0"/>
          <w:noProof/>
          <w:sz w:val="24"/>
          <w:szCs w:val="24"/>
        </w:rPr>
      </w:pPr>
      <w:r>
        <w:rPr>
          <w:noProof/>
          <w:szCs w:val="26"/>
        </w:rPr>
        <w:t>Division 1 — Taking body samples</w:t>
      </w:r>
    </w:p>
    <w:p>
      <w:pPr>
        <w:pStyle w:val="TOC4"/>
        <w:tabs>
          <w:tab w:val="left" w:pos="1701"/>
        </w:tabs>
        <w:rPr>
          <w:noProof/>
          <w:sz w:val="24"/>
          <w:szCs w:val="24"/>
        </w:rPr>
      </w:pPr>
      <w:r>
        <w:rPr>
          <w:noProof/>
          <w:szCs w:val="24"/>
        </w:rPr>
        <w:t>99.</w:t>
      </w:r>
      <w:r>
        <w:rPr>
          <w:noProof/>
          <w:sz w:val="24"/>
          <w:szCs w:val="24"/>
        </w:rPr>
        <w:tab/>
      </w:r>
      <w:r>
        <w:rPr>
          <w:noProof/>
          <w:szCs w:val="24"/>
        </w:rPr>
        <w:t>Officer who suspects unauthorised or illegal substance use to inform superintendent</w:t>
      </w:r>
      <w:r>
        <w:rPr>
          <w:noProof/>
        </w:rPr>
        <w:tab/>
      </w:r>
      <w:r>
        <w:rPr>
          <w:noProof/>
        </w:rPr>
        <w:fldChar w:fldCharType="begin"/>
      </w:r>
      <w:r>
        <w:rPr>
          <w:noProof/>
        </w:rPr>
        <w:instrText xml:space="preserve"> PAGEREF _Toc163378802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Circumstances that may prompt requirement for body samples</w:t>
      </w:r>
      <w:r>
        <w:rPr>
          <w:noProof/>
        </w:rPr>
        <w:tab/>
      </w:r>
      <w:r>
        <w:rPr>
          <w:noProof/>
        </w:rPr>
        <w:fldChar w:fldCharType="begin"/>
      </w:r>
      <w:r>
        <w:rPr>
          <w:noProof/>
        </w:rPr>
        <w:instrText xml:space="preserve"> PAGEREF _Toc163378803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Taking of body samples</w:t>
      </w:r>
      <w:r>
        <w:rPr>
          <w:noProof/>
        </w:rPr>
        <w:tab/>
      </w:r>
      <w:r>
        <w:rPr>
          <w:noProof/>
        </w:rPr>
        <w:fldChar w:fldCharType="begin"/>
      </w:r>
      <w:r>
        <w:rPr>
          <w:noProof/>
        </w:rPr>
        <w:instrText xml:space="preserve"> PAGEREF _Toc163378804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2 — Analysis</w:t>
      </w:r>
    </w:p>
    <w:p>
      <w:pPr>
        <w:pStyle w:val="TOC4"/>
        <w:tabs>
          <w:tab w:val="left" w:pos="1701"/>
        </w:tabs>
        <w:rPr>
          <w:noProof/>
          <w:sz w:val="24"/>
          <w:szCs w:val="24"/>
        </w:rPr>
      </w:pPr>
      <w:r>
        <w:rPr>
          <w:noProof/>
          <w:szCs w:val="24"/>
        </w:rPr>
        <w:t>102.</w:t>
      </w:r>
      <w:r>
        <w:rPr>
          <w:noProof/>
          <w:sz w:val="24"/>
          <w:szCs w:val="24"/>
        </w:rPr>
        <w:tab/>
      </w:r>
      <w:r>
        <w:rPr>
          <w:noProof/>
          <w:szCs w:val="24"/>
        </w:rPr>
        <w:t>Approval of analysis agent</w:t>
      </w:r>
      <w:r>
        <w:rPr>
          <w:noProof/>
        </w:rPr>
        <w:tab/>
      </w:r>
      <w:r>
        <w:rPr>
          <w:noProof/>
        </w:rPr>
        <w:fldChar w:fldCharType="begin"/>
      </w:r>
      <w:r>
        <w:rPr>
          <w:noProof/>
        </w:rPr>
        <w:instrText xml:space="preserve"> PAGEREF _Toc163378806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Analyst to give certificate</w:t>
      </w:r>
      <w:r>
        <w:rPr>
          <w:noProof/>
        </w:rPr>
        <w:tab/>
      </w:r>
      <w:r>
        <w:rPr>
          <w:noProof/>
        </w:rPr>
        <w:fldChar w:fldCharType="begin"/>
      </w:r>
      <w:r>
        <w:rPr>
          <w:noProof/>
        </w:rPr>
        <w:instrText xml:space="preserve"> PAGEREF _Toc163378807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Admissibility of analyst’s certificate</w:t>
      </w:r>
      <w:r>
        <w:rPr>
          <w:noProof/>
        </w:rPr>
        <w:tab/>
      </w:r>
      <w:r>
        <w:rPr>
          <w:noProof/>
        </w:rPr>
        <w:fldChar w:fldCharType="begin"/>
      </w:r>
      <w:r>
        <w:rPr>
          <w:noProof/>
        </w:rPr>
        <w:instrText xml:space="preserve"> PAGEREF _Toc163378808 \h </w:instrText>
      </w:r>
      <w:r>
        <w:rPr>
          <w:noProof/>
        </w:rPr>
      </w:r>
      <w:r>
        <w:rPr>
          <w:noProof/>
        </w:rPr>
        <w:fldChar w:fldCharType="separate"/>
      </w:r>
      <w:r>
        <w:rPr>
          <w:noProof/>
        </w:rPr>
        <w:t>56</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_Toc163378809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_Toc163378811 \h </w:instrText>
      </w:r>
      <w:r>
        <w:rPr>
          <w:noProof/>
        </w:rPr>
      </w:r>
      <w:r>
        <w:rPr>
          <w:noProof/>
        </w:rPr>
        <w:fldChar w:fldCharType="separate"/>
      </w:r>
      <w:r>
        <w:rPr>
          <w:noProof/>
        </w:rPr>
        <w:t>59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2" w:name="_Toc107636217"/>
      <w:bookmarkStart w:id="3" w:name="_Toc163378671"/>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55894045"/>
      <w:bookmarkStart w:id="5" w:name="_Toc60635473"/>
      <w:bookmarkStart w:id="6" w:name="_Toc163378672"/>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7" w:name="_Toc55894046"/>
      <w:bookmarkStart w:id="8" w:name="_Toc60635474"/>
      <w:bookmarkStart w:id="9" w:name="_Toc163378673"/>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special detention centre</w:t>
      </w:r>
      <w:r>
        <w:rPr>
          <w:b/>
        </w:rPr>
        <w:t>”</w:t>
      </w:r>
      <w:r>
        <w:t xml:space="preserve"> means a detention centre referred to in regulation 34;</w:t>
      </w:r>
    </w:p>
    <w:p>
      <w:pPr>
        <w:pStyle w:val="Defstart"/>
      </w:pPr>
      <w:r>
        <w:rPr>
          <w:b/>
        </w:rPr>
        <w:tab/>
        <w:t>“</w:t>
      </w:r>
      <w:r>
        <w:rPr>
          <w:rStyle w:val="CharDefText"/>
        </w:rPr>
        <w:t>supervising officer</w:t>
      </w:r>
      <w:r>
        <w:rPr>
          <w:b/>
        </w:rPr>
        <w:t>”</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t>“</w:t>
      </w:r>
      <w:r>
        <w:rPr>
          <w:rStyle w:val="CharDefText"/>
        </w:rPr>
        <w:t>the overseer</w:t>
      </w:r>
      <w:r>
        <w:rPr>
          <w:b/>
        </w:rPr>
        <w:t>”</w:t>
      </w:r>
      <w:r>
        <w:t>, in relation to an offender, means the person assigned to oversee the offender under regulation 7.</w:t>
      </w:r>
    </w:p>
    <w:p>
      <w:pPr>
        <w:pStyle w:val="Heading2"/>
      </w:pPr>
      <w:bookmarkStart w:id="10" w:name="_Toc107636220"/>
      <w:bookmarkStart w:id="11" w:name="_Toc163378674"/>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10"/>
      <w:bookmarkEnd w:id="11"/>
      <w:r>
        <w:rPr>
          <w:rStyle w:val="CharPartText"/>
        </w:rPr>
        <w:t xml:space="preserve"> </w:t>
      </w:r>
    </w:p>
    <w:p>
      <w:pPr>
        <w:pStyle w:val="Heading5"/>
        <w:rPr>
          <w:snapToGrid w:val="0"/>
        </w:rPr>
      </w:pPr>
      <w:bookmarkStart w:id="12" w:name="_Toc55894047"/>
      <w:bookmarkStart w:id="13" w:name="_Toc60635475"/>
      <w:bookmarkStart w:id="14" w:name="_Toc163378675"/>
      <w:r>
        <w:rPr>
          <w:rStyle w:val="CharSectno"/>
        </w:rPr>
        <w:t>3</w:t>
      </w:r>
      <w:r>
        <w:rPr>
          <w:snapToGrid w:val="0"/>
        </w:rPr>
        <w:t>.</w:t>
      </w:r>
      <w:r>
        <w:rPr>
          <w:snapToGrid w:val="0"/>
        </w:rPr>
        <w:tab/>
        <w:t>Form of written statement given to a young person not represented by a legal practitioner</w:t>
      </w:r>
      <w:bookmarkEnd w:id="12"/>
      <w:bookmarkEnd w:id="13"/>
      <w:bookmarkEnd w:id="14"/>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5" w:name="_Toc107636222"/>
      <w:bookmarkStart w:id="16" w:name="_Toc163378676"/>
      <w:r>
        <w:rPr>
          <w:rStyle w:val="CharPartNo"/>
        </w:rPr>
        <w:t>Part 3</w:t>
      </w:r>
      <w:r>
        <w:t> — </w:t>
      </w:r>
      <w:r>
        <w:rPr>
          <w:rStyle w:val="CharPartText"/>
        </w:rPr>
        <w:t>Youth community based orders and intensive youth supervision orders</w:t>
      </w:r>
      <w:bookmarkEnd w:id="15"/>
      <w:bookmarkEnd w:id="16"/>
      <w:r>
        <w:rPr>
          <w:rStyle w:val="CharPartText"/>
        </w:rPr>
        <w:t xml:space="preserve"> </w:t>
      </w:r>
    </w:p>
    <w:p>
      <w:pPr>
        <w:pStyle w:val="Ednotedivision"/>
      </w:pPr>
      <w:bookmarkStart w:id="17" w:name="_Toc107636229"/>
      <w:r>
        <w:t>[Division 1 (r. 4-8) repealed in Gazette 27 Jun 2005 p. 2851.]</w:t>
      </w:r>
    </w:p>
    <w:p>
      <w:pPr>
        <w:pStyle w:val="Heading3"/>
        <w:rPr>
          <w:snapToGrid w:val="0"/>
        </w:rPr>
      </w:pPr>
      <w:bookmarkStart w:id="18" w:name="_Toc163378677"/>
      <w:r>
        <w:rPr>
          <w:rStyle w:val="CharDivNo"/>
        </w:rPr>
        <w:t>Division 2</w:t>
      </w:r>
      <w:r>
        <w:rPr>
          <w:snapToGrid w:val="0"/>
        </w:rPr>
        <w:t> — </w:t>
      </w:r>
      <w:r>
        <w:rPr>
          <w:rStyle w:val="CharDivText"/>
        </w:rPr>
        <w:t>Taking of body samples</w:t>
      </w:r>
      <w:bookmarkEnd w:id="17"/>
      <w:bookmarkEnd w:id="18"/>
      <w:r>
        <w:rPr>
          <w:rStyle w:val="CharDivText"/>
        </w:rPr>
        <w:t xml:space="preserve"> </w:t>
      </w:r>
    </w:p>
    <w:p>
      <w:pPr>
        <w:pStyle w:val="Heading5"/>
        <w:rPr>
          <w:snapToGrid w:val="0"/>
        </w:rPr>
      </w:pPr>
      <w:bookmarkStart w:id="19" w:name="_Toc55894053"/>
      <w:bookmarkStart w:id="20" w:name="_Toc60635481"/>
      <w:bookmarkStart w:id="21" w:name="_Toc163378678"/>
      <w:r>
        <w:rPr>
          <w:rStyle w:val="CharSectno"/>
        </w:rPr>
        <w:t>9</w:t>
      </w:r>
      <w:r>
        <w:rPr>
          <w:snapToGrid w:val="0"/>
        </w:rPr>
        <w:t>.</w:t>
      </w:r>
      <w:r>
        <w:rPr>
          <w:snapToGrid w:val="0"/>
        </w:rPr>
        <w:tab/>
        <w:t>Taking of body samples</w:t>
      </w:r>
      <w:bookmarkEnd w:id="19"/>
      <w:bookmarkEnd w:id="20"/>
      <w:bookmarkEnd w:id="21"/>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b/>
          <w:snapToGrid w:val="0"/>
        </w:rPr>
        <w:t>“</w:t>
      </w:r>
      <w:r>
        <w:rPr>
          <w:rStyle w:val="CharDefText"/>
          <w:snapToGrid w:val="0"/>
        </w:rPr>
        <w:t>approved</w:t>
      </w:r>
      <w:r>
        <w:rPr>
          <w:b/>
          <w:snapToGrid w:val="0"/>
        </w:rPr>
        <w:t>”</w:t>
      </w:r>
      <w:r>
        <w:rPr>
          <w:snapToGrid w:val="0"/>
        </w:rPr>
        <w:t xml:space="preserve"> means approved by the chief executive officer.</w:t>
      </w:r>
    </w:p>
    <w:p>
      <w:pPr>
        <w:pStyle w:val="Heading3"/>
        <w:rPr>
          <w:snapToGrid w:val="0"/>
        </w:rPr>
      </w:pPr>
      <w:bookmarkStart w:id="22" w:name="_Toc107636231"/>
      <w:bookmarkStart w:id="23" w:name="_Toc163378679"/>
      <w:r>
        <w:rPr>
          <w:rStyle w:val="CharDivNo"/>
        </w:rPr>
        <w:t>Division 3</w:t>
      </w:r>
      <w:r>
        <w:rPr>
          <w:snapToGrid w:val="0"/>
        </w:rPr>
        <w:t> — </w:t>
      </w:r>
      <w:r>
        <w:rPr>
          <w:rStyle w:val="CharDivText"/>
        </w:rPr>
        <w:t>Attendance conditions</w:t>
      </w:r>
      <w:bookmarkEnd w:id="22"/>
      <w:bookmarkEnd w:id="23"/>
      <w:r>
        <w:rPr>
          <w:rStyle w:val="CharDivText"/>
        </w:rPr>
        <w:t xml:space="preserve"> </w:t>
      </w:r>
    </w:p>
    <w:p>
      <w:pPr>
        <w:pStyle w:val="Heading5"/>
        <w:rPr>
          <w:snapToGrid w:val="0"/>
        </w:rPr>
      </w:pPr>
      <w:bookmarkStart w:id="24" w:name="_Toc55894054"/>
      <w:bookmarkStart w:id="25" w:name="_Toc60635482"/>
      <w:bookmarkStart w:id="26" w:name="_Toc163378680"/>
      <w:r>
        <w:rPr>
          <w:rStyle w:val="CharSectno"/>
        </w:rPr>
        <w:t>10</w:t>
      </w:r>
      <w:r>
        <w:rPr>
          <w:snapToGrid w:val="0"/>
        </w:rPr>
        <w:t>.</w:t>
      </w:r>
      <w:r>
        <w:rPr>
          <w:snapToGrid w:val="0"/>
        </w:rPr>
        <w:tab/>
        <w:t>Proposed agenda</w:t>
      </w:r>
      <w:bookmarkEnd w:id="24"/>
      <w:bookmarkEnd w:id="25"/>
      <w:bookmarkEnd w:id="26"/>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27" w:name="_Toc107636233"/>
      <w:bookmarkStart w:id="28" w:name="_Toc163378681"/>
      <w:r>
        <w:rPr>
          <w:rStyle w:val="CharDivNo"/>
        </w:rPr>
        <w:t>Division 4</w:t>
      </w:r>
      <w:r>
        <w:rPr>
          <w:snapToGrid w:val="0"/>
        </w:rPr>
        <w:t> — </w:t>
      </w:r>
      <w:r>
        <w:rPr>
          <w:rStyle w:val="CharDivText"/>
        </w:rPr>
        <w:t>Community work conditions</w:t>
      </w:r>
      <w:bookmarkEnd w:id="27"/>
      <w:bookmarkEnd w:id="28"/>
      <w:r>
        <w:rPr>
          <w:rStyle w:val="CharDivText"/>
        </w:rPr>
        <w:t xml:space="preserve"> </w:t>
      </w:r>
    </w:p>
    <w:p>
      <w:pPr>
        <w:pStyle w:val="Heading5"/>
        <w:rPr>
          <w:snapToGrid w:val="0"/>
        </w:rPr>
      </w:pPr>
      <w:bookmarkStart w:id="29" w:name="_Toc55894055"/>
      <w:bookmarkStart w:id="30" w:name="_Toc60635483"/>
      <w:bookmarkStart w:id="31" w:name="_Toc163378682"/>
      <w:r>
        <w:rPr>
          <w:rStyle w:val="CharSectno"/>
        </w:rPr>
        <w:t>11</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drug</w:t>
      </w:r>
      <w:r>
        <w:rPr>
          <w:b/>
        </w:rPr>
        <w:t>”</w:t>
      </w:r>
      <w:r>
        <w:t xml:space="preserve"> means a prohibited drug, or prohibited plant, within the meaning of the </w:t>
      </w:r>
      <w:r>
        <w:rPr>
          <w:i/>
        </w:rPr>
        <w:t>Misuse of Drugs Act 1981</w:t>
      </w:r>
      <w:r>
        <w:t>;</w:t>
      </w:r>
    </w:p>
    <w:p>
      <w:pPr>
        <w:pStyle w:val="Defstart"/>
      </w:pPr>
      <w:r>
        <w:rPr>
          <w:b/>
        </w:rPr>
        <w:tab/>
        <w:t>“</w:t>
      </w:r>
      <w:r>
        <w:rPr>
          <w:rStyle w:val="CharDefText"/>
        </w:rPr>
        <w:t>work</w:t>
      </w:r>
      <w:r>
        <w:rPr>
          <w:b/>
        </w:rPr>
        <w:t>”</w:t>
      </w:r>
      <w:r>
        <w:t xml:space="preserve"> means work required to be performed in accordance with community work conditions imposed by way of a youth community based order under section 73(1)(b) of the Act.</w:t>
      </w:r>
    </w:p>
    <w:p>
      <w:pPr>
        <w:pStyle w:val="Heading5"/>
        <w:rPr>
          <w:snapToGrid w:val="0"/>
        </w:rPr>
      </w:pPr>
      <w:bookmarkStart w:id="32" w:name="_Toc55894056"/>
      <w:bookmarkStart w:id="33" w:name="_Toc60635484"/>
      <w:bookmarkStart w:id="34" w:name="_Toc163378683"/>
      <w:r>
        <w:rPr>
          <w:rStyle w:val="CharSectno"/>
        </w:rPr>
        <w:t>12</w:t>
      </w:r>
      <w:r>
        <w:rPr>
          <w:snapToGrid w:val="0"/>
        </w:rPr>
        <w:t>.</w:t>
      </w:r>
      <w:r>
        <w:rPr>
          <w:snapToGrid w:val="0"/>
        </w:rPr>
        <w:tab/>
        <w:t>Offender subject to community work conditions</w:t>
      </w:r>
      <w:bookmarkEnd w:id="32"/>
      <w:bookmarkEnd w:id="33"/>
      <w:bookmarkEnd w:id="34"/>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35" w:name="_Toc55894057"/>
      <w:bookmarkStart w:id="36" w:name="_Toc60635485"/>
      <w:bookmarkStart w:id="37" w:name="_Toc163378684"/>
      <w:r>
        <w:rPr>
          <w:rStyle w:val="CharSectno"/>
        </w:rPr>
        <w:t>13</w:t>
      </w:r>
      <w:r>
        <w:rPr>
          <w:snapToGrid w:val="0"/>
        </w:rPr>
        <w:t>.</w:t>
      </w:r>
      <w:r>
        <w:rPr>
          <w:snapToGrid w:val="0"/>
        </w:rPr>
        <w:tab/>
        <w:t>Maximum number of hours to be worked in any day</w:t>
      </w:r>
      <w:bookmarkEnd w:id="35"/>
      <w:bookmarkEnd w:id="36"/>
      <w:bookmarkEnd w:id="37"/>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38" w:name="_Toc55894058"/>
      <w:bookmarkStart w:id="39" w:name="_Toc60635486"/>
      <w:bookmarkStart w:id="40" w:name="_Toc163378685"/>
      <w:r>
        <w:rPr>
          <w:rStyle w:val="CharSectno"/>
        </w:rPr>
        <w:t>14</w:t>
      </w:r>
      <w:r>
        <w:rPr>
          <w:snapToGrid w:val="0"/>
        </w:rPr>
        <w:t>.</w:t>
      </w:r>
      <w:r>
        <w:rPr>
          <w:snapToGrid w:val="0"/>
        </w:rPr>
        <w:tab/>
        <w:t>Safe working environment and safe manner of work</w:t>
      </w:r>
      <w:bookmarkEnd w:id="38"/>
      <w:bookmarkEnd w:id="39"/>
      <w:bookmarkEnd w:id="40"/>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41" w:name="_Toc55894059"/>
      <w:bookmarkStart w:id="42" w:name="_Toc60635487"/>
      <w:bookmarkStart w:id="43" w:name="_Toc163378686"/>
      <w:r>
        <w:rPr>
          <w:rStyle w:val="CharSectno"/>
        </w:rPr>
        <w:t>15</w:t>
      </w:r>
      <w:r>
        <w:rPr>
          <w:snapToGrid w:val="0"/>
        </w:rPr>
        <w:t>.</w:t>
      </w:r>
      <w:r>
        <w:rPr>
          <w:snapToGrid w:val="0"/>
        </w:rPr>
        <w:tab/>
        <w:t>Authorised breaks counted as work</w:t>
      </w:r>
      <w:bookmarkEnd w:id="41"/>
      <w:bookmarkEnd w:id="42"/>
      <w:bookmarkEnd w:id="43"/>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44" w:name="_Toc55894060"/>
      <w:bookmarkStart w:id="45" w:name="_Toc60635488"/>
      <w:bookmarkStart w:id="46" w:name="_Toc163378687"/>
      <w:r>
        <w:rPr>
          <w:rStyle w:val="CharSectno"/>
        </w:rPr>
        <w:t>16</w:t>
      </w:r>
      <w:r>
        <w:rPr>
          <w:snapToGrid w:val="0"/>
        </w:rPr>
        <w:t>.</w:t>
      </w:r>
      <w:r>
        <w:rPr>
          <w:snapToGrid w:val="0"/>
        </w:rPr>
        <w:tab/>
        <w:t>Certain breaks allowed and counted as work</w:t>
      </w:r>
      <w:bookmarkEnd w:id="44"/>
      <w:bookmarkEnd w:id="45"/>
      <w:bookmarkEnd w:id="46"/>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47" w:name="_Toc55894061"/>
      <w:bookmarkStart w:id="48" w:name="_Toc60635489"/>
      <w:bookmarkStart w:id="49" w:name="_Toc163378688"/>
      <w:r>
        <w:rPr>
          <w:rStyle w:val="CharSectno"/>
        </w:rPr>
        <w:t>17</w:t>
      </w:r>
      <w:r>
        <w:rPr>
          <w:snapToGrid w:val="0"/>
        </w:rPr>
        <w:t>.</w:t>
      </w:r>
      <w:r>
        <w:rPr>
          <w:snapToGrid w:val="0"/>
        </w:rPr>
        <w:tab/>
        <w:t>Offender not required to work if supervising officer or overseer fails to arrive unless alternative arrangements made</w:t>
      </w:r>
      <w:bookmarkEnd w:id="47"/>
      <w:bookmarkEnd w:id="48"/>
      <w:bookmarkEnd w:id="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50" w:name="_Toc55894062"/>
      <w:bookmarkStart w:id="51" w:name="_Toc60635490"/>
      <w:bookmarkStart w:id="52" w:name="_Toc163378689"/>
      <w:r>
        <w:rPr>
          <w:rStyle w:val="CharSectno"/>
        </w:rPr>
        <w:t>18</w:t>
      </w:r>
      <w:r>
        <w:rPr>
          <w:snapToGrid w:val="0"/>
        </w:rPr>
        <w:t>.</w:t>
      </w:r>
      <w:r>
        <w:rPr>
          <w:snapToGrid w:val="0"/>
        </w:rPr>
        <w:tab/>
        <w:t>Certain substances prohibited</w:t>
      </w:r>
      <w:bookmarkEnd w:id="50"/>
      <w:bookmarkEnd w:id="51"/>
      <w:bookmarkEnd w:id="52"/>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53" w:name="_Toc55894063"/>
      <w:bookmarkStart w:id="54" w:name="_Toc60635491"/>
      <w:bookmarkStart w:id="55" w:name="_Toc163378690"/>
      <w:r>
        <w:rPr>
          <w:rStyle w:val="CharSectno"/>
        </w:rPr>
        <w:t>19</w:t>
      </w:r>
      <w:r>
        <w:rPr>
          <w:snapToGrid w:val="0"/>
        </w:rPr>
        <w:t>.</w:t>
      </w:r>
      <w:r>
        <w:rPr>
          <w:snapToGrid w:val="0"/>
        </w:rPr>
        <w:tab/>
        <w:t>Offender under the influence of alcohol, etc.</w:t>
      </w:r>
      <w:bookmarkEnd w:id="53"/>
      <w:bookmarkEnd w:id="54"/>
      <w:bookmarkEnd w:id="55"/>
      <w:r>
        <w:rPr>
          <w:snapToGrid w:val="0"/>
        </w:rPr>
        <w:t xml:space="preserve"> </w:t>
      </w:r>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56" w:name="_Toc55894064"/>
      <w:bookmarkStart w:id="57" w:name="_Toc60635492"/>
      <w:bookmarkStart w:id="58" w:name="_Toc163378691"/>
      <w:r>
        <w:rPr>
          <w:rStyle w:val="CharSectno"/>
        </w:rPr>
        <w:t>20</w:t>
      </w:r>
      <w:r>
        <w:rPr>
          <w:snapToGrid w:val="0"/>
        </w:rPr>
        <w:t>.</w:t>
      </w:r>
      <w:r>
        <w:rPr>
          <w:snapToGrid w:val="0"/>
        </w:rPr>
        <w:tab/>
        <w:t>Offender not to possess weapon, and confiscation</w:t>
      </w:r>
      <w:bookmarkEnd w:id="56"/>
      <w:bookmarkEnd w:id="57"/>
      <w:bookmarkEnd w:id="58"/>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59" w:name="_Toc55894065"/>
      <w:bookmarkStart w:id="60" w:name="_Toc60635493"/>
      <w:bookmarkStart w:id="61" w:name="_Toc163378692"/>
      <w:r>
        <w:rPr>
          <w:rStyle w:val="CharSectno"/>
        </w:rPr>
        <w:t>21</w:t>
      </w:r>
      <w:r>
        <w:rPr>
          <w:snapToGrid w:val="0"/>
        </w:rPr>
        <w:t>.</w:t>
      </w:r>
      <w:r>
        <w:rPr>
          <w:snapToGrid w:val="0"/>
        </w:rPr>
        <w:tab/>
        <w:t>Offender not to drive vehicle unless authorised</w:t>
      </w:r>
      <w:bookmarkEnd w:id="59"/>
      <w:bookmarkEnd w:id="60"/>
      <w:bookmarkEnd w:id="61"/>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62" w:name="_Toc55894066"/>
      <w:bookmarkStart w:id="63" w:name="_Toc60635494"/>
      <w:bookmarkStart w:id="64" w:name="_Toc163378693"/>
      <w:r>
        <w:rPr>
          <w:rStyle w:val="CharSectno"/>
        </w:rPr>
        <w:t>22</w:t>
      </w:r>
      <w:r>
        <w:rPr>
          <w:snapToGrid w:val="0"/>
        </w:rPr>
        <w:t>.</w:t>
      </w:r>
      <w:r>
        <w:rPr>
          <w:snapToGrid w:val="0"/>
        </w:rPr>
        <w:tab/>
        <w:t>Offender may be excused from work</w:t>
      </w:r>
      <w:bookmarkEnd w:id="62"/>
      <w:bookmarkEnd w:id="63"/>
      <w:bookmarkEnd w:id="64"/>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65" w:name="_Toc55894067"/>
      <w:bookmarkStart w:id="66" w:name="_Toc60635495"/>
      <w:bookmarkStart w:id="67" w:name="_Toc163378694"/>
      <w:r>
        <w:rPr>
          <w:rStyle w:val="CharSectno"/>
        </w:rPr>
        <w:t>23</w:t>
      </w:r>
      <w:r>
        <w:rPr>
          <w:snapToGrid w:val="0"/>
        </w:rPr>
        <w:t>.</w:t>
      </w:r>
      <w:r>
        <w:rPr>
          <w:snapToGrid w:val="0"/>
        </w:rPr>
        <w:tab/>
        <w:t>Offender ill or injured while performing work</w:t>
      </w:r>
      <w:bookmarkEnd w:id="65"/>
      <w:bookmarkEnd w:id="66"/>
      <w:bookmarkEnd w:id="67"/>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rPr>
          <w:snapToGrid w:val="0"/>
        </w:rPr>
      </w:pPr>
      <w:bookmarkStart w:id="68" w:name="_Toc55894068"/>
      <w:bookmarkStart w:id="69" w:name="_Toc60635496"/>
      <w:bookmarkStart w:id="70" w:name="_Toc163378695"/>
      <w:r>
        <w:rPr>
          <w:rStyle w:val="CharSectno"/>
        </w:rPr>
        <w:t>24</w:t>
      </w:r>
      <w:r>
        <w:rPr>
          <w:snapToGrid w:val="0"/>
        </w:rPr>
        <w:t>.</w:t>
      </w:r>
      <w:r>
        <w:rPr>
          <w:snapToGrid w:val="0"/>
        </w:rPr>
        <w:tab/>
        <w:t>Supervising officer to notify responsible adult</w:t>
      </w:r>
      <w:bookmarkEnd w:id="68"/>
      <w:bookmarkEnd w:id="69"/>
      <w:bookmarkEnd w:id="70"/>
      <w:r>
        <w:rPr>
          <w:snapToGrid w:val="0"/>
        </w:rPr>
        <w:t xml:space="preserve"> </w:t>
      </w:r>
    </w:p>
    <w:p>
      <w:pPr>
        <w:pStyle w:val="Subsection"/>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rPr>
          <w:snapToGrid w:val="0"/>
        </w:rPr>
      </w:pPr>
      <w:bookmarkStart w:id="71" w:name="_Toc55894069"/>
      <w:bookmarkStart w:id="72" w:name="_Toc60635497"/>
      <w:bookmarkStart w:id="73" w:name="_Toc163378696"/>
      <w:r>
        <w:rPr>
          <w:rStyle w:val="CharSectno"/>
        </w:rPr>
        <w:t>25</w:t>
      </w:r>
      <w:r>
        <w:rPr>
          <w:snapToGrid w:val="0"/>
        </w:rPr>
        <w:t>.</w:t>
      </w:r>
      <w:r>
        <w:rPr>
          <w:snapToGrid w:val="0"/>
        </w:rPr>
        <w:tab/>
        <w:t>Offender unable to attend to perform work because of illness</w:t>
      </w:r>
      <w:bookmarkEnd w:id="71"/>
      <w:bookmarkEnd w:id="72"/>
      <w:bookmarkEnd w:id="73"/>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 and</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74" w:name="_Toc107636249"/>
      <w:bookmarkStart w:id="75" w:name="_Toc163378697"/>
      <w:r>
        <w:rPr>
          <w:rStyle w:val="CharDivNo"/>
        </w:rPr>
        <w:t>Division 5</w:t>
      </w:r>
      <w:r>
        <w:rPr>
          <w:snapToGrid w:val="0"/>
        </w:rPr>
        <w:t> — </w:t>
      </w:r>
      <w:r>
        <w:rPr>
          <w:rStyle w:val="CharDivText"/>
        </w:rPr>
        <w:t>Supervision conditions</w:t>
      </w:r>
      <w:bookmarkEnd w:id="74"/>
      <w:bookmarkEnd w:id="75"/>
      <w:r>
        <w:rPr>
          <w:rStyle w:val="CharDivText"/>
        </w:rPr>
        <w:t xml:space="preserve"> </w:t>
      </w:r>
    </w:p>
    <w:p>
      <w:pPr>
        <w:pStyle w:val="Heading5"/>
        <w:rPr>
          <w:snapToGrid w:val="0"/>
        </w:rPr>
      </w:pPr>
      <w:bookmarkStart w:id="76" w:name="_Toc55894070"/>
      <w:bookmarkStart w:id="77" w:name="_Toc60635498"/>
      <w:bookmarkStart w:id="78" w:name="_Toc163378698"/>
      <w:r>
        <w:rPr>
          <w:rStyle w:val="CharSectno"/>
        </w:rPr>
        <w:t>26</w:t>
      </w:r>
      <w:r>
        <w:rPr>
          <w:snapToGrid w:val="0"/>
        </w:rPr>
        <w:t>.</w:t>
      </w:r>
      <w:r>
        <w:rPr>
          <w:snapToGrid w:val="0"/>
        </w:rPr>
        <w:tab/>
        <w:t>Limits on the reporting requirements of supervision conditions</w:t>
      </w:r>
      <w:bookmarkEnd w:id="76"/>
      <w:bookmarkEnd w:id="77"/>
      <w:bookmarkEnd w:id="78"/>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79" w:name="_Toc55894071"/>
      <w:bookmarkStart w:id="80" w:name="_Toc60635499"/>
      <w:bookmarkStart w:id="81" w:name="_Toc163378699"/>
      <w:r>
        <w:rPr>
          <w:rStyle w:val="CharSectno"/>
        </w:rPr>
        <w:t>27</w:t>
      </w:r>
      <w:r>
        <w:rPr>
          <w:snapToGrid w:val="0"/>
        </w:rPr>
        <w:t>.</w:t>
      </w:r>
      <w:r>
        <w:rPr>
          <w:snapToGrid w:val="0"/>
        </w:rPr>
        <w:tab/>
        <w:t>Requirement to report for offender who lives in remote area of the State</w:t>
      </w:r>
      <w:bookmarkEnd w:id="79"/>
      <w:bookmarkEnd w:id="80"/>
      <w:bookmarkEnd w:id="8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82" w:name="_Toc107636252"/>
      <w:bookmarkStart w:id="83" w:name="_Toc163378700"/>
      <w:r>
        <w:rPr>
          <w:rStyle w:val="CharDivNo"/>
        </w:rPr>
        <w:t>Division 6</w:t>
      </w:r>
      <w:r>
        <w:rPr>
          <w:snapToGrid w:val="0"/>
        </w:rPr>
        <w:t> — </w:t>
      </w:r>
      <w:r>
        <w:rPr>
          <w:rStyle w:val="CharDivText"/>
        </w:rPr>
        <w:t>Intensive youth supervision orders without detention</w:t>
      </w:r>
      <w:bookmarkEnd w:id="82"/>
      <w:bookmarkEnd w:id="83"/>
      <w:r>
        <w:rPr>
          <w:rStyle w:val="CharDivText"/>
        </w:rPr>
        <w:t xml:space="preserve"> </w:t>
      </w:r>
    </w:p>
    <w:p>
      <w:pPr>
        <w:pStyle w:val="Heading5"/>
        <w:rPr>
          <w:snapToGrid w:val="0"/>
        </w:rPr>
      </w:pPr>
      <w:bookmarkStart w:id="84" w:name="_Toc55894072"/>
      <w:bookmarkStart w:id="85" w:name="_Toc60635500"/>
      <w:bookmarkStart w:id="86" w:name="_Toc163378701"/>
      <w:r>
        <w:rPr>
          <w:rStyle w:val="CharSectno"/>
        </w:rPr>
        <w:t>28</w:t>
      </w:r>
      <w:r>
        <w:rPr>
          <w:snapToGrid w:val="0"/>
        </w:rPr>
        <w:t>.</w:t>
      </w:r>
      <w:r>
        <w:rPr>
          <w:snapToGrid w:val="0"/>
        </w:rPr>
        <w:tab/>
        <w:t>Interpretation</w:t>
      </w:r>
      <w:bookmarkEnd w:id="84"/>
      <w:bookmarkEnd w:id="85"/>
      <w:bookmarkEnd w:id="86"/>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snapToGrid w:val="0"/>
        </w:rPr>
        <w:t>supervision order</w:t>
      </w:r>
      <w:r>
        <w:rPr>
          <w:b/>
          <w:snapToGrid w:val="0"/>
        </w:rPr>
        <w:t>”</w:t>
      </w:r>
      <w:r>
        <w:rPr>
          <w:snapToGrid w:val="0"/>
        </w:rPr>
        <w:t xml:space="preserve"> means an intensive youth supervision order made by a court without imposing a sentence of detention.</w:t>
      </w:r>
    </w:p>
    <w:p>
      <w:pPr>
        <w:pStyle w:val="Heading5"/>
        <w:rPr>
          <w:snapToGrid w:val="0"/>
        </w:rPr>
      </w:pPr>
      <w:bookmarkStart w:id="87" w:name="_Toc55894073"/>
      <w:bookmarkStart w:id="88" w:name="_Toc60635501"/>
      <w:bookmarkStart w:id="89" w:name="_Toc163378702"/>
      <w:r>
        <w:rPr>
          <w:rStyle w:val="CharSectno"/>
        </w:rPr>
        <w:t>29</w:t>
      </w:r>
      <w:r>
        <w:rPr>
          <w:snapToGrid w:val="0"/>
        </w:rPr>
        <w:t>.</w:t>
      </w:r>
      <w:r>
        <w:rPr>
          <w:snapToGrid w:val="0"/>
        </w:rPr>
        <w:tab/>
        <w:t>Application of Divisions 3, 4 and 5 to supervision orders</w:t>
      </w:r>
      <w:bookmarkEnd w:id="87"/>
      <w:bookmarkEnd w:id="88"/>
      <w:bookmarkEnd w:id="89"/>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90" w:name="_Toc55894074"/>
      <w:bookmarkStart w:id="91" w:name="_Toc60635502"/>
      <w:bookmarkStart w:id="92" w:name="_Toc163378703"/>
      <w:r>
        <w:rPr>
          <w:rStyle w:val="CharSectno"/>
        </w:rPr>
        <w:t>30</w:t>
      </w:r>
      <w:r>
        <w:rPr>
          <w:snapToGrid w:val="0"/>
        </w:rPr>
        <w:t>.</w:t>
      </w:r>
      <w:r>
        <w:rPr>
          <w:snapToGrid w:val="0"/>
        </w:rPr>
        <w:tab/>
        <w:t>Limits on the reporting requirements of supervision conditions</w:t>
      </w:r>
      <w:bookmarkEnd w:id="90"/>
      <w:bookmarkEnd w:id="91"/>
      <w:bookmarkEnd w:id="92"/>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93" w:name="_Toc55894075"/>
      <w:bookmarkStart w:id="94" w:name="_Toc60635503"/>
      <w:bookmarkStart w:id="95" w:name="_Toc163378704"/>
      <w:r>
        <w:rPr>
          <w:rStyle w:val="CharSectno"/>
        </w:rPr>
        <w:t>31</w:t>
      </w:r>
      <w:r>
        <w:rPr>
          <w:snapToGrid w:val="0"/>
        </w:rPr>
        <w:t>.</w:t>
      </w:r>
      <w:r>
        <w:rPr>
          <w:snapToGrid w:val="0"/>
        </w:rPr>
        <w:tab/>
        <w:t>Offender to inform supervising officer of change in address within 48 hours</w:t>
      </w:r>
      <w:bookmarkEnd w:id="93"/>
      <w:bookmarkEnd w:id="94"/>
      <w:bookmarkEnd w:id="95"/>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96" w:name="_Toc107636257"/>
      <w:bookmarkStart w:id="97" w:name="_Toc163378705"/>
      <w:r>
        <w:rPr>
          <w:rStyle w:val="CharDivNo"/>
        </w:rPr>
        <w:t>Division 7</w:t>
      </w:r>
      <w:r>
        <w:rPr>
          <w:snapToGrid w:val="0"/>
        </w:rPr>
        <w:t> — </w:t>
      </w:r>
      <w:r>
        <w:rPr>
          <w:rStyle w:val="CharDivText"/>
        </w:rPr>
        <w:t>Conditional release orders</w:t>
      </w:r>
      <w:bookmarkEnd w:id="96"/>
      <w:bookmarkEnd w:id="97"/>
      <w:r>
        <w:rPr>
          <w:rStyle w:val="CharDivText"/>
        </w:rPr>
        <w:t xml:space="preserve"> </w:t>
      </w:r>
    </w:p>
    <w:p>
      <w:pPr>
        <w:pStyle w:val="Heading5"/>
        <w:rPr>
          <w:snapToGrid w:val="0"/>
        </w:rPr>
      </w:pPr>
      <w:bookmarkStart w:id="98" w:name="_Toc55894076"/>
      <w:bookmarkStart w:id="99" w:name="_Toc60635504"/>
      <w:bookmarkStart w:id="100" w:name="_Toc163378706"/>
      <w:r>
        <w:rPr>
          <w:rStyle w:val="CharSectno"/>
        </w:rPr>
        <w:t>32</w:t>
      </w:r>
      <w:r>
        <w:rPr>
          <w:snapToGrid w:val="0"/>
        </w:rPr>
        <w:t>.</w:t>
      </w:r>
      <w:r>
        <w:rPr>
          <w:snapToGrid w:val="0"/>
        </w:rPr>
        <w:tab/>
        <w:t>Application of Division 4 to offender released under conditional release order</w:t>
      </w:r>
      <w:bookmarkEnd w:id="98"/>
      <w:bookmarkEnd w:id="99"/>
      <w:bookmarkEnd w:id="100"/>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101" w:name="_Toc55894077"/>
      <w:bookmarkStart w:id="102" w:name="_Toc60635505"/>
      <w:bookmarkStart w:id="103" w:name="_Toc163378707"/>
      <w:r>
        <w:rPr>
          <w:rStyle w:val="CharSectno"/>
        </w:rPr>
        <w:t>33</w:t>
      </w:r>
      <w:r>
        <w:rPr>
          <w:snapToGrid w:val="0"/>
        </w:rPr>
        <w:t>.</w:t>
      </w:r>
      <w:r>
        <w:rPr>
          <w:snapToGrid w:val="0"/>
        </w:rPr>
        <w:tab/>
        <w:t>Offender unable to attend to perform work because of illness</w:t>
      </w:r>
      <w:bookmarkEnd w:id="101"/>
      <w:bookmarkEnd w:id="102"/>
      <w:bookmarkEnd w:id="103"/>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b/>
          <w:snapToGrid w:val="0"/>
        </w:rPr>
        <w:t>“</w:t>
      </w:r>
      <w:r>
        <w:rPr>
          <w:rStyle w:val="CharDefText"/>
          <w:snapToGrid w:val="0"/>
        </w:rPr>
        <w:t>work</w:t>
      </w:r>
      <w:r>
        <w:rPr>
          <w:b/>
          <w:snapToGrid w:val="0"/>
        </w:rPr>
        <w:t>”</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104" w:name="_Toc107636260"/>
      <w:bookmarkStart w:id="105" w:name="_Toc163378708"/>
      <w:r>
        <w:rPr>
          <w:rStyle w:val="CharPartNo"/>
        </w:rPr>
        <w:t>Part 4</w:t>
      </w:r>
      <w:r>
        <w:rPr>
          <w:rStyle w:val="CharDivNo"/>
        </w:rPr>
        <w:t> </w:t>
      </w:r>
      <w:r>
        <w:t>—</w:t>
      </w:r>
      <w:r>
        <w:rPr>
          <w:rStyle w:val="CharDivText"/>
        </w:rPr>
        <w:t> </w:t>
      </w:r>
      <w:r>
        <w:rPr>
          <w:rStyle w:val="CharPartText"/>
        </w:rPr>
        <w:t>Special detention centres</w:t>
      </w:r>
      <w:bookmarkEnd w:id="104"/>
      <w:bookmarkEnd w:id="105"/>
      <w:r>
        <w:rPr>
          <w:rStyle w:val="CharPartText"/>
        </w:rPr>
        <w:t xml:space="preserve"> </w:t>
      </w:r>
    </w:p>
    <w:p>
      <w:pPr>
        <w:pStyle w:val="Heading5"/>
        <w:rPr>
          <w:snapToGrid w:val="0"/>
        </w:rPr>
      </w:pPr>
      <w:bookmarkStart w:id="106" w:name="_Toc55894078"/>
      <w:bookmarkStart w:id="107" w:name="_Toc60635506"/>
      <w:bookmarkStart w:id="108" w:name="_Toc163378709"/>
      <w:r>
        <w:rPr>
          <w:rStyle w:val="CharSectno"/>
        </w:rPr>
        <w:t>34</w:t>
      </w:r>
      <w:r>
        <w:rPr>
          <w:snapToGrid w:val="0"/>
        </w:rPr>
        <w:t>.</w:t>
      </w:r>
      <w:r>
        <w:rPr>
          <w:snapToGrid w:val="0"/>
        </w:rPr>
        <w:tab/>
        <w:t>Detention centres established and operated as special detention centres</w:t>
      </w:r>
      <w:bookmarkEnd w:id="106"/>
      <w:bookmarkEnd w:id="107"/>
      <w:bookmarkEnd w:id="108"/>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bookmarkStart w:id="109" w:name="_Toc107636264"/>
      <w:r>
        <w:t>[Part 5 (s. 35) repealed in Gazette 27 Jun 2005 p. 2851.]</w:t>
      </w:r>
    </w:p>
    <w:p>
      <w:pPr>
        <w:pStyle w:val="Heading2"/>
      </w:pPr>
      <w:bookmarkStart w:id="110" w:name="_Toc163378710"/>
      <w:r>
        <w:rPr>
          <w:rStyle w:val="CharPartNo"/>
        </w:rPr>
        <w:t>Part 6</w:t>
      </w:r>
      <w:r>
        <w:rPr>
          <w:rStyle w:val="CharDivNo"/>
        </w:rPr>
        <w:t> </w:t>
      </w:r>
      <w:r>
        <w:t>—</w:t>
      </w:r>
      <w:r>
        <w:rPr>
          <w:rStyle w:val="CharDivText"/>
        </w:rPr>
        <w:t> </w:t>
      </w:r>
      <w:r>
        <w:rPr>
          <w:rStyle w:val="CharPartText"/>
        </w:rPr>
        <w:t>Hearing and determination of detention offences</w:t>
      </w:r>
      <w:bookmarkEnd w:id="109"/>
      <w:bookmarkEnd w:id="110"/>
      <w:r>
        <w:rPr>
          <w:rStyle w:val="CharPartText"/>
        </w:rPr>
        <w:t xml:space="preserve"> </w:t>
      </w:r>
    </w:p>
    <w:p>
      <w:pPr>
        <w:pStyle w:val="Heading5"/>
        <w:rPr>
          <w:snapToGrid w:val="0"/>
        </w:rPr>
      </w:pPr>
      <w:bookmarkStart w:id="111" w:name="_Toc55894080"/>
      <w:bookmarkStart w:id="112" w:name="_Toc60635508"/>
      <w:bookmarkStart w:id="113" w:name="_Toc163378711"/>
      <w:r>
        <w:rPr>
          <w:rStyle w:val="CharSectno"/>
        </w:rPr>
        <w:t>36</w:t>
      </w:r>
      <w:r>
        <w:rPr>
          <w:snapToGrid w:val="0"/>
        </w:rPr>
        <w:t>.</w:t>
      </w:r>
      <w:r>
        <w:rPr>
          <w:snapToGrid w:val="0"/>
        </w:rPr>
        <w:tab/>
        <w:t>Interpretation</w:t>
      </w:r>
      <w:bookmarkEnd w:id="111"/>
      <w:bookmarkEnd w:id="112"/>
      <w:bookmarkEnd w:id="113"/>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snapToGrid w:val="0"/>
        </w:rPr>
        <w:t>superintendent or visiting justice</w:t>
      </w:r>
      <w:r>
        <w:rPr>
          <w:b/>
          <w:snapToGrid w:val="0"/>
        </w:rPr>
        <w:t>”</w:t>
      </w:r>
      <w:r>
        <w:rPr>
          <w:snapToGrid w:val="0"/>
        </w:rPr>
        <w:t xml:space="preserve"> means the superintendent or visiting justice hearing and determining a charge of a detention offence.</w:t>
      </w:r>
    </w:p>
    <w:p>
      <w:pPr>
        <w:pStyle w:val="Heading5"/>
        <w:rPr>
          <w:snapToGrid w:val="0"/>
        </w:rPr>
      </w:pPr>
      <w:bookmarkStart w:id="114" w:name="_Toc55894081"/>
      <w:bookmarkStart w:id="115" w:name="_Toc60635509"/>
      <w:bookmarkStart w:id="116" w:name="_Toc163378712"/>
      <w:r>
        <w:rPr>
          <w:rStyle w:val="CharSectno"/>
        </w:rPr>
        <w:t>37</w:t>
      </w:r>
      <w:r>
        <w:rPr>
          <w:snapToGrid w:val="0"/>
        </w:rPr>
        <w:t>.</w:t>
      </w:r>
      <w:r>
        <w:rPr>
          <w:snapToGrid w:val="0"/>
        </w:rPr>
        <w:tab/>
        <w:t>Charge of detention offence</w:t>
      </w:r>
      <w:bookmarkEnd w:id="114"/>
      <w:bookmarkEnd w:id="115"/>
      <w:bookmarkEnd w:id="116"/>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117" w:name="_Toc55894082"/>
      <w:bookmarkStart w:id="118" w:name="_Toc60635510"/>
      <w:bookmarkStart w:id="119" w:name="_Toc163378713"/>
      <w:r>
        <w:rPr>
          <w:rStyle w:val="CharSectno"/>
        </w:rPr>
        <w:t>38</w:t>
      </w:r>
      <w:r>
        <w:rPr>
          <w:snapToGrid w:val="0"/>
        </w:rPr>
        <w:t>.</w:t>
      </w:r>
      <w:r>
        <w:rPr>
          <w:snapToGrid w:val="0"/>
        </w:rPr>
        <w:tab/>
        <w:t>Notification of hearing</w:t>
      </w:r>
      <w:bookmarkEnd w:id="117"/>
      <w:bookmarkEnd w:id="118"/>
      <w:bookmarkEnd w:id="11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120" w:name="_Toc55894083"/>
      <w:bookmarkStart w:id="121" w:name="_Toc60635511"/>
      <w:bookmarkStart w:id="122" w:name="_Toc163378714"/>
      <w:r>
        <w:rPr>
          <w:rStyle w:val="CharSectno"/>
        </w:rPr>
        <w:t>39</w:t>
      </w:r>
      <w:r>
        <w:rPr>
          <w:snapToGrid w:val="0"/>
        </w:rPr>
        <w:t>.</w:t>
      </w:r>
      <w:r>
        <w:rPr>
          <w:snapToGrid w:val="0"/>
        </w:rPr>
        <w:tab/>
        <w:t>Representation of detainee</w:t>
      </w:r>
      <w:bookmarkEnd w:id="120"/>
      <w:bookmarkEnd w:id="121"/>
      <w:bookmarkEnd w:id="122"/>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123" w:name="_Toc55894084"/>
      <w:bookmarkStart w:id="124" w:name="_Toc60635512"/>
      <w:bookmarkStart w:id="125" w:name="_Toc163378715"/>
      <w:r>
        <w:rPr>
          <w:rStyle w:val="CharSectno"/>
        </w:rPr>
        <w:t>40</w:t>
      </w:r>
      <w:r>
        <w:rPr>
          <w:snapToGrid w:val="0"/>
        </w:rPr>
        <w:t>.</w:t>
      </w:r>
      <w:r>
        <w:rPr>
          <w:snapToGrid w:val="0"/>
        </w:rPr>
        <w:tab/>
        <w:t>Procedure</w:t>
      </w:r>
      <w:bookmarkEnd w:id="123"/>
      <w:bookmarkEnd w:id="124"/>
      <w:bookmarkEnd w:id="125"/>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126" w:name="_Toc107636270"/>
      <w:bookmarkStart w:id="127" w:name="_Toc163378716"/>
      <w:r>
        <w:rPr>
          <w:rStyle w:val="CharPartNo"/>
        </w:rPr>
        <w:t>Part 6A</w:t>
      </w:r>
      <w:r>
        <w:rPr>
          <w:rStyle w:val="CharDivNo"/>
        </w:rPr>
        <w:t> </w:t>
      </w:r>
      <w:r>
        <w:t>—</w:t>
      </w:r>
      <w:r>
        <w:rPr>
          <w:rStyle w:val="CharDivText"/>
        </w:rPr>
        <w:t> </w:t>
      </w:r>
      <w:r>
        <w:rPr>
          <w:rStyle w:val="CharPartText"/>
        </w:rPr>
        <w:t>Miscellaneous</w:t>
      </w:r>
      <w:bookmarkEnd w:id="126"/>
      <w:bookmarkEnd w:id="127"/>
    </w:p>
    <w:p>
      <w:pPr>
        <w:pStyle w:val="Footnoteheading"/>
        <w:tabs>
          <w:tab w:val="left" w:pos="851"/>
        </w:tabs>
      </w:pPr>
      <w:r>
        <w:tab/>
        <w:t xml:space="preserve">[Heading inserted in Gazette 9 Jan 1996 p. 54.] </w:t>
      </w:r>
    </w:p>
    <w:p>
      <w:pPr>
        <w:pStyle w:val="Heading5"/>
        <w:rPr>
          <w:snapToGrid w:val="0"/>
        </w:rPr>
      </w:pPr>
      <w:bookmarkStart w:id="128" w:name="_Toc55894085"/>
      <w:bookmarkStart w:id="129" w:name="_Toc60635513"/>
      <w:bookmarkStart w:id="130" w:name="_Toc163378717"/>
      <w:r>
        <w:rPr>
          <w:rStyle w:val="CharSectno"/>
        </w:rPr>
        <w:t>40A</w:t>
      </w:r>
      <w:r>
        <w:rPr>
          <w:snapToGrid w:val="0"/>
        </w:rPr>
        <w:t>.</w:t>
      </w:r>
      <w:r>
        <w:rPr>
          <w:snapToGrid w:val="0"/>
        </w:rPr>
        <w:tab/>
        <w:t>Calculation of period of detention by reference to unpaid amount (s. 65C(2))</w:t>
      </w:r>
      <w:bookmarkEnd w:id="128"/>
      <w:bookmarkEnd w:id="129"/>
      <w:bookmarkEnd w:id="130"/>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$150 and rounding the result up to the nearest whole number.</w:t>
      </w:r>
    </w:p>
    <w:p>
      <w:pPr>
        <w:pStyle w:val="Footnotesection"/>
      </w:pPr>
      <w:r>
        <w:tab/>
        <w:t xml:space="preserve">[Regulation 40A inserted in Gazette 9 Jan 1996 p. 54; amended in Gazette 25 Jul 2000 p. 3909.] </w:t>
      </w:r>
    </w:p>
    <w:p>
      <w:pPr>
        <w:pStyle w:val="Heading5"/>
      </w:pPr>
      <w:bookmarkStart w:id="131" w:name="_Toc163378718"/>
      <w:bookmarkStart w:id="132" w:name="_Toc107636272"/>
      <w:r>
        <w:rPr>
          <w:rStyle w:val="CharSectno"/>
        </w:rPr>
        <w:t>40B</w:t>
      </w:r>
      <w:r>
        <w:t>.</w:t>
      </w:r>
      <w:r>
        <w:tab/>
        <w:t>Restriction of access to exchange information (s. 16(8)(b))</w:t>
      </w:r>
      <w:bookmarkEnd w:id="131"/>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in Gazette 3 Apr 2007 p. 1509-10.] </w:t>
      </w:r>
    </w:p>
    <w:p>
      <w:pPr>
        <w:pStyle w:val="Heading2"/>
      </w:pPr>
      <w:bookmarkStart w:id="133" w:name="_Toc163378719"/>
      <w:r>
        <w:rPr>
          <w:rStyle w:val="CharPartNo"/>
        </w:rPr>
        <w:t>Part 7</w:t>
      </w:r>
      <w:r>
        <w:t> — </w:t>
      </w:r>
      <w:bookmarkEnd w:id="132"/>
      <w:r>
        <w:rPr>
          <w:rStyle w:val="CharPartText"/>
        </w:rPr>
        <w:t>Detainee gratuities</w:t>
      </w:r>
      <w:bookmarkEnd w:id="133"/>
    </w:p>
    <w:p>
      <w:pPr>
        <w:pStyle w:val="Footnoteheading"/>
      </w:pPr>
      <w:bookmarkStart w:id="134" w:name="_Toc107636273"/>
      <w:r>
        <w:tab/>
        <w:t>[Heading amended in Gazette 27 Jun 2005 p. 2852.]</w:t>
      </w:r>
    </w:p>
    <w:p>
      <w:pPr>
        <w:pStyle w:val="Heading3"/>
        <w:rPr>
          <w:snapToGrid w:val="0"/>
        </w:rPr>
      </w:pPr>
      <w:bookmarkStart w:id="135" w:name="_Toc163378720"/>
      <w:r>
        <w:rPr>
          <w:rStyle w:val="CharDivNo"/>
        </w:rPr>
        <w:t>Division 1</w:t>
      </w:r>
      <w:r>
        <w:rPr>
          <w:snapToGrid w:val="0"/>
        </w:rPr>
        <w:t> — </w:t>
      </w:r>
      <w:r>
        <w:rPr>
          <w:rStyle w:val="CharDivText"/>
        </w:rPr>
        <w:t>Special detention centres</w:t>
      </w:r>
      <w:bookmarkEnd w:id="134"/>
      <w:bookmarkEnd w:id="135"/>
      <w:r>
        <w:rPr>
          <w:rStyle w:val="CharDivText"/>
        </w:rPr>
        <w:t xml:space="preserve"> </w:t>
      </w:r>
    </w:p>
    <w:p>
      <w:pPr>
        <w:pStyle w:val="Heading5"/>
        <w:rPr>
          <w:snapToGrid w:val="0"/>
        </w:rPr>
      </w:pPr>
      <w:bookmarkStart w:id="136" w:name="_Toc55894086"/>
      <w:bookmarkStart w:id="137" w:name="_Toc60635514"/>
      <w:bookmarkStart w:id="138" w:name="_Toc163378721"/>
      <w:r>
        <w:rPr>
          <w:rStyle w:val="CharSectno"/>
        </w:rPr>
        <w:t>41</w:t>
      </w:r>
      <w:r>
        <w:rPr>
          <w:snapToGrid w:val="0"/>
        </w:rPr>
        <w:t>.</w:t>
      </w:r>
      <w:r>
        <w:rPr>
          <w:snapToGrid w:val="0"/>
        </w:rPr>
        <w:tab/>
        <w:t>Classification of activities undertaken by detainees in special detention centres</w:t>
      </w:r>
      <w:bookmarkEnd w:id="136"/>
      <w:bookmarkEnd w:id="137"/>
      <w:bookmarkEnd w:id="138"/>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139" w:name="_Toc55894087"/>
      <w:bookmarkStart w:id="140" w:name="_Toc60635515"/>
      <w:bookmarkStart w:id="141" w:name="_Toc163378722"/>
      <w:r>
        <w:rPr>
          <w:rStyle w:val="CharSectno"/>
        </w:rPr>
        <w:t>42</w:t>
      </w:r>
      <w:r>
        <w:rPr>
          <w:snapToGrid w:val="0"/>
        </w:rPr>
        <w:t>.</w:t>
      </w:r>
      <w:r>
        <w:rPr>
          <w:snapToGrid w:val="0"/>
        </w:rPr>
        <w:tab/>
        <w:t>Gratuities credited to a detainee in special detention centre</w:t>
      </w:r>
      <w:bookmarkEnd w:id="139"/>
      <w:bookmarkEnd w:id="140"/>
      <w:bookmarkEnd w:id="141"/>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$35.00 each week;</w:t>
      </w:r>
    </w:p>
    <w:p>
      <w:pPr>
        <w:pStyle w:val="Indenta"/>
        <w:rPr>
          <w:snapToGrid w:val="0"/>
        </w:rPr>
      </w:pPr>
      <w:r>
        <w:rPr>
          <w:snapToGrid w:val="0"/>
        </w:rPr>
        <w:tab/>
        <w:t>(b)</w:t>
      </w:r>
      <w:r>
        <w:rPr>
          <w:snapToGrid w:val="0"/>
        </w:rPr>
        <w:tab/>
        <w:t>for undertaking level 2 activities, $25.00 each week; or</w:t>
      </w:r>
    </w:p>
    <w:p>
      <w:pPr>
        <w:pStyle w:val="Indenta"/>
        <w:rPr>
          <w:snapToGrid w:val="0"/>
        </w:rPr>
      </w:pPr>
      <w:r>
        <w:rPr>
          <w:snapToGrid w:val="0"/>
        </w:rPr>
        <w:tab/>
        <w:t>(c)</w:t>
      </w:r>
      <w:r>
        <w:rPr>
          <w:snapToGrid w:val="0"/>
        </w:rPr>
        <w:tab/>
        <w:t>for undertaking level 3 activities, $15.00 each week.</w:t>
      </w:r>
    </w:p>
    <w:p>
      <w:pPr>
        <w:pStyle w:val="Heading3"/>
        <w:rPr>
          <w:snapToGrid w:val="0"/>
        </w:rPr>
      </w:pPr>
      <w:bookmarkStart w:id="142" w:name="_Toc107636276"/>
      <w:bookmarkStart w:id="143" w:name="_Toc163378723"/>
      <w:r>
        <w:rPr>
          <w:rStyle w:val="CharDivNo"/>
        </w:rPr>
        <w:t>Division 2</w:t>
      </w:r>
      <w:r>
        <w:rPr>
          <w:snapToGrid w:val="0"/>
        </w:rPr>
        <w:t> — </w:t>
      </w:r>
      <w:r>
        <w:rPr>
          <w:rStyle w:val="CharDivText"/>
        </w:rPr>
        <w:t>Detention centres other than special detention centres</w:t>
      </w:r>
      <w:bookmarkEnd w:id="142"/>
      <w:bookmarkEnd w:id="143"/>
      <w:r>
        <w:rPr>
          <w:rStyle w:val="CharDivText"/>
        </w:rPr>
        <w:t xml:space="preserve"> </w:t>
      </w:r>
    </w:p>
    <w:p>
      <w:pPr>
        <w:pStyle w:val="Heading5"/>
        <w:rPr>
          <w:snapToGrid w:val="0"/>
        </w:rPr>
      </w:pPr>
      <w:bookmarkStart w:id="144" w:name="_Toc55894088"/>
      <w:bookmarkStart w:id="145" w:name="_Toc60635516"/>
      <w:bookmarkStart w:id="146" w:name="_Toc163378724"/>
      <w:r>
        <w:rPr>
          <w:rStyle w:val="CharSectno"/>
        </w:rPr>
        <w:t>43</w:t>
      </w:r>
      <w:r>
        <w:rPr>
          <w:snapToGrid w:val="0"/>
        </w:rPr>
        <w:t>.</w:t>
      </w:r>
      <w:r>
        <w:rPr>
          <w:snapToGrid w:val="0"/>
        </w:rPr>
        <w:tab/>
        <w:t>Gratuities credited to a detainee in detention centre that is not a special detention centre</w:t>
      </w:r>
      <w:bookmarkEnd w:id="144"/>
      <w:bookmarkEnd w:id="145"/>
      <w:bookmarkEnd w:id="146"/>
      <w:r>
        <w:rPr>
          <w:snapToGrid w:val="0"/>
        </w:rPr>
        <w:t xml:space="preserve"> </w:t>
      </w:r>
    </w:p>
    <w:p>
      <w:pPr>
        <w:pStyle w:val="Subsection"/>
        <w:rPr>
          <w:snapToGrid w:val="0"/>
        </w:rPr>
      </w:pPr>
      <w:r>
        <w:rPr>
          <w:snapToGrid w:val="0"/>
        </w:rPr>
        <w:tab/>
        <w:t>(1)</w:t>
      </w:r>
      <w:r>
        <w:rPr>
          <w:snapToGrid w:val="0"/>
        </w:rPr>
        <w:tab/>
        <w:t>Subject to subregulations (2) and (3), the gratuities that may be credited to a detainee are — </w:t>
      </w:r>
    </w:p>
    <w:p>
      <w:pPr>
        <w:pStyle w:val="Indenta"/>
        <w:rPr>
          <w:snapToGrid w:val="0"/>
        </w:rPr>
      </w:pPr>
      <w:r>
        <w:rPr>
          <w:snapToGrid w:val="0"/>
        </w:rPr>
        <w:tab/>
        <w:t>(a)</w:t>
      </w:r>
      <w:r>
        <w:rPr>
          <w:snapToGrid w:val="0"/>
        </w:rPr>
        <w:tab/>
        <w:t>for a detainee in Rangeview Remand Centre, $14.00 each week; or</w:t>
      </w:r>
    </w:p>
    <w:p>
      <w:pPr>
        <w:pStyle w:val="Indenta"/>
        <w:rPr>
          <w:snapToGrid w:val="0"/>
        </w:rPr>
      </w:pPr>
      <w:r>
        <w:rPr>
          <w:snapToGrid w:val="0"/>
        </w:rPr>
        <w:tab/>
        <w:t>(b)</w:t>
      </w:r>
      <w:r>
        <w:rPr>
          <w:snapToGrid w:val="0"/>
        </w:rPr>
        <w:tab/>
        <w:t>for a detainee in any other detention centre, $15.00 each week.</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b/>
          <w:snapToGrid w:val="0"/>
        </w:rPr>
        <w:t>“</w:t>
      </w:r>
      <w:r>
        <w:rPr>
          <w:rStyle w:val="CharDefText"/>
          <w:snapToGrid w:val="0"/>
        </w:rPr>
        <w:t>detainee</w:t>
      </w:r>
      <w:r>
        <w:rPr>
          <w:b/>
          <w:snapToGrid w:val="0"/>
        </w:rPr>
        <w:t>”</w:t>
      </w:r>
      <w:r>
        <w:rPr>
          <w:snapToGrid w:val="0"/>
        </w:rPr>
        <w:t xml:space="preserve"> means a detainee detained in a detention centre other than a special detention centre.</w:t>
      </w:r>
    </w:p>
    <w:p>
      <w:pPr>
        <w:pStyle w:val="Heading3"/>
        <w:rPr>
          <w:snapToGrid w:val="0"/>
        </w:rPr>
      </w:pPr>
      <w:bookmarkStart w:id="147" w:name="_Toc107636278"/>
      <w:bookmarkStart w:id="148" w:name="_Toc163378725"/>
      <w:r>
        <w:rPr>
          <w:rStyle w:val="CharDivNo"/>
        </w:rPr>
        <w:t>Division 3</w:t>
      </w:r>
      <w:r>
        <w:rPr>
          <w:snapToGrid w:val="0"/>
        </w:rPr>
        <w:t> — </w:t>
      </w:r>
      <w:r>
        <w:rPr>
          <w:rStyle w:val="CharDivText"/>
        </w:rPr>
        <w:t>General</w:t>
      </w:r>
      <w:bookmarkEnd w:id="147"/>
      <w:bookmarkEnd w:id="148"/>
      <w:r>
        <w:rPr>
          <w:rStyle w:val="CharDivText"/>
        </w:rPr>
        <w:t xml:space="preserve"> </w:t>
      </w:r>
    </w:p>
    <w:p>
      <w:pPr>
        <w:pStyle w:val="Heading5"/>
        <w:rPr>
          <w:snapToGrid w:val="0"/>
        </w:rPr>
      </w:pPr>
      <w:bookmarkStart w:id="149" w:name="_Toc55894089"/>
      <w:bookmarkStart w:id="150" w:name="_Toc60635517"/>
      <w:bookmarkStart w:id="151" w:name="_Toc163378726"/>
      <w:r>
        <w:rPr>
          <w:rStyle w:val="CharSectno"/>
        </w:rPr>
        <w:t>44</w:t>
      </w:r>
      <w:r>
        <w:rPr>
          <w:snapToGrid w:val="0"/>
        </w:rPr>
        <w:t>.</w:t>
      </w:r>
      <w:r>
        <w:rPr>
          <w:snapToGrid w:val="0"/>
        </w:rPr>
        <w:tab/>
        <w:t>Superintendent may direct gratuities be withheld or reduced</w:t>
      </w:r>
      <w:bookmarkEnd w:id="149"/>
      <w:bookmarkEnd w:id="150"/>
      <w:bookmarkEnd w:id="151"/>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152" w:name="_Toc55894090"/>
      <w:bookmarkStart w:id="153" w:name="_Toc60635518"/>
      <w:bookmarkStart w:id="154" w:name="_Toc163378727"/>
      <w:r>
        <w:rPr>
          <w:rStyle w:val="CharSectno"/>
        </w:rPr>
        <w:t>45</w:t>
      </w:r>
      <w:r>
        <w:rPr>
          <w:snapToGrid w:val="0"/>
        </w:rPr>
        <w:t>.</w:t>
      </w:r>
      <w:r>
        <w:rPr>
          <w:snapToGrid w:val="0"/>
        </w:rPr>
        <w:tab/>
        <w:t>Superintendent may direct deductions from gratuities</w:t>
      </w:r>
      <w:bookmarkEnd w:id="152"/>
      <w:bookmarkEnd w:id="153"/>
      <w:bookmarkEnd w:id="154"/>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155" w:name="_Toc55894091"/>
      <w:bookmarkStart w:id="156" w:name="_Toc60635519"/>
      <w:bookmarkStart w:id="157" w:name="_Toc163378728"/>
      <w:r>
        <w:rPr>
          <w:rStyle w:val="CharSectno"/>
        </w:rPr>
        <w:t>46</w:t>
      </w:r>
      <w:r>
        <w:rPr>
          <w:snapToGrid w:val="0"/>
        </w:rPr>
        <w:t>.</w:t>
      </w:r>
      <w:r>
        <w:rPr>
          <w:snapToGrid w:val="0"/>
        </w:rPr>
        <w:tab/>
        <w:t>Superintendent may direct when gratuities are to be credited</w:t>
      </w:r>
      <w:bookmarkEnd w:id="155"/>
      <w:bookmarkEnd w:id="156"/>
      <w:bookmarkEnd w:id="157"/>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158" w:name="_Toc163378729"/>
      <w:r>
        <w:rPr>
          <w:rStyle w:val="CharPartNo"/>
        </w:rPr>
        <w:t>Part 7A</w:t>
      </w:r>
      <w:r>
        <w:rPr>
          <w:b w:val="0"/>
        </w:rPr>
        <w:t> </w:t>
      </w:r>
      <w:r>
        <w:t>—</w:t>
      </w:r>
      <w:r>
        <w:rPr>
          <w:b w:val="0"/>
        </w:rPr>
        <w:t> </w:t>
      </w:r>
      <w:r>
        <w:rPr>
          <w:rStyle w:val="CharPartText"/>
        </w:rPr>
        <w:t>Detainee privileges</w:t>
      </w:r>
      <w:bookmarkEnd w:id="158"/>
    </w:p>
    <w:p>
      <w:pPr>
        <w:pStyle w:val="Footnoteheading"/>
      </w:pPr>
      <w:r>
        <w:tab/>
        <w:t>[Heading inserted in Gazette 27 Jun 2005 p. 2852.]</w:t>
      </w:r>
    </w:p>
    <w:p>
      <w:pPr>
        <w:pStyle w:val="Heading5"/>
      </w:pPr>
      <w:bookmarkStart w:id="159" w:name="_Toc163378730"/>
      <w:r>
        <w:rPr>
          <w:rStyle w:val="CharSectno"/>
        </w:rPr>
        <w:t>46A</w:t>
      </w:r>
      <w:r>
        <w:t>.</w:t>
      </w:r>
      <w:r>
        <w:tab/>
        <w:t>Granting and withdrawing of privileges</w:t>
      </w:r>
      <w:bookmarkEnd w:id="159"/>
    </w:p>
    <w:p>
      <w:pPr>
        <w:pStyle w:val="Subsection"/>
      </w:pPr>
      <w:r>
        <w:tab/>
        <w:t>(1)</w:t>
      </w:r>
      <w:r>
        <w:tab/>
        <w:t xml:space="preserve">In this Part — </w:t>
      </w:r>
    </w:p>
    <w:p>
      <w:pPr>
        <w:pStyle w:val="Defstart"/>
      </w:pPr>
      <w:r>
        <w:rPr>
          <w:b/>
        </w:rPr>
        <w:tab/>
        <w:t>“</w:t>
      </w:r>
      <w:r>
        <w:rPr>
          <w:rStyle w:val="CharDefText"/>
        </w:rPr>
        <w:t>authorised</w:t>
      </w:r>
      <w:r>
        <w:rPr>
          <w:b/>
        </w:rPr>
        <w:t>”</w:t>
      </w:r>
      <w:r>
        <w:t xml:space="preserve"> means authorised by the superintendent;</w:t>
      </w:r>
    </w:p>
    <w:p>
      <w:pPr>
        <w:pStyle w:val="Defstart"/>
      </w:pPr>
      <w:r>
        <w:rPr>
          <w:b/>
        </w:rPr>
        <w:tab/>
        <w:t>“</w:t>
      </w:r>
      <w:r>
        <w:rPr>
          <w:rStyle w:val="CharDefText"/>
        </w:rPr>
        <w:t>privilege</w:t>
      </w:r>
      <w:r>
        <w:rPr>
          <w:b/>
        </w:rPr>
        <w:t>”</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160" w:name="_Toc163378731"/>
      <w:r>
        <w:rPr>
          <w:rStyle w:val="CharSectno"/>
        </w:rPr>
        <w:t>46B</w:t>
      </w:r>
      <w:r>
        <w:t>.</w:t>
      </w:r>
      <w:r>
        <w:tab/>
        <w:t>Privileges</w:t>
      </w:r>
      <w:bookmarkEnd w:id="160"/>
    </w:p>
    <w:p>
      <w:pPr>
        <w:pStyle w:val="Subsection"/>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161" w:name="_Toc163378732"/>
      <w:r>
        <w:rPr>
          <w:rStyle w:val="CharPartNo"/>
        </w:rPr>
        <w:t>Part 8</w:t>
      </w:r>
      <w:r>
        <w:rPr>
          <w:b w:val="0"/>
        </w:rPr>
        <w:t> </w:t>
      </w:r>
      <w:r>
        <w:t>— </w:t>
      </w:r>
      <w:r>
        <w:rPr>
          <w:rStyle w:val="CharPartText"/>
        </w:rPr>
        <w:t>Responsibilities and discipline of employees</w:t>
      </w:r>
      <w:bookmarkEnd w:id="161"/>
    </w:p>
    <w:p>
      <w:pPr>
        <w:pStyle w:val="Footnoteheading"/>
      </w:pPr>
      <w:r>
        <w:tab/>
        <w:t>[Heading inserted in Gazette 27 Jun 2005 p. 2853.]</w:t>
      </w:r>
    </w:p>
    <w:p>
      <w:pPr>
        <w:pStyle w:val="Heading3"/>
      </w:pPr>
      <w:bookmarkStart w:id="162" w:name="_Toc163378733"/>
      <w:r>
        <w:rPr>
          <w:rStyle w:val="CharDivNo"/>
        </w:rPr>
        <w:t>Division 1</w:t>
      </w:r>
      <w:r>
        <w:t> — </w:t>
      </w:r>
      <w:r>
        <w:rPr>
          <w:rStyle w:val="CharDivText"/>
        </w:rPr>
        <w:t>Preliminary</w:t>
      </w:r>
      <w:bookmarkEnd w:id="162"/>
    </w:p>
    <w:p>
      <w:pPr>
        <w:pStyle w:val="Footnoteheading"/>
      </w:pPr>
      <w:r>
        <w:tab/>
        <w:t>[Heading inserted in Gazette 27 Jun 2005 p. 2853.]</w:t>
      </w:r>
    </w:p>
    <w:p>
      <w:pPr>
        <w:pStyle w:val="Heading5"/>
      </w:pPr>
      <w:bookmarkStart w:id="163" w:name="_Toc163378734"/>
      <w:r>
        <w:rPr>
          <w:rStyle w:val="CharSectno"/>
        </w:rPr>
        <w:t>47</w:t>
      </w:r>
      <w:r>
        <w:t>.</w:t>
      </w:r>
      <w:r>
        <w:tab/>
        <w:t>Interpretation and application</w:t>
      </w:r>
      <w:bookmarkEnd w:id="163"/>
    </w:p>
    <w:p>
      <w:pPr>
        <w:pStyle w:val="Subsection"/>
      </w:pPr>
      <w:r>
        <w:tab/>
      </w:r>
      <w:r>
        <w:tab/>
        <w:t xml:space="preserve">In this Part — </w:t>
      </w:r>
    </w:p>
    <w:p>
      <w:pPr>
        <w:pStyle w:val="Defstart"/>
      </w:pPr>
      <w:r>
        <w:rPr>
          <w:b/>
        </w:rPr>
        <w:tab/>
        <w:t>“</w:t>
      </w:r>
      <w:r>
        <w:rPr>
          <w:rStyle w:val="CharDefText"/>
        </w:rPr>
        <w:t>group worker</w:t>
      </w:r>
      <w:r>
        <w:rPr>
          <w:b/>
        </w:rPr>
        <w:t>”</w:t>
      </w:r>
      <w:r>
        <w:t xml:space="preserve"> means a person appointed under section 11(1a)(a) of the Act;</w:t>
      </w:r>
    </w:p>
    <w:p>
      <w:pPr>
        <w:pStyle w:val="Defstart"/>
      </w:pPr>
      <w:r>
        <w:rPr>
          <w:b/>
        </w:rPr>
        <w:tab/>
        <w:t>“</w:t>
      </w:r>
      <w:r>
        <w:rPr>
          <w:rStyle w:val="CharDefText"/>
        </w:rPr>
        <w:t>miscellaneous employee</w:t>
      </w:r>
      <w:r>
        <w:rPr>
          <w:b/>
        </w:rPr>
        <w:t>”</w:t>
      </w:r>
      <w:r>
        <w:t xml:space="preserve"> means an officer or employee appointed under section 11(1a)(b) of the Act.</w:t>
      </w:r>
    </w:p>
    <w:p>
      <w:pPr>
        <w:pStyle w:val="Footnotesection"/>
      </w:pPr>
      <w:r>
        <w:tab/>
        <w:t>[Regulation 47 inserted in Gazette 27 Jun 2005 p. 2853-4.]</w:t>
      </w:r>
    </w:p>
    <w:p>
      <w:pPr>
        <w:pStyle w:val="Heading3"/>
      </w:pPr>
      <w:bookmarkStart w:id="164" w:name="_Toc163378735"/>
      <w:r>
        <w:t>Division 2 — Employment generally</w:t>
      </w:r>
      <w:bookmarkEnd w:id="164"/>
    </w:p>
    <w:p>
      <w:pPr>
        <w:pStyle w:val="Footnoteheading"/>
      </w:pPr>
      <w:r>
        <w:tab/>
        <w:t>[Heading inserted in Gazette 27 Jun 2005 p. 2854.]</w:t>
      </w:r>
    </w:p>
    <w:p>
      <w:pPr>
        <w:pStyle w:val="Heading5"/>
      </w:pPr>
      <w:bookmarkStart w:id="165" w:name="_Toc163378736"/>
      <w:r>
        <w:rPr>
          <w:rStyle w:val="CharSectno"/>
        </w:rPr>
        <w:t>48</w:t>
      </w:r>
      <w:r>
        <w:t>.</w:t>
      </w:r>
      <w:r>
        <w:tab/>
        <w:t>Application</w:t>
      </w:r>
      <w:bookmarkEnd w:id="165"/>
    </w:p>
    <w:p>
      <w:pPr>
        <w:pStyle w:val="Subsection"/>
      </w:pPr>
      <w:r>
        <w:tab/>
        <w:t>(1)</w:t>
      </w:r>
      <w:r>
        <w:tab/>
        <w:t>The “employment” provisions in this Division apply to group workers and miscellaneous employees but do not apply to persons appointed under section 11(1) of the Act.</w:t>
      </w:r>
    </w:p>
    <w:p>
      <w:pPr>
        <w:pStyle w:val="Subsection"/>
      </w:pPr>
      <w:r>
        <w:tab/>
        <w:t>(2)</w:t>
      </w:r>
      <w:r>
        <w:tab/>
        <w:t>This Division applies in addition to, and does not limit, the provisions in Division 3.</w:t>
      </w:r>
    </w:p>
    <w:p>
      <w:pPr>
        <w:pStyle w:val="Footnotesection"/>
      </w:pPr>
      <w:r>
        <w:tab/>
        <w:t>[Regulation 48 inserted in Gazette 27 Jun 2005 p. 2854.]</w:t>
      </w:r>
    </w:p>
    <w:p>
      <w:pPr>
        <w:pStyle w:val="Heading5"/>
      </w:pPr>
      <w:bookmarkStart w:id="166" w:name="_Toc163378737"/>
      <w:r>
        <w:rPr>
          <w:rStyle w:val="CharSectno"/>
        </w:rPr>
        <w:t>49</w:t>
      </w:r>
      <w:r>
        <w:t>.</w:t>
      </w:r>
      <w:r>
        <w:tab/>
        <w:t>Officers and employees of particular classes prescribed (section 11(1a)(b))</w:t>
      </w:r>
      <w:bookmarkEnd w:id="166"/>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167" w:name="_Toc163378738"/>
      <w:r>
        <w:rPr>
          <w:rStyle w:val="CharSectno"/>
        </w:rPr>
        <w:t>50</w:t>
      </w:r>
      <w:r>
        <w:t>.</w:t>
      </w:r>
      <w:r>
        <w:tab/>
        <w:t>Functions of officers and employees of particular classes prescribed (section 11(2))</w:t>
      </w:r>
      <w:bookmarkEnd w:id="167"/>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168" w:name="_Toc163378739"/>
      <w:r>
        <w:rPr>
          <w:rStyle w:val="CharSectno"/>
        </w:rPr>
        <w:t>51</w:t>
      </w:r>
      <w:r>
        <w:t>.</w:t>
      </w:r>
      <w:r>
        <w:tab/>
        <w:t>Circumstances in which employment may be terminated (section 11(1a))</w:t>
      </w:r>
      <w:bookmarkEnd w:id="168"/>
    </w:p>
    <w:p>
      <w:pPr>
        <w:pStyle w:val="Subsection"/>
      </w:pPr>
      <w:r>
        <w:tab/>
        <w:t>(1)</w:t>
      </w:r>
      <w:r>
        <w:tab/>
        <w:t>A group worker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group worker or miscellaneous employee, and 2 medical practitioners appointed by the Executive Director, Public Health.</w:t>
      </w:r>
    </w:p>
    <w:p>
      <w:pPr>
        <w:pStyle w:val="Subsection"/>
      </w:pPr>
      <w:r>
        <w:tab/>
        <w:t>(2)</w:t>
      </w:r>
      <w:r>
        <w:tab/>
        <w:t>If, 7 days prior to the day of examination, the group worker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If a board, or the majority of the members of a board, reports to the chief executive officer that a group worker or miscellaneous employee is unable to perform his or her duties properly by reason of his or her physical or mental health, the chief executive officer may terminate the employment of the group worker or miscellaneous employee.</w:t>
      </w:r>
    </w:p>
    <w:p>
      <w:pPr>
        <w:pStyle w:val="Subsection"/>
      </w:pPr>
      <w:r>
        <w:tab/>
        <w:t>(4)</w:t>
      </w:r>
      <w:r>
        <w:tab/>
        <w:t>A group worker or miscellaneous employee who provides false, incomplete or misleading information in or with respect to an application for engagement as a group worker or miscellaneous employee may have his or her employment terminated by the chief executive officer.</w:t>
      </w:r>
    </w:p>
    <w:p>
      <w:pPr>
        <w:pStyle w:val="Subsection"/>
      </w:pPr>
      <w:r>
        <w:tab/>
        <w:t>(5)</w:t>
      </w:r>
      <w:r>
        <w:tab/>
        <w:t>Where the chief executive officer is of the opinion during, or at the end of, the period of probation of a group worker or miscellaneous employee that the group worker or miscellaneous employee is unsatisfactory in the performance of his or her duties, or unsuitable to be a group worker or miscellaneous employee, the chief executive officer may terminate the employment of that group worker or miscellaneous employee.</w:t>
      </w:r>
    </w:p>
    <w:p>
      <w:pPr>
        <w:pStyle w:val="Subsection"/>
      </w:pPr>
      <w:r>
        <w:tab/>
        <w:t>(6)</w:t>
      </w:r>
      <w:r>
        <w:tab/>
        <w:t>The chief executive officer may extend the period of probation for a group worker or miscellaneous employee.</w:t>
      </w:r>
    </w:p>
    <w:p>
      <w:pPr>
        <w:pStyle w:val="Footnotesection"/>
      </w:pPr>
      <w:r>
        <w:tab/>
        <w:t>[Regulation 51 inserted in Gazette 27 Jun 2005 p. 2855-6.]</w:t>
      </w:r>
    </w:p>
    <w:p>
      <w:pPr>
        <w:pStyle w:val="Heading5"/>
      </w:pPr>
      <w:bookmarkStart w:id="169" w:name="_Toc163378740"/>
      <w:r>
        <w:rPr>
          <w:rStyle w:val="CharSectno"/>
        </w:rPr>
        <w:t>52</w:t>
      </w:r>
      <w:r>
        <w:t>.</w:t>
      </w:r>
      <w:r>
        <w:tab/>
        <w:t>Notice prior to termination of employment (section 11(1a))</w:t>
      </w:r>
      <w:bookmarkEnd w:id="169"/>
    </w:p>
    <w:p>
      <w:pPr>
        <w:pStyle w:val="Subsection"/>
      </w:pPr>
      <w:r>
        <w:tab/>
        <w:t>(1)</w:t>
      </w:r>
      <w:r>
        <w:tab/>
        <w:t>A group worker or miscellaneous employee whose employment is terminated under regulation 51(3) is entitled to one month’s notice from the chief executive officer or to one month’s pay in lieu of notice.</w:t>
      </w:r>
    </w:p>
    <w:p>
      <w:pPr>
        <w:pStyle w:val="Subsection"/>
      </w:pPr>
      <w:r>
        <w:tab/>
        <w:t>(2)</w:t>
      </w:r>
      <w:r>
        <w:tab/>
        <w:t>A group worker or miscellaneous employee who leaves his or her employment of his or her own accord must give one month’s notice in writing or must forfeit one month’s pay.</w:t>
      </w:r>
    </w:p>
    <w:p>
      <w:pPr>
        <w:pStyle w:val="Subsection"/>
      </w:pPr>
      <w:r>
        <w:tab/>
        <w:t>(3)</w:t>
      </w:r>
      <w:r>
        <w:tab/>
        <w:t>A group worker or miscellaneous employee on probation must give 2 weeks’ notice of an intention to leave the employment, or must forfeit 2 weeks’ pay.</w:t>
      </w:r>
    </w:p>
    <w:p>
      <w:pPr>
        <w:pStyle w:val="Subsection"/>
      </w:pPr>
      <w:r>
        <w:tab/>
        <w:t>(4)</w:t>
      </w:r>
      <w:r>
        <w:tab/>
        <w:t>If a group worker or miscellaneous employee on probation has his or her employment terminated for reasons other than regulation 51(4) or disciplinary reasons under Division 3, the group worker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group worker or miscellaneous employee to pay, abridge or dispense with such notice.</w:t>
      </w:r>
    </w:p>
    <w:p>
      <w:pPr>
        <w:pStyle w:val="Footnotesection"/>
      </w:pPr>
      <w:r>
        <w:tab/>
        <w:t>[Regulation 52 inserted in Gazette 27 Jun 2005 p. 2856-7.]</w:t>
      </w:r>
    </w:p>
    <w:p>
      <w:pPr>
        <w:pStyle w:val="Heading3"/>
      </w:pPr>
      <w:bookmarkStart w:id="170" w:name="_Toc163378741"/>
      <w:r>
        <w:rPr>
          <w:rStyle w:val="CharDivNo"/>
        </w:rPr>
        <w:t>Division 3</w:t>
      </w:r>
      <w:r>
        <w:t> — </w:t>
      </w:r>
      <w:r>
        <w:rPr>
          <w:rStyle w:val="CharDivText"/>
        </w:rPr>
        <w:t>Employee Discipline</w:t>
      </w:r>
      <w:bookmarkEnd w:id="170"/>
    </w:p>
    <w:p>
      <w:pPr>
        <w:pStyle w:val="Footnoteheading"/>
      </w:pPr>
      <w:bookmarkStart w:id="171" w:name="_Toc471198622"/>
      <w:bookmarkStart w:id="172" w:name="_Toc503086197"/>
      <w:bookmarkStart w:id="173" w:name="_Toc517689506"/>
      <w:bookmarkStart w:id="174" w:name="_Toc69885321"/>
      <w:bookmarkStart w:id="175" w:name="_Toc73265696"/>
      <w:bookmarkStart w:id="176" w:name="_Toc92769439"/>
      <w:r>
        <w:tab/>
        <w:t>[Heading inserted in Gazette 27 Jun 2005 p. 2857.]</w:t>
      </w:r>
    </w:p>
    <w:p>
      <w:pPr>
        <w:pStyle w:val="Heading5"/>
      </w:pPr>
      <w:bookmarkStart w:id="177" w:name="_Toc163378742"/>
      <w:r>
        <w:rPr>
          <w:rStyle w:val="CharSectno"/>
        </w:rPr>
        <w:t>53</w:t>
      </w:r>
      <w:r>
        <w:t>.</w:t>
      </w:r>
      <w:r>
        <w:tab/>
        <w:t>Application</w:t>
      </w:r>
      <w:bookmarkEnd w:id="177"/>
    </w:p>
    <w:p>
      <w:pPr>
        <w:pStyle w:val="Subsection"/>
      </w:pPr>
      <w:r>
        <w:tab/>
        <w:t>(1)</w:t>
      </w:r>
      <w:r>
        <w:tab/>
        <w:t>The “discipline” provisions in this Division apply to group workers and miscellaneous employees, but do not apply to persons appointed under section 11(1) of the Act.</w:t>
      </w:r>
    </w:p>
    <w:p>
      <w:pPr>
        <w:pStyle w:val="Subsection"/>
      </w:pPr>
      <w:r>
        <w:tab/>
        <w:t>(2)</w:t>
      </w:r>
      <w:r>
        <w:tab/>
        <w:t xml:space="preserve">In this Division — </w:t>
      </w:r>
    </w:p>
    <w:p>
      <w:pPr>
        <w:pStyle w:val="Defstart"/>
      </w:pPr>
      <w:r>
        <w:rPr>
          <w:b/>
        </w:rPr>
        <w:tab/>
        <w:t>“</w:t>
      </w:r>
      <w:r>
        <w:rPr>
          <w:rStyle w:val="CharDefText"/>
        </w:rPr>
        <w:t>employee</w:t>
      </w:r>
      <w:r>
        <w:rPr>
          <w:b/>
        </w:rPr>
        <w:t>”</w:t>
      </w:r>
      <w:r>
        <w:t xml:space="preserve"> is used to describe group workers and miscellaneous employees;</w:t>
      </w:r>
    </w:p>
    <w:p>
      <w:pPr>
        <w:pStyle w:val="Defstart"/>
        <w:rPr>
          <w:bCs/>
        </w:rPr>
      </w:pPr>
      <w:r>
        <w:rPr>
          <w:b/>
        </w:rPr>
        <w:tab/>
        <w:t>“</w:t>
      </w:r>
      <w:r>
        <w:rPr>
          <w:rStyle w:val="CharDefText"/>
        </w:rPr>
        <w:t>serious breach of discipline</w:t>
      </w:r>
      <w:r>
        <w:rPr>
          <w:b/>
        </w:rPr>
        <w:t>”</w:t>
      </w:r>
      <w:r>
        <w:t xml:space="preserve"> </w:t>
      </w:r>
      <w:r>
        <w:rPr>
          <w:bCs/>
        </w:rPr>
        <w:t>means where it appears to the superintendent before whom a charge of a breach of discipline is presented for validation or to a superintendent or other person appointed to hold an inquiry into the charge that,</w:t>
      </w:r>
      <w:r>
        <w:t xml:space="preserve"> having regard to</w:t>
      </w:r>
      <w:r>
        <w:rPr>
          <w:bCs/>
        </w:rPr>
        <w:t xml:space="preserve"> — </w:t>
      </w:r>
    </w:p>
    <w:p>
      <w:pPr>
        <w:pStyle w:val="Defpara"/>
      </w:pPr>
      <w:r>
        <w:tab/>
        <w:t>(a)</w:t>
      </w:r>
      <w:r>
        <w:tab/>
        <w:t>the nature and particulars of the charge; or</w:t>
      </w:r>
    </w:p>
    <w:p>
      <w:pPr>
        <w:pStyle w:val="Defpara"/>
      </w:pPr>
      <w:r>
        <w:tab/>
        <w:t>(b)</w:t>
      </w:r>
      <w:r>
        <w:tab/>
        <w:t xml:space="preserve">if an inquiry has commenced, to the evidence presented at the inquiry, </w:t>
      </w:r>
    </w:p>
    <w:p>
      <w:pPr>
        <w:pStyle w:val="Defstart"/>
      </w:pPr>
      <w:r>
        <w:rPr>
          <w:bCs/>
        </w:rPr>
        <w:tab/>
      </w:r>
      <w:r>
        <w:rPr>
          <w:bCs/>
        </w:rPr>
        <w:tab/>
        <w:t>the charge cannot be adequately dealt with by a superintendent or other person under regulation 64(1) (in the event of an admission or finding of guilt).</w:t>
      </w:r>
    </w:p>
    <w:p>
      <w:pPr>
        <w:pStyle w:val="Footnotesection"/>
      </w:pPr>
      <w:r>
        <w:tab/>
        <w:t>[Regulation 53 inserted in Gazette 27 Jun 2005 p. 2857-8.]</w:t>
      </w:r>
    </w:p>
    <w:p>
      <w:pPr>
        <w:pStyle w:val="Heading5"/>
      </w:pPr>
      <w:bookmarkStart w:id="178" w:name="_Toc163378743"/>
      <w:r>
        <w:rPr>
          <w:rStyle w:val="CharSectno"/>
        </w:rPr>
        <w:t>54</w:t>
      </w:r>
      <w:r>
        <w:t>.</w:t>
      </w:r>
      <w:r>
        <w:tab/>
        <w:t>Breaches of discipline</w:t>
      </w:r>
      <w:bookmarkEnd w:id="171"/>
      <w:bookmarkEnd w:id="172"/>
      <w:bookmarkEnd w:id="173"/>
      <w:bookmarkEnd w:id="174"/>
      <w:bookmarkEnd w:id="175"/>
      <w:bookmarkEnd w:id="176"/>
      <w:bookmarkEnd w:id="178"/>
      <w:r>
        <w:t xml:space="preserve"> </w:t>
      </w:r>
    </w:p>
    <w:p>
      <w:pPr>
        <w:pStyle w:val="Subsection"/>
      </w:pPr>
      <w:r>
        <w:tab/>
      </w:r>
      <w:r>
        <w:tab/>
        <w:t>An employee who — </w:t>
      </w:r>
    </w:p>
    <w:p>
      <w:pPr>
        <w:pStyle w:val="Indenta"/>
      </w:pPr>
      <w:r>
        <w:tab/>
        <w:t>(a)</w:t>
      </w:r>
      <w:r>
        <w:tab/>
        <w:t>disobeys or disregards a lawful order;</w:t>
      </w:r>
    </w:p>
    <w:p>
      <w:pPr>
        <w:pStyle w:val="Indenta"/>
      </w:pPr>
      <w:r>
        <w:tab/>
        <w:t>(b)</w:t>
      </w:r>
      <w:r>
        <w:tab/>
        <w:t>breaches a duty or responsibility imposed upon him or her by the Act or these regulations, or any rules made under the Act that are applicable to that employee;</w:t>
      </w:r>
    </w:p>
    <w:p>
      <w:pPr>
        <w:pStyle w:val="Indenta"/>
      </w:pPr>
      <w:r>
        <w:tab/>
        <w:t>(c)</w:t>
      </w:r>
      <w:r>
        <w:tab/>
        <w:t>commits an act of misconduct that relates to the performance of his or her duties or fitness as an employee;</w:t>
      </w:r>
    </w:p>
    <w:p>
      <w:pPr>
        <w:pStyle w:val="Indenta"/>
      </w:pPr>
      <w:r>
        <w:tab/>
        <w:t>(d)</w:t>
      </w:r>
      <w:r>
        <w:tab/>
        <w:t>is negligent or careless in the performance of his or her functions; or</w:t>
      </w:r>
    </w:p>
    <w:p>
      <w:pPr>
        <w:pStyle w:val="Indenta"/>
      </w:pPr>
      <w:r>
        <w:tab/>
        <w:t>(e)</w:t>
      </w:r>
      <w:r>
        <w:tab/>
        <w:t xml:space="preserve">commits an act of victimisation within the meaning of section 15 of the </w:t>
      </w:r>
      <w:r>
        <w:rPr>
          <w:i/>
          <w:iCs/>
        </w:rPr>
        <w:t>Public Interest Disclosure Act 2003</w:t>
      </w:r>
      <w:r>
        <w:t>,</w:t>
      </w:r>
    </w:p>
    <w:p>
      <w:pPr>
        <w:pStyle w:val="Subsection"/>
      </w:pPr>
      <w:r>
        <w:tab/>
      </w:r>
      <w:r>
        <w:tab/>
        <w:t>commits a breach of discipline.</w:t>
      </w:r>
    </w:p>
    <w:p>
      <w:pPr>
        <w:pStyle w:val="Footnotesection"/>
      </w:pPr>
      <w:r>
        <w:tab/>
        <w:t>[Regulation 54 inserted in Gazette 27 Jun 2005 p. 2858.]</w:t>
      </w:r>
    </w:p>
    <w:p>
      <w:pPr>
        <w:pStyle w:val="Heading5"/>
      </w:pPr>
      <w:bookmarkStart w:id="179" w:name="_Toc163378744"/>
      <w:r>
        <w:rPr>
          <w:rStyle w:val="CharSectno"/>
        </w:rPr>
        <w:t>55</w:t>
      </w:r>
      <w:r>
        <w:t>.</w:t>
      </w:r>
      <w:r>
        <w:tab/>
        <w:t>Laying a charge</w:t>
      </w:r>
      <w:bookmarkEnd w:id="179"/>
    </w:p>
    <w:p>
      <w:pPr>
        <w:pStyle w:val="Subsection"/>
      </w:pPr>
      <w:r>
        <w:tab/>
        <w:t>(1)</w:t>
      </w:r>
      <w:r>
        <w:tab/>
        <w:t>A charge that an employee has committed a breach of discipline may be laid by any officer or employee having authority or control over the employee to a superintendent.</w:t>
      </w:r>
    </w:p>
    <w:p>
      <w:pPr>
        <w:pStyle w:val="Subsection"/>
      </w:pPr>
      <w:r>
        <w:tab/>
        <w:t>(2)</w:t>
      </w:r>
      <w:r>
        <w:tab/>
        <w:t xml:space="preserve">A charge — </w:t>
      </w:r>
    </w:p>
    <w:p>
      <w:pPr>
        <w:pStyle w:val="Indenta"/>
      </w:pPr>
      <w:r>
        <w:tab/>
        <w:t>(a)</w:t>
      </w:r>
      <w:r>
        <w:tab/>
        <w:t>is to be in writing, and contain particulars of the alleged breach of discipline that gave rise to the charge; and</w:t>
      </w:r>
    </w:p>
    <w:p>
      <w:pPr>
        <w:pStyle w:val="Indenta"/>
      </w:pPr>
      <w:r>
        <w:tab/>
        <w:t>(b)</w:t>
      </w:r>
      <w:r>
        <w:tab/>
        <w:t>is to be validated by a superintendent before a copy of the charge is furnished to the employee under regulation 56.</w:t>
      </w:r>
    </w:p>
    <w:p>
      <w:pPr>
        <w:pStyle w:val="Footnotesection"/>
      </w:pPr>
      <w:r>
        <w:tab/>
        <w:t>[Regulation 55 inserted in Gazette 27 Jun 2005 p. 2858-9.]</w:t>
      </w:r>
    </w:p>
    <w:p>
      <w:pPr>
        <w:pStyle w:val="Heading5"/>
      </w:pPr>
      <w:bookmarkStart w:id="180" w:name="_Toc163378745"/>
      <w:r>
        <w:rPr>
          <w:rStyle w:val="CharSectno"/>
        </w:rPr>
        <w:t>56</w:t>
      </w:r>
      <w:r>
        <w:t>.</w:t>
      </w:r>
      <w:r>
        <w:tab/>
        <w:t>Give notice when charge is laid</w:t>
      </w:r>
      <w:bookmarkEnd w:id="180"/>
    </w:p>
    <w:p>
      <w:pPr>
        <w:pStyle w:val="Subsection"/>
      </w:pPr>
      <w:r>
        <w:tab/>
        <w:t>(1)</w:t>
      </w:r>
      <w:r>
        <w:tab/>
        <w:t>Subject to subregulation (2) and regulation 66, if a charge of a breach of discipline is made to a superintendent, the superintendent is to give the subject of the charge detailed notice in writing of the nature of the charge.</w:t>
      </w:r>
    </w:p>
    <w:p>
      <w:pPr>
        <w:pStyle w:val="Subsection"/>
      </w:pPr>
      <w:r>
        <w:tab/>
        <w:t>(2)</w:t>
      </w:r>
      <w:r>
        <w:tab/>
        <w:t>If a charge is laid under subregulation (1) that an employee has committed a serious breach of discipline, the charge is to be referred by the superintendent to the chief executive officer.</w:t>
      </w:r>
    </w:p>
    <w:p>
      <w:pPr>
        <w:pStyle w:val="Subsection"/>
      </w:pPr>
      <w:r>
        <w:tab/>
        <w:t>(3)</w:t>
      </w:r>
      <w:r>
        <w:tab/>
        <w:t xml:space="preserve">Notice under subregulation (1) is to set out — </w:t>
      </w:r>
    </w:p>
    <w:p>
      <w:pPr>
        <w:pStyle w:val="Indenta"/>
      </w:pPr>
      <w:r>
        <w:tab/>
        <w:t>(a)</w:t>
      </w:r>
      <w:r>
        <w:tab/>
        <w:t xml:space="preserve">48 hours or such longer period as is specified in the notice within which the employee has to respond formally to the charge, as to whether they admit or deny the truth of the charge; </w:t>
      </w:r>
    </w:p>
    <w:p>
      <w:pPr>
        <w:pStyle w:val="Indenta"/>
      </w:pPr>
      <w:r>
        <w:tab/>
        <w:t>(b)</w:t>
      </w:r>
      <w:r>
        <w:tab/>
        <w:t>the manner in which the inquiry will be conducted if the charge is denied or if no response is received; and</w:t>
      </w:r>
    </w:p>
    <w:p>
      <w:pPr>
        <w:pStyle w:val="Indenta"/>
      </w:pPr>
      <w:r>
        <w:tab/>
        <w:t>(c)</w:t>
      </w:r>
      <w:r>
        <w:tab/>
        <w:t>the manner in which the breach of discipline will be dealt with, if the breach is admitted.</w:t>
      </w:r>
    </w:p>
    <w:p>
      <w:pPr>
        <w:pStyle w:val="Footnotesection"/>
      </w:pPr>
      <w:r>
        <w:tab/>
        <w:t>[Regulation 56 inserted in Gazette 27 Jun 2005 p. 2859.]</w:t>
      </w:r>
    </w:p>
    <w:p>
      <w:pPr>
        <w:pStyle w:val="Heading5"/>
      </w:pPr>
      <w:bookmarkStart w:id="181" w:name="_Toc163378746"/>
      <w:r>
        <w:rPr>
          <w:rStyle w:val="CharSectno"/>
        </w:rPr>
        <w:t>57</w:t>
      </w:r>
      <w:r>
        <w:t>.</w:t>
      </w:r>
      <w:r>
        <w:tab/>
        <w:t>Where a charge is denied or ignored</w:t>
      </w:r>
      <w:bookmarkEnd w:id="181"/>
    </w:p>
    <w:p>
      <w:pPr>
        <w:pStyle w:val="Subsection"/>
      </w:pPr>
      <w:r>
        <w:tab/>
        <w:t>(1)</w:t>
      </w:r>
      <w:r>
        <w:tab/>
        <w:t>If an employee denies a charge, or does not respond to a charge, within the time to respond referred to in regulation 56(3), the superintendent may conduct an inquiry, or the chief executive officer may direct another person to conduct an inquiry, in relation to the charge, in accordance with regulations 61 and 62.</w:t>
      </w:r>
    </w:p>
    <w:p>
      <w:pPr>
        <w:pStyle w:val="Subsection"/>
      </w:pPr>
      <w:r>
        <w:tab/>
        <w:t>(2)</w:t>
      </w:r>
      <w:r>
        <w:tab/>
        <w:t>Despite subregulation (1), a charge may be referred to the chief executive officer if regulation 66(1) is satisfied.</w:t>
      </w:r>
    </w:p>
    <w:p>
      <w:pPr>
        <w:pStyle w:val="Footnotesection"/>
      </w:pPr>
      <w:r>
        <w:tab/>
        <w:t>[Regulation 57 inserted in Gazette 27 Jun 2005 p. 2859-60.]</w:t>
      </w:r>
    </w:p>
    <w:p>
      <w:pPr>
        <w:pStyle w:val="Heading5"/>
      </w:pPr>
      <w:bookmarkStart w:id="182" w:name="_Toc163378747"/>
      <w:r>
        <w:rPr>
          <w:rStyle w:val="CharSectno"/>
        </w:rPr>
        <w:t>58</w:t>
      </w:r>
      <w:r>
        <w:t>.</w:t>
      </w:r>
      <w:r>
        <w:tab/>
        <w:t>Where a breach of discipline is admitted</w:t>
      </w:r>
      <w:bookmarkEnd w:id="182"/>
    </w:p>
    <w:p>
      <w:pPr>
        <w:pStyle w:val="Subsection"/>
      </w:pPr>
      <w:r>
        <w:tab/>
        <w:t>(1)</w:t>
      </w:r>
      <w:r>
        <w:tab/>
        <w:t xml:space="preserve">If an employee admits to breaching discipline within the time to respond referred to in regulation 56(3) — </w:t>
      </w:r>
    </w:p>
    <w:p>
      <w:pPr>
        <w:pStyle w:val="Indenta"/>
      </w:pPr>
      <w:r>
        <w:tab/>
        <w:t>(a)</w:t>
      </w:r>
      <w:r>
        <w:tab/>
        <w:t>the superintendent may make a finding, and take action in accordance with regulation 64; or</w:t>
      </w:r>
    </w:p>
    <w:p>
      <w:pPr>
        <w:pStyle w:val="Indenta"/>
      </w:pPr>
      <w:r>
        <w:tab/>
        <w:t>(b)</w:t>
      </w:r>
      <w:r>
        <w:tab/>
        <w:t>an inquiry into the charge may be commenced in accordance with regulations 61 and 62.</w:t>
      </w:r>
    </w:p>
    <w:p>
      <w:pPr>
        <w:pStyle w:val="Subsection"/>
      </w:pPr>
      <w:r>
        <w:tab/>
        <w:t>(2)</w:t>
      </w:r>
      <w:r>
        <w:tab/>
        <w:t>Despite subregulation (1), the admission may be referred to the chief executive officer if regulation 66(1) is satisfied.</w:t>
      </w:r>
    </w:p>
    <w:p>
      <w:pPr>
        <w:pStyle w:val="Footnotesection"/>
      </w:pPr>
      <w:r>
        <w:tab/>
        <w:t>[Regulation 58 inserted in Gazette 27 Jun 2005 p. 2860.]</w:t>
      </w:r>
    </w:p>
    <w:p>
      <w:pPr>
        <w:pStyle w:val="Heading5"/>
      </w:pPr>
      <w:bookmarkStart w:id="183" w:name="_Toc163378748"/>
      <w:r>
        <w:rPr>
          <w:rStyle w:val="CharSectno"/>
        </w:rPr>
        <w:t>59</w:t>
      </w:r>
      <w:r>
        <w:t>.</w:t>
      </w:r>
      <w:r>
        <w:tab/>
        <w:t>Inquiry into charge</w:t>
      </w:r>
      <w:bookmarkEnd w:id="183"/>
      <w:r>
        <w:t xml:space="preserve"> </w:t>
      </w:r>
    </w:p>
    <w:p>
      <w:pPr>
        <w:pStyle w:val="Subsection"/>
      </w:pPr>
      <w:r>
        <w:tab/>
        <w:t>(1)</w:t>
      </w:r>
      <w:r>
        <w:tab/>
        <w:t xml:space="preserve">Where a charge of a breach of discipline against a person — </w:t>
      </w:r>
    </w:p>
    <w:p>
      <w:pPr>
        <w:pStyle w:val="Indenta"/>
      </w:pPr>
      <w:r>
        <w:tab/>
        <w:t>(a)</w:t>
      </w:r>
      <w:r>
        <w:tab/>
        <w:t>is denied by the employee under regulation 57(1);</w:t>
      </w:r>
    </w:p>
    <w:p>
      <w:pPr>
        <w:pStyle w:val="Indenta"/>
      </w:pPr>
      <w:r>
        <w:tab/>
        <w:t>(b)</w:t>
      </w:r>
      <w:r>
        <w:tab/>
        <w:t xml:space="preserve">does not provoke a response from that employee within the time allowed; or </w:t>
      </w:r>
    </w:p>
    <w:p>
      <w:pPr>
        <w:pStyle w:val="Indenta"/>
      </w:pPr>
      <w:r>
        <w:tab/>
        <w:t>(c)</w:t>
      </w:r>
      <w:r>
        <w:tab/>
        <w:t>is admitted, but the superintendent wishes to conduct an inquiry regardless of the admission,</w:t>
      </w:r>
    </w:p>
    <w:p>
      <w:pPr>
        <w:pStyle w:val="Subsection"/>
      </w:pPr>
      <w:r>
        <w:tab/>
      </w:r>
      <w:r>
        <w:tab/>
        <w:t>an inquiry into the charge is to be commenced in accordance with regulations 61 and 62.</w:t>
      </w:r>
    </w:p>
    <w:p>
      <w:pPr>
        <w:pStyle w:val="Subsection"/>
      </w:pPr>
      <w:r>
        <w:tab/>
        <w:t>(2)</w:t>
      </w:r>
      <w:r>
        <w:tab/>
        <w:t>An inquiry is to be held expeditiously but not earlier than 3 days after subregulation (1) is satisfied.</w:t>
      </w:r>
    </w:p>
    <w:p>
      <w:pPr>
        <w:pStyle w:val="Footnotesection"/>
      </w:pPr>
      <w:r>
        <w:tab/>
        <w:t>[Regulation 59 inserted in Gazette 27 Jun 2005 p. 2860.]</w:t>
      </w:r>
    </w:p>
    <w:p>
      <w:pPr>
        <w:pStyle w:val="Heading5"/>
      </w:pPr>
      <w:bookmarkStart w:id="184" w:name="_Toc163378749"/>
      <w:r>
        <w:rPr>
          <w:rStyle w:val="CharSectno"/>
        </w:rPr>
        <w:t>60</w:t>
      </w:r>
      <w:r>
        <w:t>.</w:t>
      </w:r>
      <w:r>
        <w:tab/>
        <w:t>Persons involved in an inquiry</w:t>
      </w:r>
      <w:bookmarkEnd w:id="184"/>
    </w:p>
    <w:p>
      <w:pPr>
        <w:pStyle w:val="Subsection"/>
      </w:pPr>
      <w:r>
        <w:tab/>
        <w:t>(1)</w:t>
      </w:r>
      <w:r>
        <w:tab/>
        <w:t>The employee against whom the charge is laid may nominate a person to appear with them for support but cannot nominate a legal practitioner.</w:t>
      </w:r>
    </w:p>
    <w:p>
      <w:pPr>
        <w:pStyle w:val="Subsection"/>
      </w:pPr>
      <w:r>
        <w:tab/>
        <w:t>(2)</w:t>
      </w:r>
      <w:r>
        <w:tab/>
        <w:t>An officer is to be nominated by the Director of Juvenile Custodial Services to lead the case against the employee who is the subject of the charge.</w:t>
      </w:r>
    </w:p>
    <w:p>
      <w:pPr>
        <w:pStyle w:val="Footnotesection"/>
      </w:pPr>
      <w:r>
        <w:tab/>
        <w:t>[Regulation 60 inserted in Gazette 27 Jun 2005 p. 2861.]</w:t>
      </w:r>
    </w:p>
    <w:p>
      <w:pPr>
        <w:pStyle w:val="Heading5"/>
      </w:pPr>
      <w:bookmarkStart w:id="185" w:name="_Toc163378750"/>
      <w:r>
        <w:rPr>
          <w:rStyle w:val="CharSectno"/>
        </w:rPr>
        <w:t>61</w:t>
      </w:r>
      <w:r>
        <w:t>.</w:t>
      </w:r>
      <w:r>
        <w:tab/>
        <w:t>Determination of charge</w:t>
      </w:r>
      <w:bookmarkEnd w:id="185"/>
    </w:p>
    <w:p>
      <w:pPr>
        <w:pStyle w:val="Subsection"/>
      </w:pPr>
      <w:r>
        <w:tab/>
        <w:t>(1)</w:t>
      </w:r>
      <w:r>
        <w:tab/>
        <w:t xml:space="preserve">The procedure to determine a charge of a breach of discipline is as follows — </w:t>
      </w:r>
    </w:p>
    <w:p>
      <w:pPr>
        <w:pStyle w:val="Indenta"/>
      </w:pPr>
      <w:r>
        <w:tab/>
        <w:t>(a)</w:t>
      </w:r>
      <w:r>
        <w:tab/>
        <w:t>the officer is to state the charge against the employee and call any witnesses in support of the charge;</w:t>
      </w:r>
    </w:p>
    <w:p>
      <w:pPr>
        <w:pStyle w:val="Indenta"/>
      </w:pPr>
      <w:r>
        <w:tab/>
        <w:t>(b)</w:t>
      </w:r>
      <w:r>
        <w:tab/>
        <w:t>the chief executive officer, superintendent or other person appointed to conduct the investigation may take evidence on oath, affirmation or otherwise at his or her discretion;</w:t>
      </w:r>
    </w:p>
    <w:p>
      <w:pPr>
        <w:pStyle w:val="Indenta"/>
      </w:pPr>
      <w:r>
        <w:tab/>
        <w:t>(c)</w:t>
      </w:r>
      <w:r>
        <w:tab/>
        <w:t>the officer is to conduct the examination</w:t>
      </w:r>
      <w:r>
        <w:noBreakHyphen/>
        <w:t>in</w:t>
      </w:r>
      <w:r>
        <w:noBreakHyphen/>
        <w:t>chief of each witness, and the employee or a person nominated to support him or her under regulation 60(1) may cross</w:t>
      </w:r>
      <w:r>
        <w:noBreakHyphen/>
        <w:t>examine each witness;</w:t>
      </w:r>
    </w:p>
    <w:p>
      <w:pPr>
        <w:pStyle w:val="Indenta"/>
      </w:pPr>
      <w:r>
        <w:tab/>
        <w:t>(d)</w:t>
      </w:r>
      <w:r>
        <w:tab/>
        <w:t>the officer may re</w:t>
      </w:r>
      <w:r>
        <w:noBreakHyphen/>
        <w:t>examine each witness on matters arising out of cross</w:t>
      </w:r>
      <w:r>
        <w:noBreakHyphen/>
        <w:t>examination;</w:t>
      </w:r>
    </w:p>
    <w:p>
      <w:pPr>
        <w:pStyle w:val="Indenta"/>
      </w:pPr>
      <w:r>
        <w:tab/>
        <w:t>(e)</w:t>
      </w:r>
      <w:r>
        <w:tab/>
        <w:t>the officer is to close his or her case; and</w:t>
      </w:r>
    </w:p>
    <w:p>
      <w:pPr>
        <w:pStyle w:val="Indenta"/>
      </w:pPr>
      <w:r>
        <w:tab/>
        <w:t>(f)</w:t>
      </w:r>
      <w:r>
        <w:tab/>
        <w:t>the employee may then give evidence, and the employee or the nominated support person may call witnesses, and paragraphs (c), (d) and (e) apply subject to necessary modification.</w:t>
      </w:r>
    </w:p>
    <w:p>
      <w:pPr>
        <w:pStyle w:val="Subsection"/>
      </w:pPr>
      <w:r>
        <w:tab/>
        <w:t>(2)</w:t>
      </w:r>
      <w:r>
        <w:tab/>
        <w:t>The person conducting an inquiry is not bound by the rules of evidence.</w:t>
      </w:r>
    </w:p>
    <w:p>
      <w:pPr>
        <w:pStyle w:val="Subsection"/>
      </w:pPr>
      <w:r>
        <w:tab/>
        <w:t>(3)</w:t>
      </w:r>
      <w:r>
        <w:tab/>
        <w:t>A deviation from the procedure in subregulation (1) that does not materially affect the inquiry does not invalidate the inquiry.</w:t>
      </w:r>
    </w:p>
    <w:p>
      <w:pPr>
        <w:pStyle w:val="Footnotesection"/>
      </w:pPr>
      <w:r>
        <w:tab/>
        <w:t>[Regulation 61 inserted in Gazette 27 Jun 2005 p. 2861-2.]</w:t>
      </w:r>
    </w:p>
    <w:p>
      <w:pPr>
        <w:pStyle w:val="Heading5"/>
      </w:pPr>
      <w:bookmarkStart w:id="186" w:name="_Toc163378751"/>
      <w:r>
        <w:rPr>
          <w:rStyle w:val="CharSectno"/>
        </w:rPr>
        <w:t>62</w:t>
      </w:r>
      <w:r>
        <w:t>.</w:t>
      </w:r>
      <w:r>
        <w:tab/>
        <w:t>Guidelines for person conducting inquiry</w:t>
      </w:r>
      <w:bookmarkEnd w:id="186"/>
    </w:p>
    <w:p>
      <w:pPr>
        <w:pStyle w:val="Subsection"/>
      </w:pPr>
      <w:r>
        <w:tab/>
        <w:t>(1)</w:t>
      </w:r>
      <w:r>
        <w:tab/>
        <w:t xml:space="preserve">The chief executive officer, superintendent or other person appointed to hear a charge of a breach of discipline — </w:t>
      </w:r>
    </w:p>
    <w:p>
      <w:pPr>
        <w:pStyle w:val="Indenta"/>
      </w:pPr>
      <w:r>
        <w:tab/>
        <w:t>(a)</w:t>
      </w:r>
      <w:r>
        <w:tab/>
        <w:t>is to conduct the inquiry expeditiously and without undue adjournment or delay;</w:t>
      </w:r>
    </w:p>
    <w:p>
      <w:pPr>
        <w:pStyle w:val="Indenta"/>
      </w:pPr>
      <w:r>
        <w:tab/>
        <w:t>(b)</w:t>
      </w:r>
      <w:r>
        <w:tab/>
        <w:t>is to keep or cause to be kept an adequate record of proceedings;</w:t>
      </w:r>
    </w:p>
    <w:p>
      <w:pPr>
        <w:pStyle w:val="Indenta"/>
      </w:pPr>
      <w:r>
        <w:tab/>
        <w:t>(c)</w:t>
      </w:r>
      <w:r>
        <w:tab/>
        <w:t>may question a witness called; and</w:t>
      </w:r>
    </w:p>
    <w:p>
      <w:pPr>
        <w:pStyle w:val="Indenta"/>
      </w:pPr>
      <w:r>
        <w:tab/>
        <w:t>(d)</w:t>
      </w:r>
      <w:r>
        <w:tab/>
        <w:t>may direct that a particular witness be called or call and question a witness.</w:t>
      </w:r>
    </w:p>
    <w:p>
      <w:pPr>
        <w:pStyle w:val="Subsection"/>
      </w:pPr>
      <w:r>
        <w:tab/>
        <w:t>(2)</w:t>
      </w:r>
      <w:r>
        <w:tab/>
        <w:t>The officer and the employee may question any witness called and questioned under subregulation (1)(d).</w:t>
      </w:r>
    </w:p>
    <w:p>
      <w:pPr>
        <w:pStyle w:val="Footnotesection"/>
      </w:pPr>
      <w:r>
        <w:tab/>
        <w:t>[Regulation 62 inserted in Gazette 27 Jun 2005 p. 2862.]</w:t>
      </w:r>
    </w:p>
    <w:p>
      <w:pPr>
        <w:pStyle w:val="Heading5"/>
      </w:pPr>
      <w:bookmarkStart w:id="187" w:name="_Toc163378752"/>
      <w:r>
        <w:rPr>
          <w:rStyle w:val="CharSectno"/>
        </w:rPr>
        <w:t>63</w:t>
      </w:r>
      <w:r>
        <w:t>.</w:t>
      </w:r>
      <w:r>
        <w:tab/>
        <w:t>Finding following inquiry</w:t>
      </w:r>
      <w:bookmarkEnd w:id="187"/>
    </w:p>
    <w:p>
      <w:pPr>
        <w:pStyle w:val="Subsection"/>
      </w:pPr>
      <w:r>
        <w:tab/>
        <w:t>(1)</w:t>
      </w:r>
      <w:r>
        <w:tab/>
        <w:t>After completing an inquiry under regulation 59, a finding must be made as to whether there was a breach of discipline committed.</w:t>
      </w:r>
    </w:p>
    <w:p>
      <w:pPr>
        <w:pStyle w:val="Subsection"/>
      </w:pPr>
      <w:r>
        <w:tab/>
        <w:t>(2)</w:t>
      </w:r>
      <w:r>
        <w:tab/>
        <w:t>If the outcome of an inquiry under regulation 59 is a finding that the employee has not committed a breach of discipline, the superintendent must notify the employee of that finding without undue delay.</w:t>
      </w:r>
    </w:p>
    <w:p>
      <w:pPr>
        <w:pStyle w:val="Footnotesection"/>
      </w:pPr>
      <w:r>
        <w:tab/>
        <w:t>[Regulation 63 inserted in Gazette 27 Jun 2005 p. 2862.]</w:t>
      </w:r>
    </w:p>
    <w:p>
      <w:pPr>
        <w:pStyle w:val="Heading5"/>
      </w:pPr>
      <w:bookmarkStart w:id="188" w:name="_Toc163378753"/>
      <w:r>
        <w:rPr>
          <w:rStyle w:val="CharSectno"/>
        </w:rPr>
        <w:t>64</w:t>
      </w:r>
      <w:r>
        <w:t>.</w:t>
      </w:r>
      <w:r>
        <w:tab/>
        <w:t>Action that may be taken following finding</w:t>
      </w:r>
      <w:bookmarkEnd w:id="188"/>
    </w:p>
    <w:p>
      <w:pPr>
        <w:pStyle w:val="Subsection"/>
      </w:pPr>
      <w:r>
        <w:tab/>
        <w:t>(1)</w:t>
      </w:r>
      <w:r>
        <w:tab/>
        <w:t xml:space="preserve">If the outcome of an inquiry held by a superintendent or another person directed to conduct an inquiry is a finding that the employee has committed a breach of discipline, the superintendent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impose on the employee a fine not exceeding an amount equal to the amount of remuneration received by the employee in respect of the last day during which he or she was at work as an employee before the day on which that finding was made.</w:t>
      </w:r>
    </w:p>
    <w:p>
      <w:pPr>
        <w:pStyle w:val="Subsection"/>
      </w:pPr>
      <w:r>
        <w:tab/>
        <w:t>(2)</w:t>
      </w:r>
      <w:r>
        <w:tab/>
        <w:t>The chief executive officer must be informed of any disciplinary action taken under subregulation (1).</w:t>
      </w:r>
    </w:p>
    <w:p>
      <w:pPr>
        <w:pStyle w:val="Footnotesection"/>
      </w:pPr>
      <w:r>
        <w:tab/>
        <w:t>[Regulation 64 inserted in Gazette 27 Jun 2005 p. 2862-3.]</w:t>
      </w:r>
    </w:p>
    <w:p>
      <w:pPr>
        <w:pStyle w:val="Heading5"/>
      </w:pPr>
      <w:bookmarkStart w:id="189" w:name="_Toc163378754"/>
      <w:r>
        <w:rPr>
          <w:rStyle w:val="CharSectno"/>
        </w:rPr>
        <w:t>65</w:t>
      </w:r>
      <w:r>
        <w:t>.</w:t>
      </w:r>
      <w:r>
        <w:tab/>
        <w:t>Review by CEO</w:t>
      </w:r>
      <w:bookmarkEnd w:id="189"/>
    </w:p>
    <w:p>
      <w:pPr>
        <w:pStyle w:val="Subsection"/>
      </w:pPr>
      <w:r>
        <w:tab/>
        <w:t>(1)</w:t>
      </w:r>
      <w:r>
        <w:tab/>
        <w:t>Following a finding that an employee has committed a breach of discipline, the employee may apply to have the finding, or the action taken following the finding, or both, reviewed by the chief executive officer.</w:t>
      </w:r>
    </w:p>
    <w:p>
      <w:pPr>
        <w:pStyle w:val="Subsection"/>
      </w:pPr>
      <w:r>
        <w:tab/>
        <w:t>(2)</w:t>
      </w:r>
      <w:r>
        <w:tab/>
        <w:t xml:space="preserve">The application must be — </w:t>
      </w:r>
    </w:p>
    <w:p>
      <w:pPr>
        <w:pStyle w:val="Indenta"/>
      </w:pPr>
      <w:r>
        <w:tab/>
        <w:t>(a)</w:t>
      </w:r>
      <w:r>
        <w:tab/>
        <w:t>in writing, setting out details of the finding and the issues or actions that are to be reviewed;</w:t>
      </w:r>
    </w:p>
    <w:p>
      <w:pPr>
        <w:pStyle w:val="Indenta"/>
      </w:pPr>
      <w:r>
        <w:tab/>
        <w:t>(b)</w:t>
      </w:r>
      <w:r>
        <w:tab/>
        <w:t xml:space="preserve"> signed by the employee; and</w:t>
      </w:r>
    </w:p>
    <w:p>
      <w:pPr>
        <w:pStyle w:val="Indenta"/>
      </w:pPr>
      <w:r>
        <w:tab/>
        <w:t>(c)</w:t>
      </w:r>
      <w:r>
        <w:tab/>
        <w:t>lodged with the superintendent without undue delay, but no later than 10 days after the finding,</w:t>
      </w:r>
    </w:p>
    <w:p>
      <w:pPr>
        <w:pStyle w:val="Subsection"/>
      </w:pPr>
      <w:r>
        <w:tab/>
      </w:r>
      <w:r>
        <w:tab/>
        <w:t>and the superintendent must forward every application to the chief executive officer.</w:t>
      </w:r>
    </w:p>
    <w:p>
      <w:pPr>
        <w:pStyle w:val="Subsection"/>
      </w:pPr>
      <w:r>
        <w:tab/>
        <w:t>(3)</w:t>
      </w:r>
      <w:r>
        <w:tab/>
        <w:t>A copy of an application received by the chief executive officer is to be made available to the other party to the inquiry, and the party may respond in writing within 14 days.</w:t>
      </w:r>
    </w:p>
    <w:p>
      <w:pPr>
        <w:pStyle w:val="Subsection"/>
      </w:pPr>
      <w:r>
        <w:tab/>
        <w:t>(4)</w:t>
      </w:r>
      <w:r>
        <w:tab/>
        <w:t>After the time in subregulation (3) has passed, the chief executive officer is to review the finding or actions set out in the application and, in doing so, may inform himself or herself by considering such proceedings or matters as are considered equitable or necessary.</w:t>
      </w:r>
    </w:p>
    <w:p>
      <w:pPr>
        <w:pStyle w:val="Subsection"/>
      </w:pPr>
      <w:r>
        <w:tab/>
        <w:t>(5)</w:t>
      </w:r>
      <w:r>
        <w:tab/>
        <w:t xml:space="preserve">Depending upon the basis of the application, the chief executive officer may — </w:t>
      </w:r>
    </w:p>
    <w:p>
      <w:pPr>
        <w:pStyle w:val="Indenta"/>
      </w:pPr>
      <w:r>
        <w:tab/>
        <w:t>(a)</w:t>
      </w:r>
      <w:r>
        <w:tab/>
        <w:t>confirm the superintendent’s finding;</w:t>
      </w:r>
    </w:p>
    <w:p>
      <w:pPr>
        <w:pStyle w:val="Indenta"/>
      </w:pPr>
      <w:r>
        <w:tab/>
        <w:t>(b)</w:t>
      </w:r>
      <w:r>
        <w:tab/>
        <w:t>confirm the action taken following the finding;</w:t>
      </w:r>
    </w:p>
    <w:p>
      <w:pPr>
        <w:pStyle w:val="Indenta"/>
      </w:pPr>
      <w:r>
        <w:tab/>
        <w:t>(c)</w:t>
      </w:r>
      <w:r>
        <w:tab/>
        <w:t>vary the action taken following the finding;</w:t>
      </w:r>
    </w:p>
    <w:p>
      <w:pPr>
        <w:pStyle w:val="Indenta"/>
      </w:pPr>
      <w:r>
        <w:tab/>
        <w:t>(d)</w:t>
      </w:r>
      <w:r>
        <w:tab/>
        <w:t>reverse the superintendent’s finding and quash the finding; or</w:t>
      </w:r>
    </w:p>
    <w:p>
      <w:pPr>
        <w:pStyle w:val="Indenta"/>
      </w:pPr>
      <w:r>
        <w:tab/>
        <w:t>(e)</w:t>
      </w:r>
      <w:r>
        <w:tab/>
        <w:t>revoke the action taken.</w:t>
      </w:r>
    </w:p>
    <w:p>
      <w:pPr>
        <w:pStyle w:val="Footnotesection"/>
      </w:pPr>
      <w:r>
        <w:tab/>
        <w:t>[Regulation 65 inserted in Gazette 27 Jun 2005 p. 2863-4.]</w:t>
      </w:r>
    </w:p>
    <w:p>
      <w:pPr>
        <w:pStyle w:val="Heading5"/>
      </w:pPr>
      <w:bookmarkStart w:id="190" w:name="_Toc163378755"/>
      <w:r>
        <w:rPr>
          <w:rStyle w:val="CharSectno"/>
        </w:rPr>
        <w:t>66</w:t>
      </w:r>
      <w:r>
        <w:t>.</w:t>
      </w:r>
      <w:r>
        <w:tab/>
        <w:t>Referral where charge appears too serious</w:t>
      </w:r>
      <w:bookmarkEnd w:id="190"/>
    </w:p>
    <w:p>
      <w:pPr>
        <w:pStyle w:val="Subsection"/>
      </w:pPr>
      <w:r>
        <w:tab/>
        <w:t>(1)</w:t>
      </w:r>
      <w:r>
        <w:tab/>
        <w:t>If a charge is the subject of an inquiry by the superintendent or another person directed to conduct an inquiry and, before a finding is made, it appears to the superintendent or another person that an employee has committed a serious breach of discipline, the charge or admission is to be referred to the chief executive officer by the superintendent.</w:t>
      </w:r>
    </w:p>
    <w:p>
      <w:pPr>
        <w:pStyle w:val="Subsection"/>
      </w:pPr>
      <w:r>
        <w:tab/>
        <w:t>(2)</w:t>
      </w:r>
      <w:r>
        <w:tab/>
        <w:t>If a charge is referred under this regulation, the superintendent may suspend the employee from duty on either full or partial pay, or without pay and other entitlements, pending an inquiry under regulation 67.</w:t>
      </w:r>
    </w:p>
    <w:p>
      <w:pPr>
        <w:pStyle w:val="Subsection"/>
      </w:pPr>
      <w:r>
        <w:tab/>
        <w:t>(3)</w:t>
      </w:r>
      <w:r>
        <w:tab/>
        <w:t>A suspension imposed under subregulation (2) must be confirmed by the chief executive officer within 2 working days.</w:t>
      </w:r>
    </w:p>
    <w:p>
      <w:pPr>
        <w:pStyle w:val="Subsection"/>
      </w:pPr>
      <w:r>
        <w:tab/>
        <w:t>(4)</w:t>
      </w:r>
      <w:r>
        <w:tab/>
        <w:t>An employee suspended under subregulation (2) who is not found to have committed a breach of discipline is entitled to full pay and entitlements for the period of that suspension.</w:t>
      </w:r>
    </w:p>
    <w:p>
      <w:pPr>
        <w:pStyle w:val="Footnotesection"/>
      </w:pPr>
      <w:r>
        <w:tab/>
        <w:t>[Regulation 66 inserted in Gazette 27 Jun 2005 p. 2864.]</w:t>
      </w:r>
    </w:p>
    <w:p>
      <w:pPr>
        <w:pStyle w:val="Heading5"/>
      </w:pPr>
      <w:bookmarkStart w:id="191" w:name="_Toc163378756"/>
      <w:r>
        <w:rPr>
          <w:rStyle w:val="CharSectno"/>
        </w:rPr>
        <w:t>67</w:t>
      </w:r>
      <w:r>
        <w:t>.</w:t>
      </w:r>
      <w:r>
        <w:tab/>
        <w:t>Inquiry into a referred charge</w:t>
      </w:r>
      <w:bookmarkEnd w:id="191"/>
    </w:p>
    <w:p>
      <w:pPr>
        <w:pStyle w:val="Subsection"/>
      </w:pPr>
      <w:r>
        <w:tab/>
      </w:r>
      <w:r>
        <w:tab/>
        <w:t xml:space="preserve">If a charge is referred to the chief executive officer, the chief executive officer shall — </w:t>
      </w:r>
    </w:p>
    <w:p>
      <w:pPr>
        <w:pStyle w:val="Indenta"/>
      </w:pPr>
      <w:r>
        <w:tab/>
        <w:t>(a)</w:t>
      </w:r>
      <w:r>
        <w:tab/>
        <w:t>hold an inquiry into the charge in accordance with this Part; or</w:t>
      </w:r>
    </w:p>
    <w:p>
      <w:pPr>
        <w:pStyle w:val="Indenta"/>
      </w:pPr>
      <w:r>
        <w:tab/>
        <w:t>(b)</w:t>
      </w:r>
      <w:r>
        <w:tab/>
        <w:t>appoint some other person (including, if he or she so determines, the superintendent who forwarded the charge to the chief executive officer) to hold an inquiry into the charge in accordance with this Part.</w:t>
      </w:r>
    </w:p>
    <w:p>
      <w:pPr>
        <w:pStyle w:val="Footnotesection"/>
      </w:pPr>
      <w:r>
        <w:tab/>
        <w:t>[Regulation 67 inserted in Gazette 27 Jun 2005 p. 2865.]</w:t>
      </w:r>
    </w:p>
    <w:p>
      <w:pPr>
        <w:pStyle w:val="Heading5"/>
      </w:pPr>
      <w:bookmarkStart w:id="192" w:name="_Toc163378757"/>
      <w:r>
        <w:rPr>
          <w:rStyle w:val="CharSectno"/>
        </w:rPr>
        <w:t>68</w:t>
      </w:r>
      <w:r>
        <w:t>.</w:t>
      </w:r>
      <w:r>
        <w:tab/>
        <w:t>Outcome of inquiry into a referred charge</w:t>
      </w:r>
      <w:bookmarkEnd w:id="192"/>
    </w:p>
    <w:p>
      <w:pPr>
        <w:pStyle w:val="Subsection"/>
      </w:pPr>
      <w:r>
        <w:tab/>
        <w:t>(1)</w:t>
      </w:r>
      <w:r>
        <w:tab/>
        <w:t>If the outcome of an inquiry under regulation 67 is a finding that an employee has not committed a breach of discipline, the person holding the inquiry must notify the employee of that finding without undue delay.</w:t>
      </w:r>
    </w:p>
    <w:p>
      <w:pPr>
        <w:pStyle w:val="Subsection"/>
      </w:pPr>
      <w:r>
        <w:tab/>
        <w:t>(2)</w:t>
      </w:r>
      <w:r>
        <w:tab/>
        <w:t xml:space="preserve">If the outcome of that inquiry under regulation 67 is a finding that the employee has committed a breach of discipline, the person holding the inquiry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transfer the employee to another detention centre;</w:t>
      </w:r>
    </w:p>
    <w:p>
      <w:pPr>
        <w:pStyle w:val="Indenta"/>
      </w:pPr>
      <w:r>
        <w:tab/>
        <w:t>(d)</w:t>
      </w:r>
      <w:r>
        <w:tab/>
        <w:t>impose on the employee a fine not exceeding an amount equal to the amount of remuneration received by the employee in respect of the last 5 days during which he or she was at work as an employee before the day on which that finding was made;</w:t>
      </w:r>
    </w:p>
    <w:p>
      <w:pPr>
        <w:pStyle w:val="Indenta"/>
      </w:pPr>
      <w:r>
        <w:tab/>
        <w:t>(e)</w:t>
      </w:r>
      <w:r>
        <w:tab/>
        <w:t>suspend the employee from duty for a period not exceeding 10 working days, on full or partial pay, or without pay and other entitlements;</w:t>
      </w:r>
    </w:p>
    <w:p>
      <w:pPr>
        <w:pStyle w:val="Indenta"/>
      </w:pPr>
      <w:r>
        <w:tab/>
        <w:t>(f)</w:t>
      </w:r>
      <w:r>
        <w:tab/>
        <w:t>reduce the monetary remuneration of the employee or reduce the level of classification of the employee;</w:t>
      </w:r>
    </w:p>
    <w:p>
      <w:pPr>
        <w:pStyle w:val="Indenta"/>
      </w:pPr>
      <w:r>
        <w:tab/>
        <w:t>(g)</w:t>
      </w:r>
      <w:r>
        <w:tab/>
        <w:t>dismiss the employee,</w:t>
      </w:r>
    </w:p>
    <w:p>
      <w:pPr>
        <w:pStyle w:val="Subsection"/>
      </w:pPr>
      <w:r>
        <w:tab/>
      </w:r>
      <w:r>
        <w:tab/>
        <w:t>or, except when the employee is dismissed, take action under any 2 or more paragraphs.</w:t>
      </w:r>
    </w:p>
    <w:p>
      <w:pPr>
        <w:pStyle w:val="Subsection"/>
      </w:pPr>
      <w:r>
        <w:tab/>
        <w:t>(3)</w:t>
      </w:r>
      <w:r>
        <w:tab/>
        <w:t>A penalty imposed under subregulation (2) by a superintendent or other person appointed by the chief executive officer does not take effect unless, and until, it is validated by the chief executive officer.</w:t>
      </w:r>
    </w:p>
    <w:p>
      <w:pPr>
        <w:pStyle w:val="Subsection"/>
      </w:pPr>
      <w:r>
        <w:tab/>
        <w:t>(4)</w:t>
      </w:r>
      <w:r>
        <w:tab/>
        <w:t>The chief executive officer may, instead of validating that penalty, impose a different penalty of a kind referred to in subregulation (2), but the chief executive officer cannot impose a greater penalty than that imposed under subregulation (3) unless he or she has provided the employee with an opportunity of making representations in relation to his or her intention to impose a greater penalty and has considered any representations made by the employee.</w:t>
      </w:r>
    </w:p>
    <w:p>
      <w:pPr>
        <w:pStyle w:val="Subsection"/>
      </w:pPr>
      <w:r>
        <w:tab/>
        <w:t>(5)</w:t>
      </w:r>
      <w:r>
        <w:tab/>
        <w:t>Where a penalty is imposed under this regulation on an employee who is suspended from duty under regulation 66 on partial pay or without pay and other entitlements, the chief executive officer may, having regard to the nature and particulars of the breach of discipline for which the penalty is imposed and the nature of that penalty, direct that the employee is to be paid full or partial pay and other entitlements for the period of the suspension.</w:t>
      </w:r>
    </w:p>
    <w:p>
      <w:pPr>
        <w:pStyle w:val="Footnotesection"/>
      </w:pPr>
      <w:r>
        <w:tab/>
        <w:t>[Regulation 68 inserted in Gazette 27 Jun 2005 p. 2865-6.]</w:t>
      </w:r>
    </w:p>
    <w:p>
      <w:pPr>
        <w:pStyle w:val="Heading5"/>
      </w:pPr>
      <w:bookmarkStart w:id="193" w:name="_Toc163378758"/>
      <w:r>
        <w:rPr>
          <w:rStyle w:val="CharSectno"/>
        </w:rPr>
        <w:t>69</w:t>
      </w:r>
      <w:r>
        <w:t>.</w:t>
      </w:r>
      <w:r>
        <w:tab/>
        <w:t>Fines may be deducted from pay, etc.</w:t>
      </w:r>
      <w:bookmarkEnd w:id="193"/>
      <w:r>
        <w:t xml:space="preserve"> </w:t>
      </w:r>
    </w:p>
    <w:p>
      <w:pPr>
        <w:pStyle w:val="Subsection"/>
      </w:pPr>
      <w:r>
        <w:tab/>
        <w:t>(1)</w:t>
      </w:r>
      <w:r>
        <w:tab/>
        <w:t>A fine lawfully imposed under these regulations on an employee may be deducted, by order of the chief executive officer, from the pay due to the employee or any other moneys due to the employee in respect of his or her employment.</w:t>
      </w:r>
    </w:p>
    <w:p>
      <w:pPr>
        <w:pStyle w:val="Subsection"/>
      </w:pPr>
      <w:r>
        <w:tab/>
        <w:t>(2)</w:t>
      </w:r>
      <w:r>
        <w:tab/>
        <w:t>A penalty lawfully imposed under these regulations on an employee continues to have effect and is to be given effect to despite any review under regulation 65, but the chief executive officer shall ensure that any necessary financial adjustments are made or other appropriate action is taken upon the determination of the review.</w:t>
      </w:r>
    </w:p>
    <w:p>
      <w:pPr>
        <w:pStyle w:val="Subsection"/>
      </w:pPr>
      <w:r>
        <w:tab/>
        <w:t>(3)</w:t>
      </w:r>
      <w:r>
        <w:tab/>
        <w:t>Notwithstanding subregulation (2), a dismissal carried out under these regulations does not take effect until 14 days after the employee is informed of the dismissal and, in every case where there is a dismissal, the employee is automatically suspended from duty without pay or other entitlements from the time the dismissal is announced until the expiration of the period of 14 days.</w:t>
      </w:r>
    </w:p>
    <w:p>
      <w:pPr>
        <w:pStyle w:val="Subsection"/>
      </w:pPr>
      <w:r>
        <w:tab/>
        <w:t>(4)</w:t>
      </w:r>
      <w:r>
        <w:tab/>
        <w:t>An employee who is suspended from duty under subregulation (3) is entitled to receive full pay and entitlements for the period of the suspension if the finding of committing a serious breach of discipline is overturned.</w:t>
      </w:r>
    </w:p>
    <w:p>
      <w:pPr>
        <w:pStyle w:val="Footnotesection"/>
      </w:pPr>
      <w:r>
        <w:tab/>
        <w:t>[Regulation 69 inserted in Gazette 27 Jun 2005 p. 2866-7.]</w:t>
      </w:r>
    </w:p>
    <w:p>
      <w:pPr>
        <w:pStyle w:val="Heading3"/>
      </w:pPr>
      <w:bookmarkStart w:id="194" w:name="_Toc163378759"/>
      <w:r>
        <w:rPr>
          <w:rStyle w:val="CharDivNo"/>
        </w:rPr>
        <w:t>Division 4</w:t>
      </w:r>
      <w:r>
        <w:t> — </w:t>
      </w:r>
      <w:r>
        <w:rPr>
          <w:rStyle w:val="CharDivText"/>
        </w:rPr>
        <w:t>Use of force</w:t>
      </w:r>
      <w:bookmarkEnd w:id="194"/>
    </w:p>
    <w:p>
      <w:pPr>
        <w:pStyle w:val="Footnoteheading"/>
      </w:pPr>
      <w:r>
        <w:tab/>
        <w:t>[Heading inserted in Gazette 27 Jun 2005 p. 2867.]</w:t>
      </w:r>
    </w:p>
    <w:p>
      <w:pPr>
        <w:pStyle w:val="Heading5"/>
      </w:pPr>
      <w:bookmarkStart w:id="195" w:name="_Toc163378760"/>
      <w:r>
        <w:rPr>
          <w:rStyle w:val="CharSectno"/>
        </w:rPr>
        <w:t>70</w:t>
      </w:r>
      <w:r>
        <w:t>.</w:t>
      </w:r>
      <w:r>
        <w:tab/>
        <w:t>Application</w:t>
      </w:r>
      <w:bookmarkEnd w:id="195"/>
    </w:p>
    <w:p>
      <w:pPr>
        <w:pStyle w:val="Subsection"/>
      </w:pPr>
      <w:r>
        <w:tab/>
        <w:t>(1)</w:t>
      </w:r>
      <w:r>
        <w:tab/>
        <w:t>The “use of force” provisions in this Division apply to persons appointed under section 11(1) of the Act and group workers but do not apply to miscellaneous employees.</w:t>
      </w:r>
    </w:p>
    <w:p>
      <w:pPr>
        <w:pStyle w:val="Subsection"/>
      </w:pPr>
      <w:r>
        <w:tab/>
        <w:t>(2)</w:t>
      </w:r>
      <w:r>
        <w:tab/>
        <w:t>The “use of force and restraint” provisions in this Division apply to a declared facility under section 12 of the Act and to a detention centre under section 13 of the Act.</w:t>
      </w:r>
    </w:p>
    <w:p>
      <w:pPr>
        <w:pStyle w:val="Footnotesection"/>
      </w:pPr>
      <w:r>
        <w:tab/>
        <w:t>[Regulation 70 inserted in Gazette 27 Jun 2005 p. 2867.]</w:t>
      </w:r>
    </w:p>
    <w:p>
      <w:pPr>
        <w:pStyle w:val="Heading5"/>
      </w:pPr>
      <w:bookmarkStart w:id="196" w:name="_Toc163378761"/>
      <w:r>
        <w:rPr>
          <w:rStyle w:val="CharSectno"/>
        </w:rPr>
        <w:t>71</w:t>
      </w:r>
      <w:r>
        <w:t>.</w:t>
      </w:r>
      <w:r>
        <w:tab/>
        <w:t>Prescribed force (section 11C(1))</w:t>
      </w:r>
      <w:bookmarkEnd w:id="196"/>
    </w:p>
    <w:p>
      <w:pPr>
        <w:pStyle w:val="Subsection"/>
      </w:pPr>
      <w:r>
        <w:tab/>
        <w:t>(1)</w:t>
      </w:r>
      <w:r>
        <w:tab/>
        <w:t xml:space="preserve">For the purposes of section 11C(1) of the Act — </w:t>
      </w:r>
    </w:p>
    <w:p>
      <w:pPr>
        <w:pStyle w:val="Defstart"/>
      </w:pPr>
      <w:r>
        <w:rPr>
          <w:b/>
        </w:rPr>
        <w:tab/>
        <w:t>“</w:t>
      </w:r>
      <w:r>
        <w:rPr>
          <w:rStyle w:val="CharDefText"/>
        </w:rPr>
        <w:t>prescribed force</w:t>
      </w:r>
      <w:r>
        <w:rPr>
          <w:b/>
        </w:rPr>
        <w:t>”</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197" w:name="_Toc163378762"/>
      <w:r>
        <w:rPr>
          <w:rStyle w:val="CharSectno"/>
        </w:rPr>
        <w:t>72</w:t>
      </w:r>
      <w:r>
        <w:t>.</w:t>
      </w:r>
      <w:r>
        <w:tab/>
        <w:t>Prescribed circumstances for use of force (section 11C(2))</w:t>
      </w:r>
      <w:bookmarkEnd w:id="197"/>
    </w:p>
    <w:p>
      <w:pPr>
        <w:pStyle w:val="Subsection"/>
      </w:pPr>
      <w:r>
        <w:tab/>
        <w:t>(1)</w:t>
      </w:r>
      <w:r>
        <w:tab/>
        <w:t xml:space="preserve">For the purposes of section 11C(2) of the Act — </w:t>
      </w:r>
    </w:p>
    <w:p>
      <w:pPr>
        <w:pStyle w:val="Defstart"/>
      </w:pPr>
      <w:r>
        <w:rPr>
          <w:b/>
        </w:rPr>
        <w:tab/>
        <w:t>“</w:t>
      </w:r>
      <w:r>
        <w:rPr>
          <w:rStyle w:val="CharDefText"/>
        </w:rPr>
        <w:t>prescribed circumstances</w:t>
      </w:r>
      <w:r>
        <w:rPr>
          <w:b/>
        </w:rPr>
        <w:t>”</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w:t>
      </w:r>
      <w:r>
        <w:tab/>
        <w:t>A nurse or medical officer must ensure that photographs are taken immediately of any injury sustained either by the detainee or staff and the photographs, along with a copy of any medical report, must be forwarded to the superintendent.</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w:t>
      </w:r>
    </w:p>
    <w:p>
      <w:pPr>
        <w:pStyle w:val="Heading2"/>
      </w:pPr>
      <w:bookmarkStart w:id="198" w:name="_Toc163378763"/>
      <w:r>
        <w:rPr>
          <w:rStyle w:val="CharPartNo"/>
        </w:rPr>
        <w:t>Part 9</w:t>
      </w:r>
      <w:r>
        <w:rPr>
          <w:b w:val="0"/>
        </w:rPr>
        <w:t> </w:t>
      </w:r>
      <w:r>
        <w:t>— </w:t>
      </w:r>
      <w:r>
        <w:rPr>
          <w:rStyle w:val="CharPartText"/>
        </w:rPr>
        <w:t>Confinement of detainees</w:t>
      </w:r>
      <w:bookmarkEnd w:id="198"/>
    </w:p>
    <w:p>
      <w:pPr>
        <w:pStyle w:val="Footnoteheading"/>
      </w:pPr>
      <w:r>
        <w:tab/>
        <w:t>[Heading inserted in Gazette 27 Jun 2005 p. 2869.]</w:t>
      </w:r>
    </w:p>
    <w:p>
      <w:pPr>
        <w:pStyle w:val="Heading3"/>
      </w:pPr>
      <w:bookmarkStart w:id="199" w:name="_Toc163378764"/>
      <w:r>
        <w:rPr>
          <w:rStyle w:val="CharDivNo"/>
        </w:rPr>
        <w:t>Division 1</w:t>
      </w:r>
      <w:r>
        <w:t> — </w:t>
      </w:r>
      <w:r>
        <w:rPr>
          <w:rStyle w:val="CharDivText"/>
        </w:rPr>
        <w:t>Preliminary</w:t>
      </w:r>
      <w:bookmarkEnd w:id="199"/>
    </w:p>
    <w:p>
      <w:pPr>
        <w:pStyle w:val="Footnoteheading"/>
      </w:pPr>
      <w:r>
        <w:tab/>
        <w:t>[Heading inserted in Gazette 27 Jun 2005 p. 2869.]</w:t>
      </w:r>
    </w:p>
    <w:p>
      <w:pPr>
        <w:pStyle w:val="Heading5"/>
      </w:pPr>
      <w:bookmarkStart w:id="200" w:name="_Toc163378765"/>
      <w:r>
        <w:rPr>
          <w:rStyle w:val="CharSectno"/>
        </w:rPr>
        <w:t>73</w:t>
      </w:r>
      <w:r>
        <w:t>.</w:t>
      </w:r>
      <w:r>
        <w:tab/>
        <w:t>Interpretation</w:t>
      </w:r>
      <w:bookmarkEnd w:id="200"/>
    </w:p>
    <w:p>
      <w:pPr>
        <w:pStyle w:val="Subsection"/>
      </w:pPr>
      <w:r>
        <w:tab/>
      </w:r>
      <w:r>
        <w:tab/>
        <w:t xml:space="preserve">In this Part — </w:t>
      </w:r>
    </w:p>
    <w:p>
      <w:pPr>
        <w:pStyle w:val="Defstart"/>
      </w:pPr>
      <w:r>
        <w:rPr>
          <w:b/>
        </w:rPr>
        <w:tab/>
        <w:t>“</w:t>
      </w:r>
      <w:r>
        <w:rPr>
          <w:rStyle w:val="CharDefText"/>
        </w:rPr>
        <w:t>unlock hours</w:t>
      </w:r>
      <w:r>
        <w:rPr>
          <w:b/>
        </w:rPr>
        <w:t>”</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pPr>
      <w:bookmarkStart w:id="201" w:name="_Toc163378766"/>
      <w:r>
        <w:rPr>
          <w:rStyle w:val="CharSectno"/>
        </w:rPr>
        <w:t>74</w:t>
      </w:r>
      <w:r>
        <w:t>.</w:t>
      </w:r>
      <w:r>
        <w:tab/>
        <w:t>Imposition of confinement</w:t>
      </w:r>
      <w:bookmarkEnd w:id="201"/>
    </w:p>
    <w:p>
      <w:pPr>
        <w:pStyle w:val="Subsection"/>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202" w:name="_Toc163378767"/>
      <w:r>
        <w:rPr>
          <w:rStyle w:val="CharDivNo"/>
        </w:rPr>
        <w:t>Division 2</w:t>
      </w:r>
      <w:r>
        <w:t> — </w:t>
      </w:r>
      <w:r>
        <w:rPr>
          <w:rStyle w:val="CharDivText"/>
        </w:rPr>
        <w:t>Detention offence confinement</w:t>
      </w:r>
      <w:bookmarkEnd w:id="202"/>
    </w:p>
    <w:p>
      <w:pPr>
        <w:pStyle w:val="Footnoteheading"/>
      </w:pPr>
      <w:r>
        <w:tab/>
        <w:t>[Heading inserted in Gazette 27 Jun 2005 p. 2869.]</w:t>
      </w:r>
    </w:p>
    <w:p>
      <w:pPr>
        <w:pStyle w:val="Heading5"/>
      </w:pPr>
      <w:bookmarkStart w:id="203" w:name="_Toc163378768"/>
      <w:r>
        <w:rPr>
          <w:rStyle w:val="CharSectno"/>
        </w:rPr>
        <w:t>75</w:t>
      </w:r>
      <w:r>
        <w:t>.</w:t>
      </w:r>
      <w:r>
        <w:tab/>
        <w:t>Application</w:t>
      </w:r>
      <w:bookmarkEnd w:id="203"/>
    </w:p>
    <w:p>
      <w:pPr>
        <w:pStyle w:val="Subsection"/>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204" w:name="_Toc163378769"/>
      <w:r>
        <w:rPr>
          <w:rStyle w:val="CharSectno"/>
        </w:rPr>
        <w:t>76</w:t>
      </w:r>
      <w:r>
        <w:t>.</w:t>
      </w:r>
      <w:r>
        <w:tab/>
        <w:t>Confinement procedures</w:t>
      </w:r>
      <w:bookmarkEnd w:id="204"/>
    </w:p>
    <w:p>
      <w:pPr>
        <w:pStyle w:val="Subsection"/>
      </w:pPr>
      <w:r>
        <w:tab/>
        <w:t>(1)</w:t>
      </w:r>
      <w:r>
        <w:tab/>
        <w:t>A superintendent must make and maintain a record of an order to confine a detainee.</w:t>
      </w:r>
    </w:p>
    <w:p>
      <w:pPr>
        <w:pStyle w:val="Subsection"/>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pPr>
      <w:r>
        <w:tab/>
        <w:t>(3)</w:t>
      </w:r>
      <w:r>
        <w:tab/>
        <w:t>A detainee confined under this Division is entitled to fresh air, exercise and staff company for a period of at least 30 minutes every 3 hours during unlock hours.</w:t>
      </w:r>
    </w:p>
    <w:p>
      <w:pPr>
        <w:pStyle w:val="Footnotesection"/>
      </w:pPr>
      <w:r>
        <w:tab/>
        <w:t>[Regulation 76 inserted in Gazette 27 Jun 2005 p. 2870.]</w:t>
      </w:r>
    </w:p>
    <w:p>
      <w:pPr>
        <w:pStyle w:val="Heading5"/>
      </w:pPr>
      <w:bookmarkStart w:id="205" w:name="_Toc163378770"/>
      <w:r>
        <w:rPr>
          <w:rStyle w:val="CharSectno"/>
        </w:rPr>
        <w:t>77</w:t>
      </w:r>
      <w:r>
        <w:t>.</w:t>
      </w:r>
      <w:r>
        <w:tab/>
        <w:t>Confinement monitoring, searches, etc.</w:t>
      </w:r>
      <w:bookmarkEnd w:id="205"/>
    </w:p>
    <w:p>
      <w:pPr>
        <w:pStyle w:val="Subsection"/>
      </w:pPr>
      <w:r>
        <w:tab/>
        <w:t>(1)</w:t>
      </w:r>
      <w:r>
        <w:tab/>
        <w:t>A detainee placed in confinement must be subject to continuous monitoring for the first 30 minutes of that confinement.</w:t>
      </w:r>
    </w:p>
    <w:p>
      <w:pPr>
        <w:pStyle w:val="Subsection"/>
      </w:pPr>
      <w:r>
        <w:tab/>
        <w:t>(2)</w:t>
      </w:r>
      <w:r>
        <w:tab/>
        <w:t>After the first 30 minutes of confinement, a confined detainee must be subject to regular monitoring carried out in accordance with a written management regime that has been endorsed by the superintendent.</w:t>
      </w:r>
    </w:p>
    <w:p>
      <w:pPr>
        <w:pStyle w:val="Subsection"/>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77 inserted in Gazette 27 Jun 2005 p. 2870.]</w:t>
      </w:r>
    </w:p>
    <w:p>
      <w:pPr>
        <w:pStyle w:val="Heading3"/>
      </w:pPr>
      <w:bookmarkStart w:id="206" w:name="_Toc163378771"/>
      <w:r>
        <w:rPr>
          <w:rStyle w:val="CharDivNo"/>
        </w:rPr>
        <w:t>Division 3</w:t>
      </w:r>
      <w:r>
        <w:t> — </w:t>
      </w:r>
      <w:r>
        <w:rPr>
          <w:rStyle w:val="CharDivText"/>
        </w:rPr>
        <w:t>Good government, good order or security confinement</w:t>
      </w:r>
      <w:bookmarkEnd w:id="206"/>
    </w:p>
    <w:p>
      <w:pPr>
        <w:pStyle w:val="Footnoteheading"/>
      </w:pPr>
      <w:r>
        <w:tab/>
        <w:t>[Heading inserted in Gazette 27 Jun 2005 p. 2870.]</w:t>
      </w:r>
    </w:p>
    <w:p>
      <w:pPr>
        <w:pStyle w:val="Heading5"/>
      </w:pPr>
      <w:bookmarkStart w:id="207" w:name="_Toc163378772"/>
      <w:r>
        <w:rPr>
          <w:rStyle w:val="CharSectno"/>
        </w:rPr>
        <w:t>78</w:t>
      </w:r>
      <w:r>
        <w:t>.</w:t>
      </w:r>
      <w:r>
        <w:tab/>
        <w:t>Application</w:t>
      </w:r>
      <w:bookmarkEnd w:id="207"/>
    </w:p>
    <w:p>
      <w:pPr>
        <w:pStyle w:val="Subsection"/>
      </w:pPr>
      <w:r>
        <w:tab/>
        <w:t>(1)</w:t>
      </w:r>
      <w:r>
        <w:tab/>
        <w:t>This Division applies to an order by a superintendent that a detainee be confined to that detainee’s sleeping quarters or to a designated room as a way of maintaining good government, good order or security.</w:t>
      </w:r>
    </w:p>
    <w:p>
      <w:pPr>
        <w:pStyle w:val="Subsection"/>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208" w:name="_Toc163378773"/>
      <w:r>
        <w:rPr>
          <w:rStyle w:val="CharSectno"/>
        </w:rPr>
        <w:t>79</w:t>
      </w:r>
      <w:r>
        <w:t>.</w:t>
      </w:r>
      <w:r>
        <w:tab/>
        <w:t>Confinement procedures</w:t>
      </w:r>
      <w:bookmarkEnd w:id="208"/>
    </w:p>
    <w:p>
      <w:pPr>
        <w:pStyle w:val="Subsection"/>
      </w:pPr>
      <w:r>
        <w:tab/>
        <w:t>(1)</w:t>
      </w:r>
      <w:r>
        <w:tab/>
        <w:t>A superintendent must make and maintain a record of an order to confine a detainee.</w:t>
      </w:r>
    </w:p>
    <w:p>
      <w:pPr>
        <w:pStyle w:val="Subsection"/>
      </w:pPr>
      <w:r>
        <w:tab/>
        <w:t>(2)</w:t>
      </w:r>
      <w:r>
        <w:tab/>
        <w:t>The superintendent that ordered confinement must inform the detainee of the reason for the confinement.</w:t>
      </w:r>
    </w:p>
    <w:p>
      <w:pPr>
        <w:pStyle w:val="Subsection"/>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pPr>
      <w:r>
        <w:tab/>
        <w:t>(4)</w:t>
      </w:r>
      <w:r>
        <w:tab/>
        <w:t xml:space="preserve">A detainee whose confinement is for 12 hours or longer is entitled to at least one hour of exercise each 6 hours during unlock hours. </w:t>
      </w:r>
    </w:p>
    <w:p>
      <w:pPr>
        <w:pStyle w:val="Subsection"/>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209" w:name="_Toc163378774"/>
      <w:r>
        <w:rPr>
          <w:rStyle w:val="CharSectno"/>
        </w:rPr>
        <w:t>80</w:t>
      </w:r>
      <w:r>
        <w:t>.</w:t>
      </w:r>
      <w:r>
        <w:tab/>
        <w:t>Confinement monitoring, searches, etc.</w:t>
      </w:r>
      <w:bookmarkEnd w:id="209"/>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210" w:name="_Toc163378775"/>
      <w:r>
        <w:rPr>
          <w:rStyle w:val="CharPartNo"/>
        </w:rPr>
        <w:t>Part 10</w:t>
      </w:r>
      <w:r>
        <w:rPr>
          <w:b w:val="0"/>
        </w:rPr>
        <w:t> </w:t>
      </w:r>
      <w:r>
        <w:t>— </w:t>
      </w:r>
      <w:r>
        <w:rPr>
          <w:rStyle w:val="CharPartText"/>
        </w:rPr>
        <w:t>Search and seizure</w:t>
      </w:r>
      <w:bookmarkEnd w:id="210"/>
    </w:p>
    <w:p>
      <w:pPr>
        <w:pStyle w:val="Footnoteheading"/>
      </w:pPr>
      <w:r>
        <w:tab/>
        <w:t>[Heading inserted in Gazette 27 Jun 2005 p. 2872.]</w:t>
      </w:r>
    </w:p>
    <w:p>
      <w:pPr>
        <w:pStyle w:val="Heading3"/>
      </w:pPr>
      <w:bookmarkStart w:id="211" w:name="_Toc163378776"/>
      <w:r>
        <w:rPr>
          <w:rStyle w:val="CharDivNo"/>
        </w:rPr>
        <w:t>Division 1</w:t>
      </w:r>
      <w:r>
        <w:t> — </w:t>
      </w:r>
      <w:r>
        <w:rPr>
          <w:rStyle w:val="CharDivText"/>
        </w:rPr>
        <w:t>Preliminary</w:t>
      </w:r>
      <w:bookmarkEnd w:id="211"/>
    </w:p>
    <w:p>
      <w:pPr>
        <w:pStyle w:val="Footnoteheading"/>
      </w:pPr>
      <w:r>
        <w:tab/>
        <w:t>[Heading inserted in Gazette 27 Jun 2005 p. 2872.]</w:t>
      </w:r>
    </w:p>
    <w:p>
      <w:pPr>
        <w:pStyle w:val="Heading5"/>
      </w:pPr>
      <w:bookmarkStart w:id="212" w:name="_Toc163378777"/>
      <w:r>
        <w:rPr>
          <w:rStyle w:val="CharSectno"/>
        </w:rPr>
        <w:t>81</w:t>
      </w:r>
      <w:r>
        <w:t>.</w:t>
      </w:r>
      <w:r>
        <w:tab/>
        <w:t>Interpretation and application of Part 10</w:t>
      </w:r>
      <w:bookmarkEnd w:id="212"/>
    </w:p>
    <w:p>
      <w:pPr>
        <w:pStyle w:val="Subsection"/>
      </w:pPr>
      <w:r>
        <w:tab/>
        <w:t>(1)</w:t>
      </w:r>
      <w:r>
        <w:tab/>
        <w:t xml:space="preserve">In this Part — </w:t>
      </w:r>
    </w:p>
    <w:p>
      <w:pPr>
        <w:pStyle w:val="Defstart"/>
      </w:pPr>
      <w:r>
        <w:rPr>
          <w:b/>
        </w:rPr>
        <w:tab/>
        <w:t>“</w:t>
      </w:r>
      <w:r>
        <w:rPr>
          <w:rStyle w:val="CharDefText"/>
        </w:rPr>
        <w:t>illegal</w:t>
      </w:r>
      <w:r>
        <w:rPr>
          <w:b/>
        </w:rPr>
        <w:t>”</w:t>
      </w:r>
      <w:r>
        <w:rPr>
          <w:bCs/>
        </w:rPr>
        <w:t xml:space="preserve">, in relation to things, </w:t>
      </w:r>
      <w:r>
        <w:t>means an article or substance, the possession of which is unlawful;</w:t>
      </w:r>
    </w:p>
    <w:p>
      <w:pPr>
        <w:pStyle w:val="Defstart"/>
      </w:pPr>
      <w:r>
        <w:rPr>
          <w:b/>
        </w:rPr>
        <w:tab/>
        <w:t>“</w:t>
      </w:r>
      <w:r>
        <w:rPr>
          <w:rStyle w:val="CharDefText"/>
        </w:rPr>
        <w:t>illegal thing</w:t>
      </w:r>
      <w:r>
        <w:rPr>
          <w:b/>
        </w:rPr>
        <w:t xml:space="preserve">” </w:t>
      </w:r>
      <w:r>
        <w:t>means an article or substance that a person conducting a search suspects is illegal;</w:t>
      </w:r>
    </w:p>
    <w:p>
      <w:pPr>
        <w:pStyle w:val="Defstart"/>
      </w:pPr>
      <w:r>
        <w:rPr>
          <w:b/>
        </w:rPr>
        <w:tab/>
        <w:t>“</w:t>
      </w:r>
      <w:r>
        <w:rPr>
          <w:rStyle w:val="CharDefText"/>
        </w:rPr>
        <w:t>substance</w:t>
      </w:r>
      <w:r>
        <w:rPr>
          <w:b/>
        </w:rPr>
        <w:t>”</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t>“</w:t>
      </w:r>
      <w:r>
        <w:rPr>
          <w:rStyle w:val="CharDefText"/>
        </w:rPr>
        <w:t>unauthorised</w:t>
      </w:r>
      <w:r>
        <w:rPr>
          <w:b/>
        </w:rPr>
        <w:t>”</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t>“</w:t>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213" w:name="_Toc163378778"/>
      <w:r>
        <w:rPr>
          <w:rStyle w:val="CharSectno"/>
        </w:rPr>
        <w:t>82</w:t>
      </w:r>
      <w:r>
        <w:t>.</w:t>
      </w:r>
      <w:r>
        <w:tab/>
        <w:t>Superintendent empowered to search</w:t>
      </w:r>
      <w:bookmarkEnd w:id="213"/>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214" w:name="_Toc163378779"/>
      <w:r>
        <w:rPr>
          <w:rStyle w:val="CharSectno"/>
        </w:rPr>
        <w:t>83</w:t>
      </w:r>
      <w:r>
        <w:t>.</w:t>
      </w:r>
      <w:r>
        <w:tab/>
        <w:t>Superintendent empowered to search with assistance of trained dog</w:t>
      </w:r>
      <w:bookmarkEnd w:id="214"/>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215" w:name="_Toc163378780"/>
      <w:r>
        <w:rPr>
          <w:rStyle w:val="CharSectno"/>
        </w:rPr>
        <w:t>84</w:t>
      </w:r>
      <w:r>
        <w:t>.</w:t>
      </w:r>
      <w:r>
        <w:tab/>
        <w:t>Superintendent empowered to use force when searching detainees</w:t>
      </w:r>
      <w:bookmarkEnd w:id="215"/>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216" w:name="_Toc163378781"/>
      <w:r>
        <w:rPr>
          <w:rStyle w:val="CharDivNo"/>
        </w:rPr>
        <w:t>Division 2</w:t>
      </w:r>
      <w:r>
        <w:t> — </w:t>
      </w:r>
      <w:r>
        <w:rPr>
          <w:rStyle w:val="CharDivText"/>
        </w:rPr>
        <w:t>Searching detainees</w:t>
      </w:r>
      <w:bookmarkEnd w:id="216"/>
    </w:p>
    <w:p>
      <w:pPr>
        <w:pStyle w:val="Footnoteheading"/>
      </w:pPr>
      <w:r>
        <w:tab/>
        <w:t>[Heading inserted in Gazette 27 Jun 2005 p. 2874.]</w:t>
      </w:r>
    </w:p>
    <w:p>
      <w:pPr>
        <w:pStyle w:val="Heading5"/>
      </w:pPr>
      <w:bookmarkStart w:id="217" w:name="_Toc163378782"/>
      <w:r>
        <w:rPr>
          <w:rStyle w:val="CharSectno"/>
        </w:rPr>
        <w:t>85</w:t>
      </w:r>
      <w:r>
        <w:t>.</w:t>
      </w:r>
      <w:r>
        <w:tab/>
        <w:t>When</w:t>
      </w:r>
      <w:bookmarkEnd w:id="217"/>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218" w:name="_Toc163378783"/>
      <w:r>
        <w:rPr>
          <w:rStyle w:val="CharSectno"/>
        </w:rPr>
        <w:t>86</w:t>
      </w:r>
      <w:r>
        <w:t>.</w:t>
      </w:r>
      <w:r>
        <w:tab/>
        <w:t>How</w:t>
      </w:r>
      <w:bookmarkEnd w:id="218"/>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219" w:name="_Toc163378784"/>
      <w:r>
        <w:rPr>
          <w:rStyle w:val="CharSectno"/>
        </w:rPr>
        <w:t>87</w:t>
      </w:r>
      <w:r>
        <w:t>.</w:t>
      </w:r>
      <w:r>
        <w:tab/>
        <w:t>If illegal or unauthorised things are found</w:t>
      </w:r>
      <w:bookmarkEnd w:id="219"/>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220" w:name="_Toc163378785"/>
      <w:r>
        <w:rPr>
          <w:rStyle w:val="CharDivNo"/>
        </w:rPr>
        <w:t>Division 3</w:t>
      </w:r>
      <w:r>
        <w:t> — </w:t>
      </w:r>
      <w:r>
        <w:rPr>
          <w:rStyle w:val="CharDivText"/>
        </w:rPr>
        <w:t>Searching officers or other employees</w:t>
      </w:r>
      <w:bookmarkEnd w:id="220"/>
    </w:p>
    <w:p>
      <w:pPr>
        <w:pStyle w:val="Footnoteheading"/>
      </w:pPr>
      <w:r>
        <w:tab/>
        <w:t>[Heading inserted in Gazette 27 Jun 2005 p. 2876.]</w:t>
      </w:r>
    </w:p>
    <w:p>
      <w:pPr>
        <w:pStyle w:val="Heading5"/>
      </w:pPr>
      <w:bookmarkStart w:id="221" w:name="_Toc163378786"/>
      <w:r>
        <w:rPr>
          <w:rStyle w:val="CharSectno"/>
        </w:rPr>
        <w:t>88</w:t>
      </w:r>
      <w:r>
        <w:t>.</w:t>
      </w:r>
      <w:r>
        <w:tab/>
        <w:t>When</w:t>
      </w:r>
      <w:bookmarkEnd w:id="221"/>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222" w:name="_Toc163378787"/>
      <w:r>
        <w:rPr>
          <w:rStyle w:val="CharSectno"/>
        </w:rPr>
        <w:t>89</w:t>
      </w:r>
      <w:r>
        <w:t>.</w:t>
      </w:r>
      <w:r>
        <w:tab/>
        <w:t>How</w:t>
      </w:r>
      <w:bookmarkEnd w:id="222"/>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Subsection"/>
      </w:pPr>
      <w:r>
        <w:tab/>
        <w:t>(3)</w:t>
      </w:r>
      <w:r>
        <w:tab/>
        <w:t>The refusal of an officer or other employee to submit to a search constitutes disobedience of a lawful order for the purposes of regulation 54.</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w:t>
      </w:r>
    </w:p>
    <w:p>
      <w:pPr>
        <w:pStyle w:val="Heading5"/>
      </w:pPr>
      <w:bookmarkStart w:id="223" w:name="_Toc163378788"/>
      <w:r>
        <w:rPr>
          <w:rStyle w:val="CharSectno"/>
        </w:rPr>
        <w:t>90</w:t>
      </w:r>
      <w:r>
        <w:t>.</w:t>
      </w:r>
      <w:r>
        <w:tab/>
        <w:t>If illegal or unauthorised things are found</w:t>
      </w:r>
      <w:bookmarkEnd w:id="223"/>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224" w:name="_Toc163378789"/>
      <w:r>
        <w:rPr>
          <w:rStyle w:val="CharDivNo"/>
        </w:rPr>
        <w:t>Division 4</w:t>
      </w:r>
      <w:r>
        <w:t> — </w:t>
      </w:r>
      <w:r>
        <w:rPr>
          <w:rStyle w:val="CharDivText"/>
        </w:rPr>
        <w:t>Searching other persons</w:t>
      </w:r>
      <w:bookmarkEnd w:id="224"/>
    </w:p>
    <w:p>
      <w:pPr>
        <w:pStyle w:val="Footnoteheading"/>
      </w:pPr>
      <w:r>
        <w:tab/>
        <w:t>[Heading inserted in Gazette 27 Jun 2005 p. 2877.]</w:t>
      </w:r>
    </w:p>
    <w:p>
      <w:pPr>
        <w:pStyle w:val="Heading5"/>
      </w:pPr>
      <w:bookmarkStart w:id="225" w:name="_Toc163378790"/>
      <w:r>
        <w:rPr>
          <w:rStyle w:val="CharSectno"/>
        </w:rPr>
        <w:t>91</w:t>
      </w:r>
      <w:r>
        <w:t>.</w:t>
      </w:r>
      <w:r>
        <w:tab/>
        <w:t>When</w:t>
      </w:r>
      <w:bookmarkEnd w:id="225"/>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226" w:name="_Toc163378791"/>
      <w:r>
        <w:rPr>
          <w:rStyle w:val="CharSectno"/>
        </w:rPr>
        <w:t>92</w:t>
      </w:r>
      <w:r>
        <w:t>.</w:t>
      </w:r>
      <w:r>
        <w:tab/>
        <w:t>How</w:t>
      </w:r>
      <w:bookmarkEnd w:id="226"/>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227" w:name="_Toc163378792"/>
      <w:r>
        <w:rPr>
          <w:rStyle w:val="CharSectno"/>
        </w:rPr>
        <w:t>93</w:t>
      </w:r>
      <w:r>
        <w:t>.</w:t>
      </w:r>
      <w:r>
        <w:tab/>
        <w:t>If illegal or unauthorised things are found</w:t>
      </w:r>
      <w:bookmarkEnd w:id="227"/>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228" w:name="_Toc163378793"/>
      <w:r>
        <w:rPr>
          <w:rStyle w:val="CharDivNo"/>
        </w:rPr>
        <w:t>Division 5</w:t>
      </w:r>
      <w:r>
        <w:t> — </w:t>
      </w:r>
      <w:r>
        <w:rPr>
          <w:rStyle w:val="CharDivText"/>
        </w:rPr>
        <w:t>Use of dogs</w:t>
      </w:r>
      <w:bookmarkEnd w:id="228"/>
    </w:p>
    <w:p>
      <w:pPr>
        <w:pStyle w:val="Footnoteheading"/>
      </w:pPr>
      <w:r>
        <w:tab/>
        <w:t>[Heading inserted in Gazette 27 Jun 2005 p. 2881.]</w:t>
      </w:r>
    </w:p>
    <w:p>
      <w:pPr>
        <w:pStyle w:val="Heading5"/>
      </w:pPr>
      <w:bookmarkStart w:id="229" w:name="_Toc163378794"/>
      <w:r>
        <w:rPr>
          <w:rStyle w:val="CharSectno"/>
        </w:rPr>
        <w:t>94</w:t>
      </w:r>
      <w:r>
        <w:t>.</w:t>
      </w:r>
      <w:r>
        <w:tab/>
        <w:t>Dogs can be used to search for drugs</w:t>
      </w:r>
      <w:bookmarkEnd w:id="229"/>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230" w:name="_Toc163378795"/>
      <w:r>
        <w:rPr>
          <w:rStyle w:val="CharSectno"/>
        </w:rPr>
        <w:t>95</w:t>
      </w:r>
      <w:r>
        <w:t>.</w:t>
      </w:r>
      <w:r>
        <w:tab/>
        <w:t>Dogs to be under the control of a dog handler</w:t>
      </w:r>
      <w:bookmarkEnd w:id="230"/>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231" w:name="_Toc163378796"/>
      <w:r>
        <w:rPr>
          <w:rStyle w:val="CharSectno"/>
        </w:rPr>
        <w:t>96</w:t>
      </w:r>
      <w:r>
        <w:t>.</w:t>
      </w:r>
      <w:r>
        <w:tab/>
        <w:t>Dogs to be used in authorised manner</w:t>
      </w:r>
      <w:bookmarkEnd w:id="231"/>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232" w:name="_Toc163378797"/>
      <w:r>
        <w:rPr>
          <w:rStyle w:val="CharSectno"/>
        </w:rPr>
        <w:t>97</w:t>
      </w:r>
      <w:r>
        <w:t>.</w:t>
      </w:r>
      <w:r>
        <w:tab/>
        <w:t>Dogs in searches</w:t>
      </w:r>
      <w:bookmarkEnd w:id="232"/>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233" w:name="_Toc163378798"/>
      <w:r>
        <w:rPr>
          <w:rStyle w:val="CharDivNo"/>
        </w:rPr>
        <w:t>Division 6</w:t>
      </w:r>
      <w:r>
        <w:t> — </w:t>
      </w:r>
      <w:r>
        <w:rPr>
          <w:rStyle w:val="CharDivText"/>
        </w:rPr>
        <w:t>Securing illegal or unauthorised things</w:t>
      </w:r>
      <w:bookmarkEnd w:id="233"/>
    </w:p>
    <w:p>
      <w:pPr>
        <w:pStyle w:val="Footnoteheading"/>
      </w:pPr>
      <w:r>
        <w:tab/>
        <w:t>[Heading inserted in Gazette 27 Jun 2005 p. 2883.]</w:t>
      </w:r>
    </w:p>
    <w:p>
      <w:pPr>
        <w:pStyle w:val="Heading5"/>
      </w:pPr>
      <w:bookmarkStart w:id="234" w:name="_Toc163378799"/>
      <w:r>
        <w:rPr>
          <w:rStyle w:val="CharSectno"/>
        </w:rPr>
        <w:t>98</w:t>
      </w:r>
      <w:r>
        <w:t>.</w:t>
      </w:r>
      <w:r>
        <w:tab/>
        <w:t>Securing illegal or unauthorised things</w:t>
      </w:r>
      <w:bookmarkEnd w:id="234"/>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235" w:name="_Toc163378800"/>
      <w:r>
        <w:rPr>
          <w:rStyle w:val="CharPartNo"/>
        </w:rPr>
        <w:t>Part 11</w:t>
      </w:r>
      <w:r>
        <w:rPr>
          <w:b w:val="0"/>
        </w:rPr>
        <w:t> </w:t>
      </w:r>
      <w:r>
        <w:t>—</w:t>
      </w:r>
      <w:r>
        <w:rPr>
          <w:b w:val="0"/>
        </w:rPr>
        <w:t> </w:t>
      </w:r>
      <w:r>
        <w:rPr>
          <w:rStyle w:val="CharPartText"/>
        </w:rPr>
        <w:t>Body samples</w:t>
      </w:r>
      <w:bookmarkEnd w:id="235"/>
    </w:p>
    <w:p>
      <w:pPr>
        <w:pStyle w:val="Footnoteheading"/>
      </w:pPr>
      <w:r>
        <w:tab/>
        <w:t>[Heading inserted in Gazette 27 Jun 2005 p. 2884.]</w:t>
      </w:r>
    </w:p>
    <w:p>
      <w:pPr>
        <w:pStyle w:val="Heading3"/>
      </w:pPr>
      <w:bookmarkStart w:id="236" w:name="_Toc163378801"/>
      <w:r>
        <w:rPr>
          <w:rStyle w:val="CharDivNo"/>
        </w:rPr>
        <w:t>Division 1</w:t>
      </w:r>
      <w:r>
        <w:t xml:space="preserve"> — </w:t>
      </w:r>
      <w:r>
        <w:rPr>
          <w:rStyle w:val="CharDivText"/>
        </w:rPr>
        <w:t>Taking body samples</w:t>
      </w:r>
      <w:bookmarkEnd w:id="236"/>
    </w:p>
    <w:p>
      <w:pPr>
        <w:pStyle w:val="Footnoteheading"/>
      </w:pPr>
      <w:r>
        <w:tab/>
        <w:t>[Heading inserted in Gazette 27 Jun 2005 p. 2884.]</w:t>
      </w:r>
    </w:p>
    <w:p>
      <w:pPr>
        <w:pStyle w:val="Heading5"/>
      </w:pPr>
      <w:bookmarkStart w:id="237" w:name="_Toc163378802"/>
      <w:r>
        <w:rPr>
          <w:rStyle w:val="CharSectno"/>
        </w:rPr>
        <w:t>99</w:t>
      </w:r>
      <w:r>
        <w:t>.</w:t>
      </w:r>
      <w:r>
        <w:tab/>
        <w:t>Officer who suspects unauthorised or illegal substance use to inform superintendent</w:t>
      </w:r>
      <w:bookmarkEnd w:id="237"/>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238" w:name="_Toc163378803"/>
      <w:r>
        <w:rPr>
          <w:rStyle w:val="CharSectno"/>
        </w:rPr>
        <w:t>100</w:t>
      </w:r>
      <w:r>
        <w:t>.</w:t>
      </w:r>
      <w:r>
        <w:tab/>
        <w:t>Circumstances that may prompt requirement for body samples</w:t>
      </w:r>
      <w:bookmarkEnd w:id="238"/>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239" w:name="_Toc163378804"/>
      <w:r>
        <w:rPr>
          <w:rStyle w:val="CharSectno"/>
        </w:rPr>
        <w:t>101</w:t>
      </w:r>
      <w:r>
        <w:t>.</w:t>
      </w:r>
      <w:r>
        <w:tab/>
        <w:t>Taking of body samples</w:t>
      </w:r>
      <w:bookmarkEnd w:id="239"/>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or urine is to be taken by a medical practitioner or a registered nurse.</w:t>
      </w:r>
    </w:p>
    <w:p>
      <w:pPr>
        <w:pStyle w:val="Footnotesection"/>
      </w:pPr>
      <w:r>
        <w:tab/>
        <w:t>[Regulation 101 inserted in Gazette 27 Jun 2005 p. 2885.]</w:t>
      </w:r>
    </w:p>
    <w:p>
      <w:pPr>
        <w:pStyle w:val="Heading3"/>
      </w:pPr>
      <w:bookmarkStart w:id="240" w:name="_Toc163378805"/>
      <w:r>
        <w:rPr>
          <w:rStyle w:val="CharDivNo"/>
        </w:rPr>
        <w:t>Division 2</w:t>
      </w:r>
      <w:r>
        <w:t xml:space="preserve"> — </w:t>
      </w:r>
      <w:r>
        <w:rPr>
          <w:rStyle w:val="CharDivText"/>
        </w:rPr>
        <w:t>Analysis</w:t>
      </w:r>
      <w:bookmarkEnd w:id="240"/>
    </w:p>
    <w:p>
      <w:pPr>
        <w:pStyle w:val="Footnoteheading"/>
      </w:pPr>
      <w:r>
        <w:tab/>
        <w:t>[Heading inserted in Gazette 27 Jun 2005 p. 2885.]</w:t>
      </w:r>
    </w:p>
    <w:p>
      <w:pPr>
        <w:pStyle w:val="Heading5"/>
      </w:pPr>
      <w:bookmarkStart w:id="241" w:name="_Toc163378806"/>
      <w:r>
        <w:rPr>
          <w:rStyle w:val="CharSectno"/>
        </w:rPr>
        <w:t>102</w:t>
      </w:r>
      <w:r>
        <w:t>.</w:t>
      </w:r>
      <w:r>
        <w:tab/>
        <w:t>Approval of analysis agent</w:t>
      </w:r>
      <w:bookmarkEnd w:id="241"/>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b/>
          <w:bCs/>
        </w:rPr>
        <w:t>“</w:t>
      </w:r>
      <w:r>
        <w:rPr>
          <w:rStyle w:val="CharDefText"/>
        </w:rPr>
        <w:t>analyst</w:t>
      </w:r>
      <w:r>
        <w:rPr>
          <w:b/>
          <w:bCs/>
        </w:rPr>
        <w: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242" w:name="_Toc163378807"/>
      <w:r>
        <w:rPr>
          <w:rStyle w:val="CharSectno"/>
        </w:rPr>
        <w:t>103</w:t>
      </w:r>
      <w:r>
        <w:t>.</w:t>
      </w:r>
      <w:r>
        <w:tab/>
        <w:t>Analyst to give certificate</w:t>
      </w:r>
      <w:bookmarkEnd w:id="242"/>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243" w:name="_Toc163378808"/>
      <w:r>
        <w:rPr>
          <w:rStyle w:val="CharSectno"/>
        </w:rPr>
        <w:t>104</w:t>
      </w:r>
      <w:r>
        <w:t>.</w:t>
      </w:r>
      <w:r>
        <w:tab/>
        <w:t>Admissibility of analyst’s certificate</w:t>
      </w:r>
      <w:bookmarkEnd w:id="243"/>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44" w:name="_Toc60635520"/>
      <w:bookmarkStart w:id="245" w:name="_Toc163378809"/>
      <w:r>
        <w:rPr>
          <w:rStyle w:val="CharSchNo"/>
        </w:rPr>
        <w:t>Schedule 1</w:t>
      </w:r>
      <w:bookmarkEnd w:id="244"/>
      <w:bookmarkEnd w:id="245"/>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46" w:name="_Toc107636283"/>
      <w:bookmarkStart w:id="247" w:name="_Toc163378810"/>
      <w:r>
        <w:t>Notes</w:t>
      </w:r>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8" w:name="_Toc60635521"/>
      <w:bookmarkStart w:id="249" w:name="_Toc163378811"/>
      <w:r>
        <w:rPr>
          <w:snapToGrid w:val="0"/>
        </w:rPr>
        <w:t>Compilation table</w:t>
      </w:r>
      <w:bookmarkEnd w:id="248"/>
      <w:bookmarkEnd w:id="2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Young Offenders Regulations 1995</w:t>
            </w:r>
          </w:p>
        </w:tc>
        <w:tc>
          <w:tcPr>
            <w:tcW w:w="1276" w:type="dxa"/>
          </w:tcPr>
          <w:p>
            <w:pPr>
              <w:pStyle w:val="nTable"/>
              <w:spacing w:after="40"/>
              <w:rPr>
                <w:sz w:val="19"/>
              </w:rPr>
            </w:pPr>
            <w:r>
              <w:rPr>
                <w:sz w:val="19"/>
              </w:rPr>
              <w:t>3 Mar 1995 p. 853</w:t>
            </w:r>
            <w:r>
              <w:rPr>
                <w:sz w:val="19"/>
              </w:rPr>
              <w:noBreakHyphen/>
              <w:t>76</w:t>
            </w:r>
          </w:p>
        </w:tc>
        <w:tc>
          <w:tcPr>
            <w:tcW w:w="2693" w:type="dxa"/>
          </w:tcPr>
          <w:p>
            <w:pPr>
              <w:pStyle w:val="nTable"/>
              <w:spacing w:after="40"/>
              <w:rPr>
                <w:sz w:val="19"/>
              </w:rPr>
            </w:pPr>
            <w:r>
              <w:rPr>
                <w:sz w:val="19"/>
              </w:rPr>
              <w:t xml:space="preserve">13 Mar 1995 (see </w:t>
            </w:r>
            <w:r>
              <w:rPr>
                <w:i/>
                <w:sz w:val="19"/>
              </w:rPr>
              <w:t>Gazette</w:t>
            </w:r>
            <w:r>
              <w:rPr>
                <w:sz w:val="19"/>
              </w:rPr>
              <w:t xml:space="preserve"> 10 Mar 1995 p. 895)</w:t>
            </w:r>
          </w:p>
        </w:tc>
      </w:tr>
      <w:tr>
        <w:tc>
          <w:tcPr>
            <w:tcW w:w="3118" w:type="dxa"/>
          </w:tcPr>
          <w:p>
            <w:pPr>
              <w:pStyle w:val="nTable"/>
              <w:spacing w:after="40"/>
              <w:rPr>
                <w:i/>
                <w:sz w:val="19"/>
              </w:rPr>
            </w:pPr>
            <w:r>
              <w:rPr>
                <w:i/>
                <w:sz w:val="19"/>
              </w:rPr>
              <w:t>Young Offenders Amendment Regulations 1995</w:t>
            </w:r>
          </w:p>
        </w:tc>
        <w:tc>
          <w:tcPr>
            <w:tcW w:w="1276" w:type="dxa"/>
          </w:tcPr>
          <w:p>
            <w:pPr>
              <w:pStyle w:val="nTable"/>
              <w:spacing w:after="40"/>
              <w:rPr>
                <w:sz w:val="19"/>
              </w:rPr>
            </w:pPr>
            <w:r>
              <w:rPr>
                <w:sz w:val="19"/>
              </w:rPr>
              <w:t>9 Jan 1996 p. 53</w:t>
            </w:r>
            <w:r>
              <w:rPr>
                <w:sz w:val="19"/>
              </w:rPr>
              <w:noBreakHyphen/>
              <w:t>4</w:t>
            </w:r>
          </w:p>
        </w:tc>
        <w:tc>
          <w:tcPr>
            <w:tcW w:w="2693" w:type="dxa"/>
          </w:tcPr>
          <w:p>
            <w:pPr>
              <w:pStyle w:val="nTable"/>
              <w:spacing w:after="40"/>
              <w:rPr>
                <w:sz w:val="19"/>
              </w:rPr>
            </w:pPr>
            <w:r>
              <w:rPr>
                <w:sz w:val="19"/>
              </w:rPr>
              <w:t>9 Jan 1996</w:t>
            </w:r>
          </w:p>
        </w:tc>
      </w:tr>
      <w:tr>
        <w:tc>
          <w:tcPr>
            <w:tcW w:w="3118" w:type="dxa"/>
          </w:tcPr>
          <w:p>
            <w:pPr>
              <w:pStyle w:val="nTable"/>
              <w:spacing w:after="40"/>
              <w:rPr>
                <w:i/>
                <w:sz w:val="19"/>
              </w:rPr>
            </w:pPr>
            <w:r>
              <w:rPr>
                <w:i/>
                <w:sz w:val="19"/>
              </w:rPr>
              <w:t>Young Offenders Amendment Regulations 2000</w:t>
            </w:r>
          </w:p>
        </w:tc>
        <w:tc>
          <w:tcPr>
            <w:tcW w:w="1276" w:type="dxa"/>
          </w:tcPr>
          <w:p>
            <w:pPr>
              <w:pStyle w:val="nTable"/>
              <w:spacing w:after="40"/>
              <w:rPr>
                <w:sz w:val="19"/>
              </w:rPr>
            </w:pPr>
            <w:r>
              <w:rPr>
                <w:sz w:val="19"/>
              </w:rPr>
              <w:t>25 Jul 2000 p. 3909</w:t>
            </w:r>
            <w:r>
              <w:rPr>
                <w:sz w:val="19"/>
              </w:rPr>
              <w:noBreakHyphen/>
              <w:t>10</w:t>
            </w:r>
          </w:p>
        </w:tc>
        <w:tc>
          <w:tcPr>
            <w:tcW w:w="2693" w:type="dxa"/>
          </w:tcPr>
          <w:p>
            <w:pPr>
              <w:pStyle w:val="nTable"/>
              <w:spacing w:after="40"/>
              <w:rPr>
                <w:sz w:val="19"/>
              </w:rPr>
            </w:pPr>
            <w:r>
              <w:rPr>
                <w:sz w:val="19"/>
              </w:rPr>
              <w:t>25 Jul 2000</w:t>
            </w:r>
          </w:p>
        </w:tc>
      </w:tr>
      <w:tr>
        <w:trPr>
          <w:cantSplit/>
        </w:trPr>
        <w:tc>
          <w:tcPr>
            <w:tcW w:w="7087" w:type="dxa"/>
            <w:gridSpan w:val="3"/>
          </w:tcPr>
          <w:p>
            <w:pPr>
              <w:pStyle w:val="nTable"/>
              <w:spacing w:after="40"/>
              <w:rPr>
                <w:sz w:val="19"/>
              </w:rPr>
            </w:pPr>
            <w:r>
              <w:rPr>
                <w:b/>
                <w:sz w:val="19"/>
              </w:rPr>
              <w:t xml:space="preserve">Reprint 1: </w:t>
            </w:r>
            <w:r>
              <w:rPr>
                <w:b/>
                <w:i/>
                <w:sz w:val="19"/>
              </w:rPr>
              <w:t xml:space="preserve"> </w:t>
            </w:r>
            <w:r>
              <w:rPr>
                <w:b/>
                <w:sz w:val="19"/>
              </w:rPr>
              <w:t xml:space="preserve">The </w:t>
            </w:r>
            <w:r>
              <w:rPr>
                <w:b/>
                <w:i/>
                <w:sz w:val="19"/>
              </w:rPr>
              <w:t xml:space="preserve">Young Offenders Regulations 1995 </w:t>
            </w:r>
            <w:r>
              <w:rPr>
                <w:b/>
                <w:sz w:val="19"/>
              </w:rPr>
              <w:t xml:space="preserve">as at 21 Nov 2003 </w:t>
            </w:r>
            <w:r>
              <w:rPr>
                <w:sz w:val="19"/>
              </w:rPr>
              <w:t>(includes amendments listed above)</w:t>
            </w:r>
          </w:p>
        </w:tc>
      </w:tr>
      <w:tr>
        <w:tc>
          <w:tcPr>
            <w:tcW w:w="3118" w:type="dxa"/>
          </w:tcPr>
          <w:p>
            <w:pPr>
              <w:pStyle w:val="nTable"/>
              <w:spacing w:after="40"/>
              <w:rPr>
                <w:i/>
                <w:sz w:val="19"/>
              </w:rPr>
            </w:pPr>
            <w:r>
              <w:rPr>
                <w:i/>
                <w:sz w:val="19"/>
              </w:rPr>
              <w:t>Young Offenders Amendment Regulations 2005</w:t>
            </w:r>
          </w:p>
        </w:tc>
        <w:tc>
          <w:tcPr>
            <w:tcW w:w="1276" w:type="dxa"/>
          </w:tcPr>
          <w:p>
            <w:pPr>
              <w:pStyle w:val="nTable"/>
              <w:spacing w:after="40"/>
              <w:rPr>
                <w:sz w:val="19"/>
              </w:rPr>
            </w:pPr>
            <w:r>
              <w:rPr>
                <w:sz w:val="19"/>
              </w:rPr>
              <w:t>27 Jun 2005 p. 2849-87</w:t>
            </w:r>
          </w:p>
        </w:tc>
        <w:tc>
          <w:tcPr>
            <w:tcW w:w="2693" w:type="dxa"/>
          </w:tcPr>
          <w:p>
            <w:pPr>
              <w:pStyle w:val="nTable"/>
              <w:spacing w:after="40"/>
              <w:rPr>
                <w:sz w:val="19"/>
              </w:rPr>
            </w:pPr>
            <w:r>
              <w:rPr>
                <w:sz w:val="19"/>
              </w:rPr>
              <w:t>1 Jul 2005 (see r. 2)</w:t>
            </w:r>
          </w:p>
        </w:tc>
      </w:tr>
      <w:tr>
        <w:tc>
          <w:tcPr>
            <w:tcW w:w="3118" w:type="dxa"/>
            <w:tcBorders>
              <w:bottom w:val="single" w:sz="4" w:space="0" w:color="auto"/>
            </w:tcBorders>
          </w:tcPr>
          <w:p>
            <w:pPr>
              <w:pStyle w:val="nTable"/>
              <w:spacing w:after="40"/>
              <w:rPr>
                <w:i/>
                <w:sz w:val="19"/>
              </w:rPr>
            </w:pPr>
            <w:r>
              <w:rPr>
                <w:i/>
                <w:sz w:val="19"/>
              </w:rPr>
              <w:t>Young Offenders Amendment Regulations 2007</w:t>
            </w:r>
          </w:p>
        </w:tc>
        <w:tc>
          <w:tcPr>
            <w:tcW w:w="1276" w:type="dxa"/>
            <w:tcBorders>
              <w:bottom w:val="single" w:sz="4" w:space="0" w:color="auto"/>
            </w:tcBorders>
          </w:tcPr>
          <w:p>
            <w:pPr>
              <w:pStyle w:val="nTable"/>
              <w:spacing w:after="40"/>
              <w:rPr>
                <w:sz w:val="19"/>
              </w:rPr>
            </w:pPr>
            <w:r>
              <w:rPr>
                <w:sz w:val="19"/>
              </w:rPr>
              <w:t>3 Apr 2007 p. 1509-10</w:t>
            </w:r>
          </w:p>
        </w:tc>
        <w:tc>
          <w:tcPr>
            <w:tcW w:w="2693" w:type="dxa"/>
            <w:tcBorders>
              <w:bottom w:val="single" w:sz="4" w:space="0" w:color="auto"/>
            </w:tcBorders>
          </w:tcPr>
          <w:p>
            <w:pPr>
              <w:pStyle w:val="nTable"/>
              <w:spacing w:after="40"/>
              <w:rPr>
                <w:sz w:val="19"/>
              </w:rPr>
            </w:pPr>
            <w:r>
              <w:rPr>
                <w:sz w:val="19"/>
              </w:rPr>
              <w:t xml:space="preserve">4 Apr 2007 (see r. 2 and </w:t>
            </w:r>
            <w:r>
              <w:rPr>
                <w:i/>
                <w:iCs/>
                <w:sz w:val="19"/>
              </w:rPr>
              <w:t>Gazette</w:t>
            </w:r>
            <w:r>
              <w:rPr>
                <w:sz w:val="19"/>
              </w:rPr>
              <w:t xml:space="preserve"> 3 Apr 2007 p. 1491)</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Young Offenders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Regulations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Regulations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Young Offenders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62D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9E690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001A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E8B9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606E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3432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1A6D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6861C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AC891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A09A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21E7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A770258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14333</Words>
  <Characters>70954</Characters>
  <Application>Microsoft Office Word</Application>
  <DocSecurity>0</DocSecurity>
  <Lines>1867</Lines>
  <Paragraphs>1107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1995 - 01-c0-02</dc:title>
  <dc:subject/>
  <dc:creator/>
  <cp:keywords/>
  <dc:description/>
  <cp:lastModifiedBy>svcMRProcess</cp:lastModifiedBy>
  <cp:revision>4</cp:revision>
  <cp:lastPrinted>2003-12-15T01:43:00Z</cp:lastPrinted>
  <dcterms:created xsi:type="dcterms:W3CDTF">2018-09-17T05:18:00Z</dcterms:created>
  <dcterms:modified xsi:type="dcterms:W3CDTF">2018-09-17T05:18:00Z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CommencementDate">
    <vt:lpwstr>20070404</vt:lpwstr>
  </property>
  <property fmtid="{D5CDD505-2E9C-101B-9397-08002B2CF9AE}" pid="4" name="DocumentType">
    <vt:lpwstr>Reg</vt:lpwstr>
  </property>
  <property fmtid="{D5CDD505-2E9C-101B-9397-08002B2CF9AE}" pid="5" name="OwlsUID">
    <vt:i4>4889</vt:i4>
  </property>
  <property fmtid="{D5CDD505-2E9C-101B-9397-08002B2CF9AE}" pid="6" name="AsAtDate">
    <vt:lpwstr>04 Apr 2007</vt:lpwstr>
  </property>
  <property fmtid="{D5CDD505-2E9C-101B-9397-08002B2CF9AE}" pid="7" name="Suffix">
    <vt:lpwstr>01-c0-02</vt:lpwstr>
  </property>
</Properties>
</file>