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Services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Code of Conduct (Customer Service Standards) Amendment Code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Code of Conduct (Customer Service Standards) Amendment Code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_Toc170127182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_Toc170127183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Code amended</w:t>
      </w:r>
      <w:r>
        <w:tab/>
      </w:r>
      <w:r>
        <w:fldChar w:fldCharType="begin"/>
      </w:r>
      <w:r>
        <w:instrText xml:space="preserve"> PAGEREF _Toc170127184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3 amended</w:t>
      </w:r>
      <w:r>
        <w:tab/>
      </w:r>
      <w:r>
        <w:fldChar w:fldCharType="begin"/>
      </w:r>
      <w:r>
        <w:instrText xml:space="preserve"> PAGEREF _Toc170127185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Clause 4 amended</w:t>
      </w:r>
      <w:r>
        <w:tab/>
      </w:r>
      <w:r>
        <w:fldChar w:fldCharType="begin"/>
      </w:r>
      <w:r>
        <w:instrText xml:space="preserve"> PAGEREF _Toc170127186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Clause 6 amended</w:t>
      </w:r>
      <w:r>
        <w:tab/>
      </w:r>
      <w:r>
        <w:fldChar w:fldCharType="begin"/>
      </w:r>
      <w:r>
        <w:instrText xml:space="preserve"> PAGEREF _Toc170127187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Clause 12 amended</w:t>
      </w:r>
      <w:r>
        <w:tab/>
      </w:r>
      <w:r>
        <w:fldChar w:fldCharType="begin"/>
      </w:r>
      <w:r>
        <w:instrText xml:space="preserve"> PAGEREF _Toc170127188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Clause 29 replaced</w:t>
      </w:r>
      <w:r>
        <w:tab/>
      </w:r>
      <w:r>
        <w:fldChar w:fldCharType="begin"/>
      </w:r>
      <w:r>
        <w:instrText xml:space="preserve"> PAGEREF _Toc170127189 \h </w:instrText>
      </w:r>
      <w:r>
        <w:fldChar w:fldCharType="separate"/>
      </w:r>
      <w:r>
        <w:t>3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29.</w:t>
      </w:r>
      <w:r>
        <w:rPr>
          <w:noProof/>
        </w:rPr>
        <w:tab/>
        <w:t>Payment assistance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_Toc170127190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Clause 30 amended</w:t>
      </w:r>
      <w:r>
        <w:tab/>
      </w:r>
      <w:r>
        <w:fldChar w:fldCharType="begin"/>
      </w:r>
      <w:r>
        <w:instrText xml:space="preserve"> PAGEREF _Toc170127191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Clause 34 amended</w:t>
      </w:r>
      <w:r>
        <w:tab/>
      </w:r>
      <w:r>
        <w:fldChar w:fldCharType="begin"/>
      </w:r>
      <w:r>
        <w:instrText xml:space="preserve"> PAGEREF _Toc170127192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Clause 35 amended</w:t>
      </w:r>
      <w:r>
        <w:tab/>
      </w:r>
      <w:r>
        <w:fldChar w:fldCharType="begin"/>
      </w:r>
      <w:r>
        <w:instrText xml:space="preserve"> PAGEREF _Toc170127193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Clause 36 amended</w:t>
      </w:r>
      <w:r>
        <w:tab/>
      </w:r>
      <w:r>
        <w:fldChar w:fldCharType="begin"/>
      </w:r>
      <w:r>
        <w:instrText xml:space="preserve"> PAGEREF _Toc170127194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Clause 40 amended</w:t>
      </w:r>
      <w:r>
        <w:tab/>
      </w:r>
      <w:r>
        <w:fldChar w:fldCharType="begin"/>
      </w:r>
      <w:r>
        <w:instrText xml:space="preserve"> PAGEREF _Toc170127195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Water Services Act 2012</w:t>
      </w:r>
    </w:p>
    <w:p>
      <w:pPr>
        <w:pStyle w:val="NameofActReg"/>
      </w:pPr>
      <w:r>
        <w:t>Water Services Code of Conduct (Customer Service Standards) Amendment Code 2024</w:t>
      </w:r>
    </w:p>
    <w:p>
      <w:pPr>
        <w:pStyle w:val="MadeBy"/>
      </w:pPr>
      <w:r>
        <w:t>Made by the Economic Regulation Authority under section 27 of the Act.</w:t>
      </w:r>
    </w:p>
    <w:p>
      <w:pPr>
        <w:pStyle w:val="Heading5"/>
      </w:pPr>
      <w:bookmarkStart w:id="2" w:name="_Toc170126754"/>
      <w:bookmarkStart w:id="3" w:name="_Toc17012718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This </w:t>
      </w:r>
      <w:r>
        <w:rPr>
          <w:spacing w:val="-2"/>
        </w:rPr>
        <w:t>code</w:t>
      </w:r>
      <w:r>
        <w:t xml:space="preserve"> is the </w:t>
      </w:r>
      <w:r>
        <w:rPr>
          <w:i/>
        </w:rPr>
        <w:t>Water Services Code of Conduct (Customer Service Standards) Amendment Code 2024</w:t>
      </w:r>
      <w:r>
        <w:t>.</w:t>
      </w:r>
    </w:p>
    <w:p>
      <w:pPr>
        <w:pStyle w:val="Heading5"/>
        <w:rPr>
          <w:spacing w:val="-2"/>
        </w:rPr>
      </w:pPr>
      <w:bookmarkStart w:id="5" w:name="_Toc170126755"/>
      <w:bookmarkStart w:id="6" w:name="_Toc1701271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code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code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code</w:t>
      </w:r>
      <w:r>
        <w:t xml:space="preserve"> — immediately after the </w:t>
      </w:r>
      <w:r>
        <w:rPr>
          <w:i/>
          <w:iCs/>
        </w:rPr>
        <w:t>Water Services Code of Conduct (Customer Service Standards) 2024</w:t>
      </w:r>
      <w:r>
        <w:t xml:space="preserve"> clause 3 comes into operation.</w:t>
      </w:r>
    </w:p>
    <w:p>
      <w:pPr>
        <w:pStyle w:val="Heading5"/>
        <w:rPr>
          <w:snapToGrid w:val="0"/>
        </w:rPr>
      </w:pPr>
      <w:bookmarkStart w:id="7" w:name="_Toc170126756"/>
      <w:bookmarkStart w:id="8" w:name="_Toc17012718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Code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This </w:t>
      </w:r>
      <w:r>
        <w:rPr>
          <w:spacing w:val="-2"/>
        </w:rPr>
        <w:t>code amends</w:t>
      </w:r>
      <w:r>
        <w:t xml:space="preserve"> the </w:t>
      </w:r>
      <w:r>
        <w:rPr>
          <w:i/>
        </w:rPr>
        <w:t>Water Services Code of Conduct (Customer Service Standards) 2024</w:t>
      </w:r>
      <w:r>
        <w:t>.</w:t>
      </w:r>
    </w:p>
    <w:p>
      <w:pPr>
        <w:pStyle w:val="Heading5"/>
      </w:pPr>
      <w:bookmarkStart w:id="9" w:name="_Toc170126757"/>
      <w:bookmarkStart w:id="10" w:name="_Toc170127185"/>
      <w:r>
        <w:rPr>
          <w:rStyle w:val="CharSectno"/>
        </w:rPr>
        <w:t>4</w:t>
      </w:r>
      <w:r>
        <w:t>.</w:t>
      </w:r>
      <w:r>
        <w:tab/>
        <w:t>Clause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clause 3 delete the definition of </w:t>
      </w:r>
      <w:r>
        <w:rPr>
          <w:b/>
          <w:bCs/>
          <w:i/>
          <w:iCs/>
        </w:rPr>
        <w:t>payment difficulties</w:t>
      </w:r>
      <w:r>
        <w:t>.</w:t>
      </w:r>
    </w:p>
    <w:p>
      <w:pPr>
        <w:pStyle w:val="Subsection"/>
        <w:keepNext/>
      </w:pPr>
      <w:r>
        <w:tab/>
        <w:t>(2)</w:t>
      </w:r>
      <w:r>
        <w:tab/>
        <w:t>In clause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business customer</w:t>
      </w:r>
      <w:r>
        <w:t>, of a licensee, means a customer of the licensee who is not a residential customer;</w:t>
      </w:r>
    </w:p>
    <w:p>
      <w:pPr>
        <w:pStyle w:val="BlankClose"/>
      </w:pPr>
    </w:p>
    <w:p>
      <w:pPr>
        <w:pStyle w:val="Heading5"/>
      </w:pPr>
      <w:bookmarkStart w:id="11" w:name="_Toc170126758"/>
      <w:bookmarkStart w:id="12" w:name="_Toc170127186"/>
      <w:r>
        <w:rPr>
          <w:rStyle w:val="CharSectno"/>
        </w:rPr>
        <w:lastRenderedPageBreak/>
        <w:t>5</w:t>
      </w:r>
      <w:r>
        <w:t>.</w:t>
      </w:r>
      <w:r>
        <w:tab/>
        <w:t>Clause 4 amended</w:t>
      </w:r>
      <w:bookmarkEnd w:id="11"/>
      <w:bookmarkEnd w:id="12"/>
    </w:p>
    <w:p>
      <w:pPr>
        <w:pStyle w:val="Subsection"/>
      </w:pPr>
      <w:r>
        <w:tab/>
      </w:r>
      <w:r>
        <w:tab/>
        <w:t xml:space="preserve">Delete clause 4(1) and insert: 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A </w:t>
      </w:r>
      <w:r>
        <w:rPr>
          <w:rStyle w:val="CharDefText"/>
        </w:rPr>
        <w:t>payment plan</w:t>
      </w:r>
      <w:r>
        <w:t xml:space="preserve"> is an arrangement between a licensee and a customer which provides for the following — </w:t>
      </w:r>
    </w:p>
    <w:p>
      <w:pPr>
        <w:pStyle w:val="zIndenta"/>
      </w:pPr>
      <w:r>
        <w:tab/>
        <w:t>(a)</w:t>
      </w:r>
      <w:r>
        <w:tab/>
        <w:t xml:space="preserve">the customer is allowed to pay a bill, any arrears or a fee or charge (including a reduction, disconnection or restoration fee or charge) by 2 or more instalments while continuing to be provided with a water service; </w:t>
      </w:r>
    </w:p>
    <w:p>
      <w:pPr>
        <w:pStyle w:val="zIndenta"/>
      </w:pPr>
      <w:r>
        <w:tab/>
        <w:t>(b)</w:t>
      </w:r>
      <w:r>
        <w:tab/>
        <w:t>in the case of a residential customer — the arrangement is an interest</w:t>
      </w:r>
      <w:r>
        <w:noBreakHyphen/>
        <w:t>free and fee</w:t>
      </w:r>
      <w:r>
        <w:noBreakHyphen/>
        <w:t>free arrangement.</w:t>
      </w:r>
    </w:p>
    <w:p>
      <w:pPr>
        <w:pStyle w:val="BlankClose"/>
      </w:pPr>
    </w:p>
    <w:p>
      <w:pPr>
        <w:pStyle w:val="Heading5"/>
      </w:pPr>
      <w:bookmarkStart w:id="13" w:name="_Toc170126759"/>
      <w:bookmarkStart w:id="14" w:name="_Toc170127187"/>
      <w:r>
        <w:rPr>
          <w:rStyle w:val="CharSectno"/>
        </w:rPr>
        <w:t>6</w:t>
      </w:r>
      <w:r>
        <w:t>.</w:t>
      </w:r>
      <w:r>
        <w:tab/>
        <w:t>Clause 6 amended</w:t>
      </w:r>
      <w:bookmarkEnd w:id="13"/>
      <w:bookmarkEnd w:id="14"/>
    </w:p>
    <w:p>
      <w:pPr>
        <w:pStyle w:val="Subsection"/>
      </w:pPr>
      <w:r>
        <w:tab/>
      </w:r>
      <w:r>
        <w:tab/>
        <w:t>In clause 6(1) delete “customer who is not a residential”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business</w:t>
      </w:r>
    </w:p>
    <w:p>
      <w:pPr>
        <w:pStyle w:val="BlankClose"/>
      </w:pPr>
    </w:p>
    <w:p>
      <w:pPr>
        <w:pStyle w:val="Heading5"/>
      </w:pPr>
      <w:bookmarkStart w:id="15" w:name="_Toc170126760"/>
      <w:bookmarkStart w:id="16" w:name="_Toc170127188"/>
      <w:r>
        <w:rPr>
          <w:rStyle w:val="CharSectno"/>
        </w:rPr>
        <w:t>7</w:t>
      </w:r>
      <w:r>
        <w:t>.</w:t>
      </w:r>
      <w:r>
        <w:tab/>
        <w:t>Clause 12 amended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In clause 12(5)(c) delete “hardship or payment difficulties; or”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hardship; or</w:t>
      </w:r>
    </w:p>
    <w:p>
      <w:pPr>
        <w:pStyle w:val="BlankClose"/>
      </w:pPr>
    </w:p>
    <w:p>
      <w:pPr>
        <w:pStyle w:val="Heading5"/>
      </w:pPr>
      <w:bookmarkStart w:id="17" w:name="_Toc170126761"/>
      <w:bookmarkStart w:id="18" w:name="_Toc170127189"/>
      <w:r>
        <w:rPr>
          <w:rStyle w:val="CharSectno"/>
        </w:rPr>
        <w:lastRenderedPageBreak/>
        <w:t>8</w:t>
      </w:r>
      <w:r>
        <w:t>.</w:t>
      </w:r>
      <w:r>
        <w:tab/>
        <w:t>Clause 29 replaced</w:t>
      </w:r>
      <w:bookmarkEnd w:id="17"/>
      <w:bookmarkEnd w:id="18"/>
    </w:p>
    <w:p>
      <w:pPr>
        <w:pStyle w:val="Subsection"/>
        <w:keepNext/>
      </w:pPr>
      <w:r>
        <w:tab/>
      </w:r>
      <w:r>
        <w:tab/>
        <w:t>Delete clause 29 and insert:</w:t>
      </w:r>
    </w:p>
    <w:p>
      <w:pPr>
        <w:pStyle w:val="BlankOpen"/>
      </w:pPr>
    </w:p>
    <w:p>
      <w:pPr>
        <w:pStyle w:val="zHeading5"/>
      </w:pPr>
      <w:bookmarkStart w:id="19" w:name="_Toc170126762"/>
      <w:bookmarkStart w:id="20" w:name="_Toc170127190"/>
      <w:r>
        <w:t>29.</w:t>
      </w:r>
      <w:r>
        <w:tab/>
        <w:t>Payment assistance</w:t>
      </w:r>
      <w:bookmarkEnd w:id="19"/>
      <w:bookmarkEnd w:id="20"/>
    </w:p>
    <w:p>
      <w:pPr>
        <w:pStyle w:val="zSubsection"/>
      </w:pPr>
      <w:r>
        <w:tab/>
        <w:t>(1)</w:t>
      </w:r>
      <w:r>
        <w:tab/>
        <w:t xml:space="preserve">This clause applies to — </w:t>
      </w:r>
    </w:p>
    <w:p>
      <w:pPr>
        <w:pStyle w:val="zIndenta"/>
      </w:pPr>
      <w:r>
        <w:tab/>
        <w:t>(a)</w:t>
      </w:r>
      <w:r>
        <w:tab/>
        <w:t>a residential customer; and</w:t>
      </w:r>
    </w:p>
    <w:p>
      <w:pPr>
        <w:pStyle w:val="zIndenta"/>
      </w:pPr>
      <w:r>
        <w:tab/>
        <w:t>(b)</w:t>
      </w:r>
      <w:r>
        <w:tab/>
        <w:t>a business customer who has notified a licensee that the customer is experiencing payment difficulties.</w:t>
      </w:r>
    </w:p>
    <w:p>
      <w:pPr>
        <w:pStyle w:val="zSubsection"/>
      </w:pPr>
      <w:r>
        <w:tab/>
        <w:t>(2)</w:t>
      </w:r>
      <w:r>
        <w:tab/>
        <w:t xml:space="preserve">Subject to this Part, a licensee must make the following available to the customer — </w:t>
      </w:r>
    </w:p>
    <w:p>
      <w:pPr>
        <w:pStyle w:val="zIndenta"/>
      </w:pPr>
      <w:r>
        <w:tab/>
        <w:t>(a)</w:t>
      </w:r>
      <w:r>
        <w:tab/>
        <w:t>additional time to pay a bill;</w:t>
      </w:r>
    </w:p>
    <w:p>
      <w:pPr>
        <w:pStyle w:val="zIndenta"/>
      </w:pPr>
      <w:r>
        <w:tab/>
        <w:t>(b)</w:t>
      </w:r>
      <w:r>
        <w:tab/>
        <w:t>a payment plan for an amount owing by the customer to the licensee.</w:t>
      </w:r>
    </w:p>
    <w:p>
      <w:pPr>
        <w:pStyle w:val="zSubsection"/>
      </w:pPr>
      <w:r>
        <w:tab/>
        <w:t>(3)</w:t>
      </w:r>
      <w:r>
        <w:tab/>
        <w:t>However, a customer is only entitled to select 1 option under subclause (2) once per bill.</w:t>
      </w:r>
    </w:p>
    <w:p>
      <w:pPr>
        <w:pStyle w:val="BlankClose"/>
      </w:pPr>
    </w:p>
    <w:p>
      <w:pPr>
        <w:pStyle w:val="Heading5"/>
      </w:pPr>
      <w:bookmarkStart w:id="21" w:name="_Toc170126763"/>
      <w:bookmarkStart w:id="22" w:name="_Toc170127191"/>
      <w:r>
        <w:rPr>
          <w:rStyle w:val="CharSectno"/>
        </w:rPr>
        <w:t>9</w:t>
      </w:r>
      <w:r>
        <w:t>.</w:t>
      </w:r>
      <w:r>
        <w:tab/>
        <w:t>Clause 30 amended</w:t>
      </w:r>
      <w:bookmarkEnd w:id="21"/>
      <w:bookmarkEnd w:id="22"/>
    </w:p>
    <w:p>
      <w:pPr>
        <w:pStyle w:val="Subsection"/>
        <w:keepNext/>
      </w:pPr>
      <w:r>
        <w:tab/>
      </w:r>
      <w:r>
        <w:tab/>
        <w:t>After clause 30(6) insert:</w:t>
      </w:r>
    </w:p>
    <w:p>
      <w:pPr>
        <w:pStyle w:val="BlankOpen"/>
      </w:pPr>
    </w:p>
    <w:p>
      <w:pPr>
        <w:pStyle w:val="zSubsection"/>
      </w:pPr>
      <w:r>
        <w:tab/>
        <w:t>(7)</w:t>
      </w:r>
      <w:r>
        <w:tab/>
        <w:t>A licensee must, in relation to a business customer, consider and decide whether or not a payment plan should be interest</w:t>
      </w:r>
      <w:r>
        <w:noBreakHyphen/>
        <w:t>free, fee</w:t>
      </w:r>
      <w:r>
        <w:noBreakHyphen/>
        <w:t>free, or both.</w:t>
      </w:r>
    </w:p>
    <w:p>
      <w:pPr>
        <w:pStyle w:val="BlankClose"/>
      </w:pPr>
    </w:p>
    <w:p>
      <w:pPr>
        <w:pStyle w:val="Heading5"/>
      </w:pPr>
      <w:bookmarkStart w:id="23" w:name="_Toc170126764"/>
      <w:bookmarkStart w:id="24" w:name="_Toc170127192"/>
      <w:r>
        <w:rPr>
          <w:rStyle w:val="CharSectno"/>
        </w:rPr>
        <w:lastRenderedPageBreak/>
        <w:t>10</w:t>
      </w:r>
      <w:r>
        <w:t>.</w:t>
      </w:r>
      <w:r>
        <w:tab/>
        <w:t>Clause 34 amended</w:t>
      </w:r>
      <w:bookmarkEnd w:id="23"/>
      <w:bookmarkEnd w:id="24"/>
    </w:p>
    <w:p>
      <w:pPr>
        <w:pStyle w:val="Subsection"/>
        <w:keepNext/>
      </w:pPr>
      <w:r>
        <w:tab/>
        <w:t>(1)</w:t>
      </w:r>
      <w:r>
        <w:tab/>
        <w:t xml:space="preserve">In clause 34(1) in the definition of </w:t>
      </w:r>
      <w:r>
        <w:rPr>
          <w:b/>
          <w:bCs/>
          <w:i/>
          <w:iCs/>
        </w:rPr>
        <w:t>payment scheme</w:t>
      </w:r>
      <w:r>
        <w:t xml:space="preserve"> after “clause”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29,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clause 34(2) to (4) after “clause”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29, </w:t>
      </w:r>
    </w:p>
    <w:p>
      <w:pPr>
        <w:pStyle w:val="BlankClose"/>
      </w:pPr>
    </w:p>
    <w:p>
      <w:pPr>
        <w:pStyle w:val="SectAltNote"/>
      </w:pPr>
      <w:r>
        <w:tab/>
        <w:t>Note: The heading to amended clause 34 is to read:</w:t>
      </w:r>
    </w:p>
    <w:p>
      <w:pPr>
        <w:pStyle w:val="SectAltHeading"/>
      </w:pPr>
      <w:r>
        <w:tab/>
      </w:r>
      <w:r>
        <w:tab/>
        <w:t>Other matters relating to payment assistance</w:t>
      </w:r>
    </w:p>
    <w:p>
      <w:pPr>
        <w:pStyle w:val="Heading5"/>
      </w:pPr>
      <w:bookmarkStart w:id="25" w:name="_Toc170126765"/>
      <w:bookmarkStart w:id="26" w:name="_Toc170127193"/>
      <w:r>
        <w:rPr>
          <w:rStyle w:val="CharSectno"/>
        </w:rPr>
        <w:t>11</w:t>
      </w:r>
      <w:r>
        <w:t>.</w:t>
      </w:r>
      <w:r>
        <w:tab/>
        <w:t>Clause 35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 xml:space="preserve">In clause 35(1)(a): </w:t>
      </w:r>
    </w:p>
    <w:p>
      <w:pPr>
        <w:pStyle w:val="Indenta"/>
      </w:pPr>
      <w:r>
        <w:tab/>
        <w:t>(a)</w:t>
      </w:r>
      <w:r>
        <w:tab/>
        <w:t xml:space="preserve">after “if the”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customer is a residential customer and the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 xml:space="preserve">delete “29(1)(a)” and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>29(2)(a)</w:t>
      </w:r>
    </w:p>
    <w:p>
      <w:pPr>
        <w:pStyle w:val="BlankClose"/>
      </w:pPr>
    </w:p>
    <w:p>
      <w:pPr>
        <w:pStyle w:val="Heading5"/>
      </w:pPr>
      <w:bookmarkStart w:id="27" w:name="_Toc170126766"/>
      <w:bookmarkStart w:id="28" w:name="_Toc170127194"/>
      <w:r>
        <w:rPr>
          <w:rStyle w:val="CharSectno"/>
        </w:rPr>
        <w:t>12</w:t>
      </w:r>
      <w:r>
        <w:t>.</w:t>
      </w:r>
      <w:r>
        <w:tab/>
        <w:t>Clause 36 amended</w:t>
      </w:r>
      <w:bookmarkEnd w:id="27"/>
      <w:bookmarkEnd w:id="28"/>
    </w:p>
    <w:p>
      <w:pPr>
        <w:pStyle w:val="Subsection"/>
      </w:pPr>
      <w:r>
        <w:tab/>
      </w:r>
      <w:r>
        <w:tab/>
        <w:t>In clause 36(1):</w:t>
      </w:r>
    </w:p>
    <w:p>
      <w:pPr>
        <w:pStyle w:val="Indenta"/>
      </w:pPr>
      <w:r>
        <w:tab/>
        <w:t>(a)</w:t>
      </w:r>
      <w:r>
        <w:tab/>
        <w:t xml:space="preserve">in paragraph (a), after “clause” insert: </w:t>
      </w:r>
    </w:p>
    <w:p>
      <w:pPr>
        <w:pStyle w:val="BlankOpen"/>
      </w:pPr>
    </w:p>
    <w:p>
      <w:pPr>
        <w:pStyle w:val="Indenta"/>
      </w:pPr>
      <w:r>
        <w:tab/>
      </w:r>
      <w:r>
        <w:tab/>
        <w:t xml:space="preserve">29,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(b).</w:t>
      </w:r>
    </w:p>
    <w:p>
      <w:pPr>
        <w:pStyle w:val="Heading5"/>
      </w:pPr>
      <w:bookmarkStart w:id="29" w:name="_Toc170126767"/>
      <w:bookmarkStart w:id="30" w:name="_Toc170127195"/>
      <w:r>
        <w:rPr>
          <w:rStyle w:val="CharSectno"/>
        </w:rPr>
        <w:lastRenderedPageBreak/>
        <w:t>13</w:t>
      </w:r>
      <w:r>
        <w:t>.</w:t>
      </w:r>
      <w:r>
        <w:tab/>
        <w:t>Clause 40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Delete clause 40(1)(b). 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Economic Regulation Authority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5D3ED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B7474B6" w14:textId="4154210D" w:rsidR="00BA5A91" w:rsidRDefault="00BA5A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643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AE4082" w14:textId="77777777" w:rsidR="00BA5A91" w:rsidRDefault="00BA5A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EDA5A0" w14:textId="07CAA88E" w:rsidR="00BA5A91" w:rsidRDefault="00BA5A9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9643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F7C245" w14:textId="77777777" w:rsidR="00BA5A91" w:rsidRDefault="00BA5A9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2024/106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Amendment Code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Amendment Code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Amendment Code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Code of Conduct (Customer Service Standards) Amendment Code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3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413052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071222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07122256_GUID" w:val="c819f967-943a-4e82-afd3-a14d532d2acf"/>
    <w:docVar w:name="WAFER_202406131618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3161852_GUID" w:val="88d1342f-dccf-4434-a536-4b2825480706"/>
    <w:docVar w:name="WAFER_2024062413052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4130520_GUID" w:val="6bd2093c-d2a7-439b-a4da-18b42b9b991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64F3DB55-6602-4DE2-AF47-57087E926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3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3683</Characters>
  <Application>Microsoft Office Word</Application>
  <DocSecurity>0</DocSecurity>
  <Lines>175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Code of Conduct (Customer Service Standards) Amendment Code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2025-06-23T07:32:00Z</dcterms:created>
  <dcterms:modified xsi:type="dcterms:W3CDTF">2025-06-23T07:32:00Z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54899</vt:lpwstr>
  </property>
  <property fmtid="{D5CDD505-2E9C-101B-9397-08002B2CF9AE}" pid="3" name="DocumentType">
    <vt:lpwstr>Reg</vt:lpwstr>
  </property>
  <property fmtid="{D5CDD505-2E9C-101B-9397-08002B2CF9AE}" pid="4" name="AsAtDate">
    <vt:lpwstr>25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2024/106</vt:lpwstr>
  </property>
  <property fmtid="{D5CDD505-2E9C-101B-9397-08002B2CF9AE}" pid="8" name="PublishDate">
    <vt:lpwstr>25 Jun 2024</vt:lpwstr>
  </property>
  <property fmtid="{D5CDD505-2E9C-101B-9397-08002B2CF9AE}" pid="9" name="CommencementDate">
    <vt:lpwstr>20240625</vt:lpwstr>
  </property>
  <property fmtid="{D5CDD505-2E9C-101B-9397-08002B2CF9AE}" pid="10" name="CommencementAsAt">
    <vt:filetime>2024-06-24T16:00:00Z</vt:filetime>
  </property>
  <property fmtid="{D5CDD505-2E9C-101B-9397-08002B2CF9AE}" pid="11" name="CommencementYear">
    <vt:lpwstr>2024</vt:lpwstr>
  </property>
</Properties>
</file>