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Fish Resources Management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 Resources Management Amendment Regulations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 Resources Management Amendment Regulations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_Toc170213574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_Toc170213575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pacing w:val="-2"/>
        </w:rPr>
        <w:t>.</w:t>
      </w:r>
      <w:r>
        <w:rPr>
          <w:spacing w:val="-2"/>
        </w:rP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_Toc170213576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128S amended</w:t>
      </w:r>
      <w:r>
        <w:tab/>
      </w:r>
      <w:r>
        <w:fldChar w:fldCharType="begin"/>
      </w:r>
      <w:r>
        <w:instrText xml:space="preserve"> PAGEREF _Toc170213577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 128T and 128U inserted</w:t>
      </w:r>
      <w:r>
        <w:tab/>
      </w:r>
      <w:r>
        <w:fldChar w:fldCharType="begin"/>
      </w:r>
      <w:r>
        <w:instrText xml:space="preserve"> PAGEREF _Toc170213578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128T.</w:t>
      </w:r>
      <w:r>
        <w:rPr>
          <w:noProof/>
        </w:rPr>
        <w:tab/>
        <w:t>Landing demersal finfish prohibited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_Toc170213579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128U.</w:t>
      </w:r>
      <w:r>
        <w:rPr>
          <w:noProof/>
        </w:rPr>
        <w:tab/>
        <w:t>CEO must determine method and allocate quota tags for purposes of r. 128T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_Toc170213580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Fish Resources Management Act 1994</w:t>
      </w:r>
    </w:p>
    <w:p>
      <w:pPr>
        <w:pStyle w:val="NameofActReg"/>
      </w:pPr>
      <w:r>
        <w:t>Fish Resources Management Amendment Regulations (No. 3)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796243"/>
      <w:bookmarkStart w:id="3" w:name="_Toc17021357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 Resources Management Amendment Regulations (No. 3) 2024</w:t>
      </w:r>
      <w:r>
        <w:t>.</w:t>
      </w:r>
    </w:p>
    <w:p>
      <w:pPr>
        <w:pStyle w:val="Heading5"/>
        <w:rPr>
          <w:spacing w:val="-2"/>
        </w:rPr>
      </w:pPr>
      <w:bookmarkStart w:id="5" w:name="_Toc169796244"/>
      <w:bookmarkStart w:id="6" w:name="_Toc1702135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9796245"/>
      <w:bookmarkStart w:id="8" w:name="_Toc170213576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</w:r>
      <w:r>
        <w:rPr>
          <w:snapToGrid w:val="0"/>
        </w:rPr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Fish Resources Management Regulations 1995</w:t>
      </w:r>
      <w:r>
        <w:t>.</w:t>
      </w:r>
    </w:p>
    <w:p>
      <w:pPr>
        <w:pStyle w:val="Heading5"/>
      </w:pPr>
      <w:bookmarkStart w:id="9" w:name="_Toc169796246"/>
      <w:bookmarkStart w:id="10" w:name="_Toc170213577"/>
      <w:r>
        <w:rPr>
          <w:rStyle w:val="CharSectno"/>
        </w:rPr>
        <w:t>4</w:t>
      </w:r>
      <w:r>
        <w:t>.</w:t>
      </w:r>
      <w:r>
        <w:tab/>
        <w:t>Regulation 128S amended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 xml:space="preserve">In regulation 128S(1) in the definition of </w:t>
      </w:r>
      <w:r>
        <w:rPr>
          <w:b/>
          <w:i/>
        </w:rPr>
        <w:t>restricted fishing tour</w:t>
      </w:r>
      <w:r>
        <w:t xml:space="preserve"> after “a restricted”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fishing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regulation 128S(2) in the Penalty delete “Penalty:”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Penalty for this subregulation: a fine of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128S(3) in the Penalty delete “Penalty:”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Penalty for this subregulation: a fine of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regulation 128S(4) in the Penalty delete “Penalty:”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Penalty for this subregulation: a fine of</w:t>
      </w:r>
    </w:p>
    <w:p>
      <w:pPr>
        <w:pStyle w:val="BlankClose"/>
      </w:pPr>
    </w:p>
    <w:p>
      <w:pPr>
        <w:pStyle w:val="Heading5"/>
      </w:pPr>
      <w:bookmarkStart w:id="11" w:name="_Toc169796247"/>
      <w:bookmarkStart w:id="12" w:name="_Toc170213578"/>
      <w:r>
        <w:rPr>
          <w:rStyle w:val="CharSectno"/>
        </w:rPr>
        <w:t>5</w:t>
      </w:r>
      <w:r>
        <w:t>.</w:t>
      </w:r>
      <w:r>
        <w:tab/>
        <w:t>Regulations 128T and 128U inserted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At the end of Part 11 Division 5 insert:</w:t>
      </w:r>
    </w:p>
    <w:p>
      <w:pPr>
        <w:pStyle w:val="BlankOpen"/>
      </w:pPr>
    </w:p>
    <w:p>
      <w:pPr>
        <w:pStyle w:val="zHeading5"/>
      </w:pPr>
      <w:bookmarkStart w:id="13" w:name="_Toc169796248"/>
      <w:bookmarkStart w:id="14" w:name="_Toc170213579"/>
      <w:r>
        <w:t>128T.</w:t>
      </w:r>
      <w:r>
        <w:tab/>
        <w:t>Landing demersal finfish prohibited</w:t>
      </w:r>
      <w:bookmarkEnd w:id="13"/>
      <w:bookmarkEnd w:id="14"/>
    </w:p>
    <w:p>
      <w:pPr>
        <w:pStyle w:val="zSubsection"/>
      </w:pPr>
      <w:r>
        <w:tab/>
        <w:t>(1)</w:t>
      </w:r>
      <w:r>
        <w:tab/>
        <w:t xml:space="preserve">The master of a boat used for a fishing tour conducted under a fishing tour operator’s licence in the West Coast Region must not — </w:t>
      </w:r>
    </w:p>
    <w:p>
      <w:pPr>
        <w:pStyle w:val="zIndenta"/>
      </w:pPr>
      <w:r>
        <w:tab/>
        <w:t>(a)</w:t>
      </w:r>
      <w:r>
        <w:tab/>
        <w:t>bring onto land a demersal finfish, whether it is a whole fish or is filleted, from the boat; or</w:t>
      </w:r>
    </w:p>
    <w:p>
      <w:pPr>
        <w:pStyle w:val="zIndenta"/>
      </w:pPr>
      <w:r>
        <w:tab/>
        <w:t>(b)</w:t>
      </w:r>
      <w:r>
        <w:tab/>
        <w:t>allow a participant on the tour to bring onto land a demersal finfish, whether it is a whole fish or is filleted, from the boat.</w:t>
      </w:r>
    </w:p>
    <w:p>
      <w:pPr>
        <w:pStyle w:val="zPenstart"/>
      </w:pPr>
      <w:r>
        <w:tab/>
        <w:t>Penalty for this subregulation: a fine of $5 000.</w:t>
      </w:r>
    </w:p>
    <w:p>
      <w:pPr>
        <w:pStyle w:val="zSubsection"/>
        <w:keepNext/>
      </w:pPr>
      <w:r>
        <w:lastRenderedPageBreak/>
        <w:tab/>
        <w:t>(2)</w:t>
      </w:r>
      <w:r>
        <w:tab/>
        <w:t xml:space="preserve">It is a defence in proceedings for an offence against subregulation (1) for the person charged to prove that — </w:t>
      </w:r>
    </w:p>
    <w:p>
      <w:pPr>
        <w:pStyle w:val="zIndenta"/>
        <w:keepNext/>
      </w:pPr>
      <w:r>
        <w:tab/>
        <w:t>(a)</w:t>
      </w:r>
      <w:r>
        <w:tab/>
        <w:t>at the time the demersal finfish was taken there were 1 or more current quota tags on the boat; and</w:t>
      </w:r>
    </w:p>
    <w:p>
      <w:pPr>
        <w:pStyle w:val="zIndenta"/>
        <w:keepNext/>
      </w:pPr>
      <w:r>
        <w:tab/>
        <w:t>(b)</w:t>
      </w:r>
      <w:r>
        <w:tab/>
        <w:t xml:space="preserve">for a fish that is a relevant demersal finfish — </w:t>
      </w:r>
    </w:p>
    <w:p>
      <w:pPr>
        <w:pStyle w:val="zIndenti"/>
        <w:keepNext/>
      </w:pPr>
      <w:r>
        <w:tab/>
        <w:t>(i)</w:t>
      </w:r>
      <w:r>
        <w:tab/>
        <w:t>that is a whole fish — the fish is landed with a current quota tag attached to the fish in the prescribed way; or</w:t>
      </w:r>
    </w:p>
    <w:p>
      <w:pPr>
        <w:pStyle w:val="zIndenti"/>
      </w:pPr>
      <w:r>
        <w:tab/>
        <w:t>(ii)</w:t>
      </w:r>
      <w:r>
        <w:tab/>
        <w:t>that is filleted — the fish is landed with a current quota tag stored with the fillets and the locking mechanism of the quota tag is engaged.</w:t>
      </w:r>
    </w:p>
    <w:p>
      <w:pPr>
        <w:pStyle w:val="zSubsection"/>
        <w:keepNext/>
      </w:pPr>
      <w:r>
        <w:tab/>
        <w:t>(3)</w:t>
      </w:r>
      <w:r>
        <w:tab/>
        <w:t xml:space="preserve">In subregulation (2) — </w:t>
      </w:r>
    </w:p>
    <w:p>
      <w:pPr>
        <w:pStyle w:val="zDefstart"/>
        <w:keepNext/>
      </w:pPr>
      <w:r>
        <w:tab/>
      </w:r>
      <w:r>
        <w:rPr>
          <w:rStyle w:val="CharDefText"/>
        </w:rPr>
        <w:t>prescribed way</w:t>
      </w:r>
      <w:r>
        <w:t xml:space="preserve">, for attaching a current quota tag to a relevant demersal finfish that is a whole fish, means — </w:t>
      </w:r>
    </w:p>
    <w:p>
      <w:pPr>
        <w:pStyle w:val="zDefpara"/>
      </w:pPr>
      <w:r>
        <w:tab/>
        <w:t>(a)</w:t>
      </w:r>
      <w:r>
        <w:tab/>
        <w:t>the quota tag is inserted through the mouth and gill slit of the fish; and</w:t>
      </w:r>
    </w:p>
    <w:p>
      <w:pPr>
        <w:pStyle w:val="zDefpar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the locking mechanism of the quota tag is engaged;</w:t>
      </w:r>
    </w:p>
    <w:p>
      <w:pPr>
        <w:pStyle w:val="zDefstart"/>
      </w:pPr>
      <w:r>
        <w:tab/>
      </w:r>
      <w:r>
        <w:rPr>
          <w:rStyle w:val="CharDefText"/>
        </w:rPr>
        <w:t>quota tag</w:t>
      </w:r>
      <w:r>
        <w:t xml:space="preserve"> has the meaning given in regulation 128U(1);</w:t>
      </w:r>
    </w:p>
    <w:p>
      <w:pPr>
        <w:pStyle w:val="zDefstart"/>
      </w:pPr>
      <w:r>
        <w:tab/>
      </w:r>
      <w:r>
        <w:rPr>
          <w:rStyle w:val="CharDefText"/>
        </w:rPr>
        <w:t>relevant demersal finfish</w:t>
      </w:r>
      <w:r>
        <w:t xml:space="preserve"> means a fish of any of the following species — </w:t>
      </w:r>
    </w:p>
    <w:p>
      <w:pPr>
        <w:pStyle w:val="zDefpara"/>
      </w:pPr>
      <w:r>
        <w:tab/>
        <w:t>(a)</w:t>
      </w:r>
      <w:r>
        <w:tab/>
        <w:t>Cod, Breaksea;</w:t>
      </w:r>
    </w:p>
    <w:p>
      <w:pPr>
        <w:pStyle w:val="zDefpara"/>
      </w:pPr>
      <w:r>
        <w:tab/>
        <w:t>(b)</w:t>
      </w:r>
      <w:r>
        <w:tab/>
        <w:t>Dhufish, West Australian;</w:t>
      </w:r>
    </w:p>
    <w:p>
      <w:pPr>
        <w:pStyle w:val="zDefpara"/>
      </w:pPr>
      <w:r>
        <w:tab/>
        <w:t>(c)</w:t>
      </w:r>
      <w:r>
        <w:tab/>
        <w:t>Groper, Baldchin;</w:t>
      </w:r>
    </w:p>
    <w:p>
      <w:pPr>
        <w:pStyle w:val="zDefpara"/>
        <w:rPr>
          <w:rStyle w:val="DraftersNotes"/>
          <w:b w:val="0"/>
          <w:i w:val="0"/>
          <w:sz w:val="24"/>
        </w:rPr>
      </w:pPr>
      <w:r>
        <w:tab/>
        <w:t>(d)</w:t>
      </w:r>
      <w:r>
        <w:tab/>
        <w:t>Snapper (Pink Snapper).</w:t>
      </w:r>
    </w:p>
    <w:p>
      <w:pPr>
        <w:pStyle w:val="zHeading5"/>
      </w:pPr>
      <w:bookmarkStart w:id="15" w:name="_Toc169796249"/>
      <w:bookmarkStart w:id="16" w:name="_Toc170213580"/>
      <w:r>
        <w:lastRenderedPageBreak/>
        <w:t>128U.</w:t>
      </w:r>
      <w:r>
        <w:tab/>
        <w:t>CEO must determine method and allocate quota tags for purposes of r. 128T</w:t>
      </w:r>
      <w:bookmarkEnd w:id="15"/>
      <w:bookmarkEnd w:id="16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licensee</w:t>
      </w:r>
      <w:r>
        <w:t xml:space="preserve"> means a holder of a fishing tour operator’s licence to conduct a fishing tour for a commercial purpose in the West Coast Region;</w:t>
      </w:r>
    </w:p>
    <w:p>
      <w:pPr>
        <w:pStyle w:val="zDefstart"/>
      </w:pPr>
      <w:r>
        <w:tab/>
      </w:r>
      <w:r>
        <w:rPr>
          <w:rStyle w:val="CharDefText"/>
        </w:rPr>
        <w:t>quota period</w:t>
      </w:r>
      <w:r>
        <w:t xml:space="preserve"> means a year ending on 30 June;</w:t>
      </w:r>
    </w:p>
    <w:p>
      <w:pPr>
        <w:pStyle w:val="zDefstart"/>
      </w:pPr>
      <w:r>
        <w:tab/>
      </w:r>
      <w:r>
        <w:rPr>
          <w:rStyle w:val="CharDefText"/>
        </w:rPr>
        <w:t>quota tag</w:t>
      </w:r>
      <w:r>
        <w:t xml:space="preserve"> means a tag — </w:t>
      </w:r>
    </w:p>
    <w:p>
      <w:pPr>
        <w:pStyle w:val="zDefpara"/>
      </w:pPr>
      <w:r>
        <w:tab/>
        <w:t>(a)</w:t>
      </w:r>
      <w:r>
        <w:tab/>
        <w:t>in a form approved by the CEO; and</w:t>
      </w:r>
    </w:p>
    <w:p>
      <w:pPr>
        <w:pStyle w:val="zDefpara"/>
        <w:keepNext/>
      </w:pPr>
      <w:r>
        <w:tab/>
        <w:t>(b)</w:t>
      </w:r>
      <w:r>
        <w:tab/>
        <w:t xml:space="preserve">that specifies — </w:t>
      </w:r>
    </w:p>
    <w:p>
      <w:pPr>
        <w:pStyle w:val="zDefsubpara"/>
      </w:pPr>
      <w:r>
        <w:tab/>
        <w:t>(i)</w:t>
      </w:r>
      <w:r>
        <w:tab/>
        <w:t>the quota period for which the tag is current; and</w:t>
      </w:r>
    </w:p>
    <w:p>
      <w:pPr>
        <w:pStyle w:val="zDefsubpara"/>
      </w:pPr>
      <w:r>
        <w:tab/>
        <w:t>(ii)</w:t>
      </w:r>
      <w:r>
        <w:tab/>
        <w:t>a distinguishing letter and number (tag serial number) allocated in respect of the tag.</w:t>
      </w:r>
    </w:p>
    <w:p>
      <w:pPr>
        <w:pStyle w:val="zSubsection"/>
      </w:pPr>
      <w:r>
        <w:tab/>
        <w:t>(2)</w:t>
      </w:r>
      <w:r>
        <w:tab/>
        <w:t xml:space="preserve">For the purposes of regulation 128T, the CEO must — </w:t>
      </w:r>
    </w:p>
    <w:p>
      <w:pPr>
        <w:pStyle w:val="zIndenta"/>
      </w:pPr>
      <w:r>
        <w:tab/>
        <w:t>(a)</w:t>
      </w:r>
      <w:r>
        <w:tab/>
        <w:t>determine a method, that the CEO is satisfied meets the purposes referred to in subregulation (4), for determining the number of quota tags to be allocated under subregulation (3)(a) to licensees for a quota period; and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publish the method on the Department’s website.</w:t>
      </w:r>
    </w:p>
    <w:p>
      <w:pPr>
        <w:pStyle w:val="zSubsection"/>
      </w:pPr>
      <w:r>
        <w:tab/>
        <w:t>(3)</w:t>
      </w:r>
      <w:r>
        <w:tab/>
        <w:t xml:space="preserve">The CEO must also, for the purposes of regulation 128T, for a quota period — </w:t>
      </w:r>
    </w:p>
    <w:p>
      <w:pPr>
        <w:pStyle w:val="zIndenta"/>
      </w:pPr>
      <w:r>
        <w:tab/>
        <w:t>(a)</w:t>
      </w:r>
      <w:r>
        <w:tab/>
        <w:t>allocate, in accordance with the method most recently published, quota tags to licensees; and</w:t>
      </w:r>
    </w:p>
    <w:p>
      <w:pPr>
        <w:pStyle w:val="zIndenta"/>
      </w:pPr>
      <w:r>
        <w:tab/>
        <w:t>(b)</w:t>
      </w:r>
      <w:r>
        <w:tab/>
        <w:t>issue the quota tags accordingly.</w:t>
      </w:r>
    </w:p>
    <w:p>
      <w:pPr>
        <w:pStyle w:val="zSubsection"/>
        <w:keepNext/>
      </w:pPr>
      <w:r>
        <w:lastRenderedPageBreak/>
        <w:tab/>
        <w:t>(4)</w:t>
      </w:r>
      <w:r>
        <w:tab/>
        <w:t xml:space="preserve">The purposes of a method determined by the CEO under subregulation (2)(a) are to — </w:t>
      </w:r>
    </w:p>
    <w:p>
      <w:pPr>
        <w:pStyle w:val="zIndenta"/>
      </w:pPr>
      <w:r>
        <w:tab/>
        <w:t>(a)</w:t>
      </w:r>
      <w:r>
        <w:tab/>
        <w:t>maintain the sustainability of demersal finfish in the West Coast Region; and</w:t>
      </w:r>
    </w:p>
    <w:p>
      <w:pPr>
        <w:pStyle w:val="zIndenta"/>
      </w:pPr>
      <w:r>
        <w:tab/>
        <w:t>(b)</w:t>
      </w:r>
      <w:r>
        <w:tab/>
        <w:t>provide a fair and reasonable way of allocating quota tags to licensees.</w:t>
      </w:r>
    </w:p>
    <w:p>
      <w:pPr>
        <w:pStyle w:val="zSubsection"/>
      </w:pPr>
      <w:r>
        <w:tab/>
        <w:t>(5)</w:t>
      </w:r>
      <w:r>
        <w:tab/>
        <w:t>A method determined under subregulation (2)(a) may provide for no quota tags to be allocated to a licensee for a quota period.</w:t>
      </w:r>
    </w:p>
    <w:p>
      <w:pPr>
        <w:pStyle w:val="zSubsection"/>
      </w:pPr>
      <w:r>
        <w:tab/>
        <w:t>(6)</w:t>
      </w:r>
      <w:r>
        <w:tab/>
        <w:t xml:space="preserve">The CEO — </w:t>
      </w:r>
    </w:p>
    <w:p>
      <w:pPr>
        <w:pStyle w:val="zIndenta"/>
      </w:pPr>
      <w:r>
        <w:tab/>
        <w:t>(a)</w:t>
      </w:r>
      <w:r>
        <w:tab/>
        <w:t>may amend or replace a method determined under subregulation (2)(a); and</w:t>
      </w:r>
    </w:p>
    <w:p>
      <w:pPr>
        <w:pStyle w:val="zIndenta"/>
      </w:pPr>
      <w:r>
        <w:tab/>
        <w:t>(b)</w:t>
      </w:r>
      <w:r>
        <w:tab/>
        <w:t>must publish the amended method or replacement method on the Department’s website.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C453A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1252727" w14:textId="10C4B8EF" w:rsidR="00A83F9A" w:rsidRDefault="00A83F9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22DA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5BDBCF" w14:textId="77777777" w:rsidR="00A83F9A" w:rsidRDefault="00A83F9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0C6977" w14:textId="66AF62D0" w:rsidR="00A83F9A" w:rsidRDefault="00A83F9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22DA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36EF31" w14:textId="77777777" w:rsidR="00A83F9A" w:rsidRDefault="00A83F9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716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071531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07153133_GUID" w:val="d3580c39-b732-49f4-86b9-e97d70e84e65"/>
    <w:docVar w:name="WAFER_202406141551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4155150_GUID" w:val="6fa5c423-edd2-448a-a12f-db3df7c4f1e9"/>
    <w:docVar w:name="WAFER_202406141553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4155347_GUID" w:val="31defadb-ded0-4963-b592-36bb07a953c2"/>
    <w:docVar w:name="WAFER_202406141556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4155612_GUID" w:val="4ddf7094-e581-4656-8579-58ad4775002e"/>
    <w:docVar w:name="WAFER_202406190835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9083554_GUID" w:val="546d8572-4c13-4b5b-890a-be83f2f62b81"/>
    <w:docVar w:name="WAFER_202406201716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71642_GUID" w:val="33f86fae-4f94-49ba-8dba-1436f388890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."/>
  <w:listSeparator w:val=","/>
  <w15:docId w15:val="{D475E847-CEDA-4C7E-9A8F-4E0C8CEC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924</Words>
  <Characters>4539</Characters>
  <Application>Microsoft Office Word</Application>
  <DocSecurity>0</DocSecurity>
  <Lines>168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 Resources Management Amendment Regulations (No. 3) 2024 - 00-00-00</dc:title>
  <dc:subject/>
  <dc:creator/>
  <cp:keywords/>
  <dc:description/>
  <cp:lastModifiedBy>Master Repository Process</cp:lastModifiedBy>
  <cp:revision>4</cp:revision>
  <cp:lastPrinted>2024-06-14T03:32:00Z</cp:lastPrinted>
  <dcterms:created xsi:type="dcterms:W3CDTF">2025-06-04T04:09:00Z</dcterms:created>
  <dcterms:modified xsi:type="dcterms:W3CDTF">2025-06-04T04:09:00Z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54879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2024/114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