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Racing and Gaming Regulations Amendment (Liquor Control) Regulations (No. 3)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Gaming Regulations Amendment (Liquor Control) Regulations (No. 3)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_Toc170212693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_Toc170212694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Liquor Control (Bayulu Restricted Area) Regulations 2013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_Toc170212696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9 amended</w:t>
      </w:r>
      <w:r>
        <w:tab/>
      </w:r>
      <w:r>
        <w:fldChar w:fldCharType="begin"/>
      </w:r>
      <w:r>
        <w:instrText xml:space="preserve"> PAGEREF _Toc170212697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Liquor Control (Spinifex Restricted Area) Regulations 2014</w:t>
      </w:r>
      <w:r>
        <w:t xml:space="preserve"> amended</w:t>
      </w:r>
    </w:p>
    <w:p>
      <w:pPr>
        <w:pStyle w:val="TOC8"/>
        <w:rPr>
          <w:rFonts w:asciiTheme="minorHAnsi" w:eastAsiaTheme="minorEastAsia" w:hAnsiTheme="minorHAnsi" w:cstheme="minorBidi"/>
          <w:szCs w:val="22"/>
        </w:rPr>
      </w:pPr>
      <w:r>
        <w:t>5.</w:t>
      </w:r>
      <w:r>
        <w:tab/>
        <w:t>Regulations amended</w:t>
      </w:r>
      <w:r>
        <w:tab/>
      </w:r>
      <w:r>
        <w:fldChar w:fldCharType="begin"/>
      </w:r>
      <w:r>
        <w:instrText xml:space="preserve"> PAGEREF _Toc170212699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3 amended</w:t>
      </w:r>
      <w:r>
        <w:tab/>
      </w:r>
      <w:r>
        <w:fldChar w:fldCharType="begin"/>
      </w:r>
      <w:r>
        <w:instrText xml:space="preserve"> PAGEREF _Toc170212700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10 amended</w:t>
      </w:r>
      <w:r>
        <w:tab/>
      </w:r>
      <w:r>
        <w:fldChar w:fldCharType="begin"/>
      </w:r>
      <w:r>
        <w:instrText xml:space="preserve"> PAGEREF _Toc170212701 \h </w:instrText>
      </w:r>
      <w:r>
        <w:fldChar w:fldCharType="separate"/>
      </w:r>
      <w:r>
        <w:t>3</w:t>
      </w:r>
      <w:r>
        <w:fldChar w:fldCharType="end"/>
      </w:r>
    </w:p>
    <w:p>
      <w:pPr>
        <w:pStyle w:val="TOC8"/>
        <w:rPr>
          <w:rFonts w:asciiTheme="minorHAnsi" w:eastAsiaTheme="minorEastAsia" w:hAnsiTheme="minorHAnsi" w:cstheme="minorBidi"/>
          <w:szCs w:val="22"/>
        </w:rPr>
      </w:pPr>
      <w:r>
        <w:t>8.</w:t>
      </w:r>
      <w:r>
        <w:tab/>
        <w:t>Schedule 1 replaced</w:t>
      </w:r>
      <w:r>
        <w:tab/>
      </w:r>
      <w:r>
        <w:fldChar w:fldCharType="begin"/>
      </w:r>
      <w:r>
        <w:instrText xml:space="preserve"> PAGEREF _Toc170212702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Spinifex Native Title Determination Area</w:t>
      </w:r>
    </w:p>
    <w:p>
      <w:pPr>
        <w:pStyle w:val="TOC2"/>
        <w:tabs>
          <w:tab w:val="right" w:leader="dot" w:pos="7077"/>
        </w:tabs>
        <w:rPr>
          <w:rFonts w:asciiTheme="minorHAnsi" w:eastAsiaTheme="minorEastAsia" w:hAnsiTheme="minorHAnsi" w:cstheme="minorBidi"/>
          <w:b w:val="0"/>
          <w:sz w:val="22"/>
          <w:szCs w:val="22"/>
        </w:rPr>
      </w:pPr>
      <w:r>
        <w:t>Part 4 — </w:t>
      </w:r>
      <w:r>
        <w:rPr>
          <w:i/>
          <w:iCs/>
        </w:rPr>
        <w:t>Liquor Control (Wakathuni Restricted Area) Regulations 2019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_Toc170212705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3 amended</w:t>
      </w:r>
      <w:r>
        <w:tab/>
      </w:r>
      <w:r>
        <w:fldChar w:fldCharType="begin"/>
      </w:r>
      <w:r>
        <w:instrText xml:space="preserve"> PAGEREF _Toc170212706 \h </w:instrText>
      </w:r>
      <w:r>
        <w:fldChar w:fldCharType="separate"/>
      </w:r>
      <w:r>
        <w:t>5</w:t>
      </w:r>
      <w:r>
        <w:fldChar w:fldCharType="end"/>
      </w:r>
    </w:p>
    <w:p>
      <w:pPr>
        <w:pStyle w:val="TOC8"/>
        <w:rPr>
          <w:rFonts w:asciiTheme="minorHAnsi" w:eastAsiaTheme="minorEastAsia" w:hAnsiTheme="minorHAnsi" w:cstheme="minorBidi"/>
          <w:szCs w:val="22"/>
        </w:rPr>
      </w:pPr>
      <w:r>
        <w:lastRenderedPageBreak/>
        <w:t>11.</w:t>
      </w:r>
      <w:r>
        <w:tab/>
        <w:t>Regulation 9 amended</w:t>
      </w:r>
      <w:r>
        <w:tab/>
      </w:r>
      <w:r>
        <w:fldChar w:fldCharType="begin"/>
      </w:r>
      <w:r>
        <w:instrText xml:space="preserve"> PAGEREF _Toc170212707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Racing and Gaming Regulations Amendment (Liquor Control) Regulations (No. 3) 2024</w:t>
      </w:r>
    </w:p>
    <w:p>
      <w:pPr>
        <w:pStyle w:val="MadeBy"/>
      </w:pPr>
      <w:r>
        <w:t>Made by the Governor in Executive Council.</w:t>
      </w:r>
    </w:p>
    <w:p>
      <w:pPr>
        <w:pStyle w:val="Heading2"/>
        <w:pageBreakBefore w:val="0"/>
        <w:spacing w:before="240"/>
        <w:rPr>
          <w:rStyle w:val="CharPartText"/>
        </w:rPr>
      </w:pPr>
      <w:bookmarkStart w:id="2" w:name="_Toc169793851"/>
      <w:bookmarkStart w:id="3" w:name="_Toc169793915"/>
      <w:bookmarkStart w:id="4" w:name="_Toc169793990"/>
      <w:bookmarkStart w:id="5" w:name="_Toc1702126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9793852"/>
      <w:bookmarkStart w:id="7" w:name="_Toc17021269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Racing and Gaming Regulations Amendment (Liquor Control) Regulations (No. 3) 2024</w:t>
      </w:r>
      <w:r>
        <w:t>.</w:t>
      </w:r>
    </w:p>
    <w:p>
      <w:pPr>
        <w:pStyle w:val="Heading5"/>
        <w:rPr>
          <w:spacing w:val="-2"/>
        </w:rPr>
      </w:pPr>
      <w:bookmarkStart w:id="9" w:name="_Toc169793853"/>
      <w:bookmarkStart w:id="10" w:name="_Toc17021269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rPr>
          <w:rStyle w:val="DraftersNotes"/>
          <w:b w:val="0"/>
          <w:i w:val="0"/>
          <w:sz w:val="24"/>
        </w:rPr>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rPr>
          <w:rStyle w:val="DraftersNotes"/>
          <w:b w:val="0"/>
          <w:i w:val="0"/>
          <w:sz w:val="24"/>
        </w:rPr>
      </w:pPr>
      <w:r>
        <w:tab/>
        <w:t>(b)</w:t>
      </w:r>
      <w:r>
        <w:tab/>
        <w:t xml:space="preserve">the rest of the </w:t>
      </w:r>
      <w:r>
        <w:rPr>
          <w:spacing w:val="-2"/>
        </w:rPr>
        <w:t>regulations</w:t>
      </w:r>
      <w:r>
        <w:t> — on the day after that day.</w:t>
      </w:r>
    </w:p>
    <w:p>
      <w:pPr>
        <w:pStyle w:val="Heading2"/>
        <w:rPr>
          <w:rStyle w:val="DraftersNotes"/>
          <w:b/>
          <w:i w:val="0"/>
          <w:sz w:val="30"/>
        </w:rPr>
      </w:pPr>
      <w:bookmarkStart w:id="11" w:name="_Toc169793854"/>
      <w:bookmarkStart w:id="12" w:name="_Toc169793918"/>
      <w:bookmarkStart w:id="13" w:name="_Toc169793993"/>
      <w:bookmarkStart w:id="14" w:name="_Toc170212695"/>
      <w:r>
        <w:rPr>
          <w:rStyle w:val="CharPartNo"/>
        </w:rPr>
        <w:lastRenderedPageBreak/>
        <w:t>Part 2</w:t>
      </w:r>
      <w:r>
        <w:rPr>
          <w:rStyle w:val="CharDivNo"/>
        </w:rPr>
        <w:t> </w:t>
      </w:r>
      <w:r>
        <w:t>—</w:t>
      </w:r>
      <w:r>
        <w:rPr>
          <w:rStyle w:val="CharDivText"/>
        </w:rPr>
        <w:t> </w:t>
      </w:r>
      <w:r>
        <w:rPr>
          <w:rStyle w:val="CharPartText"/>
          <w:i/>
          <w:iCs/>
        </w:rPr>
        <w:t>Liquor Control (Bayulu Restricted Area) Regulations 2013</w:t>
      </w:r>
      <w:r>
        <w:rPr>
          <w:rStyle w:val="CharPartText"/>
        </w:rPr>
        <w:t xml:space="preserve"> amended</w:t>
      </w:r>
      <w:bookmarkEnd w:id="11"/>
      <w:bookmarkEnd w:id="12"/>
      <w:bookmarkEnd w:id="13"/>
      <w:bookmarkEnd w:id="14"/>
    </w:p>
    <w:p>
      <w:pPr>
        <w:pStyle w:val="Heading5"/>
        <w:rPr>
          <w:snapToGrid w:val="0"/>
        </w:rPr>
      </w:pPr>
      <w:bookmarkStart w:id="15" w:name="_Toc169793855"/>
      <w:bookmarkStart w:id="16" w:name="_Toc170212696"/>
      <w:r>
        <w:rPr>
          <w:rStyle w:val="CharSectno"/>
        </w:rPr>
        <w:t>3</w:t>
      </w:r>
      <w:r>
        <w:rPr>
          <w:snapToGrid w:val="0"/>
        </w:rPr>
        <w:t>.</w:t>
      </w:r>
      <w:r>
        <w:rPr>
          <w:snapToGrid w:val="0"/>
        </w:rPr>
        <w:tab/>
        <w:t>Regulations amended</w:t>
      </w:r>
      <w:bookmarkEnd w:id="15"/>
      <w:bookmarkEnd w:id="16"/>
    </w:p>
    <w:p>
      <w:pPr>
        <w:pStyle w:val="Subsection"/>
        <w:rPr>
          <w:rStyle w:val="DraftersNotes"/>
          <w:b w:val="0"/>
          <w:i w:val="0"/>
          <w:sz w:val="24"/>
        </w:rPr>
      </w:pPr>
      <w:r>
        <w:tab/>
      </w:r>
      <w:r>
        <w:tab/>
        <w:t xml:space="preserve">This Part amends the </w:t>
      </w:r>
      <w:r>
        <w:rPr>
          <w:i/>
        </w:rPr>
        <w:t>Liquor Control (Bayulu Restricted Area) Regulations 2013</w:t>
      </w:r>
      <w:r>
        <w:t>.</w:t>
      </w:r>
    </w:p>
    <w:p>
      <w:pPr>
        <w:pStyle w:val="Heading5"/>
      </w:pPr>
      <w:bookmarkStart w:id="17" w:name="_Toc169793856"/>
      <w:bookmarkStart w:id="18" w:name="_Toc170212697"/>
      <w:r>
        <w:rPr>
          <w:rStyle w:val="CharSectno"/>
        </w:rPr>
        <w:t>4</w:t>
      </w:r>
      <w:r>
        <w:t>.</w:t>
      </w:r>
      <w:r>
        <w:tab/>
        <w:t>Regulation 9 amended</w:t>
      </w:r>
      <w:bookmarkEnd w:id="17"/>
      <w:bookmarkEnd w:id="18"/>
    </w:p>
    <w:p>
      <w:pPr>
        <w:pStyle w:val="Subsection"/>
      </w:pPr>
      <w:r>
        <w:tab/>
      </w:r>
      <w:r>
        <w:tab/>
        <w:t>In regulation 9 delete “28 June 2024.” and insert:</w:t>
      </w:r>
    </w:p>
    <w:p>
      <w:pPr>
        <w:pStyle w:val="BlankOpen"/>
      </w:pPr>
    </w:p>
    <w:p>
      <w:pPr>
        <w:pStyle w:val="Subsection"/>
      </w:pPr>
      <w:r>
        <w:tab/>
      </w:r>
      <w:r>
        <w:tab/>
        <w:t>28 June 2025.</w:t>
      </w:r>
    </w:p>
    <w:p>
      <w:pPr>
        <w:pStyle w:val="BlankClose"/>
        <w:rPr>
          <w:rStyle w:val="CharPartNo"/>
        </w:rPr>
      </w:pPr>
    </w:p>
    <w:p>
      <w:pPr>
        <w:pStyle w:val="Heading2"/>
        <w:rPr>
          <w:rStyle w:val="DraftersNotes"/>
          <w:b/>
          <w:i w:val="0"/>
          <w:sz w:val="30"/>
        </w:rPr>
      </w:pPr>
      <w:bookmarkStart w:id="19" w:name="_Toc169793857"/>
      <w:bookmarkStart w:id="20" w:name="_Toc169793921"/>
      <w:bookmarkStart w:id="21" w:name="_Toc169793996"/>
      <w:bookmarkStart w:id="22" w:name="_Toc170212698"/>
      <w:r>
        <w:rPr>
          <w:rStyle w:val="CharPartNo"/>
        </w:rPr>
        <w:lastRenderedPageBreak/>
        <w:t>Part 3</w:t>
      </w:r>
      <w:r>
        <w:rPr>
          <w:rStyle w:val="CharDivNo"/>
        </w:rPr>
        <w:t> </w:t>
      </w:r>
      <w:r>
        <w:t>—</w:t>
      </w:r>
      <w:r>
        <w:rPr>
          <w:rStyle w:val="CharDivText"/>
        </w:rPr>
        <w:t> </w:t>
      </w:r>
      <w:r>
        <w:rPr>
          <w:rStyle w:val="CharPartText"/>
          <w:i/>
          <w:iCs/>
        </w:rPr>
        <w:t>Liquor Control (Spinifex Restricted Area) Regulations 2014</w:t>
      </w:r>
      <w:r>
        <w:rPr>
          <w:rStyle w:val="CharPartText"/>
        </w:rPr>
        <w:t xml:space="preserve"> amended</w:t>
      </w:r>
      <w:bookmarkEnd w:id="19"/>
      <w:bookmarkEnd w:id="20"/>
      <w:bookmarkEnd w:id="21"/>
      <w:bookmarkEnd w:id="22"/>
    </w:p>
    <w:p>
      <w:pPr>
        <w:pStyle w:val="Heading5"/>
      </w:pPr>
      <w:bookmarkStart w:id="23" w:name="_Toc169793858"/>
      <w:bookmarkStart w:id="24" w:name="_Toc170212699"/>
      <w:r>
        <w:rPr>
          <w:rStyle w:val="CharSectno"/>
        </w:rPr>
        <w:t>5</w:t>
      </w:r>
      <w:r>
        <w:t>.</w:t>
      </w:r>
      <w:r>
        <w:tab/>
        <w:t>Regulations amended</w:t>
      </w:r>
      <w:bookmarkEnd w:id="23"/>
      <w:bookmarkEnd w:id="24"/>
    </w:p>
    <w:p>
      <w:pPr>
        <w:pStyle w:val="Subsection"/>
      </w:pPr>
      <w:r>
        <w:tab/>
      </w:r>
      <w:r>
        <w:tab/>
        <w:t xml:space="preserve">This Part amends the </w:t>
      </w:r>
      <w:r>
        <w:rPr>
          <w:i/>
          <w:iCs/>
        </w:rPr>
        <w:t>Liquor Control (Spinifex Restricted Area) Regulations 2014</w:t>
      </w:r>
      <w:r>
        <w:t>.</w:t>
      </w:r>
    </w:p>
    <w:p>
      <w:pPr>
        <w:pStyle w:val="Heading5"/>
      </w:pPr>
      <w:bookmarkStart w:id="25" w:name="_Toc169793859"/>
      <w:bookmarkStart w:id="26" w:name="_Toc170212700"/>
      <w:r>
        <w:rPr>
          <w:rStyle w:val="CharSectno"/>
        </w:rPr>
        <w:t>6</w:t>
      </w:r>
      <w:r>
        <w:t>.</w:t>
      </w:r>
      <w:r>
        <w:tab/>
        <w:t>Regulation 3 amended</w:t>
      </w:r>
      <w:bookmarkEnd w:id="25"/>
      <w:bookmarkEnd w:id="26"/>
    </w:p>
    <w:p>
      <w:pPr>
        <w:pStyle w:val="Subsection"/>
      </w:pPr>
      <w:r>
        <w:tab/>
      </w:r>
      <w:r>
        <w:tab/>
        <w:t xml:space="preserve">In regulation 3 in the definition of </w:t>
      </w:r>
      <w:r>
        <w:rPr>
          <w:b/>
          <w:bCs/>
          <w:i/>
          <w:iCs/>
        </w:rPr>
        <w:t>Spinifex Native Title Determination Area</w:t>
      </w:r>
      <w:r>
        <w:t xml:space="preserve"> after “in” delete “the”.</w:t>
      </w:r>
    </w:p>
    <w:p>
      <w:pPr>
        <w:pStyle w:val="Heading5"/>
      </w:pPr>
      <w:bookmarkStart w:id="27" w:name="_Toc169793860"/>
      <w:bookmarkStart w:id="28" w:name="_Toc170212701"/>
      <w:r>
        <w:rPr>
          <w:rStyle w:val="CharSectno"/>
        </w:rPr>
        <w:t>7</w:t>
      </w:r>
      <w:r>
        <w:t>.</w:t>
      </w:r>
      <w:r>
        <w:tab/>
        <w:t>Regulation 10 amended</w:t>
      </w:r>
      <w:bookmarkEnd w:id="27"/>
      <w:bookmarkEnd w:id="28"/>
    </w:p>
    <w:p>
      <w:pPr>
        <w:pStyle w:val="Subsection"/>
      </w:pPr>
      <w:r>
        <w:tab/>
      </w:r>
      <w:r>
        <w:tab/>
        <w:t>In regulation 10 delete “2 July 2024.” and insert:</w:t>
      </w:r>
    </w:p>
    <w:p>
      <w:pPr>
        <w:pStyle w:val="BlankOpen"/>
      </w:pPr>
    </w:p>
    <w:p>
      <w:pPr>
        <w:pStyle w:val="Subsection"/>
      </w:pPr>
      <w:r>
        <w:tab/>
      </w:r>
      <w:r>
        <w:tab/>
        <w:t>2 July 2034.</w:t>
      </w:r>
    </w:p>
    <w:p>
      <w:pPr>
        <w:pStyle w:val="BlankClose"/>
      </w:pPr>
    </w:p>
    <w:p>
      <w:pPr>
        <w:pStyle w:val="Heading5"/>
      </w:pPr>
      <w:bookmarkStart w:id="29" w:name="_Toc169793861"/>
      <w:bookmarkStart w:id="30" w:name="_Toc170212702"/>
      <w:r>
        <w:rPr>
          <w:rStyle w:val="CharSectno"/>
        </w:rPr>
        <w:t>8</w:t>
      </w:r>
      <w:r>
        <w:t>.</w:t>
      </w:r>
      <w:r>
        <w:tab/>
        <w:t>Schedule 1 replaced</w:t>
      </w:r>
      <w:bookmarkEnd w:id="29"/>
      <w:bookmarkEnd w:id="30"/>
    </w:p>
    <w:p>
      <w:pPr>
        <w:pStyle w:val="Subsection"/>
        <w:rPr>
          <w:rStyle w:val="DraftersNotes"/>
          <w:b w:val="0"/>
          <w:i w:val="0"/>
          <w:sz w:val="24"/>
        </w:rPr>
      </w:pPr>
      <w:r>
        <w:tab/>
      </w:r>
      <w:r>
        <w:tab/>
        <w:t>Delete Schedule 1 and insert:</w:t>
      </w:r>
    </w:p>
    <w:p>
      <w:pPr>
        <w:pStyle w:val="BlankOpen"/>
      </w:pPr>
    </w:p>
    <w:p>
      <w:pPr>
        <w:pStyle w:val="zyHeading2"/>
      </w:pPr>
      <w:bookmarkStart w:id="31" w:name="_Toc169793862"/>
      <w:bookmarkStart w:id="32" w:name="_Toc169793926"/>
      <w:bookmarkStart w:id="33" w:name="_Toc169794001"/>
      <w:bookmarkStart w:id="34" w:name="_Toc170212703"/>
      <w:r>
        <w:t>Schedule 1 — Spinifex Native Title Determination Area</w:t>
      </w:r>
      <w:bookmarkEnd w:id="31"/>
      <w:bookmarkEnd w:id="32"/>
      <w:bookmarkEnd w:id="33"/>
      <w:bookmarkEnd w:id="34"/>
    </w:p>
    <w:p>
      <w:pPr>
        <w:pStyle w:val="zyShoulderClause"/>
        <w:rPr>
          <w:rStyle w:val="DraftersNotes"/>
          <w:b w:val="0"/>
          <w:i w:val="0"/>
          <w:sz w:val="22"/>
        </w:rPr>
      </w:pPr>
      <w:r>
        <w:t>[r. 3]</w:t>
      </w:r>
    </w:p>
    <w:p>
      <w:pPr>
        <w:pStyle w:val="zyMiscellaneousBody"/>
        <w:rPr>
          <w:rStyle w:val="DraftersNotes"/>
          <w:b w:val="0"/>
          <w:i w:val="0"/>
          <w:sz w:val="24"/>
        </w:rPr>
      </w:pPr>
      <w:r>
        <w:tab/>
        <w:t xml:space="preserve">All those lands and waters bounded by a line — </w:t>
      </w:r>
    </w:p>
    <w:p>
      <w:pPr>
        <w:pStyle w:val="zyMiscellaneousBody"/>
        <w:tabs>
          <w:tab w:val="left" w:pos="1276"/>
          <w:tab w:val="left" w:pos="1843"/>
        </w:tabs>
        <w:ind w:left="1843" w:hanging="1276"/>
        <w:rPr>
          <w:rStyle w:val="DraftersNotes"/>
          <w:b w:val="0"/>
          <w:i w:val="0"/>
          <w:sz w:val="22"/>
        </w:rPr>
      </w:pPr>
      <w:r>
        <w:tab/>
        <w:t>(a)</w:t>
      </w:r>
      <w:r>
        <w:tab/>
        <w:t>commencing at the westernmost north</w:t>
      </w:r>
      <w:r>
        <w:noBreakHyphen/>
        <w:t>western corner of unnumbered unallocated Crown land (formerly Yowalga Location 7) as shown on Deposited Plan 220992 and extending east along the northernmost northern boundary of that location and east and south</w:t>
      </w:r>
      <w:r>
        <w:noBreakHyphen/>
        <w:t xml:space="preserve">easterly along the boundaries of Class “A” Reserve 17614 being Lot 9 on Deposited Plan 91722 </w:t>
      </w:r>
      <w:r>
        <w:lastRenderedPageBreak/>
        <w:t>(formerly Milyuga Location 20) to the Western Australian</w:t>
      </w:r>
      <w:r>
        <w:noBreakHyphen/>
        <w:t>South Australian Border;</w:t>
      </w:r>
    </w:p>
    <w:p>
      <w:pPr>
        <w:pStyle w:val="zyMiscellaneousBody"/>
        <w:tabs>
          <w:tab w:val="left" w:pos="1276"/>
          <w:tab w:val="left" w:pos="1843"/>
        </w:tabs>
        <w:ind w:left="1843" w:hanging="1276"/>
        <w:rPr>
          <w:rStyle w:val="DraftersNotes"/>
          <w:b w:val="0"/>
          <w:i w:val="0"/>
          <w:sz w:val="22"/>
        </w:rPr>
      </w:pPr>
      <w:r>
        <w:tab/>
        <w:t>(b)</w:t>
      </w:r>
      <w:r>
        <w:tab/>
        <w:t>then southerly along that border to latitude 29.5° South;</w:t>
      </w:r>
    </w:p>
    <w:p>
      <w:pPr>
        <w:pStyle w:val="zyMiscellaneousBody"/>
        <w:tabs>
          <w:tab w:val="left" w:pos="1276"/>
          <w:tab w:val="left" w:pos="1843"/>
        </w:tabs>
        <w:ind w:left="1843" w:hanging="1276"/>
        <w:rPr>
          <w:rStyle w:val="DraftersNotes"/>
          <w:b w:val="0"/>
          <w:i w:val="0"/>
          <w:sz w:val="22"/>
        </w:rPr>
      </w:pPr>
      <w:r>
        <w:tab/>
        <w:t>(c)</w:t>
      </w:r>
      <w:r>
        <w:tab/>
        <w:t>then west to the south</w:t>
      </w:r>
      <w:r>
        <w:noBreakHyphen/>
        <w:t>eastern corner of Lot 9 on Deposited Plan 220922 (formerly Delisser Location 9);</w:t>
      </w:r>
    </w:p>
    <w:p>
      <w:pPr>
        <w:pStyle w:val="zyMiscellaneousBody"/>
        <w:tabs>
          <w:tab w:val="left" w:pos="1276"/>
          <w:tab w:val="left" w:pos="1843"/>
        </w:tabs>
        <w:ind w:left="1843" w:hanging="1276"/>
        <w:rPr>
          <w:rStyle w:val="DraftersNotes"/>
          <w:b w:val="0"/>
          <w:i w:val="0"/>
          <w:sz w:val="24"/>
        </w:rPr>
      </w:pPr>
      <w:r>
        <w:tab/>
        <w:t>(d)</w:t>
      </w:r>
      <w:r>
        <w:tab/>
        <w:t>then west and north along the boundaries of that location and north along the western boundary of Lot 8 on Deposited Plan 220992 (formerly Delisser Location 8) to the south</w:t>
      </w:r>
      <w:r>
        <w:noBreakHyphen/>
        <w:t>western corner of unnumbered unallocated Crown land (formerly Yowalga Location 7);</w:t>
      </w:r>
    </w:p>
    <w:p>
      <w:pPr>
        <w:pStyle w:val="zyMiscellaneousBody"/>
        <w:tabs>
          <w:tab w:val="left" w:pos="1276"/>
          <w:tab w:val="left" w:pos="1843"/>
        </w:tabs>
        <w:ind w:left="1843" w:hanging="1276"/>
      </w:pPr>
      <w:r>
        <w:tab/>
        <w:t>(e)</w:t>
      </w:r>
      <w:r>
        <w:tab/>
        <w:t>then generally northerly along the boundaries of Lot 8 on Deposited Plan 220992 (formerly Delisser Location 8) to the commencement point.</w:t>
      </w:r>
    </w:p>
    <w:p>
      <w:pPr>
        <w:pStyle w:val="zPermNoteHeading"/>
      </w:pPr>
      <w:r>
        <w:tab/>
        <w:t>Note for this Schedule:</w:t>
      </w:r>
    </w:p>
    <w:p>
      <w:pPr>
        <w:pStyle w:val="zPermNoteText"/>
      </w:pPr>
      <w:r>
        <w:tab/>
      </w:r>
      <w:r>
        <w:tab/>
        <w:t xml:space="preserve">The Deposited Plans referred to in this Schedule are held by the Western Australian Land Information Authority established by the </w:t>
      </w:r>
      <w:r>
        <w:rPr>
          <w:i/>
          <w:iCs/>
        </w:rPr>
        <w:t>Land Information Authority Act 2006</w:t>
      </w:r>
      <w:r>
        <w:t>.</w:t>
      </w:r>
    </w:p>
    <w:p>
      <w:pPr>
        <w:pStyle w:val="BlankClose"/>
      </w:pPr>
    </w:p>
    <w:p>
      <w:pPr>
        <w:pStyle w:val="Heading2"/>
        <w:rPr>
          <w:iCs/>
        </w:rPr>
      </w:pPr>
      <w:bookmarkStart w:id="35" w:name="_Toc169793863"/>
      <w:bookmarkStart w:id="36" w:name="_Toc169793927"/>
      <w:bookmarkStart w:id="37" w:name="_Toc169794002"/>
      <w:bookmarkStart w:id="38" w:name="_Toc170212704"/>
      <w:r>
        <w:rPr>
          <w:rStyle w:val="CharPartNo"/>
        </w:rPr>
        <w:lastRenderedPageBreak/>
        <w:t>Part 4</w:t>
      </w:r>
      <w:r>
        <w:rPr>
          <w:rStyle w:val="CharDivNo"/>
        </w:rPr>
        <w:t> </w:t>
      </w:r>
      <w:r>
        <w:t>—</w:t>
      </w:r>
      <w:r>
        <w:rPr>
          <w:rStyle w:val="CharDivText"/>
        </w:rPr>
        <w:t> </w:t>
      </w:r>
      <w:r>
        <w:rPr>
          <w:rStyle w:val="CharPartText"/>
          <w:i/>
          <w:iCs/>
        </w:rPr>
        <w:t>Liquor Control (Wakathuni Restricted Area) Regulations 2019</w:t>
      </w:r>
      <w:r>
        <w:rPr>
          <w:rStyle w:val="CharPartText"/>
        </w:rPr>
        <w:t xml:space="preserve"> amended</w:t>
      </w:r>
      <w:bookmarkEnd w:id="35"/>
      <w:bookmarkEnd w:id="36"/>
      <w:bookmarkEnd w:id="37"/>
      <w:bookmarkEnd w:id="38"/>
    </w:p>
    <w:p>
      <w:pPr>
        <w:pStyle w:val="Heading5"/>
      </w:pPr>
      <w:bookmarkStart w:id="39" w:name="_Toc169793864"/>
      <w:bookmarkStart w:id="40" w:name="_Toc170212705"/>
      <w:r>
        <w:rPr>
          <w:rStyle w:val="CharSectno"/>
        </w:rPr>
        <w:t>9</w:t>
      </w:r>
      <w:r>
        <w:t>.</w:t>
      </w:r>
      <w:r>
        <w:tab/>
        <w:t>Regulations amended</w:t>
      </w:r>
      <w:bookmarkEnd w:id="39"/>
      <w:bookmarkEnd w:id="40"/>
    </w:p>
    <w:p>
      <w:pPr>
        <w:pStyle w:val="Subsection"/>
      </w:pPr>
      <w:r>
        <w:tab/>
      </w:r>
      <w:r>
        <w:tab/>
        <w:t xml:space="preserve">This Part amends the </w:t>
      </w:r>
      <w:r>
        <w:rPr>
          <w:i/>
          <w:iCs/>
        </w:rPr>
        <w:t>Liquor Control (Wakathuni Restricted Area) Regulations 2019</w:t>
      </w:r>
      <w:r>
        <w:t>.</w:t>
      </w:r>
    </w:p>
    <w:p>
      <w:pPr>
        <w:pStyle w:val="Heading5"/>
      </w:pPr>
      <w:bookmarkStart w:id="41" w:name="_Toc169793865"/>
      <w:bookmarkStart w:id="42" w:name="_Toc170212706"/>
      <w:r>
        <w:rPr>
          <w:rStyle w:val="CharSectno"/>
        </w:rPr>
        <w:t>10</w:t>
      </w:r>
      <w:r>
        <w:t>.</w:t>
      </w:r>
      <w:r>
        <w:tab/>
        <w:t>Regulation 3 amended</w:t>
      </w:r>
      <w:bookmarkEnd w:id="41"/>
      <w:bookmarkEnd w:id="42"/>
    </w:p>
    <w:p>
      <w:pPr>
        <w:pStyle w:val="Subsection"/>
        <w:rPr>
          <w:rStyle w:val="DraftersNotes"/>
          <w:b w:val="0"/>
          <w:bCs/>
          <w:i w:val="0"/>
          <w:iCs/>
        </w:rPr>
      </w:pPr>
      <w:r>
        <w:tab/>
      </w:r>
      <w:r>
        <w:tab/>
        <w:t xml:space="preserve">In regulation 3 in the definition of </w:t>
      </w:r>
      <w:r>
        <w:rPr>
          <w:b/>
          <w:bCs/>
          <w:i/>
          <w:iCs/>
        </w:rPr>
        <w:t>Wakathuni Aboriginal Community</w:t>
      </w:r>
      <w:r>
        <w:t xml:space="preserve"> delete “latitude 22.866784° S, longitude 117.832828° E.” and insert:</w:t>
      </w:r>
    </w:p>
    <w:p>
      <w:pPr>
        <w:pStyle w:val="BlankOpen"/>
      </w:pPr>
    </w:p>
    <w:p>
      <w:pPr>
        <w:pStyle w:val="zDefstart"/>
        <w:rPr>
          <w:rStyle w:val="DraftersNotes"/>
          <w:b w:val="0"/>
          <w:i w:val="0"/>
          <w:sz w:val="24"/>
        </w:rPr>
      </w:pPr>
      <w:r>
        <w:tab/>
        <w:t xml:space="preserve">the point with the following Geocentric Datum of Australia 2020 (GDA2020) coordinates — </w:t>
      </w:r>
    </w:p>
    <w:p>
      <w:pPr>
        <w:pStyle w:val="zDefpara"/>
      </w:pPr>
      <w:r>
        <w:tab/>
        <w:t>(a)</w:t>
      </w:r>
      <w:r>
        <w:tab/>
        <w:t>22.86676975° S;</w:t>
      </w:r>
    </w:p>
    <w:p>
      <w:pPr>
        <w:pStyle w:val="zDefpara"/>
        <w:rPr>
          <w:rStyle w:val="DraftersNotes"/>
          <w:b w:val="0"/>
          <w:i w:val="0"/>
          <w:sz w:val="24"/>
        </w:rPr>
      </w:pPr>
      <w:r>
        <w:tab/>
        <w:t>(b)</w:t>
      </w:r>
      <w:r>
        <w:tab/>
        <w:t>117.8328378° E.</w:t>
      </w:r>
    </w:p>
    <w:p>
      <w:pPr>
        <w:pStyle w:val="BlankClose"/>
      </w:pPr>
    </w:p>
    <w:p>
      <w:pPr>
        <w:pStyle w:val="Heading5"/>
      </w:pPr>
      <w:bookmarkStart w:id="43" w:name="_Toc169793866"/>
      <w:bookmarkStart w:id="44" w:name="_Toc170212707"/>
      <w:r>
        <w:rPr>
          <w:rStyle w:val="CharSectno"/>
        </w:rPr>
        <w:t>11</w:t>
      </w:r>
      <w:r>
        <w:t>.</w:t>
      </w:r>
      <w:r>
        <w:tab/>
        <w:t>Regulation 9 amended</w:t>
      </w:r>
      <w:bookmarkEnd w:id="43"/>
      <w:bookmarkEnd w:id="44"/>
    </w:p>
    <w:p>
      <w:pPr>
        <w:pStyle w:val="Subsection"/>
      </w:pPr>
      <w:r>
        <w:tab/>
      </w:r>
      <w:r>
        <w:tab/>
        <w:t>In regulation 9 delete “30 June 2024.” and insert:</w:t>
      </w:r>
    </w:p>
    <w:p>
      <w:pPr>
        <w:pStyle w:val="BlankOpen"/>
      </w:pPr>
    </w:p>
    <w:p>
      <w:pPr>
        <w:pStyle w:val="Subsection"/>
      </w:pPr>
      <w:r>
        <w:tab/>
      </w:r>
      <w:r>
        <w:tab/>
        <w:t>30 June 2025.</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pPr>
        <w:rPr>
          <w:rStyle w:val="DraftersNotes"/>
        </w:rPr>
      </w:pPr>
      <w:r>
        <w:rPr>
          <w:b/>
          <w:i/>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5529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05C054" w14:textId="747FADF8" w:rsidR="006131FC" w:rsidRDefault="006131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5CDB">
                        <w:rPr>
                          <w:sz w:val="16"/>
                        </w:rPr>
                        <w:t>2024</w:t>
                      </w:r>
                      <w:r>
                        <w:rPr>
                          <w:sz w:val="16"/>
                        </w:rPr>
                        <w:fldChar w:fldCharType="end"/>
                      </w:r>
                      <w:r>
                        <w:rPr>
                          <w:sz w:val="16"/>
                        </w:rPr>
                        <w:t>.</w:t>
                      </w:r>
                    </w:p>
                    <w:p w14:paraId="74B0196C" w14:textId="77777777" w:rsidR="006131FC" w:rsidRDefault="006131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CC4C4E" w14:textId="718F3052" w:rsidR="006131FC" w:rsidRDefault="006131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5CDB">
                        <w:rPr>
                          <w:sz w:val="16"/>
                        </w:rPr>
                        <w:t>2024</w:t>
                      </w:r>
                      <w:r>
                        <w:rPr>
                          <w:sz w:val="16"/>
                        </w:rPr>
                        <w:fldChar w:fldCharType="end"/>
                      </w:r>
                      <w:r>
                        <w:rPr>
                          <w:sz w:val="16"/>
                        </w:rPr>
                        <w:t>.</w:t>
                      </w:r>
                    </w:p>
                    <w:p w14:paraId="129820C9" w14:textId="77777777" w:rsidR="006131FC" w:rsidRDefault="006131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Gaming Regulations Amendment (Liquor Control) Regulations (No. 3)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Gaming Regulations Amendment (Liquor Control) Regulations (No. 3)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Gaming Regulations Amendment (Liquor Control) Regulations (No. 3)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Racing and Gaming Regulations Amendment (Liquor Control) Regulations (No. 3)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6365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07090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0829_GUID" w:val="ba1ff8a7-a3bc-462e-a634-2997e109dbcb"/>
    <w:docVar w:name="WAFER_20240607143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43728_GUID" w:val="7dc21449-8975-447a-b3bc-ee5f770b9b40"/>
    <w:docVar w:name="WAFER_20240620163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63651_GUID" w:val="c6361212-e643-48c8-b73e-385de2d1fe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EE3EF329-2801-421B-8AB3-DF208187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4021</Characters>
  <Application>Microsoft Office Word</Application>
  <DocSecurity>0</DocSecurity>
  <Lines>154</Lines>
  <Paragraphs>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Gaming Regulations Amendment (Liquor Control) Regulations (No. 3) 2024 - 00-00-00</dc:title>
  <dc:subject/>
  <dc:creator/>
  <cp:keywords/>
  <dc:description/>
  <cp:lastModifiedBy>Master Repository Process</cp:lastModifiedBy>
  <cp:revision>4</cp:revision>
  <cp:lastPrinted>2024-06-06T07:04:00Z</cp:lastPrinted>
  <dcterms:created xsi:type="dcterms:W3CDTF">2025-06-06T04:06:00Z</dcterms:created>
  <dcterms:modified xsi:type="dcterms:W3CDTF">2025-06-06T04:06:00Z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54915</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2024/109</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