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Short-Term Rental Accommodation Act 2024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Short-Term Rental Accommodation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Short-Term Rental Accommodation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_Toc170211829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_Toc170211830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_Toc170211831 \h </w:instrText>
      </w:r>
      <w:r>
        <w:fldChar w:fldCharType="separate"/>
      </w:r>
      <w:r>
        <w:t>1</w:t>
      </w:r>
      <w:r>
        <w:fldChar w:fldCharType="end"/>
      </w:r>
    </w:p>
    <w:p>
      <w:pPr>
        <w:pStyle w:val="TOC8"/>
        <w:rPr>
          <w:rFonts w:asciiTheme="minorHAnsi" w:eastAsiaTheme="minorEastAsia" w:hAnsiTheme="minorHAnsi" w:cstheme="minorBidi"/>
          <w:szCs w:val="22"/>
        </w:rPr>
      </w:pPr>
      <w:r>
        <w:t>4.</w:t>
      </w:r>
      <w:r>
        <w:tab/>
        <w:t>Hosted accommodation</w:t>
      </w:r>
      <w:r>
        <w:tab/>
      </w:r>
      <w:r>
        <w:fldChar w:fldCharType="begin"/>
      </w:r>
      <w:r>
        <w:instrText xml:space="preserve"> PAGEREF _Toc170211832 \h </w:instrText>
      </w:r>
      <w:r>
        <w:fldChar w:fldCharType="separate"/>
      </w:r>
      <w:r>
        <w:t>1</w:t>
      </w:r>
      <w:r>
        <w:fldChar w:fldCharType="end"/>
      </w:r>
    </w:p>
    <w:p>
      <w:pPr>
        <w:pStyle w:val="TOC8"/>
        <w:rPr>
          <w:rFonts w:asciiTheme="minorHAnsi" w:eastAsiaTheme="minorEastAsia" w:hAnsiTheme="minorHAnsi" w:cstheme="minorBidi"/>
          <w:szCs w:val="22"/>
        </w:rPr>
      </w:pPr>
      <w:r>
        <w:t>5.</w:t>
      </w:r>
      <w:r>
        <w:tab/>
        <w:t>Premises to which Act does not apply</w:t>
      </w:r>
      <w:r>
        <w:tab/>
      </w:r>
      <w:r>
        <w:fldChar w:fldCharType="begin"/>
      </w:r>
      <w:r>
        <w:instrText xml:space="preserve"> PAGEREF _Toc170211833 \h </w:instrText>
      </w:r>
      <w:r>
        <w:fldChar w:fldCharType="separate"/>
      </w:r>
      <w:r>
        <w:t>2</w:t>
      </w:r>
      <w:r>
        <w:fldChar w:fldCharType="end"/>
      </w:r>
    </w:p>
    <w:p>
      <w:pPr>
        <w:pStyle w:val="TOC8"/>
        <w:rPr>
          <w:rFonts w:asciiTheme="minorHAnsi" w:eastAsiaTheme="minorEastAsia" w:hAnsiTheme="minorHAnsi" w:cstheme="minorBidi"/>
          <w:szCs w:val="22"/>
        </w:rPr>
      </w:pPr>
      <w:r>
        <w:t>6.</w:t>
      </w:r>
      <w:r>
        <w:tab/>
        <w:t>Information to be included in applications for registration</w:t>
      </w:r>
      <w:r>
        <w:tab/>
      </w:r>
      <w:r>
        <w:fldChar w:fldCharType="begin"/>
      </w:r>
      <w:r>
        <w:instrText xml:space="preserve"> PAGEREF _Toc170211834 \h </w:instrText>
      </w:r>
      <w:r>
        <w:fldChar w:fldCharType="separate"/>
      </w:r>
      <w:r>
        <w:t>3</w:t>
      </w:r>
      <w:r>
        <w:fldChar w:fldCharType="end"/>
      </w:r>
    </w:p>
    <w:p>
      <w:pPr>
        <w:pStyle w:val="TOC8"/>
        <w:rPr>
          <w:rFonts w:asciiTheme="minorHAnsi" w:eastAsiaTheme="minorEastAsia" w:hAnsiTheme="minorHAnsi" w:cstheme="minorBidi"/>
          <w:szCs w:val="22"/>
        </w:rPr>
      </w:pPr>
      <w:r>
        <w:t>7.</w:t>
      </w:r>
      <w:r>
        <w:tab/>
        <w:t>Suspension or cancellation of registration</w:t>
      </w:r>
      <w:r>
        <w:tab/>
      </w:r>
      <w:r>
        <w:fldChar w:fldCharType="begin"/>
      </w:r>
      <w:r>
        <w:instrText xml:space="preserve"> PAGEREF _Toc170211835 \h </w:instrText>
      </w:r>
      <w:r>
        <w:fldChar w:fldCharType="separate"/>
      </w:r>
      <w:r>
        <w:t>3</w:t>
      </w:r>
      <w:r>
        <w:fldChar w:fldCharType="end"/>
      </w:r>
    </w:p>
    <w:p>
      <w:pPr>
        <w:pStyle w:val="TOC8"/>
        <w:rPr>
          <w:rFonts w:asciiTheme="minorHAnsi" w:eastAsiaTheme="minorEastAsia" w:hAnsiTheme="minorHAnsi" w:cstheme="minorBidi"/>
          <w:szCs w:val="22"/>
        </w:rPr>
      </w:pPr>
      <w:r>
        <w:t>8.</w:t>
      </w:r>
      <w:r>
        <w:tab/>
        <w:t>Changes to be notified to Commissioner</w:t>
      </w:r>
      <w:r>
        <w:tab/>
      </w:r>
      <w:r>
        <w:fldChar w:fldCharType="begin"/>
      </w:r>
      <w:r>
        <w:instrText xml:space="preserve"> PAGEREF _Toc170211836 \h </w:instrText>
      </w:r>
      <w:r>
        <w:fldChar w:fldCharType="separate"/>
      </w:r>
      <w:r>
        <w:t>5</w:t>
      </w:r>
      <w:r>
        <w:fldChar w:fldCharType="end"/>
      </w:r>
    </w:p>
    <w:p>
      <w:pPr>
        <w:pStyle w:val="TOC8"/>
        <w:rPr>
          <w:rFonts w:asciiTheme="minorHAnsi" w:eastAsiaTheme="minorEastAsia" w:hAnsiTheme="minorHAnsi" w:cstheme="minorBidi"/>
          <w:szCs w:val="22"/>
        </w:rPr>
      </w:pPr>
      <w:r>
        <w:t>9.</w:t>
      </w:r>
      <w:r>
        <w:tab/>
        <w:t>Certificate evidence</w:t>
      </w:r>
      <w:r>
        <w:tab/>
      </w:r>
      <w:r>
        <w:fldChar w:fldCharType="begin"/>
      </w:r>
      <w:r>
        <w:instrText xml:space="preserve"> PAGEREF _Toc170211837 \h </w:instrText>
      </w:r>
      <w:r>
        <w:fldChar w:fldCharType="separate"/>
      </w:r>
      <w:r>
        <w:t>5</w:t>
      </w:r>
      <w:r>
        <w:fldChar w:fldCharType="end"/>
      </w:r>
    </w:p>
    <w:p>
      <w:pPr>
        <w:pStyle w:val="TOC8"/>
        <w:rPr>
          <w:rFonts w:asciiTheme="minorHAnsi" w:eastAsiaTheme="minorEastAsia" w:hAnsiTheme="minorHAnsi" w:cstheme="minorBidi"/>
          <w:szCs w:val="22"/>
        </w:rPr>
      </w:pPr>
      <w:r>
        <w:t>10.</w:t>
      </w:r>
      <w:r>
        <w:tab/>
        <w:t>Information to be included in Register</w:t>
      </w:r>
      <w:r>
        <w:tab/>
      </w:r>
      <w:r>
        <w:fldChar w:fldCharType="begin"/>
      </w:r>
      <w:r>
        <w:instrText xml:space="preserve"> PAGEREF _Toc170211838 \h </w:instrText>
      </w:r>
      <w:r>
        <w:fldChar w:fldCharType="separate"/>
      </w:r>
      <w:r>
        <w:t>6</w:t>
      </w:r>
      <w:r>
        <w:fldChar w:fldCharType="end"/>
      </w:r>
    </w:p>
    <w:p>
      <w:pPr>
        <w:pStyle w:val="TOC8"/>
        <w:rPr>
          <w:rFonts w:asciiTheme="minorHAnsi" w:eastAsiaTheme="minorEastAsia" w:hAnsiTheme="minorHAnsi" w:cstheme="minorBidi"/>
          <w:szCs w:val="22"/>
        </w:rPr>
      </w:pPr>
      <w:r>
        <w:t>11.</w:t>
      </w:r>
      <w:r>
        <w:tab/>
        <w:t>Disclosure of information: health and safety</w:t>
      </w:r>
      <w:r>
        <w:tab/>
      </w:r>
      <w:r>
        <w:fldChar w:fldCharType="begin"/>
      </w:r>
      <w:r>
        <w:instrText xml:space="preserve"> PAGEREF _Toc170211839 \h </w:instrText>
      </w:r>
      <w:r>
        <w:fldChar w:fldCharType="separate"/>
      </w:r>
      <w:r>
        <w:t>7</w:t>
      </w:r>
      <w:r>
        <w:fldChar w:fldCharType="end"/>
      </w:r>
    </w:p>
    <w:p>
      <w:pPr>
        <w:pStyle w:val="TOC8"/>
        <w:rPr>
          <w:rFonts w:asciiTheme="minorHAnsi" w:eastAsiaTheme="minorEastAsia" w:hAnsiTheme="minorHAnsi" w:cstheme="minorBidi"/>
          <w:szCs w:val="22"/>
        </w:rPr>
      </w:pPr>
      <w:r>
        <w:t>12.</w:t>
      </w:r>
      <w:r>
        <w:tab/>
        <w:t>Disclosure of information: community titles schemes and strata titles schemes</w:t>
      </w:r>
      <w:r>
        <w:tab/>
      </w:r>
      <w:r>
        <w:fldChar w:fldCharType="begin"/>
      </w:r>
      <w:r>
        <w:instrText xml:space="preserve"> PAGEREF _Toc170211840 \h </w:instrText>
      </w:r>
      <w:r>
        <w:fldChar w:fldCharType="separate"/>
      </w:r>
      <w:r>
        <w:t>7</w:t>
      </w:r>
      <w:r>
        <w:fldChar w:fldCharType="end"/>
      </w:r>
    </w:p>
    <w:p>
      <w:pPr>
        <w:pStyle w:val="TOC8"/>
        <w:rPr>
          <w:rFonts w:asciiTheme="minorHAnsi" w:eastAsiaTheme="minorEastAsia" w:hAnsiTheme="minorHAnsi" w:cstheme="minorBidi"/>
          <w:szCs w:val="22"/>
        </w:rPr>
      </w:pPr>
      <w:r>
        <w:t>13.</w:t>
      </w:r>
      <w:r>
        <w:tab/>
        <w:t>Particulars of short</w:t>
      </w:r>
      <w:r>
        <w:noBreakHyphen/>
        <w:t>term rental arrangements to be notified to Commissioner</w:t>
      </w:r>
      <w:r>
        <w:tab/>
      </w:r>
      <w:r>
        <w:fldChar w:fldCharType="begin"/>
      </w:r>
      <w:r>
        <w:instrText xml:space="preserve"> PAGEREF _Toc170211841 \h </w:instrText>
      </w:r>
      <w:r>
        <w:fldChar w:fldCharType="separate"/>
      </w:r>
      <w:r>
        <w:t>8</w:t>
      </w:r>
      <w:r>
        <w:fldChar w:fldCharType="end"/>
      </w:r>
    </w:p>
    <w:p>
      <w:pPr>
        <w:pStyle w:val="TOC8"/>
        <w:rPr>
          <w:rFonts w:asciiTheme="minorHAnsi" w:eastAsiaTheme="minorEastAsia" w:hAnsiTheme="minorHAnsi" w:cstheme="minorBidi"/>
          <w:szCs w:val="22"/>
        </w:rPr>
      </w:pPr>
      <w:r>
        <w:t>14.</w:t>
      </w:r>
      <w:r>
        <w:tab/>
        <w:t>Fees</w:t>
      </w:r>
      <w:r>
        <w:tab/>
      </w:r>
      <w:r>
        <w:fldChar w:fldCharType="begin"/>
      </w:r>
      <w:r>
        <w:instrText xml:space="preserve"> PAGEREF _Toc170211842 \h </w:instrText>
      </w:r>
      <w:r>
        <w:fldChar w:fldCharType="separate"/>
      </w:r>
      <w:r>
        <w:t>9</w:t>
      </w:r>
      <w:r>
        <w:fldChar w:fldCharType="end"/>
      </w:r>
    </w:p>
    <w:p>
      <w:pPr>
        <w:pStyle w:val="TOC8"/>
        <w:rPr>
          <w:rFonts w:asciiTheme="minorHAnsi" w:eastAsiaTheme="minorEastAsia" w:hAnsiTheme="minorHAnsi" w:cstheme="minorBidi"/>
          <w:szCs w:val="22"/>
        </w:rPr>
      </w:pPr>
      <w:r>
        <w:t>15.</w:t>
      </w:r>
      <w:r>
        <w:tab/>
        <w:t>Prescribed offences and modified penalties</w:t>
      </w:r>
      <w:r>
        <w:tab/>
      </w:r>
      <w:r>
        <w:fldChar w:fldCharType="begin"/>
      </w:r>
      <w:r>
        <w:instrText xml:space="preserve"> PAGEREF _Toc170211843 \h </w:instrText>
      </w:r>
      <w:r>
        <w:fldChar w:fldCharType="separate"/>
      </w:r>
      <w:r>
        <w:t>10</w:t>
      </w:r>
      <w:r>
        <w:fldChar w:fldCharType="end"/>
      </w:r>
    </w:p>
    <w:p>
      <w:pPr>
        <w:pStyle w:val="TOC8"/>
        <w:rPr>
          <w:rFonts w:asciiTheme="minorHAnsi" w:eastAsiaTheme="minorEastAsia" w:hAnsiTheme="minorHAnsi" w:cstheme="minorBidi"/>
          <w:szCs w:val="22"/>
        </w:rPr>
      </w:pPr>
      <w:r>
        <w:t>16.</w:t>
      </w:r>
      <w:r>
        <w:tab/>
        <w:t>Authorised officers and approved officers</w:t>
      </w:r>
      <w:r>
        <w:tab/>
      </w:r>
      <w:r>
        <w:fldChar w:fldCharType="begin"/>
      </w:r>
      <w:r>
        <w:instrText xml:space="preserve"> PAGEREF _Toc170211844 \h </w:instrText>
      </w:r>
      <w:r>
        <w:fldChar w:fldCharType="separate"/>
      </w:r>
      <w:r>
        <w:t>10</w:t>
      </w:r>
      <w:r>
        <w:fldChar w:fldCharType="end"/>
      </w:r>
    </w:p>
    <w:p>
      <w:pPr>
        <w:pStyle w:val="TOC8"/>
        <w:rPr>
          <w:rFonts w:asciiTheme="minorHAnsi" w:eastAsiaTheme="minorEastAsia" w:hAnsiTheme="minorHAnsi" w:cstheme="minorBidi"/>
          <w:szCs w:val="22"/>
        </w:rPr>
      </w:pPr>
      <w:r>
        <w:t>17.</w:t>
      </w:r>
      <w:r>
        <w:tab/>
        <w:t>Forms</w:t>
      </w:r>
      <w:r>
        <w:tab/>
      </w:r>
      <w:r>
        <w:fldChar w:fldCharType="begin"/>
      </w:r>
      <w:r>
        <w:instrText xml:space="preserve"> PAGEREF _Toc170211845 \h </w:instrText>
      </w:r>
      <w:r>
        <w:fldChar w:fldCharType="separate"/>
      </w:r>
      <w:r>
        <w:t>10</w:t>
      </w:r>
      <w:r>
        <w:fldChar w:fldCharType="end"/>
      </w:r>
    </w:p>
    <w:p>
      <w:pPr>
        <w:pStyle w:val="TOC8"/>
        <w:rPr>
          <w:rFonts w:asciiTheme="minorHAnsi" w:eastAsiaTheme="minorEastAsia" w:hAnsiTheme="minorHAnsi" w:cstheme="minorBidi"/>
          <w:szCs w:val="22"/>
        </w:rPr>
      </w:pPr>
      <w:r>
        <w:t>18.</w:t>
      </w:r>
      <w:r>
        <w:tab/>
        <w:t>Transitional provision</w:t>
      </w:r>
      <w:r>
        <w:tab/>
      </w:r>
      <w:r>
        <w:fldChar w:fldCharType="begin"/>
      </w:r>
      <w:r>
        <w:instrText xml:space="preserve"> PAGEREF _Toc170211846 \h </w:instrText>
      </w:r>
      <w:r>
        <w:fldChar w:fldCharType="separate"/>
      </w:r>
      <w:r>
        <w:t>11</w:t>
      </w:r>
      <w:r>
        <w:fldChar w:fldCharType="end"/>
      </w:r>
    </w:p>
    <w:p>
      <w:pPr>
        <w:pStyle w:val="TOC8"/>
        <w:rPr>
          <w:rFonts w:asciiTheme="minorHAnsi" w:eastAsiaTheme="minorEastAsia" w:hAnsiTheme="minorHAnsi" w:cstheme="minorBidi"/>
          <w:szCs w:val="22"/>
        </w:rPr>
      </w:pPr>
      <w:r>
        <w:t>19.</w:t>
      </w:r>
      <w:r>
        <w:tab/>
      </w:r>
      <w:r>
        <w:rPr>
          <w:i/>
          <w:iCs/>
        </w:rPr>
        <w:t>Building Regulations 2012</w:t>
      </w:r>
      <w:r>
        <w:t xml:space="preserve"> amended</w:t>
      </w:r>
      <w:r>
        <w:tab/>
      </w:r>
      <w:r>
        <w:fldChar w:fldCharType="begin"/>
      </w:r>
      <w:r>
        <w:instrText xml:space="preserve"> PAGEREF _Toc170211847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62.</w:t>
      </w:r>
      <w:r>
        <w:rPr>
          <w:noProof/>
        </w:rPr>
        <w:tab/>
        <w:t>Requirement to maintain certain smoke alarms</w:t>
      </w:r>
      <w:r>
        <w:rPr>
          <w:noProof/>
        </w:rPr>
        <w:tab/>
      </w:r>
      <w:r>
        <w:rPr>
          <w:noProof/>
        </w:rPr>
        <w:fldChar w:fldCharType="begin"/>
      </w:r>
      <w:r>
        <w:rPr>
          <w:noProof/>
        </w:rPr>
        <w:instrText xml:space="preserve"> PAGEREF _Toc170211848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20.</w:t>
      </w:r>
      <w:r>
        <w:tab/>
      </w:r>
      <w:r>
        <w:rPr>
          <w:i/>
        </w:rPr>
        <w:t>Electricity Regulations 1947</w:t>
      </w:r>
      <w:r>
        <w:t xml:space="preserve"> amended</w:t>
      </w:r>
      <w:r>
        <w:tab/>
      </w:r>
      <w:r>
        <w:fldChar w:fldCharType="begin"/>
      </w:r>
      <w:r>
        <w:instrText xml:space="preserve"> PAGEREF _Toc170211849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Act</w:t>
      </w:r>
    </w:p>
    <w:p>
      <w:pPr>
        <w:pStyle w:val="TOC4"/>
        <w:tabs>
          <w:tab w:val="right" w:leader="dot" w:pos="7077"/>
        </w:tabs>
        <w:rPr>
          <w:rFonts w:asciiTheme="minorHAnsi" w:eastAsiaTheme="minorEastAsia" w:hAnsiTheme="minorHAnsi" w:cstheme="minorBidi"/>
          <w:b w:val="0"/>
          <w:szCs w:val="22"/>
        </w:rPr>
      </w:pPr>
      <w:r>
        <w:t>Division 2 — Offences under regulations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Short</w:t>
      </w:r>
      <w:r>
        <w:noBreakHyphen/>
        <w:t>Term Rental Accommodation Act 2024</w:t>
      </w:r>
    </w:p>
    <w:p>
      <w:pPr>
        <w:pStyle w:val="NameofActReg"/>
      </w:pPr>
      <w:r>
        <w:t>Short</w:t>
      </w:r>
      <w:r>
        <w:noBreakHyphen/>
        <w:t>Term Rental Accommodation Regulations 2024</w:t>
      </w:r>
    </w:p>
    <w:p>
      <w:pPr>
        <w:pStyle w:val="MadeBy"/>
      </w:pPr>
      <w:r>
        <w:t>Made by the Governor in Executive Council.</w:t>
      </w:r>
    </w:p>
    <w:p>
      <w:pPr>
        <w:pStyle w:val="Heading5"/>
      </w:pPr>
      <w:bookmarkStart w:id="2" w:name="_Toc169799482"/>
      <w:bookmarkStart w:id="3" w:name="_Toc170211829"/>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Short</w:t>
      </w:r>
      <w:r>
        <w:rPr>
          <w:i/>
        </w:rPr>
        <w:noBreakHyphen/>
        <w:t>Term Rental Accommodation Regulations 2024</w:t>
      </w:r>
      <w:r>
        <w:t>.</w:t>
      </w:r>
    </w:p>
    <w:p>
      <w:pPr>
        <w:pStyle w:val="Heading5"/>
        <w:rPr>
          <w:spacing w:val="-2"/>
        </w:rPr>
      </w:pPr>
      <w:bookmarkStart w:id="5" w:name="_Toc169799483"/>
      <w:bookmarkStart w:id="6" w:name="_Toc170211830"/>
      <w:r>
        <w:rPr>
          <w:rStyle w:val="CharSectno"/>
        </w:rPr>
        <w:t>2</w:t>
      </w:r>
      <w:r>
        <w:rPr>
          <w:spacing w:val="-2"/>
        </w:rPr>
        <w:t>.</w:t>
      </w:r>
      <w:r>
        <w:rPr>
          <w:spacing w:val="-2"/>
        </w:rPr>
        <w:tab/>
        <w:t>Commencement</w:t>
      </w:r>
      <w:bookmarkEnd w:id="5"/>
      <w:bookmarkEnd w:id="6"/>
    </w:p>
    <w:p>
      <w:pPr>
        <w:pStyle w:val="Subsection"/>
      </w:pPr>
      <w:r>
        <w:tab/>
      </w:r>
      <w:r>
        <w:tab/>
        <w:t xml:space="preserve">These </w:t>
      </w:r>
      <w:r>
        <w:rPr>
          <w:spacing w:val="-2"/>
        </w:rPr>
        <w:t>regulations come</w:t>
      </w:r>
      <w:r>
        <w:t xml:space="preserve"> into operation on the day on which the </w:t>
      </w:r>
      <w:r>
        <w:rPr>
          <w:i/>
          <w:iCs/>
        </w:rPr>
        <w:t>Short</w:t>
      </w:r>
      <w:r>
        <w:rPr>
          <w:i/>
          <w:iCs/>
        </w:rPr>
        <w:noBreakHyphen/>
        <w:t>Term Rental Accommodation Act 2024</w:t>
      </w:r>
      <w:r>
        <w:t xml:space="preserve"> section 50 comes into operation.</w:t>
      </w:r>
    </w:p>
    <w:p>
      <w:pPr>
        <w:pStyle w:val="Heading5"/>
      </w:pPr>
      <w:bookmarkStart w:id="7" w:name="_Toc169799484"/>
      <w:bookmarkStart w:id="8" w:name="_Toc170211831"/>
      <w:r>
        <w:rPr>
          <w:rStyle w:val="CharSectno"/>
        </w:rPr>
        <w:t>3</w:t>
      </w:r>
      <w:r>
        <w:t>.</w:t>
      </w:r>
      <w:r>
        <w:tab/>
        <w:t>Terms used</w:t>
      </w:r>
      <w:bookmarkEnd w:id="7"/>
      <w:bookmarkEnd w:id="8"/>
    </w:p>
    <w:p>
      <w:pPr>
        <w:pStyle w:val="Subsection"/>
      </w:pPr>
      <w:r>
        <w:tab/>
      </w:r>
      <w:r>
        <w:tab/>
        <w:t xml:space="preserve">In these regulations — </w:t>
      </w:r>
    </w:p>
    <w:p>
      <w:pPr>
        <w:pStyle w:val="Defstart"/>
      </w:pPr>
      <w:r>
        <w:tab/>
      </w:r>
      <w:r>
        <w:rPr>
          <w:rStyle w:val="CharDefText"/>
        </w:rPr>
        <w:t>community titles scheme</w:t>
      </w:r>
      <w:r>
        <w:t xml:space="preserve"> has the meaning given in the </w:t>
      </w:r>
      <w:r>
        <w:rPr>
          <w:i/>
        </w:rPr>
        <w:t>Community Titles Act 2018</w:t>
      </w:r>
      <w:r>
        <w:t xml:space="preserve"> section 3(1);</w:t>
      </w:r>
    </w:p>
    <w:p>
      <w:pPr>
        <w:pStyle w:val="Defstart"/>
      </w:pPr>
      <w:r>
        <w:tab/>
      </w:r>
      <w:r>
        <w:rPr>
          <w:rStyle w:val="CharDefText"/>
        </w:rPr>
        <w:t>strata titles scheme</w:t>
      </w:r>
      <w:r>
        <w:t xml:space="preserve"> has the meaning given in the </w:t>
      </w:r>
      <w:r>
        <w:rPr>
          <w:i/>
        </w:rPr>
        <w:t>Strata Titles Act 1985</w:t>
      </w:r>
      <w:r>
        <w:t xml:space="preserve"> section 3(1).</w:t>
      </w:r>
    </w:p>
    <w:p>
      <w:pPr>
        <w:pStyle w:val="Heading5"/>
      </w:pPr>
      <w:bookmarkStart w:id="9" w:name="_Toc169799485"/>
      <w:bookmarkStart w:id="10" w:name="_Toc170211832"/>
      <w:r>
        <w:rPr>
          <w:rStyle w:val="CharSectno"/>
        </w:rPr>
        <w:t>4</w:t>
      </w:r>
      <w:r>
        <w:t>.</w:t>
      </w:r>
      <w:r>
        <w:tab/>
        <w:t>Hosted accommodation</w:t>
      </w:r>
      <w:bookmarkEnd w:id="9"/>
      <w:bookmarkEnd w:id="10"/>
    </w:p>
    <w:p>
      <w:pPr>
        <w:pStyle w:val="Subsection"/>
      </w:pPr>
      <w:r>
        <w:tab/>
        <w:t>(1)</w:t>
      </w:r>
      <w:r>
        <w:tab/>
        <w:t xml:space="preserve">In this regulation — </w:t>
      </w:r>
    </w:p>
    <w:p>
      <w:pPr>
        <w:pStyle w:val="Defstart"/>
      </w:pPr>
      <w:r>
        <w:tab/>
      </w:r>
      <w:r>
        <w:rPr>
          <w:rStyle w:val="CharDefText"/>
        </w:rPr>
        <w:t>ancillary dwelling</w:t>
      </w:r>
      <w:r>
        <w:t xml:space="preserve"> has the meaning given in the R</w:t>
      </w:r>
      <w:r>
        <w:noBreakHyphen/>
        <w:t>Codes Volume 1 Appendix 1;</w:t>
      </w:r>
    </w:p>
    <w:p>
      <w:pPr>
        <w:pStyle w:val="Defstart"/>
      </w:pPr>
      <w:r>
        <w:tab/>
      </w:r>
      <w:r>
        <w:rPr>
          <w:rStyle w:val="CharDefText"/>
        </w:rPr>
        <w:t>R</w:t>
      </w:r>
      <w:r>
        <w:rPr>
          <w:rStyle w:val="CharDefText"/>
        </w:rPr>
        <w:noBreakHyphen/>
        <w:t>Codes</w:t>
      </w:r>
      <w:r>
        <w:t xml:space="preserve"> means the Residential Design Codes prepared as a State planning policy under the </w:t>
      </w:r>
      <w:r>
        <w:rPr>
          <w:i/>
          <w:iCs/>
        </w:rPr>
        <w:t>Planning and Development Act 2005</w:t>
      </w:r>
      <w:r>
        <w:t xml:space="preserve"> Part 3;</w:t>
      </w:r>
    </w:p>
    <w:p>
      <w:pPr>
        <w:pStyle w:val="Defstart"/>
      </w:pPr>
      <w:r>
        <w:lastRenderedPageBreak/>
        <w:tab/>
      </w:r>
      <w:r>
        <w:rPr>
          <w:rStyle w:val="CharDefText"/>
        </w:rPr>
        <w:t>title</w:t>
      </w:r>
      <w:r>
        <w:t xml:space="preserve"> means a certificate of title created under the </w:t>
      </w:r>
      <w:r>
        <w:rPr>
          <w:i/>
        </w:rPr>
        <w:t>Transfer of Land Act 1893</w:t>
      </w:r>
      <w:r>
        <w:t>.</w:t>
      </w:r>
    </w:p>
    <w:p>
      <w:pPr>
        <w:pStyle w:val="Subsection"/>
      </w:pPr>
      <w:r>
        <w:tab/>
        <w:t>(2)</w:t>
      </w:r>
      <w:r>
        <w:tab/>
        <w:t>Short</w:t>
      </w:r>
      <w:r>
        <w:noBreakHyphen/>
        <w:t xml:space="preserve">term rental accommodation is hosted accommodation if — </w:t>
      </w:r>
    </w:p>
    <w:p>
      <w:pPr>
        <w:pStyle w:val="Indenta"/>
      </w:pPr>
      <w:r>
        <w:tab/>
        <w:t>(a)</w:t>
      </w:r>
      <w:r>
        <w:tab/>
        <w:t>it is an ancillary dwelling; and</w:t>
      </w:r>
    </w:p>
    <w:p>
      <w:pPr>
        <w:pStyle w:val="Indenta"/>
      </w:pPr>
      <w:r>
        <w:tab/>
        <w:t>(b)</w:t>
      </w:r>
      <w:r>
        <w:tab/>
        <w:t>during the short</w:t>
      </w:r>
      <w:r>
        <w:noBreakHyphen/>
        <w:t>term rental arrangement, the accommodation provider resides on residential premises that are comprised in the same title as the ancillary dwelling.</w:t>
      </w:r>
    </w:p>
    <w:p>
      <w:pPr>
        <w:pStyle w:val="Subsection"/>
      </w:pPr>
      <w:r>
        <w:tab/>
        <w:t>(3)</w:t>
      </w:r>
      <w:r>
        <w:tab/>
        <w:t>Short</w:t>
      </w:r>
      <w:r>
        <w:noBreakHyphen/>
        <w:t>term rental accommodation is not hosted accommodation if it is comprised in a title which does not also comprise the residential premises on which the accommodation provider ordinarily resides.</w:t>
      </w:r>
    </w:p>
    <w:p>
      <w:pPr>
        <w:pStyle w:val="Heading5"/>
      </w:pPr>
      <w:bookmarkStart w:id="11" w:name="_Toc169799486"/>
      <w:bookmarkStart w:id="12" w:name="_Toc170211833"/>
      <w:r>
        <w:rPr>
          <w:rStyle w:val="CharSectno"/>
        </w:rPr>
        <w:t>5</w:t>
      </w:r>
      <w:r>
        <w:t>.</w:t>
      </w:r>
      <w:r>
        <w:tab/>
        <w:t>Premises to which Act does not apply</w:t>
      </w:r>
      <w:bookmarkEnd w:id="11"/>
      <w:bookmarkEnd w:id="12"/>
    </w:p>
    <w:p>
      <w:pPr>
        <w:pStyle w:val="Subsection"/>
      </w:pPr>
      <w:r>
        <w:tab/>
        <w:t>(1)</w:t>
      </w:r>
      <w:r>
        <w:tab/>
        <w:t xml:space="preserve">In this regulation — </w:t>
      </w:r>
    </w:p>
    <w:p>
      <w:pPr>
        <w:pStyle w:val="Defstart"/>
      </w:pPr>
      <w:r>
        <w:tab/>
      </w:r>
      <w:r>
        <w:rPr>
          <w:rStyle w:val="CharDefText"/>
        </w:rPr>
        <w:t>serviced apartment</w:t>
      </w:r>
      <w:r>
        <w:t xml:space="preserve"> has the meaning given in the </w:t>
      </w:r>
      <w:r>
        <w:rPr>
          <w:i/>
        </w:rPr>
        <w:t xml:space="preserve">Planning and Development (Local Planning Schemes) Regulations 2015 </w:t>
      </w:r>
      <w:r>
        <w:t>Schedule 1 clause 38;</w:t>
      </w:r>
    </w:p>
    <w:p>
      <w:pPr>
        <w:pStyle w:val="Defstart"/>
      </w:pPr>
      <w:r>
        <w:tab/>
      </w:r>
      <w:r>
        <w:rPr>
          <w:rStyle w:val="CharDefText"/>
        </w:rPr>
        <w:t>tourist development</w:t>
      </w:r>
      <w:r>
        <w:t xml:space="preserve"> has the meaning given in the </w:t>
      </w:r>
      <w:r>
        <w:rPr>
          <w:i/>
        </w:rPr>
        <w:t xml:space="preserve">Planning and Development (Local Planning Schemes) Regulations 2015 </w:t>
      </w:r>
      <w:r>
        <w:t>Schedule 1 clause 38.</w:t>
      </w:r>
    </w:p>
    <w:p>
      <w:pPr>
        <w:pStyle w:val="Subsection"/>
        <w:keepNext/>
      </w:pPr>
      <w:r>
        <w:tab/>
        <w:t>(2)</w:t>
      </w:r>
      <w:r>
        <w:tab/>
        <w:t xml:space="preserve">The Act does not apply to any of the following — </w:t>
      </w:r>
    </w:p>
    <w:p>
      <w:pPr>
        <w:pStyle w:val="Indenta"/>
      </w:pPr>
      <w:r>
        <w:tab/>
        <w:t>(a)</w:t>
      </w:r>
      <w:r>
        <w:tab/>
        <w:t xml:space="preserve">premises that are used exclusively for the provision of accommodation by or on behalf of an agency (as defined in the </w:t>
      </w:r>
      <w:r>
        <w:rPr>
          <w:i/>
        </w:rPr>
        <w:t>Public Sector Management Act 1994</w:t>
      </w:r>
      <w:r>
        <w:t xml:space="preserve"> section 3(1));</w:t>
      </w:r>
    </w:p>
    <w:p>
      <w:pPr>
        <w:pStyle w:val="Indenta"/>
      </w:pPr>
      <w:r>
        <w:tab/>
        <w:t>(b)</w:t>
      </w:r>
      <w:r>
        <w:tab/>
        <w:t>premises that are used exclusively for the provision of short</w:t>
      </w:r>
      <w:r>
        <w:noBreakHyphen/>
        <w:t>stay accommodation for Aboriginal people;</w:t>
      </w:r>
    </w:p>
    <w:p>
      <w:pPr>
        <w:pStyle w:val="Indenta"/>
      </w:pPr>
      <w:r>
        <w:tab/>
        <w:t>(c)</w:t>
      </w:r>
      <w:r>
        <w:tab/>
        <w:t>premises that are a tourist development;</w:t>
      </w:r>
    </w:p>
    <w:p>
      <w:pPr>
        <w:pStyle w:val="Indenta"/>
      </w:pPr>
      <w:r>
        <w:tab/>
        <w:t>(d)</w:t>
      </w:r>
      <w:r>
        <w:tab/>
        <w:t>premises that are a serviced apartment.</w:t>
      </w:r>
    </w:p>
    <w:p>
      <w:pPr>
        <w:pStyle w:val="Heading5"/>
      </w:pPr>
      <w:bookmarkStart w:id="13" w:name="_Toc169799487"/>
      <w:bookmarkStart w:id="14" w:name="_Toc170211834"/>
      <w:r>
        <w:rPr>
          <w:rStyle w:val="CharSectno"/>
        </w:rPr>
        <w:lastRenderedPageBreak/>
        <w:t>6</w:t>
      </w:r>
      <w:r>
        <w:t>.</w:t>
      </w:r>
      <w:r>
        <w:tab/>
        <w:t>Information to be included in applications for registration</w:t>
      </w:r>
      <w:bookmarkEnd w:id="13"/>
      <w:bookmarkEnd w:id="14"/>
    </w:p>
    <w:p>
      <w:pPr>
        <w:pStyle w:val="Subsection"/>
      </w:pPr>
      <w:r>
        <w:tab/>
      </w:r>
      <w:r>
        <w:tab/>
        <w:t>An application made under section 17 of the Act must include the information set out in regulation 10.</w:t>
      </w:r>
    </w:p>
    <w:p>
      <w:pPr>
        <w:pStyle w:val="Heading5"/>
      </w:pPr>
      <w:bookmarkStart w:id="15" w:name="_Toc169799488"/>
      <w:bookmarkStart w:id="16" w:name="_Toc170211835"/>
      <w:r>
        <w:rPr>
          <w:rStyle w:val="CharSectno"/>
        </w:rPr>
        <w:t>7</w:t>
      </w:r>
      <w:r>
        <w:t>.</w:t>
      </w:r>
      <w:r>
        <w:tab/>
        <w:t>Suspension or cancellation of registration</w:t>
      </w:r>
      <w:bookmarkEnd w:id="15"/>
      <w:bookmarkEnd w:id="16"/>
    </w:p>
    <w:p>
      <w:pPr>
        <w:pStyle w:val="Subsection"/>
      </w:pPr>
      <w:r>
        <w:tab/>
        <w:t>(1)</w:t>
      </w:r>
      <w:r>
        <w:tab/>
        <w:t>The Commissioner may cancel or suspend the registration of residential premises under section 24(b) of the Act on the ground that the accommodation provider has contravened a provision of an Act that is listed in column 1 of the Table to this regulation.</w:t>
      </w:r>
    </w:p>
    <w:p>
      <w:pPr>
        <w:pStyle w:val="Subsection"/>
      </w:pPr>
      <w:r>
        <w:tab/>
        <w:t>(2)</w:t>
      </w:r>
      <w:r>
        <w:tab/>
        <w:t xml:space="preserve">Despite the </w:t>
      </w:r>
      <w:r>
        <w:rPr>
          <w:i/>
        </w:rPr>
        <w:t>Interpretation Act 1984</w:t>
      </w:r>
      <w:r>
        <w:t xml:space="preserve"> section 46, a reference in this regulation to an Act does not include a reference to regulations made under that Act unless those regulations are listed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Column 1</w:t>
            </w:r>
          </w:p>
          <w:p>
            <w:pPr>
              <w:pStyle w:val="TableNAm"/>
              <w:jc w:val="center"/>
              <w:rPr>
                <w:b/>
                <w:bCs/>
              </w:rPr>
            </w:pPr>
            <w:r>
              <w:rPr>
                <w:b/>
                <w:bCs/>
              </w:rPr>
              <w:t>Act</w:t>
            </w:r>
          </w:p>
        </w:tc>
        <w:tc>
          <w:tcPr>
            <w:tcW w:w="3034" w:type="dxa"/>
          </w:tcPr>
          <w:p>
            <w:pPr>
              <w:pStyle w:val="TableNAm"/>
              <w:jc w:val="center"/>
              <w:rPr>
                <w:b/>
                <w:bCs/>
              </w:rPr>
            </w:pPr>
            <w:r>
              <w:rPr>
                <w:b/>
                <w:bCs/>
              </w:rPr>
              <w:t>Column 2</w:t>
            </w:r>
          </w:p>
          <w:p>
            <w:pPr>
              <w:pStyle w:val="TableNAm"/>
              <w:jc w:val="center"/>
              <w:rPr>
                <w:b/>
                <w:bCs/>
              </w:rPr>
            </w:pPr>
            <w:r>
              <w:rPr>
                <w:b/>
                <w:bCs/>
              </w:rPr>
              <w:t>Regulations</w:t>
            </w:r>
          </w:p>
        </w:tc>
      </w:tr>
      <w:tr>
        <w:tc>
          <w:tcPr>
            <w:tcW w:w="3033" w:type="dxa"/>
            <w:vAlign w:val="center"/>
          </w:tcPr>
          <w:p>
            <w:pPr>
              <w:pStyle w:val="TableNAm"/>
            </w:pPr>
            <w:r>
              <w:rPr>
                <w:i/>
              </w:rPr>
              <w:t>Building Act 2011</w:t>
            </w:r>
          </w:p>
        </w:tc>
        <w:tc>
          <w:tcPr>
            <w:tcW w:w="3034" w:type="dxa"/>
            <w:vAlign w:val="center"/>
          </w:tcPr>
          <w:p>
            <w:pPr>
              <w:pStyle w:val="TableNAm"/>
            </w:pPr>
            <w:r>
              <w:rPr>
                <w:i/>
              </w:rPr>
              <w:t>Building Regulations 2012</w:t>
            </w:r>
          </w:p>
        </w:tc>
      </w:tr>
      <w:tr>
        <w:tc>
          <w:tcPr>
            <w:tcW w:w="3033" w:type="dxa"/>
            <w:vAlign w:val="center"/>
          </w:tcPr>
          <w:p>
            <w:pPr>
              <w:pStyle w:val="TableNAm"/>
            </w:pPr>
            <w:r>
              <w:rPr>
                <w:i/>
              </w:rPr>
              <w:t>Bush Fires Act 1954</w:t>
            </w:r>
          </w:p>
        </w:tc>
        <w:tc>
          <w:tcPr>
            <w:tcW w:w="3034" w:type="dxa"/>
            <w:vAlign w:val="center"/>
          </w:tcPr>
          <w:p>
            <w:pPr>
              <w:pStyle w:val="TableNAm"/>
            </w:pPr>
            <w:r>
              <w:rPr>
                <w:i/>
              </w:rPr>
              <w:t>Bush Fires Regulations 1954</w:t>
            </w:r>
          </w:p>
        </w:tc>
      </w:tr>
      <w:tr>
        <w:tc>
          <w:tcPr>
            <w:tcW w:w="3033" w:type="dxa"/>
            <w:vAlign w:val="center"/>
          </w:tcPr>
          <w:p>
            <w:pPr>
              <w:pStyle w:val="TableNAm"/>
              <w:rPr>
                <w:i/>
              </w:rPr>
            </w:pPr>
            <w:r>
              <w:rPr>
                <w:i/>
              </w:rPr>
              <w:t>Caravan Parks and Camping Grounds Act 1995</w:t>
            </w:r>
          </w:p>
        </w:tc>
        <w:tc>
          <w:tcPr>
            <w:tcW w:w="3034" w:type="dxa"/>
            <w:vAlign w:val="center"/>
          </w:tcPr>
          <w:p>
            <w:pPr>
              <w:pStyle w:val="TableNAm"/>
            </w:pPr>
            <w:r>
              <w:rPr>
                <w:i/>
              </w:rPr>
              <w:t>Caravan Parks and Camping Grounds Regulations 1997</w:t>
            </w:r>
          </w:p>
        </w:tc>
      </w:tr>
      <w:tr>
        <w:tc>
          <w:tcPr>
            <w:tcW w:w="3033" w:type="dxa"/>
            <w:vAlign w:val="center"/>
          </w:tcPr>
          <w:p>
            <w:pPr>
              <w:pStyle w:val="TableNAm"/>
            </w:pPr>
            <w:r>
              <w:rPr>
                <w:i/>
              </w:rPr>
              <w:t>Community Titles Act 2018</w:t>
            </w:r>
          </w:p>
        </w:tc>
        <w:tc>
          <w:tcPr>
            <w:tcW w:w="3034" w:type="dxa"/>
            <w:vAlign w:val="center"/>
          </w:tcPr>
          <w:p>
            <w:pPr>
              <w:pStyle w:val="TableNAm"/>
            </w:pPr>
          </w:p>
        </w:tc>
      </w:tr>
      <w:tr>
        <w:tc>
          <w:tcPr>
            <w:tcW w:w="3033" w:type="dxa"/>
            <w:vAlign w:val="center"/>
          </w:tcPr>
          <w:p>
            <w:pPr>
              <w:pStyle w:val="TableNAm"/>
              <w:rPr>
                <w:i/>
              </w:rPr>
            </w:pPr>
            <w:r>
              <w:rPr>
                <w:i/>
              </w:rPr>
              <w:t>Electricity Act 1945</w:t>
            </w:r>
          </w:p>
        </w:tc>
        <w:tc>
          <w:tcPr>
            <w:tcW w:w="3034" w:type="dxa"/>
            <w:vAlign w:val="center"/>
          </w:tcPr>
          <w:p>
            <w:pPr>
              <w:pStyle w:val="TableNAm"/>
              <w:rPr>
                <w:i/>
                <w:iCs/>
              </w:rPr>
            </w:pPr>
            <w:r>
              <w:rPr>
                <w:i/>
                <w:iCs/>
              </w:rPr>
              <w:t>Electricity Regulations 1947</w:t>
            </w:r>
          </w:p>
        </w:tc>
      </w:tr>
      <w:tr>
        <w:tc>
          <w:tcPr>
            <w:tcW w:w="3033" w:type="dxa"/>
            <w:vAlign w:val="center"/>
          </w:tcPr>
          <w:p>
            <w:pPr>
              <w:pStyle w:val="TableNAm"/>
            </w:pPr>
            <w:r>
              <w:rPr>
                <w:i/>
              </w:rPr>
              <w:t>Emergency Management Act 2005</w:t>
            </w:r>
          </w:p>
        </w:tc>
        <w:tc>
          <w:tcPr>
            <w:tcW w:w="3034" w:type="dxa"/>
            <w:vAlign w:val="center"/>
          </w:tcPr>
          <w:p>
            <w:pPr>
              <w:pStyle w:val="TableNAm"/>
            </w:pPr>
          </w:p>
        </w:tc>
      </w:tr>
      <w:tr>
        <w:tc>
          <w:tcPr>
            <w:tcW w:w="3033" w:type="dxa"/>
            <w:vAlign w:val="center"/>
          </w:tcPr>
          <w:p>
            <w:pPr>
              <w:pStyle w:val="TableNAm"/>
              <w:rPr>
                <w:b/>
                <w:bCs/>
              </w:rPr>
            </w:pPr>
            <w:r>
              <w:rPr>
                <w:i/>
              </w:rPr>
              <w:lastRenderedPageBreak/>
              <w:t>Emergency Services Levy Act 2002</w:t>
            </w:r>
          </w:p>
        </w:tc>
        <w:tc>
          <w:tcPr>
            <w:tcW w:w="3034" w:type="dxa"/>
            <w:vAlign w:val="center"/>
          </w:tcPr>
          <w:p>
            <w:pPr>
              <w:pStyle w:val="TableNAm"/>
            </w:pPr>
          </w:p>
        </w:tc>
      </w:tr>
      <w:tr>
        <w:tc>
          <w:tcPr>
            <w:tcW w:w="3033" w:type="dxa"/>
            <w:vAlign w:val="center"/>
          </w:tcPr>
          <w:p>
            <w:pPr>
              <w:pStyle w:val="TableNAm"/>
              <w:rPr>
                <w:i/>
              </w:rPr>
            </w:pPr>
            <w:r>
              <w:rPr>
                <w:i/>
              </w:rPr>
              <w:t>Environmental Protection Act 1986</w:t>
            </w:r>
          </w:p>
        </w:tc>
        <w:tc>
          <w:tcPr>
            <w:tcW w:w="3034" w:type="dxa"/>
            <w:vAlign w:val="center"/>
          </w:tcPr>
          <w:p>
            <w:pPr>
              <w:pStyle w:val="TableNAm"/>
              <w:rPr>
                <w:i/>
                <w:iCs/>
              </w:rPr>
            </w:pPr>
            <w:r>
              <w:rPr>
                <w:i/>
                <w:iCs/>
              </w:rPr>
              <w:t>Environmental Protection (Noise) Regulations 1997</w:t>
            </w:r>
          </w:p>
        </w:tc>
      </w:tr>
      <w:tr>
        <w:tc>
          <w:tcPr>
            <w:tcW w:w="3033" w:type="dxa"/>
            <w:vAlign w:val="center"/>
          </w:tcPr>
          <w:p>
            <w:pPr>
              <w:pStyle w:val="TableNAm"/>
            </w:pPr>
            <w:r>
              <w:rPr>
                <w:i/>
              </w:rPr>
              <w:t>Fair Trading Act 2010</w:t>
            </w:r>
          </w:p>
        </w:tc>
        <w:tc>
          <w:tcPr>
            <w:tcW w:w="3034" w:type="dxa"/>
            <w:vAlign w:val="center"/>
          </w:tcPr>
          <w:p>
            <w:pPr>
              <w:pStyle w:val="TableNAm"/>
              <w:rPr>
                <w:i/>
                <w:iCs/>
              </w:rPr>
            </w:pPr>
          </w:p>
        </w:tc>
      </w:tr>
      <w:tr>
        <w:tc>
          <w:tcPr>
            <w:tcW w:w="3033" w:type="dxa"/>
            <w:vAlign w:val="center"/>
          </w:tcPr>
          <w:p>
            <w:pPr>
              <w:pStyle w:val="TableNAm"/>
            </w:pPr>
            <w:r>
              <w:rPr>
                <w:i/>
              </w:rPr>
              <w:t>Fire and Emergency Services Act 1998</w:t>
            </w:r>
          </w:p>
        </w:tc>
        <w:tc>
          <w:tcPr>
            <w:tcW w:w="3034" w:type="dxa"/>
            <w:vAlign w:val="center"/>
          </w:tcPr>
          <w:p>
            <w:pPr>
              <w:pStyle w:val="TableNAm"/>
            </w:pPr>
            <w:r>
              <w:rPr>
                <w:i/>
              </w:rPr>
              <w:t>Fire and Emergency Services Regulations 1998</w:t>
            </w:r>
          </w:p>
        </w:tc>
      </w:tr>
      <w:tr>
        <w:tc>
          <w:tcPr>
            <w:tcW w:w="3033" w:type="dxa"/>
            <w:vAlign w:val="center"/>
          </w:tcPr>
          <w:p>
            <w:pPr>
              <w:pStyle w:val="TableNAm"/>
              <w:rPr>
                <w:i/>
              </w:rPr>
            </w:pPr>
            <w:r>
              <w:rPr>
                <w:i/>
              </w:rPr>
              <w:t>Fire Brigades Act 1942</w:t>
            </w:r>
          </w:p>
        </w:tc>
        <w:tc>
          <w:tcPr>
            <w:tcW w:w="3034" w:type="dxa"/>
            <w:vAlign w:val="center"/>
          </w:tcPr>
          <w:p>
            <w:pPr>
              <w:pStyle w:val="TableNAm"/>
              <w:rPr>
                <w:i/>
              </w:rPr>
            </w:pPr>
            <w:r>
              <w:rPr>
                <w:i/>
              </w:rPr>
              <w:t>Fire Brigades Regulations 1943</w:t>
            </w:r>
          </w:p>
        </w:tc>
      </w:tr>
      <w:tr>
        <w:tc>
          <w:tcPr>
            <w:tcW w:w="3033" w:type="dxa"/>
            <w:vAlign w:val="center"/>
          </w:tcPr>
          <w:p>
            <w:pPr>
              <w:pStyle w:val="TableNAm"/>
            </w:pPr>
            <w:r>
              <w:rPr>
                <w:i/>
              </w:rPr>
              <w:t>Food Act 2008</w:t>
            </w:r>
          </w:p>
        </w:tc>
        <w:tc>
          <w:tcPr>
            <w:tcW w:w="3034" w:type="dxa"/>
            <w:vAlign w:val="center"/>
          </w:tcPr>
          <w:p>
            <w:pPr>
              <w:pStyle w:val="TableNAm"/>
            </w:pPr>
            <w:r>
              <w:rPr>
                <w:i/>
              </w:rPr>
              <w:t>Food Regulations 2009</w:t>
            </w:r>
          </w:p>
        </w:tc>
      </w:tr>
      <w:tr>
        <w:tc>
          <w:tcPr>
            <w:tcW w:w="3033" w:type="dxa"/>
            <w:vMerge w:val="restart"/>
            <w:vAlign w:val="center"/>
          </w:tcPr>
          <w:p>
            <w:pPr>
              <w:pStyle w:val="TableNAm"/>
            </w:pPr>
            <w:r>
              <w:rPr>
                <w:i/>
              </w:rPr>
              <w:t>Health (Miscellaneous Provisions) Act 1911</w:t>
            </w:r>
          </w:p>
        </w:tc>
        <w:tc>
          <w:tcPr>
            <w:tcW w:w="3034" w:type="dxa"/>
            <w:vAlign w:val="center"/>
          </w:tcPr>
          <w:p>
            <w:pPr>
              <w:pStyle w:val="TableNAm"/>
              <w:rPr>
                <w:i/>
                <w:iCs/>
              </w:rPr>
            </w:pPr>
            <w:r>
              <w:rPr>
                <w:i/>
                <w:iCs/>
              </w:rPr>
              <w:t>Fly Eradication Regulations</w:t>
            </w:r>
          </w:p>
        </w:tc>
      </w:tr>
      <w:tr>
        <w:tc>
          <w:tcPr>
            <w:tcW w:w="3033" w:type="dxa"/>
            <w:vMerge/>
            <w:vAlign w:val="center"/>
          </w:tcPr>
          <w:p>
            <w:pPr>
              <w:pStyle w:val="TableNAm"/>
              <w:rPr>
                <w:i/>
              </w:rPr>
            </w:pPr>
          </w:p>
        </w:tc>
        <w:tc>
          <w:tcPr>
            <w:tcW w:w="3034" w:type="dxa"/>
            <w:vAlign w:val="center"/>
          </w:tcPr>
          <w:p>
            <w:pPr>
              <w:pStyle w:val="TableNAm"/>
              <w:rPr>
                <w:b/>
                <w:bCs/>
                <w:i/>
                <w:iCs/>
                <w:sz w:val="20"/>
                <w:szCs w:val="16"/>
              </w:rPr>
            </w:pPr>
            <w:r>
              <w:rPr>
                <w:i/>
                <w:iCs/>
              </w:rPr>
              <w:t>Sewerage (Lighting, Ventilation and Construction) Regulations 1971</w:t>
            </w:r>
          </w:p>
        </w:tc>
      </w:tr>
      <w:tr>
        <w:tc>
          <w:tcPr>
            <w:tcW w:w="3033" w:type="dxa"/>
            <w:vAlign w:val="center"/>
          </w:tcPr>
          <w:p>
            <w:pPr>
              <w:pStyle w:val="TableNAm"/>
            </w:pPr>
            <w:r>
              <w:rPr>
                <w:i/>
              </w:rPr>
              <w:t>Liquor Control Act 1988</w:t>
            </w:r>
          </w:p>
        </w:tc>
        <w:tc>
          <w:tcPr>
            <w:tcW w:w="3034" w:type="dxa"/>
            <w:vAlign w:val="center"/>
          </w:tcPr>
          <w:p>
            <w:pPr>
              <w:pStyle w:val="TableNAm"/>
            </w:pPr>
          </w:p>
        </w:tc>
      </w:tr>
      <w:tr>
        <w:tc>
          <w:tcPr>
            <w:tcW w:w="3033" w:type="dxa"/>
            <w:vAlign w:val="center"/>
          </w:tcPr>
          <w:p>
            <w:pPr>
              <w:pStyle w:val="TableNAm"/>
            </w:pPr>
            <w:r>
              <w:rPr>
                <w:i/>
              </w:rPr>
              <w:t>Metropolitan Redevelopment Authority Act 2011</w:t>
            </w:r>
          </w:p>
        </w:tc>
        <w:tc>
          <w:tcPr>
            <w:tcW w:w="3034" w:type="dxa"/>
            <w:vAlign w:val="center"/>
          </w:tcPr>
          <w:p>
            <w:pPr>
              <w:pStyle w:val="TableNAm"/>
            </w:pPr>
            <w:r>
              <w:rPr>
                <w:i/>
              </w:rPr>
              <w:t>Metropolitan Redevelopment Authority Regulations 2011</w:t>
            </w:r>
          </w:p>
        </w:tc>
      </w:tr>
      <w:tr>
        <w:tc>
          <w:tcPr>
            <w:tcW w:w="3033" w:type="dxa"/>
            <w:vAlign w:val="center"/>
          </w:tcPr>
          <w:p>
            <w:pPr>
              <w:pStyle w:val="TableNAm"/>
            </w:pPr>
            <w:r>
              <w:rPr>
                <w:i/>
              </w:rPr>
              <w:t>Planning and Development Act 2005</w:t>
            </w:r>
          </w:p>
        </w:tc>
        <w:tc>
          <w:tcPr>
            <w:tcW w:w="3034" w:type="dxa"/>
            <w:vAlign w:val="center"/>
          </w:tcPr>
          <w:p>
            <w:pPr>
              <w:pStyle w:val="TableNAm"/>
            </w:pPr>
            <w:r>
              <w:rPr>
                <w:i/>
              </w:rPr>
              <w:t>Planning and Development (Local Planning Schemes) Regulations 2015</w:t>
            </w:r>
          </w:p>
        </w:tc>
      </w:tr>
      <w:tr>
        <w:tc>
          <w:tcPr>
            <w:tcW w:w="3033" w:type="dxa"/>
            <w:vAlign w:val="center"/>
          </w:tcPr>
          <w:p>
            <w:pPr>
              <w:pStyle w:val="TableNAm"/>
            </w:pPr>
            <w:r>
              <w:rPr>
                <w:i/>
              </w:rPr>
              <w:t>Public Health Act 2016</w:t>
            </w:r>
          </w:p>
        </w:tc>
        <w:tc>
          <w:tcPr>
            <w:tcW w:w="3034" w:type="dxa"/>
            <w:vAlign w:val="center"/>
          </w:tcPr>
          <w:p>
            <w:pPr>
              <w:pStyle w:val="TableNAm"/>
            </w:pPr>
            <w:r>
              <w:rPr>
                <w:i/>
              </w:rPr>
              <w:t>Public Health Regulations 2017</w:t>
            </w:r>
          </w:p>
        </w:tc>
      </w:tr>
      <w:tr>
        <w:tc>
          <w:tcPr>
            <w:tcW w:w="3033" w:type="dxa"/>
            <w:vAlign w:val="center"/>
          </w:tcPr>
          <w:p>
            <w:pPr>
              <w:pStyle w:val="TableNAm"/>
            </w:pPr>
            <w:r>
              <w:rPr>
                <w:i/>
              </w:rPr>
              <w:lastRenderedPageBreak/>
              <w:t>Strata Titles Act 1985</w:t>
            </w:r>
          </w:p>
        </w:tc>
        <w:tc>
          <w:tcPr>
            <w:tcW w:w="3034" w:type="dxa"/>
            <w:vAlign w:val="center"/>
          </w:tcPr>
          <w:p>
            <w:pPr>
              <w:pStyle w:val="TableNAm"/>
            </w:pPr>
          </w:p>
        </w:tc>
      </w:tr>
      <w:tr>
        <w:tc>
          <w:tcPr>
            <w:tcW w:w="3033" w:type="dxa"/>
            <w:vAlign w:val="center"/>
          </w:tcPr>
          <w:p>
            <w:pPr>
              <w:pStyle w:val="TableNAm"/>
            </w:pPr>
            <w:r>
              <w:rPr>
                <w:i/>
              </w:rPr>
              <w:t>Swan Valley Planning Act 2020</w:t>
            </w:r>
          </w:p>
        </w:tc>
        <w:tc>
          <w:tcPr>
            <w:tcW w:w="3034" w:type="dxa"/>
            <w:vAlign w:val="center"/>
          </w:tcPr>
          <w:p>
            <w:pPr>
              <w:pStyle w:val="TableNAm"/>
            </w:pPr>
          </w:p>
        </w:tc>
      </w:tr>
      <w:tr>
        <w:tc>
          <w:tcPr>
            <w:tcW w:w="3033" w:type="dxa"/>
            <w:vAlign w:val="center"/>
          </w:tcPr>
          <w:p>
            <w:pPr>
              <w:pStyle w:val="TableNAm"/>
            </w:pPr>
            <w:r>
              <w:rPr>
                <w:i/>
              </w:rPr>
              <w:t>Work Health and Safety Act 2020</w:t>
            </w:r>
          </w:p>
        </w:tc>
        <w:tc>
          <w:tcPr>
            <w:tcW w:w="3034" w:type="dxa"/>
            <w:vAlign w:val="center"/>
          </w:tcPr>
          <w:p>
            <w:pPr>
              <w:pStyle w:val="TableNAm"/>
              <w:rPr>
                <w:i/>
                <w:iCs/>
              </w:rPr>
            </w:pPr>
            <w:r>
              <w:rPr>
                <w:i/>
                <w:iCs/>
              </w:rPr>
              <w:t>Work Health and Safety (General) Regulations 2022</w:t>
            </w:r>
          </w:p>
        </w:tc>
      </w:tr>
    </w:tbl>
    <w:p>
      <w:pPr>
        <w:pStyle w:val="Heading5"/>
      </w:pPr>
      <w:bookmarkStart w:id="17" w:name="_Toc169799489"/>
      <w:bookmarkStart w:id="18" w:name="_Toc170211836"/>
      <w:r>
        <w:rPr>
          <w:rStyle w:val="CharSectno"/>
        </w:rPr>
        <w:t>8</w:t>
      </w:r>
      <w:r>
        <w:t>.</w:t>
      </w:r>
      <w:r>
        <w:tab/>
        <w:t>Changes to be notified to Commissioner</w:t>
      </w:r>
      <w:bookmarkEnd w:id="17"/>
      <w:bookmarkEnd w:id="18"/>
    </w:p>
    <w:p>
      <w:pPr>
        <w:pStyle w:val="Subsection"/>
      </w:pPr>
      <w:r>
        <w:tab/>
      </w:r>
      <w:r>
        <w:tab/>
        <w:t xml:space="preserve">For the purposes of section 28(f) of the Act, an accommodation provider for registered premises must notify the Commissioner of a change to particulars relating to the registered premises that are included in the Register under — </w:t>
      </w:r>
    </w:p>
    <w:p>
      <w:pPr>
        <w:pStyle w:val="Indenta"/>
      </w:pPr>
      <w:r>
        <w:tab/>
        <w:t>(a)</w:t>
      </w:r>
      <w:r>
        <w:tab/>
        <w:t>section 31(3)(b), (e) or (h) of the Act; or</w:t>
      </w:r>
    </w:p>
    <w:p>
      <w:pPr>
        <w:pStyle w:val="Indenta"/>
      </w:pPr>
      <w:r>
        <w:tab/>
        <w:t>(b)</w:t>
      </w:r>
      <w:r>
        <w:tab/>
        <w:t>regulation 10(c), (d), (e) or (f).</w:t>
      </w:r>
    </w:p>
    <w:p>
      <w:pPr>
        <w:pStyle w:val="Heading5"/>
      </w:pPr>
      <w:bookmarkStart w:id="19" w:name="_Toc169799490"/>
      <w:bookmarkStart w:id="20" w:name="_Toc170211837"/>
      <w:r>
        <w:rPr>
          <w:rStyle w:val="CharSectno"/>
        </w:rPr>
        <w:t>9</w:t>
      </w:r>
      <w:r>
        <w:t>.</w:t>
      </w:r>
      <w:r>
        <w:tab/>
        <w:t>Certificate evidence</w:t>
      </w:r>
      <w:bookmarkEnd w:id="19"/>
      <w:bookmarkEnd w:id="20"/>
    </w:p>
    <w:p>
      <w:pPr>
        <w:pStyle w:val="Subsection"/>
      </w:pPr>
      <w:r>
        <w:tab/>
        <w:t>(1)</w:t>
      </w:r>
      <w:r>
        <w:tab/>
        <w:t xml:space="preserve">The Commissioner may approve a form (the </w:t>
      </w:r>
      <w:r>
        <w:rPr>
          <w:rStyle w:val="CharDefText"/>
        </w:rPr>
        <w:t>approved form</w:t>
      </w:r>
      <w:r>
        <w:t>) for the certificate referred to in section 29 of the Act.</w:t>
      </w:r>
    </w:p>
    <w:p>
      <w:pPr>
        <w:pStyle w:val="Subsection"/>
      </w:pPr>
      <w:r>
        <w:tab/>
        <w:t>(2)</w:t>
      </w:r>
      <w:r>
        <w:tab/>
        <w:t xml:space="preserve">If the Commissioner approves a form under subregulation (1) — </w:t>
      </w:r>
    </w:p>
    <w:p>
      <w:pPr>
        <w:pStyle w:val="Indenta"/>
      </w:pPr>
      <w:r>
        <w:tab/>
        <w:t>(a)</w:t>
      </w:r>
      <w:r>
        <w:tab/>
        <w:t>the Commissioner must ensure that the approved form is made publicly available on a website maintained by the Department; and</w:t>
      </w:r>
    </w:p>
    <w:p>
      <w:pPr>
        <w:pStyle w:val="Indenta"/>
      </w:pPr>
      <w:r>
        <w:tab/>
        <w:t>(b)</w:t>
      </w:r>
      <w:r>
        <w:tab/>
        <w:t>a certificate issued under section 29 of the Act must be in the approved form.</w:t>
      </w:r>
    </w:p>
    <w:p>
      <w:pPr>
        <w:pStyle w:val="Subsection"/>
      </w:pPr>
      <w:r>
        <w:tab/>
        <w:t>(3)</w:t>
      </w:r>
      <w:r>
        <w:tab/>
        <w:t>The designation of an officer by a local government under section 29(4) of the Act must be made on behalf of the local government by its chief executive officer.</w:t>
      </w:r>
    </w:p>
    <w:p>
      <w:pPr>
        <w:pStyle w:val="Heading5"/>
      </w:pPr>
      <w:bookmarkStart w:id="21" w:name="_Toc169799491"/>
      <w:bookmarkStart w:id="22" w:name="_Toc170211838"/>
      <w:r>
        <w:rPr>
          <w:rStyle w:val="CharSectno"/>
        </w:rPr>
        <w:lastRenderedPageBreak/>
        <w:t>10</w:t>
      </w:r>
      <w:r>
        <w:t>.</w:t>
      </w:r>
      <w:r>
        <w:tab/>
        <w:t>Information to be included in Register</w:t>
      </w:r>
      <w:bookmarkEnd w:id="21"/>
      <w:bookmarkEnd w:id="22"/>
    </w:p>
    <w:p>
      <w:pPr>
        <w:pStyle w:val="Subsection"/>
      </w:pPr>
      <w:r>
        <w:tab/>
      </w:r>
      <w:r>
        <w:tab/>
        <w:t xml:space="preserve">The Commissioner must include in the Register the following information provided by the accommodation provider in relation to registered premises — </w:t>
      </w:r>
    </w:p>
    <w:p>
      <w:pPr>
        <w:pStyle w:val="Indenta"/>
      </w:pPr>
      <w:r>
        <w:tab/>
        <w:t>(a)</w:t>
      </w:r>
      <w:r>
        <w:tab/>
        <w:t>whether the accommodation provider is an owner or a tenant of the premises and, if a tenant, whether the terms of the residential tenancy agreement prohibit the use of the premises as short</w:t>
      </w:r>
      <w:r>
        <w:noBreakHyphen/>
        <w:t>term rental accommodation;</w:t>
      </w:r>
    </w:p>
    <w:p>
      <w:pPr>
        <w:pStyle w:val="Indenta"/>
      </w:pPr>
      <w:r>
        <w:tab/>
        <w:t>(b)</w:t>
      </w:r>
      <w:r>
        <w:tab/>
        <w:t>whether the premises are included in land that is subdivided by a strata titles scheme or a community titles scheme and, if so, whether the scheme by</w:t>
      </w:r>
      <w:r>
        <w:noBreakHyphen/>
        <w:t>laws prohibit the use of the premises as short</w:t>
      </w:r>
      <w:r>
        <w:noBreakHyphen/>
        <w:t>term rental accommodation;</w:t>
      </w:r>
    </w:p>
    <w:p>
      <w:pPr>
        <w:pStyle w:val="Indenta"/>
      </w:pPr>
      <w:r>
        <w:tab/>
        <w:t>(c)</w:t>
      </w:r>
      <w:r>
        <w:tab/>
        <w:t xml:space="preserve">whether at least 2 residual current devices (as defined in the </w:t>
      </w:r>
      <w:r>
        <w:rPr>
          <w:i/>
        </w:rPr>
        <w:t>Electricity Regulations </w:t>
      </w:r>
      <w:r>
        <w:rPr>
          <w:i/>
          <w:iCs/>
        </w:rPr>
        <w:t>1947</w:t>
      </w:r>
      <w:r>
        <w:t xml:space="preserve"> regulation 12) are installed on the premises;</w:t>
      </w:r>
    </w:p>
    <w:p>
      <w:pPr>
        <w:pStyle w:val="Indenta"/>
      </w:pPr>
      <w:r>
        <w:tab/>
        <w:t>(d)</w:t>
      </w:r>
      <w:r>
        <w:tab/>
        <w:t xml:space="preserve">whether there are smoke alarms installed in the premises in compliance with the </w:t>
      </w:r>
      <w:r>
        <w:rPr>
          <w:i/>
        </w:rPr>
        <w:t>Building Regulations 2012</w:t>
      </w:r>
      <w:r>
        <w:t xml:space="preserve"> Part 8 Division 3;</w:t>
      </w:r>
    </w:p>
    <w:p>
      <w:pPr>
        <w:pStyle w:val="Indenta"/>
      </w:pPr>
      <w:r>
        <w:tab/>
        <w:t>(e)</w:t>
      </w:r>
      <w:r>
        <w:tab/>
        <w:t xml:space="preserve">whether there is a private swimming pool (as defined in the </w:t>
      </w:r>
      <w:r>
        <w:rPr>
          <w:i/>
        </w:rPr>
        <w:t>Building Regulations 2012</w:t>
      </w:r>
      <w:r>
        <w:t xml:space="preserve"> regulation 3) on, or available to occupants of, the premises and, if so, whether any barrier to that pool has been inspected under the </w:t>
      </w:r>
      <w:r>
        <w:rPr>
          <w:i/>
        </w:rPr>
        <w:t>Building Regulations 2012</w:t>
      </w:r>
      <w:r>
        <w:t xml:space="preserve"> Part 8 Division 2 during the 4 years ending on the date of the most recent application for registration, or renewal of registration, of the premises;</w:t>
      </w:r>
    </w:p>
    <w:p>
      <w:pPr>
        <w:pStyle w:val="Indenta"/>
      </w:pPr>
      <w:r>
        <w:tab/>
        <w:t>(f)</w:t>
      </w:r>
      <w:r>
        <w:tab/>
        <w:t xml:space="preserve">whether it is intended to provide food for occupants of the premises and, if so, whether a food business (as defined in the </w:t>
      </w:r>
      <w:r>
        <w:rPr>
          <w:i/>
          <w:iCs/>
        </w:rPr>
        <w:t xml:space="preserve">Food Act 2008 </w:t>
      </w:r>
      <w:r>
        <w:t>section 10) is conducted at the premises and, if so, whether the local government has been notified under that Act.</w:t>
      </w:r>
    </w:p>
    <w:p>
      <w:pPr>
        <w:pStyle w:val="Heading5"/>
      </w:pPr>
      <w:bookmarkStart w:id="23" w:name="_Toc169799492"/>
      <w:bookmarkStart w:id="24" w:name="_Toc170211839"/>
      <w:r>
        <w:rPr>
          <w:rStyle w:val="CharSectno"/>
        </w:rPr>
        <w:lastRenderedPageBreak/>
        <w:t>11</w:t>
      </w:r>
      <w:r>
        <w:t>.</w:t>
      </w:r>
      <w:r>
        <w:tab/>
        <w:t>Disclosure of information: health and safety</w:t>
      </w:r>
      <w:bookmarkEnd w:id="23"/>
      <w:bookmarkEnd w:id="24"/>
    </w:p>
    <w:p>
      <w:pPr>
        <w:pStyle w:val="Subsection"/>
      </w:pPr>
      <w:r>
        <w:tab/>
      </w:r>
      <w:r>
        <w:tab/>
        <w:t>The Commissioner may disclose information kept in the Register to any person if the Commissioner considers the disclosure necessary or desirable for the health or safety of a person to whom short</w:t>
      </w:r>
      <w:r>
        <w:noBreakHyphen/>
        <w:t>term rental accommodation is provided in registered premises.</w:t>
      </w:r>
    </w:p>
    <w:p>
      <w:pPr>
        <w:pStyle w:val="Heading5"/>
      </w:pPr>
      <w:bookmarkStart w:id="25" w:name="_Toc169799493"/>
      <w:bookmarkStart w:id="26" w:name="_Toc170211840"/>
      <w:r>
        <w:rPr>
          <w:rStyle w:val="CharSectno"/>
        </w:rPr>
        <w:t>12</w:t>
      </w:r>
      <w:r>
        <w:t>.</w:t>
      </w:r>
      <w:r>
        <w:tab/>
        <w:t>Disclosure of information: community titles schemes and strata titles schemes</w:t>
      </w:r>
      <w:bookmarkEnd w:id="25"/>
      <w:bookmarkEnd w:id="26"/>
    </w:p>
    <w:p>
      <w:pPr>
        <w:pStyle w:val="Subsection"/>
      </w:pPr>
      <w:r>
        <w:tab/>
        <w:t>(1)</w:t>
      </w:r>
      <w:r>
        <w:tab/>
        <w:t xml:space="preserve">In this regulation — </w:t>
      </w:r>
    </w:p>
    <w:p>
      <w:pPr>
        <w:pStyle w:val="Defstart"/>
      </w:pPr>
      <w:r>
        <w:tab/>
      </w:r>
      <w:r>
        <w:rPr>
          <w:rStyle w:val="CharDefText"/>
        </w:rPr>
        <w:t>scheme corporation</w:t>
      </w:r>
      <w:r>
        <w:t xml:space="preserve"> means — </w:t>
      </w:r>
    </w:p>
    <w:p>
      <w:pPr>
        <w:pStyle w:val="Defpara"/>
      </w:pPr>
      <w:r>
        <w:tab/>
        <w:t>(a)</w:t>
      </w:r>
      <w:r>
        <w:tab/>
        <w:t xml:space="preserve">in relation to a registered premises that is comprised in a community titles scheme — the community corporation (as defined in the </w:t>
      </w:r>
      <w:r>
        <w:rPr>
          <w:i/>
        </w:rPr>
        <w:t>Community Titles Act 2018</w:t>
      </w:r>
      <w:r>
        <w:t xml:space="preserve"> section 3(1)) for the scheme; and </w:t>
      </w:r>
    </w:p>
    <w:p>
      <w:pPr>
        <w:pStyle w:val="Defpara"/>
      </w:pPr>
      <w:r>
        <w:tab/>
        <w:t>(b)</w:t>
      </w:r>
      <w:r>
        <w:tab/>
        <w:t xml:space="preserve">in relation to a registered premises that is comprised in a strata titles scheme — the strata company (as defined in the </w:t>
      </w:r>
      <w:r>
        <w:rPr>
          <w:i/>
        </w:rPr>
        <w:t>Strata Titles Act 1985</w:t>
      </w:r>
      <w:r>
        <w:t xml:space="preserve"> section 3(1)) for the scheme.</w:t>
      </w:r>
    </w:p>
    <w:p>
      <w:pPr>
        <w:pStyle w:val="Subsection"/>
      </w:pPr>
      <w:r>
        <w:tab/>
        <w:t>(2)</w:t>
      </w:r>
      <w:r>
        <w:tab/>
        <w:t>A scheme corporation for a registered premises that is comprised in a community titles scheme or a strata titles scheme may request the Commissioner in writing to disclose information kept in the Register that relates to the registered premises.</w:t>
      </w:r>
    </w:p>
    <w:p>
      <w:pPr>
        <w:pStyle w:val="Subsection"/>
      </w:pPr>
      <w:r>
        <w:tab/>
        <w:t>(3)</w:t>
      </w:r>
      <w:r>
        <w:tab/>
        <w:t xml:space="preserve">In response to a request made under subregulation (2) the Commissioner may disclose to the scheme corporation information kept in the Register that the Commissioner is satisfied is reasonably required in connection with the management of the scheme in accordance with — </w:t>
      </w:r>
    </w:p>
    <w:p>
      <w:pPr>
        <w:pStyle w:val="Indenta"/>
        <w:rPr>
          <w:iCs/>
        </w:rPr>
      </w:pPr>
      <w:r>
        <w:tab/>
        <w:t>(a)</w:t>
      </w:r>
      <w:r>
        <w:tab/>
        <w:t xml:space="preserve">the </w:t>
      </w:r>
      <w:r>
        <w:rPr>
          <w:i/>
        </w:rPr>
        <w:t xml:space="preserve">Community Titles Act 2018 </w:t>
      </w:r>
      <w:r>
        <w:rPr>
          <w:iCs/>
        </w:rPr>
        <w:t xml:space="preserve">or the </w:t>
      </w:r>
      <w:r>
        <w:rPr>
          <w:i/>
        </w:rPr>
        <w:t>Strata Titles Act 1985</w:t>
      </w:r>
      <w:r>
        <w:rPr>
          <w:iCs/>
        </w:rPr>
        <w:t>, as the case may be; and</w:t>
      </w:r>
    </w:p>
    <w:p>
      <w:pPr>
        <w:pStyle w:val="Indenta"/>
      </w:pPr>
      <w:r>
        <w:tab/>
        <w:t>(b)</w:t>
      </w:r>
      <w:r>
        <w:tab/>
        <w:t>the scheme by</w:t>
      </w:r>
      <w:r>
        <w:noBreakHyphen/>
        <w:t>laws.</w:t>
      </w:r>
    </w:p>
    <w:p>
      <w:pPr>
        <w:pStyle w:val="Heading5"/>
      </w:pPr>
      <w:bookmarkStart w:id="27" w:name="_Toc169799494"/>
      <w:bookmarkStart w:id="28" w:name="_Toc170211841"/>
      <w:r>
        <w:rPr>
          <w:rStyle w:val="CharSectno"/>
        </w:rPr>
        <w:lastRenderedPageBreak/>
        <w:t>13</w:t>
      </w:r>
      <w:r>
        <w:t>.</w:t>
      </w:r>
      <w:r>
        <w:tab/>
        <w:t>Particulars of short</w:t>
      </w:r>
      <w:r>
        <w:noBreakHyphen/>
        <w:t>term rental arrangements to be notified to Commissioner</w:t>
      </w:r>
      <w:bookmarkEnd w:id="27"/>
      <w:bookmarkEnd w:id="28"/>
    </w:p>
    <w:p>
      <w:pPr>
        <w:pStyle w:val="Subsection"/>
      </w:pPr>
      <w:r>
        <w:tab/>
        <w:t>(1)</w:t>
      </w:r>
      <w:r>
        <w:tab/>
        <w:t xml:space="preserve">In this regulation — </w:t>
      </w:r>
    </w:p>
    <w:p>
      <w:pPr>
        <w:pStyle w:val="Defstart"/>
      </w:pPr>
      <w:r>
        <w:tab/>
      </w:r>
      <w:r>
        <w:rPr>
          <w:rStyle w:val="CharDefText"/>
        </w:rPr>
        <w:t>application programming interface</w:t>
      </w:r>
      <w:r>
        <w:t xml:space="preserve"> (</w:t>
      </w:r>
      <w:r>
        <w:rPr>
          <w:rStyle w:val="CharDefText"/>
        </w:rPr>
        <w:t>API</w:t>
      </w:r>
      <w:r>
        <w:t>) means an interface between software applications that enables the exchange of data between the applications;</w:t>
      </w:r>
    </w:p>
    <w:p>
      <w:pPr>
        <w:pStyle w:val="Defstart"/>
      </w:pPr>
      <w:r>
        <w:tab/>
      </w:r>
      <w:r>
        <w:rPr>
          <w:rStyle w:val="CharDefText"/>
        </w:rPr>
        <w:t>notifiable particulars</w:t>
      </w:r>
      <w:r>
        <w:t>, in relation to a short</w:t>
      </w:r>
      <w:r>
        <w:noBreakHyphen/>
        <w:t xml:space="preserve">term rental arrangement, means — </w:t>
      </w:r>
    </w:p>
    <w:p>
      <w:pPr>
        <w:pStyle w:val="Defpara"/>
      </w:pPr>
      <w:r>
        <w:tab/>
        <w:t>(a)</w:t>
      </w:r>
      <w:r>
        <w:tab/>
        <w:t>the check</w:t>
      </w:r>
      <w:r>
        <w:noBreakHyphen/>
        <w:t>in and check</w:t>
      </w:r>
      <w:r>
        <w:noBreakHyphen/>
        <w:t>out dates of the arrangement; and</w:t>
      </w:r>
    </w:p>
    <w:p>
      <w:pPr>
        <w:pStyle w:val="Defpara"/>
      </w:pPr>
      <w:r>
        <w:tab/>
        <w:t>(b)</w:t>
      </w:r>
      <w:r>
        <w:tab/>
        <w:t>the number of persons to be accommodated under the arrangement.</w:t>
      </w:r>
    </w:p>
    <w:p>
      <w:pPr>
        <w:pStyle w:val="Subsection"/>
      </w:pPr>
      <w:r>
        <w:tab/>
        <w:t>(2)</w:t>
      </w:r>
      <w:r>
        <w:tab/>
        <w:t xml:space="preserve">For the purposes of this regulation a booking platform is </w:t>
      </w:r>
      <w:r>
        <w:rPr>
          <w:rStyle w:val="CharDefText"/>
        </w:rPr>
        <w:t>electronically integrated</w:t>
      </w:r>
      <w:r>
        <w:t xml:space="preserve"> if it is capable, by means of an API, of exchanging information with a software application that supports the Register.</w:t>
      </w:r>
    </w:p>
    <w:p>
      <w:pPr>
        <w:pStyle w:val="Subsection"/>
      </w:pPr>
      <w:r>
        <w:tab/>
        <w:t>(3)</w:t>
      </w:r>
      <w:r>
        <w:tab/>
        <w:t>Not later than 24 hours after a short</w:t>
      </w:r>
      <w:r>
        <w:noBreakHyphen/>
        <w:t xml:space="preserve">term rental arrangement is made in relation to a registered premises by means of an electronically integrated booking platform, the booking platform provider must, by means of an API — </w:t>
      </w:r>
    </w:p>
    <w:p>
      <w:pPr>
        <w:pStyle w:val="Indenta"/>
      </w:pPr>
      <w:r>
        <w:tab/>
        <w:t>(a)</w:t>
      </w:r>
      <w:r>
        <w:tab/>
        <w:t>notify the Commissioner of the notifiable particulars of the arrangement; and</w:t>
      </w:r>
    </w:p>
    <w:p>
      <w:pPr>
        <w:pStyle w:val="Indenta"/>
      </w:pPr>
      <w:r>
        <w:tab/>
        <w:t>(b)</w:t>
      </w:r>
      <w:r>
        <w:tab/>
        <w:t>obtain confirmation that the premises to which the notification relates is a registered premises.</w:t>
      </w:r>
    </w:p>
    <w:p>
      <w:pPr>
        <w:pStyle w:val="Penstart"/>
      </w:pPr>
      <w:r>
        <w:tab/>
        <w:t>Penalty for this subregulation: a fine of $5 000.</w:t>
      </w:r>
    </w:p>
    <w:p>
      <w:pPr>
        <w:pStyle w:val="Subsection"/>
      </w:pPr>
      <w:r>
        <w:tab/>
        <w:t>(4)</w:t>
      </w:r>
      <w:r>
        <w:tab/>
        <w:t xml:space="preserve">Not later than 24 hours after a change is made to a booking affecting particulars that have been notified under subregulation (3), the booking platform provider must, by means of an API — </w:t>
      </w:r>
    </w:p>
    <w:p>
      <w:pPr>
        <w:pStyle w:val="Indenta"/>
      </w:pPr>
      <w:r>
        <w:tab/>
        <w:t>(a)</w:t>
      </w:r>
      <w:r>
        <w:tab/>
        <w:t>notify the Commissioner of the changed particulars; and</w:t>
      </w:r>
    </w:p>
    <w:p>
      <w:pPr>
        <w:pStyle w:val="Indenta"/>
        <w:keepNext/>
      </w:pPr>
      <w:r>
        <w:lastRenderedPageBreak/>
        <w:tab/>
        <w:t>(b)</w:t>
      </w:r>
      <w:r>
        <w:tab/>
        <w:t>obtain confirmation that the premises to which the notification relates is a registered premises.</w:t>
      </w:r>
    </w:p>
    <w:p>
      <w:pPr>
        <w:pStyle w:val="Penstart"/>
      </w:pPr>
      <w:r>
        <w:tab/>
        <w:t>Penalty for this subregulation: a fine of $5 000.</w:t>
      </w:r>
    </w:p>
    <w:p>
      <w:pPr>
        <w:pStyle w:val="Subsection"/>
      </w:pPr>
      <w:r>
        <w:tab/>
        <w:t>(5)</w:t>
      </w:r>
      <w:r>
        <w:tab/>
        <w:t>Not later than the 5</w:t>
      </w:r>
      <w:r>
        <w:rPr>
          <w:vertAlign w:val="superscript"/>
        </w:rPr>
        <w:t>th</w:t>
      </w:r>
      <w:r>
        <w:t xml:space="preserve"> day of the calendar month immediately after the calendar month in which a short</w:t>
      </w:r>
      <w:r>
        <w:noBreakHyphen/>
        <w:t>term rental arrangement is made in relation to a registered premises other than by means of an electronically integrated booking platform, the accommodation provider must notify the Commissioner of the notifiable particulars of the arrangement.</w:t>
      </w:r>
    </w:p>
    <w:p>
      <w:pPr>
        <w:pStyle w:val="Penstart"/>
      </w:pPr>
      <w:r>
        <w:tab/>
        <w:t>Penalty for this subregulation: a fine of $5 000.</w:t>
      </w:r>
    </w:p>
    <w:p>
      <w:pPr>
        <w:pStyle w:val="Subsection"/>
      </w:pPr>
      <w:r>
        <w:tab/>
        <w:t>(6)</w:t>
      </w:r>
      <w:r>
        <w:tab/>
        <w:t>Not later than the 5</w:t>
      </w:r>
      <w:r>
        <w:rPr>
          <w:vertAlign w:val="superscript"/>
        </w:rPr>
        <w:t>th</w:t>
      </w:r>
      <w:r>
        <w:t xml:space="preserve"> day of the calendar month immediately after the calendar month in which a change is made to a booking affecting particulars that have been notified under subregulation (5), the accommodation provider must notify the Commissioner of the changed particulars.</w:t>
      </w:r>
    </w:p>
    <w:p>
      <w:pPr>
        <w:pStyle w:val="Penstart"/>
      </w:pPr>
      <w:r>
        <w:tab/>
        <w:t>Penalty for this subregulation: a fine of $5 000.</w:t>
      </w:r>
    </w:p>
    <w:p>
      <w:pPr>
        <w:pStyle w:val="Subsection"/>
      </w:pPr>
      <w:r>
        <w:tab/>
        <w:t>(7)</w:t>
      </w:r>
      <w:r>
        <w:tab/>
        <w:t xml:space="preserve">Notifications under subregulations (5) and (6) must be made — </w:t>
      </w:r>
    </w:p>
    <w:p>
      <w:pPr>
        <w:pStyle w:val="Indenta"/>
      </w:pPr>
      <w:r>
        <w:tab/>
        <w:t>(a)</w:t>
      </w:r>
      <w:r>
        <w:tab/>
        <w:t>by means of an API; or</w:t>
      </w:r>
    </w:p>
    <w:p>
      <w:pPr>
        <w:pStyle w:val="Indenta"/>
      </w:pPr>
      <w:r>
        <w:tab/>
        <w:t>(b)</w:t>
      </w:r>
      <w:r>
        <w:tab/>
        <w:t>in another manner acceptable to the Commissioner.</w:t>
      </w:r>
    </w:p>
    <w:p>
      <w:pPr>
        <w:pStyle w:val="Heading5"/>
      </w:pPr>
      <w:bookmarkStart w:id="29" w:name="_Toc169799495"/>
      <w:bookmarkStart w:id="30" w:name="_Toc170211842"/>
      <w:r>
        <w:rPr>
          <w:rStyle w:val="CharSectno"/>
        </w:rPr>
        <w:t>14</w:t>
      </w:r>
      <w:r>
        <w:t>.</w:t>
      </w:r>
      <w:r>
        <w:tab/>
        <w:t>Fees</w:t>
      </w:r>
      <w:bookmarkEnd w:id="29"/>
      <w:bookmarkEnd w:id="30"/>
    </w:p>
    <w:p>
      <w:pPr>
        <w:pStyle w:val="Subsection"/>
      </w:pPr>
      <w:r>
        <w:tab/>
        <w:t>(1)</w:t>
      </w:r>
      <w:r>
        <w:tab/>
        <w:t>In this regulation —</w:t>
      </w:r>
    </w:p>
    <w:p>
      <w:pPr>
        <w:pStyle w:val="Defstart"/>
      </w:pPr>
      <w:r>
        <w:tab/>
      </w:r>
      <w:r>
        <w:rPr>
          <w:rStyle w:val="CharDefText"/>
        </w:rPr>
        <w:t>application fee</w:t>
      </w:r>
      <w:r>
        <w:t xml:space="preserve"> means the fee to accompany an application for the registration of residential premises under section 17 or 20 of the Act;</w:t>
      </w:r>
    </w:p>
    <w:p>
      <w:pPr>
        <w:pStyle w:val="Defstart"/>
      </w:pPr>
      <w:r>
        <w:tab/>
      </w:r>
      <w:r>
        <w:rPr>
          <w:rStyle w:val="CharDefText"/>
        </w:rPr>
        <w:t>renewal fee</w:t>
      </w:r>
      <w:r>
        <w:t xml:space="preserve"> means the fee to accompany an application for renewal of the registration of residential premises under section 23 of the Act.</w:t>
      </w:r>
    </w:p>
    <w:p>
      <w:pPr>
        <w:pStyle w:val="Subsection"/>
      </w:pPr>
      <w:r>
        <w:tab/>
        <w:t>(2)</w:t>
      </w:r>
      <w:r>
        <w:tab/>
        <w:t>The application fee is $250.</w:t>
      </w:r>
    </w:p>
    <w:p>
      <w:pPr>
        <w:pStyle w:val="Subsection"/>
      </w:pPr>
      <w:r>
        <w:tab/>
        <w:t>(3)</w:t>
      </w:r>
      <w:r>
        <w:tab/>
        <w:t>The renewal fee is $100.</w:t>
      </w:r>
    </w:p>
    <w:p>
      <w:pPr>
        <w:pStyle w:val="Subsection"/>
        <w:keepNext/>
      </w:pPr>
      <w:r>
        <w:lastRenderedPageBreak/>
        <w:tab/>
        <w:t>(4)</w:t>
      </w:r>
      <w:r>
        <w:tab/>
        <w:t xml:space="preserve">The Commissioner may refund an application fee or a renewal fee in whole or in part if — </w:t>
      </w:r>
    </w:p>
    <w:p>
      <w:pPr>
        <w:pStyle w:val="Indenta"/>
      </w:pPr>
      <w:r>
        <w:tab/>
        <w:t>(a)</w:t>
      </w:r>
      <w:r>
        <w:tab/>
        <w:t>the registration of the premises is cancelled under section 24(c) of the Act; or</w:t>
      </w:r>
    </w:p>
    <w:p>
      <w:pPr>
        <w:pStyle w:val="Indenta"/>
      </w:pPr>
      <w:r>
        <w:tab/>
        <w:t>(b)</w:t>
      </w:r>
      <w:r>
        <w:tab/>
        <w:t>the Commissioner considers that special circumstances justify the refund.</w:t>
      </w:r>
    </w:p>
    <w:p>
      <w:pPr>
        <w:pStyle w:val="Heading5"/>
      </w:pPr>
      <w:bookmarkStart w:id="31" w:name="_Toc169799496"/>
      <w:bookmarkStart w:id="32" w:name="_Toc170211843"/>
      <w:r>
        <w:rPr>
          <w:rStyle w:val="CharSectno"/>
        </w:rPr>
        <w:t>15</w:t>
      </w:r>
      <w:r>
        <w:t>.</w:t>
      </w:r>
      <w:r>
        <w:tab/>
        <w:t>Prescribed offences and modified penalties</w:t>
      </w:r>
      <w:bookmarkEnd w:id="31"/>
      <w:bookmarkEnd w:id="32"/>
    </w:p>
    <w:p>
      <w:pPr>
        <w:pStyle w:val="Subsection"/>
      </w:pPr>
      <w:r>
        <w:tab/>
        <w:t>(1)</w:t>
      </w:r>
      <w:r>
        <w:tab/>
        <w:t xml:space="preserve">The offences specified in Schedule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5(3)(a).</w:t>
      </w:r>
    </w:p>
    <w:p>
      <w:pPr>
        <w:pStyle w:val="Heading5"/>
      </w:pPr>
      <w:bookmarkStart w:id="33" w:name="_Toc169799497"/>
      <w:bookmarkStart w:id="34" w:name="_Toc170211844"/>
      <w:r>
        <w:rPr>
          <w:rStyle w:val="CharSectno"/>
        </w:rPr>
        <w:t>16</w:t>
      </w:r>
      <w:r>
        <w:t>.</w:t>
      </w:r>
      <w:r>
        <w:tab/>
        <w:t>Authorised officers and approved officers</w:t>
      </w:r>
      <w:bookmarkEnd w:id="33"/>
      <w:bookmarkEnd w:id="34"/>
    </w:p>
    <w:p>
      <w:pPr>
        <w:pStyle w:val="Subsection"/>
      </w:pPr>
      <w:r>
        <w:tab/>
        <w:t>(1)</w:t>
      </w:r>
      <w:r>
        <w:tab/>
        <w:t xml:space="preserve">The Commissioner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Commissioner must issue to each authorised officer a certificate, badge or identity card identifying the officer as a person authorised to issue infringement notices.</w:t>
      </w:r>
    </w:p>
    <w:p>
      <w:pPr>
        <w:pStyle w:val="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Heading5"/>
      </w:pPr>
      <w:bookmarkStart w:id="35" w:name="_Toc169799498"/>
      <w:bookmarkStart w:id="36" w:name="_Toc170211845"/>
      <w:r>
        <w:rPr>
          <w:rStyle w:val="CharSectno"/>
        </w:rPr>
        <w:t>17</w:t>
      </w:r>
      <w:r>
        <w:t>.</w:t>
      </w:r>
      <w:r>
        <w:tab/>
        <w:t>Forms</w:t>
      </w:r>
      <w:bookmarkEnd w:id="35"/>
      <w:bookmarkEnd w:id="36"/>
    </w:p>
    <w:p>
      <w:pPr>
        <w:pStyle w:val="Subsection"/>
      </w:pPr>
      <w:r>
        <w:tab/>
      </w:r>
      <w:r>
        <w:tab/>
        <w:t xml:space="preserve">For the purposes of the </w:t>
      </w:r>
      <w:r>
        <w:rPr>
          <w:i/>
        </w:rPr>
        <w:t>Criminal Procedure Act 2004</w:t>
      </w:r>
      <w:r>
        <w:t xml:space="preserve"> Part 2, the forms set out in Schedule 2 are prescribed.</w:t>
      </w:r>
    </w:p>
    <w:p>
      <w:pPr>
        <w:pStyle w:val="Heading5"/>
        <w:keepLines w:val="0"/>
      </w:pPr>
      <w:bookmarkStart w:id="37" w:name="_Toc169799499"/>
      <w:bookmarkStart w:id="38" w:name="_Toc170211846"/>
      <w:r>
        <w:rPr>
          <w:rStyle w:val="CharSectno"/>
        </w:rPr>
        <w:lastRenderedPageBreak/>
        <w:t>18</w:t>
      </w:r>
      <w:r>
        <w:t>.</w:t>
      </w:r>
      <w:r>
        <w:tab/>
        <w:t>Transitional provision</w:t>
      </w:r>
      <w:bookmarkEnd w:id="37"/>
      <w:bookmarkEnd w:id="38"/>
    </w:p>
    <w:p>
      <w:pPr>
        <w:pStyle w:val="Subsection"/>
        <w:keepNext/>
      </w:pPr>
      <w:r>
        <w:tab/>
        <w:t>(1)</w:t>
      </w:r>
      <w:r>
        <w:tab/>
        <w:t xml:space="preserve">In this regulation — </w:t>
      </w:r>
    </w:p>
    <w:p>
      <w:pPr>
        <w:pStyle w:val="Defstart"/>
      </w:pPr>
      <w:r>
        <w:tab/>
      </w:r>
      <w:r>
        <w:rPr>
          <w:rStyle w:val="CharDefText"/>
        </w:rPr>
        <w:t>application fee</w:t>
      </w:r>
      <w:r>
        <w:t xml:space="preserve"> has the meaning given in regulation 14(1);</w:t>
      </w:r>
    </w:p>
    <w:p>
      <w:pPr>
        <w:pStyle w:val="Defstart"/>
      </w:pPr>
      <w:r>
        <w:tab/>
      </w:r>
      <w:r>
        <w:rPr>
          <w:rStyle w:val="CharDefText"/>
        </w:rPr>
        <w:t>fee waiver period</w:t>
      </w:r>
      <w:r>
        <w:t xml:space="preserve"> means the period — </w:t>
      </w:r>
    </w:p>
    <w:p>
      <w:pPr>
        <w:pStyle w:val="Defpara"/>
      </w:pPr>
      <w:r>
        <w:tab/>
        <w:t>(a)</w:t>
      </w:r>
      <w:r>
        <w:tab/>
        <w:t>commencing on the day on which Part 2 of the Act comes into operation; and</w:t>
      </w:r>
    </w:p>
    <w:p>
      <w:pPr>
        <w:pStyle w:val="Defpara"/>
      </w:pPr>
      <w:r>
        <w:tab/>
        <w:t>(b)</w:t>
      </w:r>
      <w:r>
        <w:tab/>
        <w:t>continuing until the day that is 3 months after that day.</w:t>
      </w:r>
    </w:p>
    <w:p>
      <w:pPr>
        <w:pStyle w:val="Subsection"/>
      </w:pPr>
      <w:r>
        <w:tab/>
        <w:t>(2)</w:t>
      </w:r>
      <w:r>
        <w:tab/>
        <w:t>The Commissioner may waive, in whole or in part, the application fee in respect of an application made during the fee waiver period.</w:t>
      </w:r>
    </w:p>
    <w:p>
      <w:pPr>
        <w:pStyle w:val="Heading5"/>
      </w:pPr>
      <w:bookmarkStart w:id="39" w:name="_Toc169799500"/>
      <w:bookmarkStart w:id="40" w:name="_Toc170211847"/>
      <w:r>
        <w:rPr>
          <w:rStyle w:val="CharSectno"/>
        </w:rPr>
        <w:t>19</w:t>
      </w:r>
      <w:r>
        <w:t>.</w:t>
      </w:r>
      <w:r>
        <w:tab/>
      </w:r>
      <w:r>
        <w:rPr>
          <w:i/>
          <w:iCs/>
        </w:rPr>
        <w:t>Building Regulations 2012</w:t>
      </w:r>
      <w:r>
        <w:t xml:space="preserve"> amended</w:t>
      </w:r>
      <w:bookmarkEnd w:id="39"/>
      <w:bookmarkEnd w:id="40"/>
    </w:p>
    <w:p>
      <w:pPr>
        <w:pStyle w:val="Subsection"/>
      </w:pPr>
      <w:r>
        <w:tab/>
        <w:t>(1)</w:t>
      </w:r>
      <w:r>
        <w:tab/>
        <w:t xml:space="preserve">This regulation amends the </w:t>
      </w:r>
      <w:r>
        <w:rPr>
          <w:i/>
        </w:rPr>
        <w:t>Building Regulations 2012</w:t>
      </w:r>
      <w:r>
        <w:t>.</w:t>
      </w:r>
    </w:p>
    <w:p>
      <w:pPr>
        <w:pStyle w:val="Subsection"/>
      </w:pPr>
      <w:r>
        <w:tab/>
        <w:t>(2)</w:t>
      </w:r>
      <w:r>
        <w:tab/>
        <w:t>In regulation 55(1) insert in alphabetical order:</w:t>
      </w:r>
    </w:p>
    <w:p>
      <w:pPr>
        <w:pStyle w:val="BlankOpen"/>
      </w:pPr>
    </w:p>
    <w:p>
      <w:pPr>
        <w:pStyle w:val="z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BlankClose"/>
      </w:pPr>
    </w:p>
    <w:p>
      <w:pPr>
        <w:pStyle w:val="Subsection"/>
      </w:pPr>
      <w:r>
        <w:tab/>
        <w:t>(3)</w:t>
      </w:r>
      <w:r>
        <w:tab/>
        <w:t>At the beginning of regulation 58 insert:</w:t>
      </w:r>
    </w:p>
    <w:p>
      <w:pPr>
        <w:pStyle w:val="BlankOpen"/>
      </w:pPr>
    </w:p>
    <w:p>
      <w:pPr>
        <w:pStyle w:val="zSubsection"/>
      </w:pPr>
      <w:r>
        <w:tab/>
        <w:t>(1)</w:t>
      </w:r>
      <w:r>
        <w:tab/>
        <w:t xml:space="preserve">This regulation applies to a dwelling if either or both of the following conditions are satisfied — </w:t>
      </w:r>
    </w:p>
    <w:p>
      <w:pPr>
        <w:pStyle w:val="zIndenta"/>
      </w:pPr>
      <w:r>
        <w:tab/>
        <w:t>(a)</w:t>
      </w:r>
      <w:r>
        <w:tab/>
        <w:t>the dwelling is rented, or made available for rent, under a residential tenancy agreement;</w:t>
      </w:r>
    </w:p>
    <w:p>
      <w:pPr>
        <w:pStyle w:val="zIndenta"/>
      </w:pPr>
      <w:r>
        <w:tab/>
        <w:t>(b)</w:t>
      </w:r>
      <w:r>
        <w:tab/>
        <w:t>the dwelling is, or is made available as, short</w:t>
      </w:r>
      <w:r>
        <w:noBreakHyphen/>
        <w:t>term rental accommodation.</w:t>
      </w:r>
    </w:p>
    <w:p>
      <w:pPr>
        <w:pStyle w:val="BlankClose"/>
      </w:pPr>
    </w:p>
    <w:p>
      <w:pPr>
        <w:pStyle w:val="Subsection"/>
        <w:keepNext/>
      </w:pPr>
      <w:r>
        <w:lastRenderedPageBreak/>
        <w:tab/>
        <w:t>(4)</w:t>
      </w:r>
      <w:r>
        <w:tab/>
        <w:t>In regulation 58 delete “The owner of a dwelling rented under a residential tenancy agreement, or made available for such rent,” and insert:</w:t>
      </w:r>
    </w:p>
    <w:p>
      <w:pPr>
        <w:pStyle w:val="BlankOpen"/>
      </w:pPr>
    </w:p>
    <w:p>
      <w:pPr>
        <w:pStyle w:val="zSubsection"/>
      </w:pPr>
      <w:r>
        <w:tab/>
        <w:t>(2)</w:t>
      </w:r>
      <w:r>
        <w:tab/>
        <w:t>The owner of the dwelling</w:t>
      </w:r>
    </w:p>
    <w:p>
      <w:pPr>
        <w:pStyle w:val="BlankClose"/>
      </w:pPr>
    </w:p>
    <w:p>
      <w:pPr>
        <w:pStyle w:val="Subsection"/>
      </w:pPr>
      <w:r>
        <w:tab/>
        <w:t>(5)</w:t>
      </w:r>
      <w:r>
        <w:tab/>
        <w:t>In regulation 58 delete the Penalty and insert:</w:t>
      </w:r>
    </w:p>
    <w:p>
      <w:pPr>
        <w:pStyle w:val="BlankOpen"/>
      </w:pPr>
    </w:p>
    <w:p>
      <w:pPr>
        <w:pStyle w:val="zPenstart"/>
      </w:pPr>
      <w:r>
        <w:tab/>
        <w:t>Penalty for this subregulation: a fine of  $5 000.</w:t>
      </w:r>
    </w:p>
    <w:p>
      <w:pPr>
        <w:pStyle w:val="BlankClose"/>
      </w:pPr>
    </w:p>
    <w:p>
      <w:pPr>
        <w:pStyle w:val="Subsection"/>
      </w:pPr>
      <w:r>
        <w:tab/>
        <w:t>(6)</w:t>
      </w:r>
      <w:r>
        <w:tab/>
        <w:t xml:space="preserve">In regulation 60(1) in the definition of </w:t>
      </w:r>
      <w:r>
        <w:rPr>
          <w:b/>
          <w:bCs/>
          <w:i/>
          <w:iCs/>
        </w:rPr>
        <w:t>relevant day</w:t>
      </w:r>
      <w:r>
        <w:t xml:space="preserve"> after paragraph (b) insert:</w:t>
      </w:r>
    </w:p>
    <w:p>
      <w:pPr>
        <w:pStyle w:val="BlankOpen"/>
      </w:pPr>
    </w:p>
    <w:p>
      <w:pPr>
        <w:pStyle w:val="z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p>
    <w:p>
      <w:pPr>
        <w:pStyle w:val="BlankClose"/>
      </w:pPr>
    </w:p>
    <w:p>
      <w:pPr>
        <w:pStyle w:val="Subsection"/>
      </w:pPr>
      <w:r>
        <w:tab/>
        <w:t>(7)</w:t>
      </w:r>
      <w:r>
        <w:tab/>
        <w:t>Delete regulation 60(2)(b) and insert:</w:t>
      </w:r>
    </w:p>
    <w:p>
      <w:pPr>
        <w:pStyle w:val="BlankOpen"/>
      </w:pPr>
    </w:p>
    <w:p>
      <w:pPr>
        <w:pStyle w:val="zIndenta"/>
      </w:pPr>
      <w:r>
        <w:tab/>
        <w:t>(b)</w:t>
      </w:r>
      <w:r>
        <w:tab/>
        <w:t xml:space="preserve">each smoke alarm necessary to meet those requirements — </w:t>
      </w:r>
    </w:p>
    <w:p>
      <w:pPr>
        <w:pStyle w:val="zIndenti"/>
      </w:pPr>
      <w:r>
        <w:tab/>
        <w:t>(i)</w:t>
      </w:r>
      <w:r>
        <w:tab/>
        <w:t>if an expiry date is provided on the alarm — has not reached that expiry date; or</w:t>
      </w:r>
    </w:p>
    <w:p>
      <w:pPr>
        <w:pStyle w:val="zIndenti"/>
      </w:pPr>
      <w:r>
        <w:tab/>
        <w:t>(ii)</w:t>
      </w:r>
      <w:r>
        <w:tab/>
        <w:t>if no expiry date is provided on the alarm — was installed less than 10 years before the relevant day;</w:t>
      </w:r>
    </w:p>
    <w:p>
      <w:pPr>
        <w:pStyle w:val="zIndenta"/>
      </w:pPr>
      <w:r>
        <w:tab/>
      </w:r>
      <w:r>
        <w:tab/>
        <w:t>and</w:t>
      </w:r>
    </w:p>
    <w:p>
      <w:pPr>
        <w:pStyle w:val="BlankClose"/>
      </w:pPr>
    </w:p>
    <w:p>
      <w:pPr>
        <w:pStyle w:val="Subsection"/>
      </w:pPr>
      <w:r>
        <w:lastRenderedPageBreak/>
        <w:tab/>
        <w:t>(8)</w:t>
      </w:r>
      <w:r>
        <w:tab/>
        <w:t>Delete regulation 62 and insert:</w:t>
      </w:r>
    </w:p>
    <w:p>
      <w:pPr>
        <w:pStyle w:val="BlankOpen"/>
      </w:pPr>
    </w:p>
    <w:p>
      <w:pPr>
        <w:pStyle w:val="zHeading5"/>
      </w:pPr>
      <w:bookmarkStart w:id="41" w:name="_Toc169799501"/>
      <w:bookmarkStart w:id="42" w:name="_Toc170211848"/>
      <w:r>
        <w:t>62.</w:t>
      </w:r>
      <w:r>
        <w:tab/>
        <w:t>Requirement to maintain certain smoke alarms</w:t>
      </w:r>
      <w:bookmarkEnd w:id="41"/>
      <w:bookmarkEnd w:id="42"/>
    </w:p>
    <w:p>
      <w:pPr>
        <w:pStyle w:val="zSubsection"/>
      </w:pPr>
      <w:r>
        <w:tab/>
        <w:t>(1)</w:t>
      </w:r>
      <w:r>
        <w:tab/>
        <w:t xml:space="preserve">This regulation applies to a person who is one or more of the following — </w:t>
      </w:r>
    </w:p>
    <w:p>
      <w:pPr>
        <w:pStyle w:val="zIndenta"/>
      </w:pPr>
      <w:r>
        <w:tab/>
        <w:t>(a)</w:t>
      </w:r>
      <w:r>
        <w:tab/>
        <w:t xml:space="preserve">the lessor (as defined in the </w:t>
      </w:r>
      <w:r>
        <w:rPr>
          <w:i/>
          <w:iCs/>
        </w:rPr>
        <w:t>Residential Tenancies Act 1987</w:t>
      </w:r>
      <w:r>
        <w:t xml:space="preserve"> section 3) of a dwelling;</w:t>
      </w:r>
    </w:p>
    <w:p>
      <w:pPr>
        <w:pStyle w:val="zIndenta"/>
      </w:pPr>
      <w:r>
        <w:tab/>
        <w:t>(b)</w:t>
      </w:r>
      <w:r>
        <w:tab/>
        <w:t>the owner of a dwelling that is, or is made available as, short</w:t>
      </w:r>
      <w:r>
        <w:noBreakHyphen/>
        <w:t>term rental accommodation;</w:t>
      </w:r>
    </w:p>
    <w:p>
      <w:pPr>
        <w:pStyle w:val="zIndenta"/>
      </w:pPr>
      <w:r>
        <w:tab/>
        <w:t>(c)</w:t>
      </w:r>
      <w:r>
        <w:tab/>
        <w:t>the owner of a dwelling that is hired or made available for hire.</w:t>
      </w:r>
    </w:p>
    <w:p>
      <w:pPr>
        <w:pStyle w:val="zSubsection"/>
      </w:pPr>
      <w:r>
        <w:tab/>
        <w:t>(2)</w:t>
      </w:r>
      <w:r>
        <w:tab/>
        <w:t>The lessor or owner must, to the extent practicable, ensure that each smoke alarm installed in the dwelling is in working order.</w:t>
      </w:r>
    </w:p>
    <w:p>
      <w:pPr>
        <w:pStyle w:val="zPenstart"/>
      </w:pPr>
      <w:r>
        <w:tab/>
        <w:t>Penalty for this subregulation: a fine of $5 000.</w:t>
      </w:r>
    </w:p>
    <w:p>
      <w:pPr>
        <w:pStyle w:val="zSubsection"/>
      </w:pPr>
      <w:r>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pPr>
        <w:pStyle w:val="zPenstart"/>
      </w:pPr>
      <w:r>
        <w:tab/>
        <w:t>Penalty for this subregulation: a fine of $5 000.</w:t>
      </w:r>
    </w:p>
    <w:p>
      <w:pPr>
        <w:pStyle w:val="zSubsection"/>
      </w:pPr>
      <w:r>
        <w:tab/>
        <w:t>(4)</w:t>
      </w:r>
      <w:r>
        <w:tab/>
        <w:t xml:space="preserve">If a smoke alarm installed in the dwelling was, at the time of installation, not required to be connected to the mains power supply, the lessor or owner must, to the extent practicable, ensure that the alarm has a 10 year life battery that cannot be removed. </w:t>
      </w:r>
    </w:p>
    <w:p>
      <w:pPr>
        <w:pStyle w:val="zPenstart"/>
      </w:pPr>
      <w:r>
        <w:tab/>
        <w:t>Penalty for this subregulation: a fine of $5 000.</w:t>
      </w:r>
    </w:p>
    <w:p>
      <w:pPr>
        <w:pStyle w:val="zSubsection"/>
        <w:keepNext/>
      </w:pPr>
      <w:r>
        <w:tab/>
        <w:t>(5)</w:t>
      </w:r>
      <w:r>
        <w:tab/>
        <w:t xml:space="preserve">If an expiry date is provided on a smoke alarm installed in the dwelling, the lessor or owner must, to the extent </w:t>
      </w:r>
      <w:r>
        <w:lastRenderedPageBreak/>
        <w:t>practicable, ensure that the alarm has not reached that expiry date.</w:t>
      </w:r>
    </w:p>
    <w:p>
      <w:pPr>
        <w:pStyle w:val="zPenstart"/>
      </w:pPr>
      <w:r>
        <w:tab/>
        <w:t>Penalty for this subregulation: a fine of $5 000.</w:t>
      </w:r>
    </w:p>
    <w:p>
      <w:pPr>
        <w:pStyle w:val="zSubsection"/>
      </w:pPr>
      <w:r>
        <w:tab/>
        <w:t>(6)</w:t>
      </w:r>
      <w:r>
        <w:tab/>
        <w:t>If no expiry date is provided on a smoke alarm installed in the dwelling, the lessor or owner must, to the extent practicable, ensure that the alarm is not more than 10 years old.</w:t>
      </w:r>
    </w:p>
    <w:p>
      <w:pPr>
        <w:pStyle w:val="zPenstart"/>
      </w:pPr>
      <w:r>
        <w:tab/>
        <w:t>Penalty for this subregulation: a fine of $5 000.</w:t>
      </w:r>
    </w:p>
    <w:p>
      <w:pPr>
        <w:pStyle w:val="BlankClose"/>
      </w:pPr>
    </w:p>
    <w:p>
      <w:pPr>
        <w:pStyle w:val="Heading5"/>
      </w:pPr>
      <w:bookmarkStart w:id="43" w:name="_Toc169799502"/>
      <w:bookmarkStart w:id="44" w:name="_Toc170211849"/>
      <w:r>
        <w:rPr>
          <w:rStyle w:val="CharSectno"/>
        </w:rPr>
        <w:t>20</w:t>
      </w:r>
      <w:r>
        <w:t>.</w:t>
      </w:r>
      <w:r>
        <w:tab/>
      </w:r>
      <w:r>
        <w:rPr>
          <w:i/>
        </w:rPr>
        <w:t>Electricity Regulations 1947</w:t>
      </w:r>
      <w:r>
        <w:t xml:space="preserve"> amended</w:t>
      </w:r>
      <w:bookmarkEnd w:id="43"/>
      <w:bookmarkEnd w:id="44"/>
    </w:p>
    <w:p>
      <w:pPr>
        <w:pStyle w:val="Subsection"/>
      </w:pPr>
      <w:r>
        <w:tab/>
        <w:t>(1)</w:t>
      </w:r>
      <w:r>
        <w:tab/>
        <w:t xml:space="preserve">This regulation amends the </w:t>
      </w:r>
      <w:r>
        <w:rPr>
          <w:i/>
        </w:rPr>
        <w:t>Electricity Regulations 1947</w:t>
      </w:r>
      <w:r>
        <w:t>.</w:t>
      </w:r>
    </w:p>
    <w:p>
      <w:pPr>
        <w:pStyle w:val="Subsection"/>
      </w:pPr>
      <w:r>
        <w:tab/>
        <w:t>(2)</w:t>
      </w:r>
      <w:r>
        <w:tab/>
        <w:t>In regulation 12 insert in alphabetical order:</w:t>
      </w:r>
    </w:p>
    <w:p>
      <w:pPr>
        <w:pStyle w:val="BlankOpen"/>
      </w:pPr>
    </w:p>
    <w:p>
      <w:pPr>
        <w:pStyle w:val="z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BlankClose"/>
      </w:pPr>
    </w:p>
    <w:p>
      <w:pPr>
        <w:pStyle w:val="Subsection"/>
      </w:pPr>
      <w:r>
        <w:tab/>
        <w:t>(3)</w:t>
      </w:r>
      <w:r>
        <w:tab/>
        <w:t>After regulation 13(b) insert:</w:t>
      </w:r>
    </w:p>
    <w:p>
      <w:pPr>
        <w:pStyle w:val="BlankOpen"/>
      </w:pPr>
    </w:p>
    <w:p>
      <w:pPr>
        <w:pStyle w:val="zIndenta"/>
      </w:pPr>
      <w:r>
        <w:tab/>
        <w:t>(ba)</w:t>
      </w:r>
      <w:r>
        <w:tab/>
        <w:t>before the owner makes some or all of the premises available as short</w:t>
      </w:r>
      <w:r>
        <w:noBreakHyphen/>
        <w:t>term rental accommodation; or</w:t>
      </w:r>
    </w:p>
    <w:p>
      <w:pPr>
        <w:pStyle w:val="BlankClose"/>
      </w:pPr>
    </w:p>
    <w:p>
      <w:pPr>
        <w:pStyle w:val="Subsection"/>
      </w:pPr>
      <w:r>
        <w:tab/>
        <w:t>(4)</w:t>
      </w:r>
      <w:r>
        <w:tab/>
        <w:t>After regulation 14(b) insert:</w:t>
      </w:r>
    </w:p>
    <w:p>
      <w:pPr>
        <w:pStyle w:val="BlankOpen"/>
      </w:pPr>
    </w:p>
    <w:p>
      <w:pPr>
        <w:pStyle w:val="zIndenta"/>
      </w:pPr>
      <w:r>
        <w:tab/>
        <w:t>(ba)</w:t>
      </w:r>
      <w:r>
        <w:tab/>
        <w:t>before the owner makes the premises available as short</w:t>
      </w:r>
      <w:r>
        <w:noBreakHyphen/>
        <w:t>term rental accommodation; or</w:t>
      </w:r>
    </w:p>
    <w:p>
      <w:pPr>
        <w:pStyle w:val="zIndenta"/>
      </w:pPr>
      <w:r>
        <w:tab/>
        <w:t>(bb)</w:t>
      </w:r>
      <w:r>
        <w:tab/>
        <w:t>before the owner makes the premises available for hire; or</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5" w:name="_Toc169799503"/>
      <w:bookmarkStart w:id="46" w:name="_Toc169799575"/>
      <w:bookmarkStart w:id="47" w:name="_Toc169799815"/>
      <w:bookmarkStart w:id="48" w:name="_Toc170211850"/>
      <w:r>
        <w:rPr>
          <w:rStyle w:val="CharSchNo"/>
        </w:rPr>
        <w:lastRenderedPageBreak/>
        <w:t>Schedule 1</w:t>
      </w:r>
      <w:r>
        <w:t> — </w:t>
      </w:r>
      <w:r>
        <w:rPr>
          <w:rStyle w:val="CharSchText"/>
        </w:rPr>
        <w:t>Prescribed offences and modified penalties</w:t>
      </w:r>
      <w:bookmarkEnd w:id="45"/>
      <w:bookmarkEnd w:id="46"/>
      <w:bookmarkEnd w:id="47"/>
      <w:bookmarkEnd w:id="48"/>
    </w:p>
    <w:p>
      <w:pPr>
        <w:pStyle w:val="yShoulderClause"/>
      </w:pPr>
      <w:r>
        <w:t>[r. 15(1) and (2)]</w:t>
      </w:r>
    </w:p>
    <w:p>
      <w:pPr>
        <w:pStyle w:val="yHeading3"/>
      </w:pPr>
      <w:bookmarkStart w:id="49" w:name="_Toc169799504"/>
      <w:bookmarkStart w:id="50" w:name="_Toc169799576"/>
      <w:bookmarkStart w:id="51" w:name="_Toc169799816"/>
      <w:bookmarkStart w:id="52" w:name="_Toc170211851"/>
      <w:r>
        <w:rPr>
          <w:rStyle w:val="CharSDivNo"/>
        </w:rPr>
        <w:t>Division 1</w:t>
      </w:r>
      <w:r>
        <w:t> — </w:t>
      </w:r>
      <w:r>
        <w:rPr>
          <w:rStyle w:val="CharSDivText"/>
        </w:rPr>
        <w:t>Offences under Act</w:t>
      </w:r>
      <w:bookmarkEnd w:id="49"/>
      <w:bookmarkEnd w:id="50"/>
      <w:bookmarkEnd w:id="51"/>
      <w:bookmarkEnd w:id="52"/>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3260"/>
        <w:gridCol w:w="2410"/>
      </w:tblGrid>
      <w:tr>
        <w:trPr>
          <w:cantSplit/>
        </w:trPr>
        <w:tc>
          <w:tcPr>
            <w:tcW w:w="1134" w:type="dxa"/>
            <w:noWrap/>
          </w:tcPr>
          <w:p>
            <w:pPr>
              <w:pStyle w:val="yTableNAm"/>
              <w:spacing w:after="120"/>
              <w:jc w:val="center"/>
              <w:rPr>
                <w:b/>
                <w:szCs w:val="22"/>
              </w:rPr>
            </w:pPr>
            <w:r>
              <w:rPr>
                <w:b/>
                <w:szCs w:val="22"/>
              </w:rPr>
              <w:t>Provision</w:t>
            </w:r>
          </w:p>
        </w:tc>
        <w:tc>
          <w:tcPr>
            <w:tcW w:w="3260" w:type="dxa"/>
          </w:tcPr>
          <w:p>
            <w:pPr>
              <w:pStyle w:val="yTableNAm"/>
              <w:spacing w:after="120"/>
              <w:jc w:val="center"/>
              <w:rPr>
                <w:b/>
              </w:rPr>
            </w:pPr>
            <w:r>
              <w:rPr>
                <w:b/>
              </w:rPr>
              <w:t>Description of offence</w:t>
            </w:r>
          </w:p>
        </w:tc>
        <w:tc>
          <w:tcPr>
            <w:tcW w:w="2410" w:type="dxa"/>
            <w:noWrap/>
          </w:tcPr>
          <w:p>
            <w:pPr>
              <w:pStyle w:val="yTableNAm"/>
              <w:spacing w:after="120"/>
              <w:jc w:val="center"/>
            </w:pPr>
            <w:r>
              <w:rPr>
                <w:b/>
              </w:rPr>
              <w:t>Modified penalty</w:t>
            </w:r>
          </w:p>
        </w:tc>
      </w:tr>
      <w:tr>
        <w:trPr>
          <w:cantSplit/>
        </w:trPr>
        <w:tc>
          <w:tcPr>
            <w:tcW w:w="1134" w:type="dxa"/>
            <w:noWrap/>
          </w:tcPr>
          <w:p>
            <w:pPr>
              <w:pStyle w:val="yTableNAm"/>
              <w:spacing w:after="120"/>
            </w:pPr>
            <w:r>
              <w:t>s. 9</w:t>
            </w:r>
          </w:p>
        </w:tc>
        <w:tc>
          <w:tcPr>
            <w:tcW w:w="3260" w:type="dxa"/>
            <w:noWrap/>
            <w:vAlign w:val="center"/>
          </w:tcPr>
          <w:p>
            <w:pPr>
              <w:pStyle w:val="yTableNAm"/>
              <w:spacing w:after="120"/>
            </w:pPr>
            <w:r>
              <w:t>Entering into, or seeking to enter into, short</w:t>
            </w:r>
            <w:r>
              <w:noBreakHyphen/>
              <w:t>term rental arrangement for unregistered premises</w:t>
            </w:r>
          </w:p>
        </w:tc>
        <w:tc>
          <w:tcPr>
            <w:tcW w:w="2410" w:type="dxa"/>
            <w:noWrap/>
          </w:tcPr>
          <w:p>
            <w:pPr>
              <w:pStyle w:val="yTableNAm"/>
              <w:spacing w:after="120"/>
              <w:jc w:val="center"/>
            </w:pPr>
            <w:r>
              <w:t>For entering into a short</w:t>
            </w:r>
            <w:r>
              <w:noBreakHyphen/>
              <w:t>term rental arrangement — $2 000</w:t>
            </w:r>
          </w:p>
        </w:tc>
      </w:tr>
      <w:tr>
        <w:trPr>
          <w:cantSplit/>
        </w:trPr>
        <w:tc>
          <w:tcPr>
            <w:tcW w:w="1134" w:type="dxa"/>
            <w:noWrap/>
          </w:tcPr>
          <w:p>
            <w:pPr>
              <w:pStyle w:val="yTableNAm"/>
              <w:spacing w:after="120"/>
            </w:pPr>
            <w:r>
              <w:t>s. 13(2)</w:t>
            </w:r>
          </w:p>
        </w:tc>
        <w:tc>
          <w:tcPr>
            <w:tcW w:w="3260" w:type="dxa"/>
            <w:noWrap/>
            <w:vAlign w:val="center"/>
          </w:tcPr>
          <w:p>
            <w:pPr>
              <w:pStyle w:val="yTableNAm"/>
              <w:spacing w:after="120"/>
            </w:pPr>
            <w:r>
              <w:t>Failure to comply with s. 13(1)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14(2)</w:t>
            </w:r>
          </w:p>
        </w:tc>
        <w:tc>
          <w:tcPr>
            <w:tcW w:w="3260" w:type="dxa"/>
            <w:noWrap/>
            <w:vAlign w:val="center"/>
          </w:tcPr>
          <w:p>
            <w:pPr>
              <w:pStyle w:val="yTableNAm"/>
              <w:spacing w:after="120"/>
            </w:pPr>
            <w:r>
              <w:t>Failure to comply with s. 14(1)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15(2)</w:t>
            </w:r>
          </w:p>
        </w:tc>
        <w:tc>
          <w:tcPr>
            <w:tcW w:w="3260" w:type="dxa"/>
            <w:noWrap/>
            <w:vAlign w:val="center"/>
          </w:tcPr>
          <w:p>
            <w:pPr>
              <w:pStyle w:val="yTableNAm"/>
              <w:spacing w:after="120"/>
            </w:pPr>
            <w:r>
              <w:t>Failure to comply with s. 15(1)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16(1)</w:t>
            </w:r>
          </w:p>
        </w:tc>
        <w:tc>
          <w:tcPr>
            <w:tcW w:w="3260" w:type="dxa"/>
            <w:noWrap/>
            <w:vAlign w:val="center"/>
          </w:tcPr>
          <w:p>
            <w:pPr>
              <w:pStyle w:val="yTableNAm"/>
              <w:spacing w:after="120"/>
            </w:pPr>
            <w:r>
              <w:t>False representation as to registration of premises</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16(2)</w:t>
            </w:r>
          </w:p>
        </w:tc>
        <w:tc>
          <w:tcPr>
            <w:tcW w:w="3260" w:type="dxa"/>
            <w:noWrap/>
            <w:vAlign w:val="center"/>
          </w:tcPr>
          <w:p>
            <w:pPr>
              <w:pStyle w:val="yTableNAm"/>
              <w:spacing w:after="120"/>
            </w:pPr>
            <w:r>
              <w:t>Display of false registration number for premises</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28</w:t>
            </w:r>
          </w:p>
        </w:tc>
        <w:tc>
          <w:tcPr>
            <w:tcW w:w="3260" w:type="dxa"/>
            <w:noWrap/>
          </w:tcPr>
          <w:p>
            <w:pPr>
              <w:pStyle w:val="yTableNAm"/>
              <w:spacing w:after="120"/>
            </w:pPr>
            <w:r>
              <w:t>Failure to notify Commissioner of event</w:t>
            </w:r>
          </w:p>
        </w:tc>
        <w:tc>
          <w:tcPr>
            <w:tcW w:w="2410" w:type="dxa"/>
            <w:noWrap/>
          </w:tcPr>
          <w:p>
            <w:pPr>
              <w:pStyle w:val="yTableNAm"/>
              <w:spacing w:after="120"/>
              <w:jc w:val="center"/>
            </w:pPr>
            <w:r>
              <w:t>For failing to notify of an event mentioned in s. 28(a), (b), (c), (d) or (e) — $500</w:t>
            </w:r>
          </w:p>
        </w:tc>
      </w:tr>
      <w:tr>
        <w:trPr>
          <w:cantSplit/>
        </w:trPr>
        <w:tc>
          <w:tcPr>
            <w:tcW w:w="1134" w:type="dxa"/>
            <w:noWrap/>
          </w:tcPr>
          <w:p>
            <w:pPr>
              <w:pStyle w:val="yTableNAm"/>
              <w:spacing w:after="120"/>
            </w:pPr>
            <w:r>
              <w:t>s. 36(3)</w:t>
            </w:r>
          </w:p>
        </w:tc>
        <w:tc>
          <w:tcPr>
            <w:tcW w:w="3260" w:type="dxa"/>
            <w:noWrap/>
            <w:vAlign w:val="center"/>
          </w:tcPr>
          <w:p>
            <w:pPr>
              <w:pStyle w:val="yTableNAm"/>
              <w:spacing w:after="120"/>
              <w:rPr>
                <w:b/>
                <w:bCs/>
                <w:i/>
                <w:iCs/>
              </w:rPr>
            </w:pPr>
            <w:r>
              <w:t>Failure to comply with a s. 36 notice</w:t>
            </w:r>
          </w:p>
        </w:tc>
        <w:tc>
          <w:tcPr>
            <w:tcW w:w="2410" w:type="dxa"/>
            <w:noWrap/>
          </w:tcPr>
          <w:p>
            <w:pPr>
              <w:pStyle w:val="yTableNAm"/>
              <w:spacing w:after="120"/>
              <w:jc w:val="center"/>
            </w:pPr>
            <w:r>
              <w:t>$2 000</w:t>
            </w:r>
          </w:p>
        </w:tc>
      </w:tr>
    </w:tbl>
    <w:p>
      <w:pPr>
        <w:pStyle w:val="yHeading3"/>
      </w:pPr>
      <w:bookmarkStart w:id="53" w:name="_Toc169799505"/>
      <w:bookmarkStart w:id="54" w:name="_Toc169799577"/>
      <w:bookmarkStart w:id="55" w:name="_Toc169799817"/>
      <w:bookmarkStart w:id="56" w:name="_Toc170211852"/>
      <w:r>
        <w:rPr>
          <w:rStyle w:val="CharSDivNo"/>
        </w:rPr>
        <w:lastRenderedPageBreak/>
        <w:t>Division 2</w:t>
      </w:r>
      <w:r>
        <w:t> — </w:t>
      </w:r>
      <w:r>
        <w:rPr>
          <w:rStyle w:val="CharSDivText"/>
        </w:rPr>
        <w:t>Offences under regulations</w:t>
      </w:r>
      <w:bookmarkEnd w:id="53"/>
      <w:bookmarkEnd w:id="54"/>
      <w:bookmarkEnd w:id="55"/>
      <w:bookmarkEnd w:id="56"/>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3827"/>
        <w:gridCol w:w="1843"/>
      </w:tblGrid>
      <w:tr>
        <w:trPr>
          <w:cantSplit/>
        </w:trPr>
        <w:tc>
          <w:tcPr>
            <w:tcW w:w="1134" w:type="dxa"/>
            <w:noWrap/>
          </w:tcPr>
          <w:p>
            <w:pPr>
              <w:pStyle w:val="yTableNAm"/>
              <w:spacing w:after="120"/>
              <w:jc w:val="center"/>
              <w:rPr>
                <w:b/>
                <w:szCs w:val="22"/>
              </w:rPr>
            </w:pPr>
            <w:r>
              <w:rPr>
                <w:b/>
                <w:szCs w:val="22"/>
              </w:rPr>
              <w:t>Provision</w:t>
            </w:r>
          </w:p>
        </w:tc>
        <w:tc>
          <w:tcPr>
            <w:tcW w:w="3827" w:type="dxa"/>
          </w:tcPr>
          <w:p>
            <w:pPr>
              <w:pStyle w:val="yTableNAm"/>
              <w:spacing w:after="120"/>
              <w:jc w:val="center"/>
              <w:rPr>
                <w:b/>
                <w:i/>
                <w:iCs/>
              </w:rPr>
            </w:pPr>
            <w:r>
              <w:rPr>
                <w:b/>
              </w:rPr>
              <w:t>Description of offence</w:t>
            </w:r>
          </w:p>
        </w:tc>
        <w:tc>
          <w:tcPr>
            <w:tcW w:w="1843" w:type="dxa"/>
            <w:noWrap/>
          </w:tcPr>
          <w:p>
            <w:pPr>
              <w:pStyle w:val="yTableNAm"/>
              <w:spacing w:after="120"/>
              <w:jc w:val="center"/>
            </w:pPr>
            <w:r>
              <w:rPr>
                <w:b/>
              </w:rPr>
              <w:t>Modified penalty</w:t>
            </w:r>
          </w:p>
        </w:tc>
      </w:tr>
      <w:tr>
        <w:trPr>
          <w:cantSplit/>
        </w:trPr>
        <w:tc>
          <w:tcPr>
            <w:tcW w:w="1134" w:type="dxa"/>
            <w:noWrap/>
          </w:tcPr>
          <w:p>
            <w:pPr>
              <w:pStyle w:val="yTableNAm"/>
              <w:spacing w:after="120"/>
              <w:rPr>
                <w:rStyle w:val="DraftersNotes"/>
                <w:b w:val="0"/>
                <w:i w:val="0"/>
                <w:sz w:val="22"/>
              </w:rPr>
            </w:pPr>
            <w:r>
              <w:t>r. 13(3)</w:t>
            </w:r>
          </w:p>
        </w:tc>
        <w:tc>
          <w:tcPr>
            <w:tcW w:w="3827" w:type="dxa"/>
            <w:noWrap/>
          </w:tcPr>
          <w:p>
            <w:pPr>
              <w:pStyle w:val="yTableNAm"/>
              <w:spacing w:after="120"/>
            </w:pPr>
            <w:r>
              <w:t>Booking made on electronically integrated booking platform — failure to notify particulars of booking and obtain confirmation of registration</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13(4)</w:t>
            </w:r>
          </w:p>
        </w:tc>
        <w:tc>
          <w:tcPr>
            <w:tcW w:w="3827" w:type="dxa"/>
            <w:noWrap/>
            <w:vAlign w:val="center"/>
          </w:tcPr>
          <w:p>
            <w:pPr>
              <w:pStyle w:val="yTableNAm"/>
              <w:spacing w:after="120"/>
            </w:pPr>
            <w:r>
              <w:t>Booking made on electronically integrated booking platform — failure to notify changed particulars of booking</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13(5)</w:t>
            </w:r>
          </w:p>
        </w:tc>
        <w:tc>
          <w:tcPr>
            <w:tcW w:w="3827" w:type="dxa"/>
            <w:noWrap/>
            <w:vAlign w:val="center"/>
          </w:tcPr>
          <w:p>
            <w:pPr>
              <w:pStyle w:val="yTableNAm"/>
              <w:spacing w:after="120"/>
            </w:pPr>
            <w:r>
              <w:t xml:space="preserve">Booking not made on electronically integrated booking platform — failure to notify particulars of booking </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13(6)</w:t>
            </w:r>
          </w:p>
        </w:tc>
        <w:tc>
          <w:tcPr>
            <w:tcW w:w="3827" w:type="dxa"/>
            <w:noWrap/>
            <w:vAlign w:val="center"/>
          </w:tcPr>
          <w:p>
            <w:pPr>
              <w:pStyle w:val="yTableNAm"/>
              <w:spacing w:after="120"/>
              <w:rPr>
                <w:rStyle w:val="DraftersNotes"/>
                <w:b w:val="0"/>
                <w:i w:val="0"/>
                <w:sz w:val="22"/>
              </w:rPr>
            </w:pPr>
            <w:r>
              <w:t>Booking not made on electronically integrated booking platform — failure to notify changed particulars of booking</w:t>
            </w:r>
          </w:p>
        </w:tc>
        <w:tc>
          <w:tcPr>
            <w:tcW w:w="1843" w:type="dxa"/>
            <w:noWrap/>
          </w:tcPr>
          <w:p>
            <w:pPr>
              <w:pStyle w:val="yTableNAm"/>
              <w:spacing w:after="120"/>
              <w:jc w:val="center"/>
            </w:pPr>
            <w:r>
              <w:t>$500</w:t>
            </w:r>
          </w:p>
        </w:tc>
      </w:tr>
    </w:tbl>
    <w:p>
      <w:pPr>
        <w:pStyle w:val="yScheduleHeading"/>
      </w:pPr>
      <w:bookmarkStart w:id="57" w:name="_Toc169799506"/>
      <w:bookmarkStart w:id="58" w:name="_Toc169799578"/>
      <w:bookmarkStart w:id="59" w:name="_Toc169799818"/>
      <w:bookmarkStart w:id="60" w:name="_Toc170211853"/>
      <w:r>
        <w:rPr>
          <w:rStyle w:val="CharSchNo"/>
        </w:rPr>
        <w:lastRenderedPageBreak/>
        <w:t>Schedule 2</w:t>
      </w:r>
      <w:r>
        <w:rPr>
          <w:rStyle w:val="CharSDivNo"/>
        </w:rPr>
        <w:t> </w:t>
      </w:r>
      <w:r>
        <w:t>—</w:t>
      </w:r>
      <w:r>
        <w:rPr>
          <w:rStyle w:val="CharSDivText"/>
        </w:rPr>
        <w:t> </w:t>
      </w:r>
      <w:r>
        <w:rPr>
          <w:rStyle w:val="CharSchText"/>
        </w:rPr>
        <w:t>Forms</w:t>
      </w:r>
      <w:bookmarkEnd w:id="57"/>
      <w:bookmarkEnd w:id="58"/>
      <w:bookmarkEnd w:id="59"/>
      <w:bookmarkEnd w:id="60"/>
    </w:p>
    <w:p>
      <w:pPr>
        <w:pStyle w:val="yShoulderClause"/>
      </w:pPr>
      <w:r>
        <w:t>[r. 17]</w:t>
      </w:r>
    </w:p>
    <w:p>
      <w:pPr>
        <w:pStyle w:val="yMiscellaneousHeading"/>
        <w:spacing w:after="120"/>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46"/>
        <w:gridCol w:w="113"/>
        <w:gridCol w:w="2127"/>
        <w:gridCol w:w="1984"/>
      </w:tblGrid>
      <w:tr>
        <w:trPr>
          <w:trHeight w:val="282"/>
        </w:trPr>
        <w:tc>
          <w:tcPr>
            <w:tcW w:w="4820" w:type="dxa"/>
            <w:gridSpan w:val="4"/>
            <w:noWrap/>
          </w:tcPr>
          <w:p>
            <w:pPr>
              <w:pStyle w:val="yTableNAm"/>
              <w:jc w:val="center"/>
              <w:rPr>
                <w:i/>
              </w:rPr>
            </w:pPr>
            <w:r>
              <w:br w:type="page"/>
            </w:r>
            <w:r>
              <w:rPr>
                <w:i/>
                <w:iCs/>
              </w:rPr>
              <w:t>Short</w:t>
            </w:r>
            <w:r>
              <w:rPr>
                <w:i/>
                <w:iCs/>
              </w:rPr>
              <w:noBreakHyphen/>
              <w:t>Term Rental Accommodation Act 2024</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bCs/>
              </w:rPr>
            </w:pPr>
            <w:r>
              <w:rPr>
                <w:b/>
                <w:bCs/>
              </w:rPr>
              <w:t>Alleged offender</w:t>
            </w:r>
          </w:p>
        </w:tc>
        <w:tc>
          <w:tcPr>
            <w:tcW w:w="1559" w:type="dxa"/>
            <w:gridSpan w:val="2"/>
            <w:vMerge w:val="restart"/>
            <w:noWrap/>
          </w:tcPr>
          <w:p>
            <w:pPr>
              <w:pStyle w:val="yTableNAm"/>
              <w:rPr>
                <w:bCs/>
              </w:rPr>
            </w:pPr>
            <w:r>
              <w:rPr>
                <w:bCs/>
              </w:rPr>
              <w:t>Name</w:t>
            </w: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noWrap/>
          </w:tcPr>
          <w:p>
            <w:pPr>
              <w:pStyle w:val="yTableNAm"/>
              <w:rPr>
                <w:bCs/>
              </w:rPr>
            </w:pP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val="restart"/>
            <w:noWrap/>
          </w:tcPr>
          <w:p>
            <w:pPr>
              <w:pStyle w:val="yTableNAm"/>
              <w:rPr>
                <w:bCs/>
              </w:rPr>
            </w:pPr>
            <w:r>
              <w:rPr>
                <w:bCs/>
              </w:rPr>
              <w:t>Address</w:t>
            </w: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noWrap/>
          </w:tcPr>
          <w:p>
            <w:pPr>
              <w:pStyle w:val="yTableNAm"/>
              <w:rPr>
                <w:bCs/>
              </w:rPr>
            </w:pPr>
          </w:p>
        </w:tc>
        <w:tc>
          <w:tcPr>
            <w:tcW w:w="4111" w:type="dxa"/>
            <w:gridSpan w:val="2"/>
            <w:noWrap/>
          </w:tcPr>
          <w:p>
            <w:pPr>
              <w:pStyle w:val="yTableNAm"/>
            </w:pPr>
          </w:p>
        </w:tc>
      </w:tr>
      <w:tr>
        <w:trPr>
          <w:trHeight w:val="150"/>
        </w:trPr>
        <w:tc>
          <w:tcPr>
            <w:tcW w:w="1134" w:type="dxa"/>
            <w:vMerge w:val="restart"/>
            <w:noWrap/>
          </w:tcPr>
          <w:p>
            <w:pPr>
              <w:pStyle w:val="yTableNAm"/>
              <w:rPr>
                <w:b/>
                <w:bCs/>
              </w:rPr>
            </w:pPr>
            <w:r>
              <w:rPr>
                <w:b/>
                <w:bCs/>
              </w:rPr>
              <w:t>Alleged offence</w:t>
            </w:r>
          </w:p>
        </w:tc>
        <w:tc>
          <w:tcPr>
            <w:tcW w:w="1559" w:type="dxa"/>
            <w:gridSpan w:val="2"/>
            <w:shd w:val="clear" w:color="auto" w:fill="auto"/>
            <w:noWrap/>
          </w:tcPr>
          <w:p>
            <w:pPr>
              <w:pStyle w:val="yTableNAm"/>
              <w:rPr>
                <w:bCs/>
              </w:rPr>
            </w:pPr>
            <w:r>
              <w:rPr>
                <w:bCs/>
              </w:rPr>
              <w:t>Date or period</w:t>
            </w:r>
          </w:p>
        </w:tc>
        <w:tc>
          <w:tcPr>
            <w:tcW w:w="4111" w:type="dxa"/>
            <w:gridSpan w:val="2"/>
            <w:noWrap/>
          </w:tcPr>
          <w:p>
            <w:pPr>
              <w:pStyle w:val="yTableNAm"/>
            </w:pPr>
          </w:p>
        </w:tc>
      </w:tr>
      <w:tr>
        <w:trPr>
          <w:trHeight w:val="150"/>
        </w:trPr>
        <w:tc>
          <w:tcPr>
            <w:tcW w:w="1134" w:type="dxa"/>
            <w:vMerge/>
            <w:noWrap/>
          </w:tcPr>
          <w:p>
            <w:pPr>
              <w:pStyle w:val="zyTableNAm"/>
              <w:rPr>
                <w:b/>
              </w:rPr>
            </w:pPr>
          </w:p>
        </w:tc>
        <w:tc>
          <w:tcPr>
            <w:tcW w:w="1559" w:type="dxa"/>
            <w:gridSpan w:val="2"/>
            <w:shd w:val="clear" w:color="auto" w:fill="auto"/>
            <w:noWrap/>
          </w:tcPr>
          <w:p>
            <w:pPr>
              <w:pStyle w:val="yTableNAm"/>
              <w:rPr>
                <w:bCs/>
              </w:rPr>
            </w:pPr>
            <w:r>
              <w:rPr>
                <w:bCs/>
              </w:rPr>
              <w:t>Time</w:t>
            </w:r>
          </w:p>
        </w:tc>
        <w:tc>
          <w:tcPr>
            <w:tcW w:w="4111" w:type="dxa"/>
            <w:gridSpan w:val="2"/>
            <w:noWrap/>
          </w:tcPr>
          <w:p>
            <w:pPr>
              <w:pStyle w:val="yTableNAm"/>
            </w:pPr>
          </w:p>
        </w:tc>
      </w:tr>
      <w:tr>
        <w:trPr>
          <w:trHeight w:val="150"/>
        </w:trPr>
        <w:tc>
          <w:tcPr>
            <w:tcW w:w="1134" w:type="dxa"/>
            <w:vMerge/>
            <w:noWrap/>
          </w:tcPr>
          <w:p>
            <w:pPr>
              <w:pStyle w:val="zyTableNAm"/>
              <w:rPr>
                <w:b/>
              </w:rPr>
            </w:pPr>
          </w:p>
        </w:tc>
        <w:tc>
          <w:tcPr>
            <w:tcW w:w="1559" w:type="dxa"/>
            <w:gridSpan w:val="2"/>
            <w:shd w:val="clear" w:color="auto" w:fill="auto"/>
            <w:noWrap/>
          </w:tcPr>
          <w:p>
            <w:pPr>
              <w:pStyle w:val="yTableNAm"/>
              <w:rPr>
                <w:bCs/>
              </w:rPr>
            </w:pPr>
            <w:r>
              <w:rPr>
                <w:bCs/>
              </w:rPr>
              <w:t>Place</w:t>
            </w:r>
          </w:p>
        </w:tc>
        <w:tc>
          <w:tcPr>
            <w:tcW w:w="4111" w:type="dxa"/>
            <w:gridSpan w:val="2"/>
            <w:noWrap/>
          </w:tcPr>
          <w:p>
            <w:pPr>
              <w:pStyle w:val="yTableNAm"/>
            </w:pPr>
          </w:p>
        </w:tc>
      </w:tr>
      <w:tr>
        <w:trPr>
          <w:trHeight w:val="310"/>
        </w:trPr>
        <w:tc>
          <w:tcPr>
            <w:tcW w:w="1134" w:type="dxa"/>
            <w:vMerge/>
            <w:noWrap/>
          </w:tcPr>
          <w:p>
            <w:pPr>
              <w:pStyle w:val="zyTableNAm"/>
              <w:rPr>
                <w:b/>
              </w:rPr>
            </w:pPr>
          </w:p>
        </w:tc>
        <w:tc>
          <w:tcPr>
            <w:tcW w:w="1559" w:type="dxa"/>
            <w:gridSpan w:val="2"/>
            <w:vMerge w:val="restart"/>
            <w:shd w:val="clear" w:color="auto" w:fill="auto"/>
            <w:noWrap/>
          </w:tcPr>
          <w:p>
            <w:pPr>
              <w:pStyle w:val="yTableNAm"/>
              <w:rPr>
                <w:bCs/>
              </w:rPr>
            </w:pPr>
            <w:r>
              <w:rPr>
                <w:bCs/>
              </w:rPr>
              <w:t>Details of offence</w:t>
            </w:r>
          </w:p>
        </w:tc>
        <w:tc>
          <w:tcPr>
            <w:tcW w:w="4111" w:type="dxa"/>
            <w:gridSpan w:val="2"/>
            <w:noWrap/>
          </w:tcPr>
          <w:p>
            <w:pPr>
              <w:pStyle w:val="yTableNAm"/>
            </w:pPr>
          </w:p>
        </w:tc>
      </w:tr>
      <w:tr>
        <w:trPr>
          <w:trHeight w:val="310"/>
        </w:trPr>
        <w:tc>
          <w:tcPr>
            <w:tcW w:w="1134" w:type="dxa"/>
            <w:vMerge/>
            <w:noWrap/>
          </w:tcPr>
          <w:p>
            <w:pPr>
              <w:pStyle w:val="zyTableNAm"/>
              <w:rPr>
                <w:b/>
              </w:rPr>
            </w:pPr>
          </w:p>
        </w:tc>
        <w:tc>
          <w:tcPr>
            <w:tcW w:w="1559" w:type="dxa"/>
            <w:gridSpan w:val="2"/>
            <w:vMerge/>
            <w:noWrap/>
          </w:tcPr>
          <w:p>
            <w:pPr>
              <w:pStyle w:val="yTableNAm"/>
              <w:rPr>
                <w:bCs/>
              </w:rPr>
            </w:pPr>
          </w:p>
        </w:tc>
        <w:tc>
          <w:tcPr>
            <w:tcW w:w="4111" w:type="dxa"/>
            <w:gridSpan w:val="2"/>
            <w:noWrap/>
          </w:tcPr>
          <w:p>
            <w:pPr>
              <w:pStyle w:val="yTableNAm"/>
            </w:pPr>
          </w:p>
        </w:tc>
      </w:tr>
      <w:tr>
        <w:trPr>
          <w:trHeight w:val="306"/>
        </w:trPr>
        <w:tc>
          <w:tcPr>
            <w:tcW w:w="1134" w:type="dxa"/>
            <w:vMerge/>
            <w:noWrap/>
          </w:tcPr>
          <w:p>
            <w:pPr>
              <w:pStyle w:val="zyTableNAm"/>
              <w:rPr>
                <w:b/>
              </w:rPr>
            </w:pPr>
          </w:p>
        </w:tc>
        <w:tc>
          <w:tcPr>
            <w:tcW w:w="1559" w:type="dxa"/>
            <w:gridSpan w:val="2"/>
            <w:vMerge w:val="restart"/>
            <w:shd w:val="clear" w:color="auto" w:fill="auto"/>
            <w:noWrap/>
          </w:tcPr>
          <w:p>
            <w:pPr>
              <w:pStyle w:val="yTableNAm"/>
              <w:rPr>
                <w:bCs/>
              </w:rPr>
            </w:pPr>
            <w:r>
              <w:rPr>
                <w:bCs/>
              </w:rPr>
              <w:t>Written law contravened</w:t>
            </w:r>
          </w:p>
        </w:tc>
        <w:tc>
          <w:tcPr>
            <w:tcW w:w="4111" w:type="dxa"/>
            <w:gridSpan w:val="2"/>
            <w:noWrap/>
          </w:tcPr>
          <w:p>
            <w:pPr>
              <w:pStyle w:val="yTableNAm"/>
            </w:pPr>
          </w:p>
        </w:tc>
      </w:tr>
      <w:tr>
        <w:trPr>
          <w:trHeight w:val="306"/>
        </w:trPr>
        <w:tc>
          <w:tcPr>
            <w:tcW w:w="1134" w:type="dxa"/>
            <w:vMerge/>
            <w:noWrap/>
          </w:tcPr>
          <w:p>
            <w:pPr>
              <w:pStyle w:val="zyTableNAm"/>
              <w:rPr>
                <w:b/>
              </w:rPr>
            </w:pPr>
          </w:p>
        </w:tc>
        <w:tc>
          <w:tcPr>
            <w:tcW w:w="1559" w:type="dxa"/>
            <w:gridSpan w:val="2"/>
            <w:vMerge/>
            <w:shd w:val="clear" w:color="auto" w:fill="auto"/>
            <w:noWrap/>
          </w:tcPr>
          <w:p>
            <w:pPr>
              <w:pStyle w:val="zyTableNAm"/>
            </w:pPr>
          </w:p>
        </w:tc>
        <w:tc>
          <w:tcPr>
            <w:tcW w:w="4111" w:type="dxa"/>
            <w:gridSpan w:val="2"/>
            <w:noWrap/>
          </w:tcPr>
          <w:p>
            <w:pPr>
              <w:pStyle w:val="yTableNAm"/>
            </w:pPr>
          </w:p>
        </w:tc>
      </w:tr>
      <w:tr>
        <w:tc>
          <w:tcPr>
            <w:tcW w:w="1134" w:type="dxa"/>
            <w:noWrap/>
          </w:tcPr>
          <w:p>
            <w:pPr>
              <w:pStyle w:val="yTableNAm"/>
              <w:rPr>
                <w:b/>
                <w:bCs/>
              </w:rPr>
            </w:pPr>
            <w:r>
              <w:rPr>
                <w:b/>
                <w:bCs/>
              </w:rPr>
              <w:t>Date</w:t>
            </w:r>
          </w:p>
        </w:tc>
        <w:tc>
          <w:tcPr>
            <w:tcW w:w="1559" w:type="dxa"/>
            <w:gridSpan w:val="2"/>
            <w:noWrap/>
          </w:tcPr>
          <w:p>
            <w:pPr>
              <w:pStyle w:val="yTableNAm"/>
            </w:pPr>
            <w:r>
              <w:t>Date of notice</w:t>
            </w:r>
          </w:p>
        </w:tc>
        <w:tc>
          <w:tcPr>
            <w:tcW w:w="4111" w:type="dxa"/>
            <w:gridSpan w:val="2"/>
            <w:noWrap/>
          </w:tcPr>
          <w:p>
            <w:pPr>
              <w:pStyle w:val="yTableNAm"/>
            </w:pPr>
          </w:p>
        </w:tc>
      </w:tr>
      <w:tr>
        <w:tc>
          <w:tcPr>
            <w:tcW w:w="1134" w:type="dxa"/>
            <w:vMerge w:val="restart"/>
            <w:noWrap/>
          </w:tcPr>
          <w:p>
            <w:pPr>
              <w:pStyle w:val="yTableNAm"/>
              <w:rPr>
                <w:b/>
                <w:bCs/>
              </w:rPr>
            </w:pPr>
            <w:r>
              <w:rPr>
                <w:b/>
                <w:bCs/>
              </w:rPr>
              <w:t>Issuing officer</w:t>
            </w:r>
          </w:p>
        </w:tc>
        <w:tc>
          <w:tcPr>
            <w:tcW w:w="1559" w:type="dxa"/>
            <w:gridSpan w:val="2"/>
            <w:noWrap/>
          </w:tcPr>
          <w:p>
            <w:pPr>
              <w:pStyle w:val="yTableNAm"/>
            </w:pPr>
            <w:r>
              <w:t>Name</w:t>
            </w:r>
          </w:p>
        </w:tc>
        <w:tc>
          <w:tcPr>
            <w:tcW w:w="4111" w:type="dxa"/>
            <w:gridSpan w:val="2"/>
            <w:noWrap/>
          </w:tcPr>
          <w:p>
            <w:pPr>
              <w:pStyle w:val="yTableNAm"/>
            </w:pPr>
          </w:p>
        </w:tc>
      </w:tr>
      <w:tr>
        <w:tc>
          <w:tcPr>
            <w:tcW w:w="1134" w:type="dxa"/>
            <w:vMerge/>
            <w:noWrap/>
          </w:tcPr>
          <w:p>
            <w:pPr>
              <w:pStyle w:val="yTableNAm"/>
              <w:rPr>
                <w:b/>
                <w:bCs/>
              </w:rPr>
            </w:pPr>
          </w:p>
        </w:tc>
        <w:tc>
          <w:tcPr>
            <w:tcW w:w="1559" w:type="dxa"/>
            <w:gridSpan w:val="2"/>
            <w:noWrap/>
          </w:tcPr>
          <w:p>
            <w:pPr>
              <w:pStyle w:val="yTableNAm"/>
            </w:pPr>
            <w:r>
              <w:t>Office</w:t>
            </w:r>
          </w:p>
        </w:tc>
        <w:tc>
          <w:tcPr>
            <w:tcW w:w="4111" w:type="dxa"/>
            <w:gridSpan w:val="2"/>
            <w:noWrap/>
          </w:tcPr>
          <w:p>
            <w:pPr>
              <w:pStyle w:val="yTableNAm"/>
            </w:pPr>
          </w:p>
        </w:tc>
      </w:tr>
      <w:tr>
        <w:tc>
          <w:tcPr>
            <w:tcW w:w="1134" w:type="dxa"/>
            <w:vMerge/>
            <w:noWrap/>
          </w:tcPr>
          <w:p>
            <w:pPr>
              <w:pStyle w:val="yTableNAm"/>
              <w:rPr>
                <w:b/>
                <w:bCs/>
              </w:rPr>
            </w:pPr>
          </w:p>
        </w:tc>
        <w:tc>
          <w:tcPr>
            <w:tcW w:w="1559" w:type="dxa"/>
            <w:gridSpan w:val="2"/>
            <w:noWrap/>
          </w:tcPr>
          <w:p>
            <w:pPr>
              <w:pStyle w:val="yTableNAm"/>
            </w:pPr>
            <w:r>
              <w:t>Signature</w:t>
            </w:r>
          </w:p>
        </w:tc>
        <w:tc>
          <w:tcPr>
            <w:tcW w:w="4111" w:type="dxa"/>
            <w:gridSpan w:val="2"/>
            <w:noWrap/>
          </w:tcPr>
          <w:p>
            <w:pPr>
              <w:pStyle w:val="yTableNAm"/>
            </w:pPr>
          </w:p>
        </w:tc>
      </w:tr>
      <w:tr>
        <w:trPr>
          <w:trHeight w:val="604"/>
        </w:trPr>
        <w:tc>
          <w:tcPr>
            <w:tcW w:w="1134" w:type="dxa"/>
            <w:noWrap/>
          </w:tcPr>
          <w:p>
            <w:pPr>
              <w:pStyle w:val="yTableNAm"/>
              <w:rPr>
                <w:b/>
                <w:bCs/>
                <w:highlight w:val="yellow"/>
              </w:rPr>
            </w:pPr>
            <w:r>
              <w:rPr>
                <w:b/>
                <w:bCs/>
              </w:rPr>
              <w:t>Modified penalty</w:t>
            </w:r>
          </w:p>
        </w:tc>
        <w:tc>
          <w:tcPr>
            <w:tcW w:w="5670" w:type="dxa"/>
            <w:gridSpan w:val="4"/>
            <w:noWrap/>
          </w:tcPr>
          <w:p>
            <w:pPr>
              <w:pStyle w:val="yTableNAm"/>
            </w:pPr>
            <w:r>
              <w:t>$</w:t>
            </w:r>
          </w:p>
        </w:tc>
      </w:tr>
      <w:tr>
        <w:trPr>
          <w:trHeight w:val="401"/>
        </w:trPr>
        <w:tc>
          <w:tcPr>
            <w:tcW w:w="1134" w:type="dxa"/>
            <w:noWrap/>
          </w:tcPr>
          <w:p>
            <w:pPr>
              <w:pStyle w:val="yTableNAm"/>
              <w:rPr>
                <w:b/>
                <w:bCs/>
              </w:rPr>
            </w:pPr>
            <w:r>
              <w:rPr>
                <w:b/>
                <w:bCs/>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lastRenderedPageBreak/>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p>
          <w:p>
            <w:pPr>
              <w:pStyle w:val="yTableNAm"/>
            </w:pPr>
            <w:r>
              <w:t>and post this notice to the Approved Officer at the address below within 28 days after the date of this notice.</w:t>
            </w:r>
          </w:p>
        </w:tc>
      </w:tr>
      <w:tr>
        <w:trPr>
          <w:trHeight w:val="401"/>
        </w:trPr>
        <w:tc>
          <w:tcPr>
            <w:tcW w:w="1134" w:type="dxa"/>
            <w:vMerge w:val="restart"/>
            <w:noWrap/>
          </w:tcPr>
          <w:p>
            <w:pPr>
              <w:pStyle w:val="yTableNAm"/>
              <w:rPr>
                <w:b/>
                <w:bCs/>
              </w:rPr>
            </w:pPr>
            <w:r>
              <w:rPr>
                <w:b/>
                <w:bCs/>
              </w:rPr>
              <w:lastRenderedPageBreak/>
              <w:t>How to pay</w:t>
            </w:r>
          </w:p>
        </w:tc>
        <w:tc>
          <w:tcPr>
            <w:tcW w:w="1446" w:type="dxa"/>
            <w:noWrap/>
            <w:vAlign w:val="center"/>
          </w:tcPr>
          <w:p>
            <w:pPr>
              <w:pStyle w:val="yTableNAm"/>
            </w:pPr>
            <w:r>
              <w:t>By post</w:t>
            </w:r>
          </w:p>
        </w:tc>
        <w:tc>
          <w:tcPr>
            <w:tcW w:w="4224" w:type="dxa"/>
            <w:gridSpan w:val="3"/>
            <w:noWrap/>
            <w:vAlign w:val="center"/>
          </w:tcPr>
          <w:p>
            <w:pPr>
              <w:pStyle w:val="yTableNAm"/>
              <w:rPr>
                <w:i/>
              </w:rPr>
            </w:pPr>
            <w:r>
              <w:rPr>
                <w:i/>
              </w:rPr>
              <w:t>[Insert details for paying by post]</w:t>
            </w:r>
          </w:p>
        </w:tc>
      </w:tr>
      <w:tr>
        <w:trPr>
          <w:trHeight w:val="447"/>
        </w:trPr>
        <w:tc>
          <w:tcPr>
            <w:tcW w:w="1134" w:type="dxa"/>
            <w:vMerge/>
            <w:noWrap/>
          </w:tcPr>
          <w:p>
            <w:pPr>
              <w:pStyle w:val="zyTableNAm"/>
            </w:pPr>
          </w:p>
        </w:tc>
        <w:tc>
          <w:tcPr>
            <w:tcW w:w="1446" w:type="dxa"/>
            <w:noWrap/>
            <w:vAlign w:val="center"/>
          </w:tcPr>
          <w:p>
            <w:pPr>
              <w:pStyle w:val="yTableNAm"/>
            </w:pPr>
            <w:r>
              <w:t>In person</w:t>
            </w:r>
          </w:p>
        </w:tc>
        <w:tc>
          <w:tcPr>
            <w:tcW w:w="4224" w:type="dxa"/>
            <w:gridSpan w:val="3"/>
            <w:noWrap/>
            <w:vAlign w:val="center"/>
          </w:tcPr>
          <w:p>
            <w:pPr>
              <w:pStyle w:val="yTableNAm"/>
              <w:rPr>
                <w:i/>
              </w:rPr>
            </w:pPr>
            <w:r>
              <w:rPr>
                <w:i/>
              </w:rPr>
              <w:t>[Insert details for paying in person]</w:t>
            </w:r>
          </w:p>
        </w:tc>
      </w:tr>
    </w:tbl>
    <w:p>
      <w:pPr>
        <w:pStyle w:val="yMiscellaneousHeading"/>
        <w:keepLines/>
        <w:spacing w:after="120"/>
        <w:rPr>
          <w:b/>
        </w:rPr>
      </w:pPr>
      <w:r>
        <w:rPr>
          <w:rStyle w:val="CharSClsNo"/>
          <w:b/>
        </w:rPr>
        <w:lastRenderedPageBreak/>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trHeight w:val="282"/>
        </w:trPr>
        <w:tc>
          <w:tcPr>
            <w:tcW w:w="4820" w:type="dxa"/>
            <w:gridSpan w:val="4"/>
            <w:noWrap/>
          </w:tcPr>
          <w:p>
            <w:pPr>
              <w:pStyle w:val="yTableNAm"/>
              <w:keepNext/>
              <w:keepLines/>
              <w:jc w:val="center"/>
              <w:rPr>
                <w:i/>
                <w:iCs/>
              </w:rPr>
            </w:pPr>
            <w:r>
              <w:br w:type="page"/>
            </w:r>
            <w:r>
              <w:rPr>
                <w:i/>
                <w:iCs/>
              </w:rPr>
              <w:t>Short</w:t>
            </w:r>
            <w:r>
              <w:rPr>
                <w:i/>
                <w:iCs/>
              </w:rPr>
              <w:noBreakHyphen/>
              <w:t>Term Rental Accommodation Act 2024</w:t>
            </w:r>
          </w:p>
          <w:p>
            <w:pPr>
              <w:pStyle w:val="yTableNAm"/>
              <w:keepNext/>
              <w:keepLines/>
              <w:jc w:val="center"/>
              <w:rPr>
                <w:b/>
                <w:sz w:val="28"/>
              </w:rPr>
            </w:pPr>
            <w:r>
              <w:rPr>
                <w:b/>
                <w:sz w:val="28"/>
              </w:rPr>
              <w:t>WITHDRAWAL OF INFRINGEMENT NOTICE</w:t>
            </w:r>
          </w:p>
        </w:tc>
        <w:tc>
          <w:tcPr>
            <w:tcW w:w="1984" w:type="dxa"/>
            <w:gridSpan w:val="2"/>
            <w:tcBorders>
              <w:bottom w:val="single" w:sz="4" w:space="0" w:color="auto"/>
            </w:tcBorders>
            <w:noWrap/>
          </w:tcPr>
          <w:p>
            <w:pPr>
              <w:pStyle w:val="yTableNAm"/>
              <w:keepNext/>
              <w:keepLines/>
            </w:pPr>
            <w:r>
              <w:t>Withdrawal no.</w:t>
            </w:r>
          </w:p>
        </w:tc>
      </w:tr>
      <w:tr>
        <w:trPr>
          <w:trHeight w:val="150"/>
        </w:trPr>
        <w:tc>
          <w:tcPr>
            <w:tcW w:w="1559" w:type="dxa"/>
            <w:vMerge w:val="restart"/>
            <w:noWrap/>
          </w:tcPr>
          <w:p>
            <w:pPr>
              <w:pStyle w:val="yTableNAm"/>
              <w:keepNext/>
              <w:keepLines/>
              <w:rPr>
                <w:b/>
                <w:bCs/>
              </w:rPr>
            </w:pPr>
            <w:r>
              <w:rPr>
                <w:b/>
                <w:bCs/>
              </w:rPr>
              <w:t>Alleged offender</w:t>
            </w:r>
          </w:p>
        </w:tc>
        <w:tc>
          <w:tcPr>
            <w:tcW w:w="1560" w:type="dxa"/>
            <w:vMerge w:val="restart"/>
            <w:noWrap/>
          </w:tcPr>
          <w:p>
            <w:pPr>
              <w:pStyle w:val="yTableNAm"/>
              <w:keepNext/>
              <w:keepLines/>
              <w:rPr>
                <w:bCs/>
              </w:rPr>
            </w:pPr>
            <w:r>
              <w:rPr>
                <w:bCs/>
              </w:rPr>
              <w:t>Name</w:t>
            </w: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noWrap/>
          </w:tcPr>
          <w:p>
            <w:pPr>
              <w:pStyle w:val="yTableNAm"/>
              <w:keepNext/>
              <w:keepLines/>
              <w:rPr>
                <w:bCs/>
              </w:rPr>
            </w:pP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val="restart"/>
            <w:noWrap/>
          </w:tcPr>
          <w:p>
            <w:pPr>
              <w:pStyle w:val="yTableNAm"/>
              <w:keepNext/>
              <w:keepLines/>
              <w:rPr>
                <w:bCs/>
              </w:rPr>
            </w:pPr>
            <w:r>
              <w:rPr>
                <w:bCs/>
              </w:rPr>
              <w:t>Address</w:t>
            </w: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noWrap/>
          </w:tcPr>
          <w:p>
            <w:pPr>
              <w:pStyle w:val="yTableNAm"/>
              <w:keepNext/>
              <w:keepLines/>
              <w:rPr>
                <w:bCs/>
              </w:rPr>
            </w:pPr>
          </w:p>
        </w:tc>
        <w:tc>
          <w:tcPr>
            <w:tcW w:w="3685" w:type="dxa"/>
            <w:gridSpan w:val="4"/>
            <w:noWrap/>
          </w:tcPr>
          <w:p>
            <w:pPr>
              <w:pStyle w:val="yTableNAm"/>
              <w:keepNext/>
              <w:keepLines/>
              <w:rPr>
                <w:bCs/>
              </w:rPr>
            </w:pPr>
          </w:p>
        </w:tc>
      </w:tr>
      <w:tr>
        <w:trPr>
          <w:trHeight w:val="150"/>
        </w:trPr>
        <w:tc>
          <w:tcPr>
            <w:tcW w:w="1559" w:type="dxa"/>
            <w:vMerge w:val="restart"/>
            <w:noWrap/>
          </w:tcPr>
          <w:p>
            <w:pPr>
              <w:pStyle w:val="yTableNAm"/>
              <w:keepNext/>
              <w:keepLines/>
              <w:rPr>
                <w:b/>
                <w:bCs/>
              </w:rPr>
            </w:pPr>
            <w:r>
              <w:rPr>
                <w:b/>
                <w:bCs/>
              </w:rPr>
              <w:t>Details of infringement notice</w:t>
            </w:r>
          </w:p>
        </w:tc>
        <w:tc>
          <w:tcPr>
            <w:tcW w:w="1560" w:type="dxa"/>
            <w:noWrap/>
          </w:tcPr>
          <w:p>
            <w:pPr>
              <w:pStyle w:val="yTableNAm"/>
              <w:keepNext/>
              <w:keepLines/>
              <w:rPr>
                <w:bCs/>
              </w:rPr>
            </w:pPr>
            <w:r>
              <w:rPr>
                <w:bCs/>
              </w:rPr>
              <w:t>Infringement notice no.</w:t>
            </w:r>
          </w:p>
        </w:tc>
        <w:tc>
          <w:tcPr>
            <w:tcW w:w="3685" w:type="dxa"/>
            <w:gridSpan w:val="4"/>
            <w:noWrap/>
          </w:tcPr>
          <w:p>
            <w:pPr>
              <w:pStyle w:val="yTableNAm"/>
              <w:keepNext/>
              <w:keepLines/>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Date of issue</w:t>
            </w:r>
          </w:p>
        </w:tc>
        <w:tc>
          <w:tcPr>
            <w:tcW w:w="3685" w:type="dxa"/>
            <w:gridSpan w:val="4"/>
            <w:noWrap/>
          </w:tcPr>
          <w:p>
            <w:pPr>
              <w:pStyle w:val="yTableNAm"/>
              <w:rPr>
                <w:bCs/>
              </w:rPr>
            </w:pPr>
          </w:p>
        </w:tc>
      </w:tr>
      <w:tr>
        <w:trPr>
          <w:trHeight w:val="150"/>
        </w:trPr>
        <w:tc>
          <w:tcPr>
            <w:tcW w:w="1559" w:type="dxa"/>
            <w:vMerge w:val="restart"/>
            <w:noWrap/>
          </w:tcPr>
          <w:p>
            <w:pPr>
              <w:pStyle w:val="yTableNAm"/>
              <w:rPr>
                <w:b/>
                <w:bCs/>
              </w:rPr>
            </w:pPr>
            <w:r>
              <w:rPr>
                <w:b/>
                <w:bCs/>
              </w:rPr>
              <w:t>Alleged offence</w:t>
            </w:r>
          </w:p>
        </w:tc>
        <w:tc>
          <w:tcPr>
            <w:tcW w:w="1560" w:type="dxa"/>
            <w:noWrap/>
          </w:tcPr>
          <w:p>
            <w:pPr>
              <w:pStyle w:val="yTableNAm"/>
              <w:rPr>
                <w:bCs/>
              </w:rPr>
            </w:pPr>
            <w:r>
              <w:rPr>
                <w:bCs/>
              </w:rPr>
              <w:t>Date or period</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Time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Place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vMerge w:val="restart"/>
            <w:noWrap/>
          </w:tcPr>
          <w:p>
            <w:pPr>
              <w:pStyle w:val="yTableNAm"/>
              <w:rPr>
                <w:bCs/>
              </w:rPr>
            </w:pPr>
            <w:r>
              <w:rPr>
                <w:bCs/>
              </w:rPr>
              <w:t>Details of offence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vMerge/>
            <w:noWrap/>
          </w:tcPr>
          <w:p>
            <w:pPr>
              <w:pStyle w:val="yTableNAm"/>
              <w:rPr>
                <w:bCs/>
              </w:rPr>
            </w:pPr>
          </w:p>
        </w:tc>
        <w:tc>
          <w:tcPr>
            <w:tcW w:w="3685" w:type="dxa"/>
            <w:gridSpan w:val="4"/>
            <w:noWrap/>
          </w:tcPr>
          <w:p>
            <w:pPr>
              <w:pStyle w:val="yTableNAm"/>
              <w:rPr>
                <w:bCs/>
              </w:rPr>
            </w:pPr>
          </w:p>
        </w:tc>
      </w:tr>
      <w:tr>
        <w:trPr>
          <w:trHeight w:val="282"/>
        </w:trPr>
        <w:tc>
          <w:tcPr>
            <w:tcW w:w="1559" w:type="dxa"/>
            <w:vMerge/>
            <w:noWrap/>
          </w:tcPr>
          <w:p>
            <w:pPr>
              <w:pStyle w:val="yTableNAm"/>
              <w:rPr>
                <w:b/>
                <w:bCs/>
              </w:rPr>
            </w:pPr>
          </w:p>
        </w:tc>
        <w:tc>
          <w:tcPr>
            <w:tcW w:w="1560" w:type="dxa"/>
            <w:vMerge w:val="restart"/>
            <w:noWrap/>
          </w:tcPr>
          <w:p>
            <w:pPr>
              <w:pStyle w:val="yTableNAm"/>
              <w:rPr>
                <w:bCs/>
              </w:rPr>
            </w:pPr>
            <w:r>
              <w:rPr>
                <w:bCs/>
              </w:rPr>
              <w:t>Written law contravened</w:t>
            </w:r>
          </w:p>
        </w:tc>
        <w:tc>
          <w:tcPr>
            <w:tcW w:w="3685" w:type="dxa"/>
            <w:gridSpan w:val="4"/>
            <w:noWrap/>
          </w:tcPr>
          <w:p>
            <w:pPr>
              <w:pStyle w:val="yTableNAm"/>
              <w:rPr>
                <w:bCs/>
              </w:rPr>
            </w:pPr>
          </w:p>
        </w:tc>
      </w:tr>
      <w:tr>
        <w:trPr>
          <w:trHeight w:val="282"/>
        </w:trPr>
        <w:tc>
          <w:tcPr>
            <w:tcW w:w="1559" w:type="dxa"/>
            <w:vMerge/>
            <w:noWrap/>
          </w:tcPr>
          <w:p>
            <w:pPr>
              <w:pStyle w:val="yTableNAm"/>
              <w:rPr>
                <w:b/>
                <w:bCs/>
              </w:rPr>
            </w:pPr>
          </w:p>
        </w:tc>
        <w:tc>
          <w:tcPr>
            <w:tcW w:w="1560" w:type="dxa"/>
            <w:vMerge/>
            <w:noWrap/>
          </w:tcPr>
          <w:p>
            <w:pPr>
              <w:pStyle w:val="yTableNAm"/>
              <w:rPr>
                <w:bCs/>
              </w:rPr>
            </w:pPr>
          </w:p>
        </w:tc>
        <w:tc>
          <w:tcPr>
            <w:tcW w:w="3685" w:type="dxa"/>
            <w:gridSpan w:val="4"/>
            <w:noWrap/>
          </w:tcPr>
          <w:p>
            <w:pPr>
              <w:pStyle w:val="yTableNAm"/>
              <w:rPr>
                <w:bCs/>
              </w:rPr>
            </w:pPr>
          </w:p>
        </w:tc>
      </w:tr>
      <w:tr>
        <w:tc>
          <w:tcPr>
            <w:tcW w:w="1559" w:type="dxa"/>
            <w:vMerge w:val="restart"/>
            <w:noWrap/>
          </w:tcPr>
          <w:p>
            <w:pPr>
              <w:pStyle w:val="yTableNAm"/>
              <w:rPr>
                <w:b/>
                <w:bCs/>
              </w:rPr>
            </w:pPr>
            <w:r>
              <w:rPr>
                <w:b/>
                <w:bCs/>
              </w:rPr>
              <w:t>Approved Officer withdrawing notice</w:t>
            </w:r>
          </w:p>
        </w:tc>
        <w:tc>
          <w:tcPr>
            <w:tcW w:w="1560" w:type="dxa"/>
            <w:noWrap/>
          </w:tcPr>
          <w:p>
            <w:pPr>
              <w:pStyle w:val="yTableNAm"/>
              <w:rPr>
                <w:bCs/>
              </w:rPr>
            </w:pPr>
            <w:r>
              <w:rPr>
                <w:bCs/>
              </w:rPr>
              <w:t>Name</w:t>
            </w:r>
          </w:p>
        </w:tc>
        <w:tc>
          <w:tcPr>
            <w:tcW w:w="3685" w:type="dxa"/>
            <w:gridSpan w:val="4"/>
            <w:noWrap/>
          </w:tcPr>
          <w:p>
            <w:pPr>
              <w:pStyle w:val="yTableNAm"/>
              <w:rPr>
                <w:bCs/>
              </w:rPr>
            </w:pPr>
          </w:p>
        </w:tc>
      </w:tr>
      <w:tr>
        <w:trPr>
          <w:trHeight w:val="370"/>
        </w:trPr>
        <w:tc>
          <w:tcPr>
            <w:tcW w:w="1559" w:type="dxa"/>
            <w:vMerge/>
            <w:noWrap/>
          </w:tcPr>
          <w:p>
            <w:pPr>
              <w:pStyle w:val="yTableNAm"/>
              <w:rPr>
                <w:b/>
                <w:bCs/>
              </w:rPr>
            </w:pPr>
          </w:p>
        </w:tc>
        <w:tc>
          <w:tcPr>
            <w:tcW w:w="1560" w:type="dxa"/>
            <w:noWrap/>
          </w:tcPr>
          <w:p>
            <w:pPr>
              <w:pStyle w:val="yTableNAm"/>
              <w:rPr>
                <w:bCs/>
              </w:rPr>
            </w:pPr>
            <w:r>
              <w:rPr>
                <w:bCs/>
              </w:rPr>
              <w:t>Office</w:t>
            </w:r>
          </w:p>
        </w:tc>
        <w:tc>
          <w:tcPr>
            <w:tcW w:w="3685" w:type="dxa"/>
            <w:gridSpan w:val="4"/>
            <w:noWrap/>
          </w:tcPr>
          <w:p>
            <w:pPr>
              <w:pStyle w:val="yTableNAm"/>
              <w:rPr>
                <w:bCs/>
              </w:rPr>
            </w:pPr>
          </w:p>
        </w:tc>
      </w:tr>
      <w:tr>
        <w:trPr>
          <w:trHeight w:val="370"/>
        </w:trPr>
        <w:tc>
          <w:tcPr>
            <w:tcW w:w="1559" w:type="dxa"/>
            <w:vMerge/>
            <w:noWrap/>
          </w:tcPr>
          <w:p>
            <w:pPr>
              <w:pStyle w:val="yTableNAm"/>
              <w:rPr>
                <w:b/>
                <w:bCs/>
              </w:rPr>
            </w:pPr>
          </w:p>
        </w:tc>
        <w:tc>
          <w:tcPr>
            <w:tcW w:w="1560" w:type="dxa"/>
            <w:noWrap/>
          </w:tcPr>
          <w:p>
            <w:pPr>
              <w:pStyle w:val="yTableNAm"/>
              <w:rPr>
                <w:bCs/>
              </w:rPr>
            </w:pPr>
            <w:r>
              <w:rPr>
                <w:bCs/>
              </w:rPr>
              <w:t>Signature</w:t>
            </w:r>
          </w:p>
        </w:tc>
        <w:tc>
          <w:tcPr>
            <w:tcW w:w="3685" w:type="dxa"/>
            <w:gridSpan w:val="4"/>
            <w:noWrap/>
          </w:tcPr>
          <w:p>
            <w:pPr>
              <w:pStyle w:val="yTableNAm"/>
              <w:rPr>
                <w:bCs/>
              </w:rPr>
            </w:pPr>
          </w:p>
        </w:tc>
      </w:tr>
      <w:tr>
        <w:tc>
          <w:tcPr>
            <w:tcW w:w="1559" w:type="dxa"/>
            <w:tcBorders>
              <w:bottom w:val="single" w:sz="4" w:space="0" w:color="auto"/>
            </w:tcBorders>
            <w:noWrap/>
          </w:tcPr>
          <w:p>
            <w:pPr>
              <w:pStyle w:val="yTableNAm"/>
              <w:rPr>
                <w:b/>
                <w:bCs/>
              </w:rPr>
            </w:pPr>
            <w:r>
              <w:rPr>
                <w:b/>
                <w:bCs/>
              </w:rPr>
              <w:t>Date</w:t>
            </w:r>
          </w:p>
        </w:tc>
        <w:tc>
          <w:tcPr>
            <w:tcW w:w="1560" w:type="dxa"/>
            <w:tcBorders>
              <w:bottom w:val="single" w:sz="4" w:space="0" w:color="auto"/>
            </w:tcBorders>
            <w:noWrap/>
          </w:tcPr>
          <w:p>
            <w:pPr>
              <w:pStyle w:val="yTableNAm"/>
              <w:rPr>
                <w:bCs/>
              </w:rPr>
            </w:pPr>
            <w:r>
              <w:rPr>
                <w:bCs/>
              </w:rPr>
              <w:t>Date of withdrawal</w:t>
            </w:r>
          </w:p>
        </w:tc>
        <w:tc>
          <w:tcPr>
            <w:tcW w:w="3685" w:type="dxa"/>
            <w:gridSpan w:val="4"/>
            <w:tcBorders>
              <w:bottom w:val="single" w:sz="4" w:space="0" w:color="auto"/>
            </w:tcBorders>
            <w:noWrap/>
          </w:tcPr>
          <w:p>
            <w:pPr>
              <w:pStyle w:val="yTableNAm"/>
              <w:rPr>
                <w:bCs/>
              </w:rPr>
            </w:pPr>
          </w:p>
        </w:tc>
      </w:tr>
      <w:tr>
        <w:trPr>
          <w:trHeight w:val="1097"/>
        </w:trPr>
        <w:tc>
          <w:tcPr>
            <w:tcW w:w="1559" w:type="dxa"/>
            <w:tcBorders>
              <w:top w:val="single" w:sz="4" w:space="0" w:color="auto"/>
              <w:bottom w:val="nil"/>
            </w:tcBorders>
            <w:noWrap/>
          </w:tcPr>
          <w:p>
            <w:pPr>
              <w:pStyle w:val="yTableNAm"/>
              <w:rPr>
                <w:b/>
                <w:bCs/>
              </w:rPr>
            </w:pPr>
            <w:r>
              <w:rPr>
                <w:b/>
                <w:bCs/>
              </w:rPr>
              <w:t>Withdrawal of infringement notice</w:t>
            </w:r>
          </w:p>
          <w:p>
            <w:pPr>
              <w:pStyle w:val="yTableNAm"/>
              <w:rPr>
                <w:bCs/>
                <w:i/>
              </w:rPr>
            </w:pPr>
            <w:r>
              <w:rPr>
                <w:bCs/>
                <w:i/>
              </w:rPr>
              <w:lastRenderedPageBreak/>
              <w:t>[*Delete whichever is not applicable]</w:t>
            </w:r>
          </w:p>
        </w:tc>
        <w:tc>
          <w:tcPr>
            <w:tcW w:w="5245" w:type="dxa"/>
            <w:gridSpan w:val="5"/>
            <w:tcBorders>
              <w:top w:val="single" w:sz="4" w:space="0" w:color="auto"/>
              <w:bottom w:val="nil"/>
            </w:tcBorders>
            <w:noWrap/>
          </w:tcPr>
          <w:p>
            <w:pPr>
              <w:pStyle w:val="yTableNAm"/>
            </w:pPr>
            <w:r>
              <w:lastRenderedPageBreak/>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346" w:hanging="346"/>
            </w:pPr>
            <w:r>
              <w:t>*</w:t>
            </w:r>
            <w:r>
              <w:tab/>
              <w:t>Your refund is enclosed</w:t>
            </w:r>
          </w:p>
          <w:p>
            <w:pPr>
              <w:pStyle w:val="yTableNAm"/>
              <w:rPr>
                <w:i/>
              </w:rPr>
            </w:pPr>
            <w:r>
              <w:rPr>
                <w:i/>
              </w:rPr>
              <w:lastRenderedPageBreak/>
              <w:t>or</w:t>
            </w:r>
          </w:p>
          <w:p>
            <w:pPr>
              <w:pStyle w:val="yTableNAm"/>
              <w:ind w:left="346" w:hanging="346"/>
            </w:pPr>
            <w:r>
              <w:t>*</w:t>
            </w:r>
            <w:r>
              <w:tab/>
              <w:t>If you have paid the modified penalty but a refund is not enclosed, you may claim your refund by signing and dating this notice and posting it to:</w:t>
            </w:r>
          </w:p>
          <w:p>
            <w:pPr>
              <w:pStyle w:val="yTableNAm"/>
              <w:ind w:left="346" w:hanging="346"/>
              <w:rPr>
                <w:i/>
              </w:rPr>
            </w:pPr>
            <w:r>
              <w:tab/>
              <w:t xml:space="preserve">Approved Officer — </w:t>
            </w:r>
            <w:r>
              <w:rPr>
                <w:i/>
              </w:rPr>
              <w:t>Short-Term Rental Accommodation Act 2024</w:t>
            </w:r>
          </w:p>
          <w:p>
            <w:pPr>
              <w:pStyle w:val="yTableNAm"/>
              <w:ind w:left="346" w:hanging="346"/>
            </w:pPr>
          </w:p>
          <w:p>
            <w:pPr>
              <w:pStyle w:val="yTableNAm"/>
              <w:ind w:left="346" w:hanging="346"/>
              <w:rPr>
                <w:i/>
              </w:rPr>
            </w:pPr>
            <w:r>
              <w:tab/>
            </w:r>
            <w:r>
              <w:rPr>
                <w:i/>
              </w:rPr>
              <w:t>[Insert address]</w:t>
            </w:r>
          </w:p>
        </w:tc>
      </w:tr>
      <w:tr>
        <w:tc>
          <w:tcPr>
            <w:tcW w:w="1559" w:type="dxa"/>
            <w:tcBorders>
              <w:top w:val="nil"/>
            </w:tcBorders>
            <w:noWrap/>
          </w:tcPr>
          <w:p>
            <w:pPr>
              <w:pStyle w:val="yTableNAm"/>
            </w:pPr>
          </w:p>
        </w:tc>
        <w:tc>
          <w:tcPr>
            <w:tcW w:w="5245" w:type="dxa"/>
            <w:gridSpan w:val="5"/>
            <w:tcBorders>
              <w:top w:val="nil"/>
            </w:tcBorders>
            <w:noWrap/>
          </w:tcPr>
          <w:p>
            <w:pPr>
              <w:pStyle w:val="yTableNAm"/>
            </w:pPr>
          </w:p>
        </w:tc>
      </w:tr>
      <w:tr>
        <w:trPr>
          <w:trHeight w:val="604"/>
        </w:trPr>
        <w:tc>
          <w:tcPr>
            <w:tcW w:w="1559" w:type="dxa"/>
            <w:noWrap/>
          </w:tcPr>
          <w:p>
            <w:pPr>
              <w:pStyle w:val="yTableNAm"/>
              <w:keepNext/>
              <w:rPr>
                <w:b/>
                <w:bCs/>
              </w:rPr>
            </w:pPr>
            <w:r>
              <w:rPr>
                <w:b/>
                <w:bCs/>
              </w:rPr>
              <w:t>Your signature</w:t>
            </w:r>
          </w:p>
        </w:tc>
        <w:tc>
          <w:tcPr>
            <w:tcW w:w="2410" w:type="dxa"/>
            <w:gridSpan w:val="2"/>
            <w:noWrap/>
          </w:tcPr>
          <w:p>
            <w:pPr>
              <w:pStyle w:val="yTableNAm"/>
              <w:keepNext/>
              <w:rPr>
                <w:bCs/>
              </w:rPr>
            </w:pPr>
          </w:p>
        </w:tc>
        <w:tc>
          <w:tcPr>
            <w:tcW w:w="1134" w:type="dxa"/>
            <w:gridSpan w:val="2"/>
            <w:noWrap/>
          </w:tcPr>
          <w:p>
            <w:pPr>
              <w:pStyle w:val="yTableNAm"/>
              <w:keepNext/>
              <w:rPr>
                <w:b/>
                <w:bCs/>
              </w:rPr>
            </w:pPr>
            <w:r>
              <w:rPr>
                <w:b/>
                <w:bCs/>
              </w:rPr>
              <w:t>Date</w:t>
            </w:r>
          </w:p>
        </w:tc>
        <w:tc>
          <w:tcPr>
            <w:tcW w:w="1701" w:type="dxa"/>
            <w:noWrap/>
          </w:tcPr>
          <w:p>
            <w:pPr>
              <w:pStyle w:val="yTableNAm"/>
              <w:keepNext/>
              <w:rPr>
                <w:bCs/>
              </w:rPr>
            </w:pPr>
          </w:p>
        </w:tc>
      </w:tr>
    </w:tbl>
    <w:p>
      <w:pPr>
        <w:pStyle w:val="ByCommand"/>
        <w:tabs>
          <w:tab w:val="left" w:pos="3969"/>
        </w:tabs>
      </w:pPr>
      <w:r>
        <w:t>K. COLLERAN, Clerk of the Executive Council</w:t>
      </w:r>
    </w:p>
    <w:p>
      <w:pPr>
        <w:pStyle w:val="Subsection"/>
        <w:outlineLvl w:val="0"/>
      </w:pPr>
    </w:p>
    <w:p>
      <w:pPr>
        <w:pStyle w:val="Subsection"/>
        <w:outlineLvl w:val="0"/>
        <w:sectPr>
          <w:headerReference w:type="even" r:id="rId24"/>
          <w:headerReference w:type="default" r:id="rId25"/>
          <w:pgSz w:w="11907" w:h="16840" w:code="9"/>
          <w:pgMar w:top="2381" w:right="2410" w:bottom="3544" w:left="2410" w:header="720" w:footer="3544" w:gutter="0"/>
          <w:cols w:space="720"/>
        </w:sectPr>
      </w:pPr>
    </w:p>
    <w:p>
      <w:pPr>
        <w:pStyle w:val="nHeading2"/>
        <w:rPr>
          <w:sz w:val="28"/>
        </w:rPr>
      </w:pPr>
      <w:bookmarkStart w:id="62" w:name="_Toc169799819"/>
      <w:bookmarkStart w:id="63" w:name="_Toc170211854"/>
      <w:r>
        <w:rPr>
          <w:sz w:val="28"/>
        </w:rPr>
        <w:lastRenderedPageBreak/>
        <w:t>Defined terms</w:t>
      </w:r>
      <w:bookmarkEnd w:id="62"/>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ancillary dwelling</w:t>
      </w:r>
      <w:r>
        <w:tab/>
        <w:t>4(1)</w:t>
      </w:r>
    </w:p>
    <w:p>
      <w:pPr>
        <w:pStyle w:val="DefinedTerms"/>
      </w:pPr>
      <w:r>
        <w:t>API</w:t>
      </w:r>
      <w:r>
        <w:tab/>
        <w:t>13(1)</w:t>
      </w:r>
    </w:p>
    <w:p>
      <w:pPr>
        <w:pStyle w:val="DefinedTerms"/>
      </w:pPr>
      <w:r>
        <w:t>application fee</w:t>
      </w:r>
      <w:r>
        <w:tab/>
        <w:t>14(1), 18(1)</w:t>
      </w:r>
    </w:p>
    <w:p>
      <w:pPr>
        <w:pStyle w:val="DefinedTerms"/>
      </w:pPr>
      <w:r>
        <w:t>application programming interface</w:t>
      </w:r>
      <w:r>
        <w:tab/>
        <w:t>13(1)</w:t>
      </w:r>
    </w:p>
    <w:p>
      <w:pPr>
        <w:pStyle w:val="DefinedTerms"/>
      </w:pPr>
      <w:r>
        <w:t>approved form</w:t>
      </w:r>
      <w:r>
        <w:tab/>
        <w:t>9(1)</w:t>
      </w:r>
    </w:p>
    <w:p>
      <w:pPr>
        <w:pStyle w:val="DefinedTerms"/>
      </w:pPr>
      <w:r>
        <w:t>community titles scheme</w:t>
      </w:r>
      <w:r>
        <w:tab/>
        <w:t>3</w:t>
      </w:r>
    </w:p>
    <w:p>
      <w:pPr>
        <w:pStyle w:val="DefinedTerms"/>
      </w:pPr>
      <w:r>
        <w:t>electronically integrated</w:t>
      </w:r>
      <w:r>
        <w:tab/>
        <w:t>13(2)</w:t>
      </w:r>
    </w:p>
    <w:p>
      <w:pPr>
        <w:pStyle w:val="DefinedTerms"/>
      </w:pPr>
      <w:r>
        <w:t>fee waiver period</w:t>
      </w:r>
      <w:r>
        <w:tab/>
        <w:t>18(1)</w:t>
      </w:r>
    </w:p>
    <w:p>
      <w:pPr>
        <w:pStyle w:val="DefinedTerms"/>
      </w:pPr>
      <w:r>
        <w:t>notifiable particulars</w:t>
      </w:r>
      <w:r>
        <w:tab/>
        <w:t>13(1)</w:t>
      </w:r>
    </w:p>
    <w:p>
      <w:pPr>
        <w:pStyle w:val="DefinedTerms"/>
      </w:pPr>
      <w:r>
        <w:t>R-Codes</w:t>
      </w:r>
      <w:r>
        <w:tab/>
        <w:t>4(1)</w:t>
      </w:r>
    </w:p>
    <w:p>
      <w:pPr>
        <w:pStyle w:val="DefinedTerms"/>
      </w:pPr>
      <w:r>
        <w:t>renewal fee</w:t>
      </w:r>
      <w:r>
        <w:tab/>
        <w:t>14(1)</w:t>
      </w:r>
    </w:p>
    <w:p>
      <w:pPr>
        <w:pStyle w:val="DefinedTerms"/>
      </w:pPr>
      <w:r>
        <w:t>scheme corporation</w:t>
      </w:r>
      <w:r>
        <w:tab/>
        <w:t>12(1)</w:t>
      </w:r>
    </w:p>
    <w:p>
      <w:pPr>
        <w:pStyle w:val="DefinedTerms"/>
      </w:pPr>
      <w:r>
        <w:t>serviced apartment</w:t>
      </w:r>
      <w:r>
        <w:tab/>
        <w:t>5(1)</w:t>
      </w:r>
    </w:p>
    <w:p>
      <w:pPr>
        <w:pStyle w:val="DefinedTerms"/>
      </w:pPr>
      <w:r>
        <w:t>strata titles scheme</w:t>
      </w:r>
      <w:r>
        <w:tab/>
        <w:t>3</w:t>
      </w:r>
    </w:p>
    <w:p>
      <w:pPr>
        <w:pStyle w:val="DefinedTerms"/>
      </w:pPr>
      <w:r>
        <w:t>title</w:t>
      </w:r>
      <w:r>
        <w:tab/>
        <w:t>4(1)</w:t>
      </w:r>
    </w:p>
    <w:p>
      <w:pPr>
        <w:pStyle w:val="DefinedTerms"/>
      </w:pPr>
      <w:r>
        <w:t>tourist development</w:t>
      </w:r>
      <w:r>
        <w:tab/>
        <w:t>5(1)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CDC809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E976ADC" w14:textId="6B7A1993" w:rsidR="003514A1" w:rsidRDefault="003514A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04B35">
                        <w:rPr>
                          <w:sz w:val="16"/>
                        </w:rPr>
                        <w:t>2024</w:t>
                      </w:r>
                      <w:r>
                        <w:rPr>
                          <w:sz w:val="16"/>
                        </w:rPr>
                        <w:fldChar w:fldCharType="end"/>
                      </w:r>
                      <w:r>
                        <w:rPr>
                          <w:sz w:val="16"/>
                        </w:rPr>
                        <w:t>.</w:t>
                      </w:r>
                    </w:p>
                    <w:p w14:paraId="21EB5962" w14:textId="77777777" w:rsidR="003514A1" w:rsidRDefault="003514A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CD0C7D0" w14:textId="18EECD81" w:rsidR="003514A1" w:rsidRDefault="003514A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04B35">
                        <w:rPr>
                          <w:sz w:val="16"/>
                        </w:rPr>
                        <w:t>2024</w:t>
                      </w:r>
                      <w:r>
                        <w:rPr>
                          <w:sz w:val="16"/>
                        </w:rPr>
                        <w:fldChar w:fldCharType="end"/>
                      </w:r>
                      <w:r>
                        <w:rPr>
                          <w:sz w:val="16"/>
                        </w:rPr>
                        <w:t>.</w:t>
                      </w:r>
                    </w:p>
                    <w:p w14:paraId="508E4DC7" w14:textId="77777777" w:rsidR="003514A1" w:rsidRDefault="003514A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2024/123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2024/123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fldChar w:fldCharType="end"/>
          </w: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64" w:name="DefinedTerms"/>
    <w:bookmarkEnd w:id="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22"/>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68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0181048"/>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319103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9103625_GUID" w:val="75a64ae9-d1d0-4030-8a9f-5a6f285ccafe"/>
    <w:docVar w:name="WAFER_20240516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6093422_GUID" w:val="4ec7f34d-5d91-430e-ac52-1e791c8c49fd"/>
    <w:docVar w:name="WAFER_2024052213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2135743_GUID" w:val="5a3b02fb-25f4-410e-85bb-2af72ff3cbfd"/>
    <w:docVar w:name="WAFER_20240620181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0181048_GUID" w:val="3ba8bf40-d285-4f8f-a90d-bd596a4c41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1"/>
    <o:shapelayout v:ext="edit">
      <o:idmap v:ext="edit" data="1"/>
    </o:shapelayout>
  </w:shapeDefaults>
  <w:decimalSymbol w:val="."/>
  <w:listSeparator w:val=","/>
  <w15:docId w15:val="{B775F9A6-96A1-4537-9BFF-75B22C793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3807</Words>
  <Characters>19951</Characters>
  <Application>Microsoft Office Word</Application>
  <DocSecurity>0</DocSecurity>
  <Lines>831</Lines>
  <Paragraphs>456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Short-Term Rental Accommodation Regulations 2024 - 00-00-00</dc:title>
  <dc:subject/>
  <dc:creator/>
  <cp:keywords/>
  <dc:description/>
  <cp:lastModifiedBy>Master Repository Process</cp:lastModifiedBy>
  <cp:revision>4</cp:revision>
  <cp:lastPrinted>2024-05-02T06:58:00Z</cp:lastPrinted>
  <dcterms:created xsi:type="dcterms:W3CDTF">2025-05-28T05:41:00Z</dcterms:created>
  <dcterms:modified xsi:type="dcterms:W3CDTF">2025-05-28T05:41:00Z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54735</vt:lpwstr>
  </property>
  <property fmtid="{D5CDD505-2E9C-101B-9397-08002B2CF9AE}" pid="3" name="DocumentType">
    <vt:lpwstr>Reg</vt:lpwstr>
  </property>
  <property fmtid="{D5CDD505-2E9C-101B-9397-08002B2CF9AE}" pid="4" name="AsAtDate">
    <vt:lpwstr>26 Jun 2024</vt:lpwstr>
  </property>
  <property fmtid="{D5CDD505-2E9C-101B-9397-08002B2CF9AE}" pid="5" name="Suffix">
    <vt:lpwstr>00-00-00</vt:lpwstr>
  </property>
  <property fmtid="{D5CDD505-2E9C-101B-9397-08002B2CF9AE}" pid="6" name="Official">
    <vt:lpwstr/>
  </property>
  <property fmtid="{D5CDD505-2E9C-101B-9397-08002B2CF9AE}" pid="7" name="SLAPId">
    <vt:lpwstr>2024/123</vt:lpwstr>
  </property>
  <property fmtid="{D5CDD505-2E9C-101B-9397-08002B2CF9AE}" pid="8" name="PublishDate">
    <vt:lpwstr>26 Jun 2024</vt:lpwstr>
  </property>
  <property fmtid="{D5CDD505-2E9C-101B-9397-08002B2CF9AE}" pid="9" name="CommencementDate">
    <vt:lpwstr>20240626</vt:lpwstr>
  </property>
  <property fmtid="{D5CDD505-2E9C-101B-9397-08002B2CF9AE}" pid="10" name="CommencementAsAt">
    <vt:filetime>2024-06-25T16:00:00Z</vt:filetime>
  </property>
  <property fmtid="{D5CDD505-2E9C-101B-9397-08002B2CF9AE}" pid="11" name="CommencementYear">
    <vt:lpwstr>2024</vt:lpwstr>
  </property>
</Properties>
</file>