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(Catastrophic Injuries) Act 2016</w:t>
      </w:r>
      <w:r>
        <w:rPr>
          <w:noProof/>
        </w:rPr>
        <w:br/>
        <w:t>Motor Vehicle (Third Party Insurance) Act 1943</w:t>
      </w:r>
      <w:r>
        <w:rPr>
          <w:noProof/>
        </w:rPr>
        <w:br/>
        <w:t>State Superannuation Act 2000</w:t>
      </w:r>
      <w:r>
        <w:rPr>
          <w:noProof/>
        </w:rPr>
        <w:br/>
        <w:t>State Trading Concerns Act 1916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Treasurer Regulations Amendment (Workers Compensation)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Treasurer Regulations Amendment (Workers Compensation)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_Toc170211654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_Toc170211655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Motor Vehicle (Catastrophic Injuries) Regulations 2016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_Toc170211657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 amended</w:t>
      </w:r>
      <w:r>
        <w:tab/>
      </w:r>
      <w:r>
        <w:fldChar w:fldCharType="begin"/>
      </w:r>
      <w:r>
        <w:instrText xml:space="preserve"> PAGEREF _Toc170211658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_Toc170211659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_Toc170211660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 9 amended</w:t>
      </w:r>
      <w:r>
        <w:tab/>
      </w:r>
      <w:r>
        <w:fldChar w:fldCharType="begin"/>
      </w:r>
      <w:r>
        <w:instrText xml:space="preserve"> PAGEREF _Toc170211661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_Toc170211662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_Toc170211663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_Toc170211664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>Regulation 13 amended</w:t>
      </w:r>
      <w:r>
        <w:tab/>
      </w:r>
      <w:r>
        <w:fldChar w:fldCharType="begin"/>
      </w:r>
      <w:r>
        <w:instrText xml:space="preserve"> PAGEREF _Toc170211665 \h </w:instrText>
      </w:r>
      <w:r>
        <w:fldChar w:fldCharType="separate"/>
      </w:r>
      <w:r>
        <w:t>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Regulation 26 amended</w:t>
      </w:r>
      <w:r>
        <w:tab/>
      </w:r>
      <w:r>
        <w:fldChar w:fldCharType="begin"/>
      </w:r>
      <w:r>
        <w:instrText xml:space="preserve"> PAGEREF _Toc170211666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13.</w:t>
      </w:r>
      <w:r>
        <w:tab/>
        <w:t>Regulation 68 replaced</w:t>
      </w:r>
      <w:r>
        <w:tab/>
      </w:r>
      <w:r>
        <w:fldChar w:fldCharType="begin"/>
      </w:r>
      <w:r>
        <w:instrText xml:space="preserve"> PAGEREF _Toc170211667 \h </w:instrText>
      </w:r>
      <w:r>
        <w:fldChar w:fldCharType="separate"/>
      </w:r>
      <w:r>
        <w:t>6</w:t>
      </w:r>
      <w:r>
        <w:fldChar w:fldCharType="end"/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68.</w:t>
      </w:r>
      <w:r>
        <w:rPr>
          <w:noProof/>
        </w:rPr>
        <w:tab/>
        <w:t>Maximum amounts payable for certain services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_Toc170211668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_Toc170211669 \h </w:instrText>
      </w:r>
      <w:r>
        <w:fldChar w:fldCharType="separate"/>
      </w:r>
      <w:r>
        <w:t>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_Toc170211670 \h </w:instrText>
      </w:r>
      <w:r>
        <w:fldChar w:fldCharType="separate"/>
      </w:r>
      <w:r>
        <w:t>7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2 — Maximum amounts payable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Motor Vehicle (Third Party Insurance) Regulations 2009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_Toc170211673 \h </w:instrText>
      </w:r>
      <w:r>
        <w:fldChar w:fldCharType="separate"/>
      </w:r>
      <w:r>
        <w:t>10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17.</w:t>
      </w:r>
      <w:r>
        <w:tab/>
        <w:t>Regulation 6 amended</w:t>
      </w:r>
      <w:r>
        <w:tab/>
      </w:r>
      <w:r>
        <w:fldChar w:fldCharType="begin"/>
      </w:r>
      <w:r>
        <w:instrText xml:space="preserve"> PAGEREF _Toc170211674 \h </w:instrText>
      </w:r>
      <w:r>
        <w:fldChar w:fldCharType="separate"/>
      </w:r>
      <w:r>
        <w:t>10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  <w:iCs/>
        </w:rPr>
        <w:t>State Superannuation Regulations 2001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_Toc170211676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19.</w:t>
      </w:r>
      <w:r>
        <w:tab/>
        <w:t>Regulation 12D amended</w:t>
      </w:r>
      <w:r>
        <w:tab/>
      </w:r>
      <w:r>
        <w:fldChar w:fldCharType="begin"/>
      </w:r>
      <w:r>
        <w:instrText xml:space="preserve"> PAGEREF _Toc170211677 \h </w:instrText>
      </w:r>
      <w:r>
        <w:fldChar w:fldCharType="separate"/>
      </w:r>
      <w:r>
        <w:t>11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_Toc170211678 \h </w:instrText>
      </w:r>
      <w:r>
        <w:fldChar w:fldCharType="separate"/>
      </w:r>
      <w:r>
        <w:t>11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5 — </w:t>
      </w:r>
      <w:r>
        <w:rPr>
          <w:i/>
          <w:iCs/>
        </w:rPr>
        <w:t>State Trading Concerns (Authorisation) Regulations 1998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_Toc170211680 \h </w:instrText>
      </w:r>
      <w:r>
        <w:fldChar w:fldCharType="separate"/>
      </w:r>
      <w:r>
        <w:t>12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22.</w:t>
      </w:r>
      <w:r>
        <w:tab/>
        <w:t>Schedule 2 amended</w:t>
      </w:r>
      <w:r>
        <w:tab/>
      </w:r>
      <w:r>
        <w:fldChar w:fldCharType="begin"/>
      </w:r>
      <w:r>
        <w:instrText xml:space="preserve"> PAGEREF _Toc170211681 \h </w:instrText>
      </w:r>
      <w:r>
        <w:fldChar w:fldCharType="separate"/>
      </w:r>
      <w:r>
        <w:t>12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iCs/>
        </w:rPr>
      </w:pPr>
      <w:r>
        <w:lastRenderedPageBreak/>
        <w:t>Motor Vehicle (Catastrophic Injuries) Act 2016</w:t>
      </w:r>
      <w:r>
        <w:br/>
        <w:t>Motor Vehicle (Third Party Insurance) Act 1943</w:t>
      </w:r>
      <w:r>
        <w:br/>
        <w:t>State Superannuation Act 2000</w:t>
      </w:r>
      <w:r>
        <w:br/>
      </w:r>
      <w:r>
        <w:rPr>
          <w:iCs/>
        </w:rPr>
        <w:t>State Trading Concerns Act 1916</w:t>
      </w:r>
    </w:p>
    <w:p>
      <w:pPr>
        <w:pStyle w:val="NameofActReg"/>
      </w:pPr>
      <w:r>
        <w:t>Treasurer Regulations Amendment (Workers Compensation) Regulations 2024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20"/>
      </w:pPr>
      <w:bookmarkStart w:id="2" w:name="_Toc169802712"/>
      <w:bookmarkStart w:id="3" w:name="_Toc169802773"/>
      <w:bookmarkStart w:id="4" w:name="_Toc169802890"/>
      <w:bookmarkStart w:id="5" w:name="_Toc17021165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</w:p>
    <w:p>
      <w:pPr>
        <w:pStyle w:val="Heading5"/>
      </w:pPr>
      <w:bookmarkStart w:id="6" w:name="_Toc169802713"/>
      <w:bookmarkStart w:id="7" w:name="_Toc170211654"/>
      <w:r>
        <w:rPr>
          <w:rStyle w:val="CharSectno"/>
        </w:rPr>
        <w:t>1</w:t>
      </w:r>
      <w:r>
        <w:t>.</w:t>
      </w:r>
      <w:r>
        <w:tab/>
        <w:t>Citation</w:t>
      </w:r>
      <w:bookmarkEnd w:id="6"/>
      <w:bookmarkEnd w:id="7"/>
    </w:p>
    <w:p>
      <w:pPr>
        <w:pStyle w:val="Subsection"/>
      </w:pPr>
      <w:r>
        <w:tab/>
      </w:r>
      <w:r>
        <w:tab/>
      </w:r>
      <w:bookmarkStart w:id="8" w:name="Start_Cursor"/>
      <w:bookmarkEnd w:id="8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Treasurer Regulations Amendment (Workers Compensation) Regulations 2024</w:t>
      </w:r>
      <w:r>
        <w:t>.</w:t>
      </w:r>
    </w:p>
    <w:p>
      <w:pPr>
        <w:pStyle w:val="Heading5"/>
        <w:rPr>
          <w:spacing w:val="-2"/>
        </w:rPr>
      </w:pPr>
      <w:bookmarkStart w:id="9" w:name="_Toc169802714"/>
      <w:bookmarkStart w:id="10" w:name="_Toc17021165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9"/>
      <w:bookmarkEnd w:id="10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Part 1</w:t>
      </w:r>
      <w:r>
        <w:t xml:space="preserve">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2"/>
      </w:pPr>
      <w:bookmarkStart w:id="11" w:name="_Toc169802715"/>
      <w:bookmarkStart w:id="12" w:name="_Toc169802776"/>
      <w:bookmarkStart w:id="13" w:name="_Toc169802893"/>
      <w:bookmarkStart w:id="14" w:name="_Toc17021165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Motor Vehicle (Catastrophic Injuries) Regulations 2016</w:t>
      </w:r>
      <w:r>
        <w:rPr>
          <w:rStyle w:val="CharPartText"/>
        </w:rPr>
        <w:t xml:space="preserve"> amended</w:t>
      </w:r>
      <w:bookmarkEnd w:id="11"/>
      <w:bookmarkEnd w:id="12"/>
      <w:bookmarkEnd w:id="13"/>
      <w:bookmarkEnd w:id="14"/>
    </w:p>
    <w:p>
      <w:pPr>
        <w:pStyle w:val="Heading5"/>
        <w:rPr>
          <w:snapToGrid w:val="0"/>
        </w:rPr>
      </w:pPr>
      <w:bookmarkStart w:id="15" w:name="_Toc169802716"/>
      <w:bookmarkStart w:id="16" w:name="_Toc17021165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"/>
      <w:bookmarkEnd w:id="16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Motor Vehicle (Catastrophic Injuries) Regulations 2016</w:t>
      </w:r>
      <w:r>
        <w:rPr>
          <w:iCs/>
        </w:rPr>
        <w:t>.</w:t>
      </w:r>
    </w:p>
    <w:p>
      <w:pPr>
        <w:pStyle w:val="Heading5"/>
      </w:pPr>
      <w:bookmarkStart w:id="17" w:name="_Toc169802717"/>
      <w:bookmarkStart w:id="18" w:name="_Toc170211658"/>
      <w:r>
        <w:rPr>
          <w:rStyle w:val="CharSectno"/>
        </w:rPr>
        <w:t>4</w:t>
      </w:r>
      <w:r>
        <w:t>.</w:t>
      </w:r>
      <w:r>
        <w:tab/>
        <w:t>Regulation 1 amended</w:t>
      </w:r>
      <w:bookmarkEnd w:id="17"/>
      <w:bookmarkEnd w:id="18"/>
    </w:p>
    <w:p>
      <w:pPr>
        <w:pStyle w:val="Subsection"/>
      </w:pPr>
      <w:r>
        <w:tab/>
      </w:r>
      <w:r>
        <w:tab/>
        <w:t>In regulation 1 after “</w:t>
      </w:r>
      <w:r>
        <w:rPr>
          <w:i/>
          <w:iCs/>
        </w:rPr>
        <w:t>Vehicle</w:t>
      </w:r>
      <w:r>
        <w:t>” insert:</w:t>
      </w:r>
    </w:p>
    <w:p>
      <w:pPr>
        <w:pStyle w:val="BlankOpen"/>
      </w:pPr>
    </w:p>
    <w:p>
      <w:pPr>
        <w:pStyle w:val="Subsection"/>
        <w:rPr>
          <w:i/>
          <w:iCs/>
        </w:rPr>
      </w:pPr>
      <w:r>
        <w:tab/>
      </w:r>
      <w:r>
        <w:tab/>
      </w:r>
      <w:r>
        <w:rPr>
          <w:i/>
          <w:iCs/>
        </w:rPr>
        <w:t>and Workplace Accidents</w:t>
      </w:r>
    </w:p>
    <w:p>
      <w:pPr>
        <w:pStyle w:val="BlankClose"/>
      </w:pPr>
    </w:p>
    <w:p>
      <w:pPr>
        <w:pStyle w:val="Heading5"/>
      </w:pPr>
      <w:bookmarkStart w:id="19" w:name="_Toc169802718"/>
      <w:bookmarkStart w:id="20" w:name="_Toc170211659"/>
      <w:r>
        <w:rPr>
          <w:rStyle w:val="CharSectno"/>
        </w:rPr>
        <w:t>5</w:t>
      </w:r>
      <w:r>
        <w:t>.</w:t>
      </w:r>
      <w:r>
        <w:tab/>
        <w:t>Regulation 7 amended</w:t>
      </w:r>
      <w:bookmarkEnd w:id="19"/>
      <w:bookmarkEnd w:id="20"/>
    </w:p>
    <w:p>
      <w:pPr>
        <w:pStyle w:val="Subsection"/>
      </w:pPr>
      <w:r>
        <w:tab/>
      </w:r>
      <w:r>
        <w:tab/>
        <w:t>Delete regulation 7(b)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 xml:space="preserve">the injury occurs — 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Heading5"/>
      </w:pPr>
      <w:bookmarkStart w:id="21" w:name="_Toc169802719"/>
      <w:bookmarkStart w:id="22" w:name="_Toc170211660"/>
      <w:r>
        <w:rPr>
          <w:rStyle w:val="CharSectno"/>
        </w:rPr>
        <w:t>6</w:t>
      </w:r>
      <w:r>
        <w:t>.</w:t>
      </w:r>
      <w:r>
        <w:tab/>
        <w:t>Regulation 8 amended</w:t>
      </w:r>
      <w:bookmarkEnd w:id="21"/>
      <w:bookmarkEnd w:id="22"/>
    </w:p>
    <w:p>
      <w:pPr>
        <w:pStyle w:val="Subsection"/>
      </w:pPr>
      <w:r>
        <w:tab/>
        <w:t>(1)</w:t>
      </w:r>
      <w:r>
        <w:tab/>
        <w:t>Delete regulation 8(1)(c)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the injury occurs — 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Subsection"/>
      </w:pPr>
      <w:r>
        <w:lastRenderedPageBreak/>
        <w:tab/>
        <w:t>(2)</w:t>
      </w:r>
      <w:r>
        <w:tab/>
        <w:t>Delete regulation 8(2)(c)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the injury occurs — 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8(3)(b)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the injury occurs —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Heading5"/>
      </w:pPr>
      <w:bookmarkStart w:id="23" w:name="_Toc169802720"/>
      <w:bookmarkStart w:id="24" w:name="_Toc170211661"/>
      <w:r>
        <w:rPr>
          <w:rStyle w:val="CharSectno"/>
        </w:rPr>
        <w:t>7</w:t>
      </w:r>
      <w:r>
        <w:t>.</w:t>
      </w:r>
      <w:r>
        <w:tab/>
        <w:t>Regulation 9 amended</w:t>
      </w:r>
      <w:bookmarkEnd w:id="23"/>
      <w:bookmarkEnd w:id="24"/>
    </w:p>
    <w:p>
      <w:pPr>
        <w:pStyle w:val="Subsection"/>
      </w:pPr>
      <w:r>
        <w:tab/>
      </w:r>
      <w:r>
        <w:tab/>
        <w:t>Delete regulation 9(1)(b) and insert:</w:t>
      </w:r>
    </w:p>
    <w:p>
      <w:pPr>
        <w:pStyle w:val="BlankOpen"/>
      </w:pPr>
    </w:p>
    <w:p>
      <w:pPr>
        <w:pStyle w:val="zIndenta"/>
      </w:pPr>
      <w:r>
        <w:tab/>
        <w:t>(b)</w:t>
      </w:r>
      <w:r>
        <w:tab/>
        <w:t>the injury occurs —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Heading5"/>
      </w:pPr>
      <w:bookmarkStart w:id="25" w:name="_Toc169802721"/>
      <w:bookmarkStart w:id="26" w:name="_Toc170211662"/>
      <w:r>
        <w:rPr>
          <w:rStyle w:val="CharSectno"/>
        </w:rPr>
        <w:lastRenderedPageBreak/>
        <w:t>8</w:t>
      </w:r>
      <w:r>
        <w:t>.</w:t>
      </w:r>
      <w:r>
        <w:tab/>
        <w:t>Regulation 10 amended</w:t>
      </w:r>
      <w:bookmarkEnd w:id="25"/>
      <w:bookmarkEnd w:id="26"/>
    </w:p>
    <w:p>
      <w:pPr>
        <w:pStyle w:val="Subsection"/>
        <w:keepNext/>
      </w:pPr>
      <w:r>
        <w:tab/>
        <w:t>(1)</w:t>
      </w:r>
      <w:r>
        <w:tab/>
        <w:t>Delete regulation 10(1)(c) and insert:</w:t>
      </w:r>
    </w:p>
    <w:p>
      <w:pPr>
        <w:pStyle w:val="BlankOpen"/>
      </w:pPr>
    </w:p>
    <w:p>
      <w:pPr>
        <w:pStyle w:val="zIndenta"/>
        <w:keepNext/>
      </w:pPr>
      <w:r>
        <w:tab/>
        <w:t>(c)</w:t>
      </w:r>
      <w:r>
        <w:tab/>
        <w:t xml:space="preserve">the injury occurs — 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Delete regulation 10(2)(c)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the injury occurs — 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Subsection"/>
      </w:pPr>
      <w:r>
        <w:tab/>
        <w:t>(3)</w:t>
      </w:r>
      <w:r>
        <w:tab/>
        <w:t>Delete regulation 10(3)(c) and insert:</w:t>
      </w:r>
    </w:p>
    <w:p>
      <w:pPr>
        <w:pStyle w:val="BlankOpen"/>
      </w:pPr>
    </w:p>
    <w:p>
      <w:pPr>
        <w:pStyle w:val="zIndenta"/>
      </w:pPr>
      <w:r>
        <w:tab/>
        <w:t>(c)</w:t>
      </w:r>
      <w:r>
        <w:tab/>
        <w:t xml:space="preserve">the injury occurs — 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Heading5"/>
      </w:pPr>
      <w:bookmarkStart w:id="27" w:name="_Toc169802722"/>
      <w:bookmarkStart w:id="28" w:name="_Toc170211663"/>
      <w:r>
        <w:rPr>
          <w:rStyle w:val="CharSectno"/>
        </w:rPr>
        <w:lastRenderedPageBreak/>
        <w:t>9</w:t>
      </w:r>
      <w:r>
        <w:t>.</w:t>
      </w:r>
      <w:r>
        <w:tab/>
        <w:t>Regulation 11 amended</w:t>
      </w:r>
      <w:bookmarkEnd w:id="27"/>
      <w:bookmarkEnd w:id="28"/>
    </w:p>
    <w:p>
      <w:pPr>
        <w:pStyle w:val="Subsection"/>
        <w:keepNext/>
      </w:pPr>
      <w:r>
        <w:tab/>
      </w:r>
      <w:r>
        <w:tab/>
        <w:t>Delete regulation 11(b) and insert:</w:t>
      </w:r>
    </w:p>
    <w:p>
      <w:pPr>
        <w:pStyle w:val="BlankOpen"/>
      </w:pPr>
    </w:p>
    <w:p>
      <w:pPr>
        <w:pStyle w:val="zIndenta"/>
        <w:keepNext/>
      </w:pPr>
      <w:r>
        <w:tab/>
        <w:t>(b)</w:t>
      </w:r>
      <w:r>
        <w:tab/>
        <w:t>the injury occurs —</w:t>
      </w:r>
    </w:p>
    <w:p>
      <w:pPr>
        <w:pStyle w:val="zIndenti"/>
      </w:pPr>
      <w:r>
        <w:tab/>
        <w:t>(i)</w:t>
      </w:r>
      <w:r>
        <w:tab/>
        <w:t>if the injury is a motor vehicle injury — on or after 1 July 2016; or</w:t>
      </w:r>
    </w:p>
    <w:p>
      <w:pPr>
        <w:pStyle w:val="zIndenti"/>
      </w:pPr>
      <w:r>
        <w:tab/>
        <w:t>(ii)</w:t>
      </w:r>
      <w:r>
        <w:tab/>
        <w:t>if the injury is a workplace injury — on or after 1 July 2024.</w:t>
      </w:r>
    </w:p>
    <w:p>
      <w:pPr>
        <w:pStyle w:val="BlankClose"/>
      </w:pPr>
    </w:p>
    <w:p>
      <w:pPr>
        <w:pStyle w:val="Heading5"/>
      </w:pPr>
      <w:bookmarkStart w:id="29" w:name="_Toc169802723"/>
      <w:bookmarkStart w:id="30" w:name="_Toc170211664"/>
      <w:r>
        <w:rPr>
          <w:rStyle w:val="CharSectno"/>
        </w:rPr>
        <w:t>10</w:t>
      </w:r>
      <w:r>
        <w:t>.</w:t>
      </w:r>
      <w:r>
        <w:tab/>
        <w:t>Regulation 12 amended</w:t>
      </w:r>
      <w:bookmarkEnd w:id="29"/>
      <w:bookmarkEnd w:id="30"/>
    </w:p>
    <w:p>
      <w:pPr>
        <w:pStyle w:val="Subsection"/>
      </w:pPr>
      <w:r>
        <w:tab/>
      </w:r>
      <w:r>
        <w:tab/>
        <w:t xml:space="preserve">In regulation 12(1) delete the definition of </w:t>
      </w:r>
      <w:r>
        <w:rPr>
          <w:b/>
          <w:bCs/>
          <w:i/>
          <w:iCs/>
        </w:rPr>
        <w:t>relevant accident</w:t>
      </w:r>
      <w:r>
        <w:t xml:space="preserve"> and insert:</w:t>
      </w:r>
    </w:p>
    <w:p>
      <w:pPr>
        <w:pStyle w:val="BlankOpen"/>
      </w:pPr>
    </w:p>
    <w:p>
      <w:pPr>
        <w:pStyle w:val="zDefstart"/>
      </w:pPr>
      <w:r>
        <w:tab/>
      </w:r>
      <w:r>
        <w:rPr>
          <w:rStyle w:val="CharDefText"/>
        </w:rPr>
        <w:t>relevant accident</w:t>
      </w:r>
      <w:r>
        <w:t xml:space="preserve"> means either of the following — </w:t>
      </w:r>
    </w:p>
    <w:p>
      <w:pPr>
        <w:pStyle w:val="zDefpara"/>
      </w:pPr>
      <w:r>
        <w:tab/>
        <w:t>(a)</w:t>
      </w:r>
      <w:r>
        <w:tab/>
        <w:t>the motor vehicle accident that resulted in the motor vehicle injury to which the application relates; or</w:t>
      </w:r>
    </w:p>
    <w:p>
      <w:pPr>
        <w:pStyle w:val="zDefpara"/>
      </w:pPr>
      <w:r>
        <w:tab/>
        <w:t>(b)</w:t>
      </w:r>
      <w:r>
        <w:tab/>
        <w:t>the workplace accident that resulted in the workplace injury to which the application relates.</w:t>
      </w:r>
    </w:p>
    <w:p>
      <w:pPr>
        <w:pStyle w:val="BlankClose"/>
      </w:pPr>
    </w:p>
    <w:p>
      <w:pPr>
        <w:pStyle w:val="Heading5"/>
      </w:pPr>
      <w:bookmarkStart w:id="31" w:name="_Toc169802724"/>
      <w:bookmarkStart w:id="32" w:name="_Toc170211665"/>
      <w:r>
        <w:rPr>
          <w:rStyle w:val="CharSectno"/>
        </w:rPr>
        <w:t>11</w:t>
      </w:r>
      <w:r>
        <w:t>.</w:t>
      </w:r>
      <w:r>
        <w:tab/>
        <w:t>Regulation 13 amended</w:t>
      </w:r>
      <w:bookmarkEnd w:id="31"/>
      <w:bookmarkEnd w:id="32"/>
    </w:p>
    <w:p>
      <w:pPr>
        <w:pStyle w:val="Subsection"/>
      </w:pPr>
      <w:r>
        <w:tab/>
      </w:r>
      <w:r>
        <w:tab/>
        <w:t>In regulation 13(1) after “injury”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or workplace injury</w:t>
      </w:r>
    </w:p>
    <w:p>
      <w:pPr>
        <w:pStyle w:val="BlankClose"/>
      </w:pPr>
    </w:p>
    <w:p>
      <w:pPr>
        <w:pStyle w:val="Heading5"/>
      </w:pPr>
      <w:bookmarkStart w:id="33" w:name="_Toc169802725"/>
      <w:bookmarkStart w:id="34" w:name="_Toc170211666"/>
      <w:r>
        <w:rPr>
          <w:rStyle w:val="CharSectno"/>
        </w:rPr>
        <w:lastRenderedPageBreak/>
        <w:t>12</w:t>
      </w:r>
      <w:r>
        <w:t>.</w:t>
      </w:r>
      <w:r>
        <w:tab/>
        <w:t>Regulation 26 amended</w:t>
      </w:r>
      <w:bookmarkEnd w:id="33"/>
      <w:bookmarkEnd w:id="34"/>
    </w:p>
    <w:p>
      <w:pPr>
        <w:pStyle w:val="Subsection"/>
        <w:keepNext/>
      </w:pPr>
      <w:r>
        <w:tab/>
      </w:r>
      <w:r>
        <w:tab/>
        <w:t>In regulation 26:</w:t>
      </w:r>
    </w:p>
    <w:p>
      <w:pPr>
        <w:pStyle w:val="Indenta"/>
        <w:keepNext/>
      </w:pPr>
      <w:r>
        <w:tab/>
        <w:t>(a)</w:t>
      </w:r>
      <w:r>
        <w:tab/>
        <w:t>in paragraph (o) delete “services.” and insert:</w:t>
      </w:r>
    </w:p>
    <w:p>
      <w:pPr>
        <w:pStyle w:val="BlankOpen"/>
      </w:pPr>
    </w:p>
    <w:p>
      <w:pPr>
        <w:pStyle w:val="Indenta"/>
        <w:keepNext/>
      </w:pPr>
      <w:r>
        <w:tab/>
      </w:r>
      <w:r>
        <w:tab/>
        <w:t>services;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after paragraph (o) insert:</w:t>
      </w:r>
    </w:p>
    <w:p>
      <w:pPr>
        <w:pStyle w:val="BlankOpen"/>
      </w:pPr>
    </w:p>
    <w:p>
      <w:pPr>
        <w:pStyle w:val="zIndenta"/>
      </w:pPr>
      <w:r>
        <w:tab/>
        <w:t>(p)</w:t>
      </w:r>
      <w:r>
        <w:tab/>
        <w:t>workplace training or workplace rehabilitation services.</w:t>
      </w:r>
    </w:p>
    <w:p>
      <w:pPr>
        <w:pStyle w:val="BlankClose"/>
      </w:pPr>
    </w:p>
    <w:p>
      <w:pPr>
        <w:pStyle w:val="Heading5"/>
      </w:pPr>
      <w:bookmarkStart w:id="35" w:name="_Toc169802726"/>
      <w:bookmarkStart w:id="36" w:name="_Toc170211667"/>
      <w:r>
        <w:rPr>
          <w:rStyle w:val="CharSectno"/>
        </w:rPr>
        <w:t>13</w:t>
      </w:r>
      <w:r>
        <w:t>.</w:t>
      </w:r>
      <w:r>
        <w:tab/>
        <w:t>Regulation 68 replaced</w:t>
      </w:r>
      <w:bookmarkEnd w:id="35"/>
      <w:bookmarkEnd w:id="36"/>
    </w:p>
    <w:p>
      <w:pPr>
        <w:pStyle w:val="Subsection"/>
      </w:pPr>
      <w:r>
        <w:tab/>
      </w:r>
      <w:r>
        <w:tab/>
        <w:t>Delete regulation 68 and insert:</w:t>
      </w:r>
    </w:p>
    <w:p>
      <w:pPr>
        <w:pStyle w:val="BlankOpen"/>
      </w:pPr>
    </w:p>
    <w:p>
      <w:pPr>
        <w:pStyle w:val="zHeading5"/>
      </w:pPr>
      <w:bookmarkStart w:id="37" w:name="_Toc169802727"/>
      <w:bookmarkStart w:id="38" w:name="_Toc170211668"/>
      <w:r>
        <w:t>68.</w:t>
      </w:r>
      <w:r>
        <w:tab/>
        <w:t>Maximum amounts payable for certain services</w:t>
      </w:r>
      <w:bookmarkEnd w:id="37"/>
      <w:bookmarkEnd w:id="38"/>
    </w:p>
    <w:p>
      <w:pPr>
        <w:pStyle w:val="zSubsection"/>
      </w:pPr>
      <w:r>
        <w:tab/>
        <w:t>(1)</w:t>
      </w:r>
      <w:r>
        <w:tab/>
        <w:t>The maximum amount for which the Commission is liable in respect of any claim for a fee for a service referred to in column 1 of an item of the Table in Schedule 2 is the amount prescribed in column 2 of that item.</w:t>
      </w:r>
    </w:p>
    <w:p>
      <w:pPr>
        <w:pStyle w:val="zSubsection"/>
      </w:pPr>
      <w:r>
        <w:tab/>
        <w:t>(2)</w:t>
      </w:r>
      <w:r>
        <w:tab/>
        <w:t>A term used in column 1 of an item of the Table in Schedule 2 has the same meaning in that Schedule as it has in the order referred to in column 2 of that item.</w:t>
      </w:r>
    </w:p>
    <w:p>
      <w:pPr>
        <w:pStyle w:val="zSubsection"/>
      </w:pPr>
      <w:r>
        <w:tab/>
        <w:t>(3)</w:t>
      </w:r>
      <w:r>
        <w:tab/>
        <w:t>A reference to an order in column 2 of an item of the Table in Schedule 2 is a reference to that order as in force on 1 July 2024.</w:t>
      </w:r>
    </w:p>
    <w:p>
      <w:pPr>
        <w:pStyle w:val="BlankClose"/>
      </w:pPr>
    </w:p>
    <w:p>
      <w:pPr>
        <w:pStyle w:val="Heading5"/>
      </w:pPr>
      <w:bookmarkStart w:id="39" w:name="_Toc169802728"/>
      <w:bookmarkStart w:id="40" w:name="_Toc170211669"/>
      <w:r>
        <w:rPr>
          <w:rStyle w:val="CharSectno"/>
        </w:rPr>
        <w:lastRenderedPageBreak/>
        <w:t>14</w:t>
      </w:r>
      <w:r>
        <w:t>.</w:t>
      </w:r>
      <w:r>
        <w:tab/>
        <w:t>Schedule 1 amended</w:t>
      </w:r>
      <w:bookmarkEnd w:id="39"/>
      <w:bookmarkEnd w:id="40"/>
    </w:p>
    <w:p>
      <w:pPr>
        <w:pStyle w:val="Subsection"/>
        <w:keepNext/>
      </w:pPr>
      <w:r>
        <w:tab/>
        <w:t>(1)</w:t>
      </w:r>
      <w:r>
        <w:tab/>
        <w:t xml:space="preserve">In Schedule 1 clause 1 in the definition of </w:t>
      </w:r>
      <w:r>
        <w:rPr>
          <w:b/>
          <w:bCs/>
          <w:i/>
          <w:iCs/>
        </w:rPr>
        <w:t>relevant injury</w:t>
      </w:r>
      <w:r>
        <w:t xml:space="preserve"> after “</w:t>
      </w:r>
      <w:r>
        <w:rPr>
          <w:sz w:val="22"/>
          <w:szCs w:val="18"/>
        </w:rPr>
        <w:t>injury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  <w:szCs w:val="18"/>
        </w:rPr>
      </w:pPr>
      <w:r>
        <w:tab/>
      </w:r>
      <w:r>
        <w:tab/>
      </w:r>
      <w:r>
        <w:rPr>
          <w:sz w:val="22"/>
          <w:szCs w:val="18"/>
        </w:rPr>
        <w:t>or workplace injury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1 clause 6 after “</w:t>
      </w:r>
      <w:r>
        <w:rPr>
          <w:sz w:val="22"/>
          <w:szCs w:val="18"/>
        </w:rPr>
        <w:t>Vocational</w:t>
      </w:r>
      <w:r>
        <w:t>” insert:</w:t>
      </w:r>
    </w:p>
    <w:p>
      <w:pPr>
        <w:pStyle w:val="BlankOpen"/>
      </w:pPr>
    </w:p>
    <w:p>
      <w:pPr>
        <w:pStyle w:val="Subsection"/>
        <w:rPr>
          <w:sz w:val="22"/>
          <w:szCs w:val="18"/>
        </w:rPr>
      </w:pPr>
      <w:r>
        <w:rPr>
          <w:sz w:val="22"/>
          <w:szCs w:val="18"/>
        </w:rPr>
        <w:tab/>
      </w:r>
      <w:r>
        <w:rPr>
          <w:sz w:val="22"/>
          <w:szCs w:val="18"/>
        </w:rPr>
        <w:tab/>
        <w:t>or workplace</w:t>
      </w:r>
    </w:p>
    <w:p>
      <w:pPr>
        <w:pStyle w:val="BlankClose"/>
      </w:pPr>
    </w:p>
    <w:p>
      <w:pPr>
        <w:pStyle w:val="SectAltNote"/>
      </w:pPr>
      <w:r>
        <w:tab/>
        <w:t>Note: The heading to amended Schedule 1 clause 6 is to read:</w:t>
      </w:r>
    </w:p>
    <w:p>
      <w:pPr>
        <w:pStyle w:val="SectAltHeading"/>
      </w:pPr>
      <w:r>
        <w:tab/>
      </w:r>
      <w:r>
        <w:tab/>
        <w:t>Vocational or workplace support</w:t>
      </w:r>
    </w:p>
    <w:p>
      <w:pPr>
        <w:pStyle w:val="Heading5"/>
      </w:pPr>
      <w:bookmarkStart w:id="41" w:name="_Toc169802729"/>
      <w:bookmarkStart w:id="42" w:name="_Toc170211670"/>
      <w:r>
        <w:rPr>
          <w:rStyle w:val="CharSectno"/>
        </w:rPr>
        <w:t>15</w:t>
      </w:r>
      <w:r>
        <w:t>.</w:t>
      </w:r>
      <w:r>
        <w:tab/>
        <w:t>Schedule 2 replaced</w:t>
      </w:r>
      <w:bookmarkEnd w:id="41"/>
      <w:bookmarkEnd w:id="42"/>
    </w:p>
    <w:p>
      <w:pPr>
        <w:pStyle w:val="Subsection"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43" w:name="_Toc169802730"/>
      <w:bookmarkStart w:id="44" w:name="_Toc169802791"/>
      <w:bookmarkStart w:id="45" w:name="_Toc169802908"/>
      <w:bookmarkStart w:id="46" w:name="_Toc170211671"/>
      <w:r>
        <w:t>Schedule 2 — Maximum amounts payable</w:t>
      </w:r>
      <w:bookmarkEnd w:id="43"/>
      <w:bookmarkEnd w:id="44"/>
      <w:bookmarkEnd w:id="45"/>
      <w:bookmarkEnd w:id="46"/>
    </w:p>
    <w:p>
      <w:pPr>
        <w:pStyle w:val="zyShoulderClause"/>
      </w:pPr>
      <w:r>
        <w:t>[r. 68]</w:t>
      </w:r>
    </w:p>
    <w:tbl>
      <w:tblPr>
        <w:tblW w:w="7088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3402"/>
        <w:gridCol w:w="3686"/>
      </w:tblGrid>
      <w:tr>
        <w:trPr>
          <w:tblHeader/>
        </w:trPr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Service</w:t>
            </w: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 2</w:t>
            </w:r>
          </w:p>
          <w:p>
            <w:pPr>
              <w:pStyle w:val="zyTableNAm"/>
              <w:jc w:val="center"/>
              <w:rPr>
                <w:rStyle w:val="DraftersNotes"/>
              </w:rPr>
            </w:pPr>
            <w:r>
              <w:rPr>
                <w:b/>
                <w:bCs/>
              </w:rPr>
              <w:t>Maximum amount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  <w:rPr>
                <w:rStyle w:val="DraftersNotes"/>
                <w:b w:val="0"/>
                <w:i w:val="0"/>
                <w:sz w:val="22"/>
              </w:rPr>
            </w:pPr>
            <w:r>
              <w:t>1.</w:t>
            </w:r>
            <w:r>
              <w:tab/>
              <w:t>A rehabilitation service provided by an approved vocational or workplace rehabilitation provider</w:t>
            </w:r>
          </w:p>
        </w:tc>
        <w:tc>
          <w:tcPr>
            <w:tcW w:w="3686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Hourly rate for the relevant service provided by a workplace rehabilitation provider in the </w:t>
            </w:r>
            <w:r>
              <w:rPr>
                <w:i/>
                <w:iCs/>
              </w:rPr>
              <w:t>Workers Compensation (Workplace Rehabilitation Services) Fees Order 2024</w:t>
            </w:r>
            <w:r>
              <w:t xml:space="preserve"> clause 6 and Schedule 1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2.</w:t>
            </w:r>
            <w:r>
              <w:tab/>
              <w:t>Consultation with an acupuncturist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1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lastRenderedPageBreak/>
              <w:t>3.</w:t>
            </w:r>
            <w:r>
              <w:tab/>
              <w:t>Consultation with a chiropractor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2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4.</w:t>
            </w:r>
            <w:r>
              <w:tab/>
              <w:t>Consultation with a clinical psychologist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Hourly rate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3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5.</w:t>
            </w:r>
            <w:r>
              <w:tab/>
              <w:t>Preparation of a written report by a clinical psychologist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Hourly rate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3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6.</w:t>
            </w:r>
            <w:r>
              <w:tab/>
              <w:t>Counselling service provided by a psychologist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Hourly rate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4 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7.</w:t>
            </w:r>
            <w:r>
              <w:tab/>
              <w:t>Consultation with an exercise physiologist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5 Part 1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8.</w:t>
            </w:r>
            <w:r>
              <w:tab/>
              <w:t>Consultation with a physiotherapist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6, Schedule 5 Part 2 and Schedule 10 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9.</w:t>
            </w:r>
            <w:r>
              <w:tab/>
              <w:t>Consultation with a mental health social worker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Hourly rate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6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lastRenderedPageBreak/>
              <w:t>10.</w:t>
            </w:r>
            <w:r>
              <w:tab/>
              <w:t>Consultation with an occupational therapist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7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11.</w:t>
            </w:r>
            <w:r>
              <w:tab/>
              <w:t>Consultation with an osteopath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8</w:t>
            </w:r>
          </w:p>
        </w:tc>
      </w:tr>
      <w:tr>
        <w:tc>
          <w:tcPr>
            <w:tcW w:w="3402" w:type="dxa"/>
          </w:tcPr>
          <w:p>
            <w:pPr>
              <w:pStyle w:val="zyTableNAm"/>
              <w:ind w:left="510" w:hanging="510"/>
            </w:pPr>
            <w:r>
              <w:t>12.</w:t>
            </w:r>
            <w:r>
              <w:tab/>
              <w:t>Consultation with a psychologist</w:t>
            </w:r>
          </w:p>
        </w:tc>
        <w:tc>
          <w:tcPr>
            <w:tcW w:w="3686" w:type="dxa"/>
          </w:tcPr>
          <w:p>
            <w:pPr>
              <w:pStyle w:val="zyTableNAm"/>
            </w:pPr>
            <w:r>
              <w:t xml:space="preserve">Hourly rate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9</w:t>
            </w:r>
          </w:p>
        </w:tc>
      </w:tr>
      <w:tr>
        <w:tc>
          <w:tcPr>
            <w:tcW w:w="3402" w:type="dxa"/>
            <w:tcBorders>
              <w:bottom w:val="single" w:sz="4" w:space="0" w:color="auto"/>
            </w:tcBorders>
          </w:tcPr>
          <w:p>
            <w:pPr>
              <w:pStyle w:val="zyTableNAm"/>
              <w:ind w:left="510" w:hanging="510"/>
            </w:pPr>
            <w:r>
              <w:t>13.</w:t>
            </w:r>
            <w:r>
              <w:tab/>
              <w:t>Consultation with a speech pathologist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 xml:space="preserve">Amount set out for the relevant service in the </w:t>
            </w:r>
            <w:r>
              <w:rPr>
                <w:i/>
                <w:iCs/>
              </w:rPr>
              <w:t>Workers Compensation (Health Services) Fees Order 2024</w:t>
            </w:r>
            <w:r>
              <w:t xml:space="preserve"> clause 6 and Schedule 11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47" w:name="_Toc169802731"/>
      <w:bookmarkStart w:id="48" w:name="_Toc169802792"/>
      <w:bookmarkStart w:id="49" w:name="_Toc169802909"/>
      <w:bookmarkStart w:id="50" w:name="_Toc170211672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Motor Vehicle (Third Party Insurance) Regulations 2009</w:t>
      </w:r>
      <w:r>
        <w:rPr>
          <w:rStyle w:val="CharPartText"/>
        </w:rPr>
        <w:t xml:space="preserve"> amended</w:t>
      </w:r>
      <w:bookmarkEnd w:id="47"/>
      <w:bookmarkEnd w:id="48"/>
      <w:bookmarkEnd w:id="49"/>
      <w:bookmarkEnd w:id="50"/>
    </w:p>
    <w:p>
      <w:pPr>
        <w:pStyle w:val="Heading5"/>
        <w:rPr>
          <w:snapToGrid w:val="0"/>
        </w:rPr>
      </w:pPr>
      <w:bookmarkStart w:id="51" w:name="_Toc169802732"/>
      <w:bookmarkStart w:id="52" w:name="_Toc170211673"/>
      <w:r>
        <w:rPr>
          <w:rStyle w:val="CharSectno"/>
        </w:rPr>
        <w:t>16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1"/>
      <w:bookmarkEnd w:id="5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rStyle w:val="CharPartText"/>
          <w:i/>
          <w:iCs/>
        </w:rPr>
        <w:t>Motor Vehicle (Third Party Insurance) Regulations 2009</w:t>
      </w:r>
      <w:r>
        <w:t>.</w:t>
      </w:r>
    </w:p>
    <w:p>
      <w:pPr>
        <w:pStyle w:val="Heading5"/>
      </w:pPr>
      <w:bookmarkStart w:id="53" w:name="_Toc169802733"/>
      <w:bookmarkStart w:id="54" w:name="_Toc170211674"/>
      <w:r>
        <w:rPr>
          <w:rStyle w:val="CharSectno"/>
        </w:rPr>
        <w:t>17</w:t>
      </w:r>
      <w:r>
        <w:t>.</w:t>
      </w:r>
      <w:r>
        <w:tab/>
        <w:t>Regulation 6 amended</w:t>
      </w:r>
      <w:bookmarkEnd w:id="53"/>
      <w:bookmarkEnd w:id="54"/>
    </w:p>
    <w:p>
      <w:pPr>
        <w:pStyle w:val="Subsection"/>
      </w:pPr>
      <w:r>
        <w:tab/>
      </w:r>
      <w:r>
        <w:tab/>
        <w:t>In regulation 6 delete “</w:t>
      </w:r>
      <w:r>
        <w:rPr>
          <w:i/>
          <w:iCs/>
        </w:rPr>
        <w:t>Workers’ Compensation and Injury Management Regulations 1982</w:t>
      </w:r>
      <w:r>
        <w:t xml:space="preserve"> regulation 17AA.”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i/>
          <w:iCs/>
        </w:rPr>
        <w:t>Workers Compensation and Injury Management Regulations 2024</w:t>
      </w:r>
      <w:r>
        <w:t xml:space="preserve"> regulation 35(1) and (2).</w:t>
      </w:r>
    </w:p>
    <w:p>
      <w:pPr>
        <w:pStyle w:val="BlankClose"/>
      </w:pPr>
    </w:p>
    <w:p>
      <w:pPr>
        <w:pStyle w:val="Heading2"/>
      </w:pPr>
      <w:bookmarkStart w:id="55" w:name="_Toc169802734"/>
      <w:bookmarkStart w:id="56" w:name="_Toc169802795"/>
      <w:bookmarkStart w:id="57" w:name="_Toc169802912"/>
      <w:bookmarkStart w:id="58" w:name="_Toc170211675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State Superannuation Regulations 2001</w:t>
      </w:r>
      <w:r>
        <w:rPr>
          <w:rStyle w:val="CharPartText"/>
        </w:rPr>
        <w:t xml:space="preserve"> amended</w:t>
      </w:r>
      <w:bookmarkEnd w:id="55"/>
      <w:bookmarkEnd w:id="56"/>
      <w:bookmarkEnd w:id="57"/>
      <w:bookmarkEnd w:id="58"/>
    </w:p>
    <w:p>
      <w:pPr>
        <w:pStyle w:val="Heading5"/>
        <w:rPr>
          <w:snapToGrid w:val="0"/>
        </w:rPr>
      </w:pPr>
      <w:bookmarkStart w:id="59" w:name="_Toc169802735"/>
      <w:bookmarkStart w:id="60" w:name="_Toc170211676"/>
      <w:r>
        <w:rPr>
          <w:rStyle w:val="CharSectno"/>
        </w:rPr>
        <w:t>18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9"/>
      <w:bookmarkEnd w:id="60"/>
    </w:p>
    <w:p>
      <w:pPr>
        <w:pStyle w:val="Subsection"/>
        <w:rPr>
          <w:iCs/>
        </w:rPr>
      </w:pPr>
      <w:r>
        <w:tab/>
      </w:r>
      <w:r>
        <w:tab/>
        <w:t xml:space="preserve">This Part amends the </w:t>
      </w:r>
      <w:r>
        <w:rPr>
          <w:i/>
        </w:rPr>
        <w:t>State Superannuation Regulations 2001</w:t>
      </w:r>
      <w:r>
        <w:rPr>
          <w:iCs/>
        </w:rPr>
        <w:t>.</w:t>
      </w:r>
    </w:p>
    <w:p>
      <w:pPr>
        <w:pStyle w:val="Heading5"/>
      </w:pPr>
      <w:bookmarkStart w:id="61" w:name="_Toc169802736"/>
      <w:bookmarkStart w:id="62" w:name="_Toc170211677"/>
      <w:r>
        <w:rPr>
          <w:rStyle w:val="CharSectno"/>
        </w:rPr>
        <w:t>19</w:t>
      </w:r>
      <w:r>
        <w:t>.</w:t>
      </w:r>
      <w:r>
        <w:tab/>
        <w:t>Regulation 12D amended</w:t>
      </w:r>
      <w:bookmarkEnd w:id="61"/>
      <w:bookmarkEnd w:id="62"/>
    </w:p>
    <w:p>
      <w:pPr>
        <w:pStyle w:val="Subsection"/>
      </w:pPr>
      <w:r>
        <w:tab/>
      </w:r>
      <w:r>
        <w:tab/>
        <w:t>In regulation 12D in the Table delete item 2 and insert:</w:t>
      </w:r>
    </w:p>
    <w:p>
      <w:pPr>
        <w:pStyle w:val="BlankOpen"/>
      </w:pPr>
    </w:p>
    <w:tbl>
      <w:tblPr>
        <w:tblW w:w="5670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567"/>
        <w:gridCol w:w="5103"/>
      </w:tblGrid>
      <w:tr>
        <w:trPr>
          <w:cantSplit/>
        </w:trPr>
        <w:tc>
          <w:tcPr>
            <w:tcW w:w="567" w:type="dxa"/>
            <w:shd w:val="clear" w:color="auto" w:fill="FFFFFF" w:themeFill="background1"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5103" w:type="dxa"/>
            <w:shd w:val="clear" w:color="auto" w:fill="FFFFFF" w:themeFill="background1"/>
            <w:vAlign w:val="center"/>
          </w:tcPr>
          <w:p>
            <w:pPr>
              <w:pStyle w:val="zTableNAm"/>
            </w:pPr>
            <w:r>
              <w:t xml:space="preserve">An amount of income compensation paid to a worker under the </w:t>
            </w:r>
            <w:r>
              <w:rPr>
                <w:i/>
              </w:rPr>
              <w:t>Workers Compensation and Injury Management Act 2023</w:t>
            </w:r>
            <w:r>
              <w:t>.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63" w:name="_Toc169802737"/>
      <w:bookmarkStart w:id="64" w:name="_Toc170211678"/>
      <w:r>
        <w:rPr>
          <w:rStyle w:val="CharSectno"/>
        </w:rPr>
        <w:t>20</w:t>
      </w:r>
      <w:r>
        <w:t>.</w:t>
      </w:r>
      <w:r>
        <w:tab/>
        <w:t>Schedule 1 amended</w:t>
      </w:r>
      <w:bookmarkEnd w:id="63"/>
      <w:bookmarkEnd w:id="64"/>
    </w:p>
    <w:p>
      <w:pPr>
        <w:pStyle w:val="Subsection"/>
      </w:pPr>
      <w:r>
        <w:tab/>
      </w:r>
      <w:r>
        <w:tab/>
        <w:t>In Schedule 1 Division 2 delete item 68 and insert:</w:t>
      </w:r>
    </w:p>
    <w:p>
      <w:pPr>
        <w:pStyle w:val="BlankOpen"/>
      </w:pPr>
    </w:p>
    <w:p>
      <w:pPr>
        <w:pStyle w:val="zyNumberedItem"/>
      </w:pPr>
      <w:r>
        <w:t>68.</w:t>
      </w:r>
      <w:r>
        <w:tab/>
      </w:r>
      <w:r>
        <w:rPr>
          <w:b/>
          <w:bCs/>
        </w:rPr>
        <w:t>WorkCover WA</w:t>
      </w:r>
      <w:r>
        <w:t xml:space="preserve"> established by the </w:t>
      </w:r>
      <w:r>
        <w:rPr>
          <w:i/>
          <w:iCs/>
        </w:rPr>
        <w:t>Workers Compensation and Injury Management Act 2023</w:t>
      </w:r>
    </w:p>
    <w:p>
      <w:pPr>
        <w:pStyle w:val="BlankClose"/>
      </w:pPr>
    </w:p>
    <w:p>
      <w:pPr>
        <w:pStyle w:val="Heading2"/>
      </w:pPr>
      <w:bookmarkStart w:id="65" w:name="_Toc169802738"/>
      <w:bookmarkStart w:id="66" w:name="_Toc169802799"/>
      <w:bookmarkStart w:id="67" w:name="_Toc169802916"/>
      <w:bookmarkStart w:id="68" w:name="_Toc170211679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State Trading Concerns (Authorisation) Regulations 1998</w:t>
      </w:r>
      <w:r>
        <w:rPr>
          <w:rStyle w:val="CharPartText"/>
        </w:rPr>
        <w:t xml:space="preserve"> amended</w:t>
      </w:r>
      <w:bookmarkEnd w:id="65"/>
      <w:bookmarkEnd w:id="66"/>
      <w:bookmarkEnd w:id="67"/>
      <w:bookmarkEnd w:id="68"/>
    </w:p>
    <w:p>
      <w:pPr>
        <w:pStyle w:val="Heading5"/>
        <w:rPr>
          <w:snapToGrid w:val="0"/>
        </w:rPr>
      </w:pPr>
      <w:bookmarkStart w:id="69" w:name="_Toc169802739"/>
      <w:bookmarkStart w:id="70" w:name="_Toc170211680"/>
      <w:r>
        <w:rPr>
          <w:rStyle w:val="CharSectno"/>
        </w:rPr>
        <w:t>21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9"/>
      <w:bookmarkEnd w:id="7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State Trading Concerns (Authorisation) Regulations 1998</w:t>
      </w:r>
      <w:r>
        <w:t>.</w:t>
      </w:r>
    </w:p>
    <w:p>
      <w:pPr>
        <w:pStyle w:val="Heading5"/>
      </w:pPr>
      <w:bookmarkStart w:id="71" w:name="_Toc169802740"/>
      <w:bookmarkStart w:id="72" w:name="_Toc170211681"/>
      <w:r>
        <w:rPr>
          <w:rStyle w:val="CharSectno"/>
        </w:rPr>
        <w:t>22</w:t>
      </w:r>
      <w:r>
        <w:t>.</w:t>
      </w:r>
      <w:r>
        <w:tab/>
        <w:t>Schedule 2 amended</w:t>
      </w:r>
      <w:bookmarkEnd w:id="71"/>
      <w:bookmarkEnd w:id="72"/>
    </w:p>
    <w:p>
      <w:pPr>
        <w:pStyle w:val="Subsection"/>
      </w:pPr>
      <w:r>
        <w:tab/>
        <w:t>(1)</w:t>
      </w:r>
      <w:r>
        <w:tab/>
        <w:t>In Schedule 2 Part 1 delete “</w:t>
      </w:r>
      <w:r>
        <w:rPr>
          <w:sz w:val="22"/>
          <w:szCs w:val="18"/>
        </w:rPr>
        <w:t>WorkCover Western Australia Authority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WorkCover WA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Schedule 2 Part 2:</w:t>
      </w:r>
    </w:p>
    <w:p>
      <w:pPr>
        <w:pStyle w:val="Indenta"/>
      </w:pPr>
      <w:r>
        <w:tab/>
        <w:t>(a)</w:t>
      </w:r>
      <w:r>
        <w:tab/>
        <w:t>delete “</w:t>
      </w:r>
      <w:r>
        <w:rPr>
          <w:sz w:val="22"/>
          <w:szCs w:val="18"/>
          <w:u w:val="single"/>
        </w:rPr>
        <w:t>WorkCover Western Australia Authority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  <w:u w:val="single"/>
        </w:rPr>
      </w:pPr>
      <w:r>
        <w:tab/>
      </w:r>
      <w:r>
        <w:tab/>
      </w:r>
      <w:r>
        <w:rPr>
          <w:sz w:val="22"/>
          <w:szCs w:val="22"/>
          <w:u w:val="single"/>
        </w:rPr>
        <w:t>WorkCover WA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“</w:t>
      </w:r>
      <w:r>
        <w:rPr>
          <w:sz w:val="22"/>
          <w:szCs w:val="18"/>
        </w:rPr>
        <w:t>WorkCover Western Australia Authority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WorkCover WA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delete “</w:t>
      </w:r>
      <w:r>
        <w:rPr>
          <w:sz w:val="22"/>
          <w:szCs w:val="18"/>
        </w:rPr>
        <w:t>WorkCover Western Australia Authority.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WorkCover WA.</w:t>
      </w:r>
    </w:p>
    <w:p>
      <w:pPr>
        <w:pStyle w:val="BlankClose"/>
      </w:pPr>
    </w:p>
    <w:p>
      <w:pPr>
        <w:pStyle w:val="ByCommand"/>
      </w:pP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 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F51C7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8929CEE" w14:textId="0866D007" w:rsidR="00314532" w:rsidRDefault="0031453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6042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B9B523E" w14:textId="77777777" w:rsidR="00314532" w:rsidRDefault="0031453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AEF110" w14:textId="7BDB8262" w:rsidR="00314532" w:rsidRDefault="00314532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B6042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62B2CD" w14:textId="77777777" w:rsidR="00314532" w:rsidRDefault="00314532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2024/133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2024/133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26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284"/>
      <w:gridCol w:w="5431"/>
      <w:gridCol w:w="1548"/>
    </w:tblGrid>
    <w:tr>
      <w:trPr>
        <w:gridBefore w:val="1"/>
        <w:wBefore w:w="284" w:type="dxa"/>
        <w:cantSplit/>
        <w:jc w:val="center"/>
      </w:trPr>
      <w:tc>
        <w:tcPr>
          <w:tcW w:w="6979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Treasurer Regulations Amendment (Workers Compensation)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gridSpan w:val="2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3" w:name="Coversheet"/>
    <w:bookmarkEnd w:id="7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20190437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41609360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416093605_GUID" w:val="59a74da7-6a0b-4976-988e-d9f173146c73"/>
    <w:docVar w:name="WAFER_202405200856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520085646_GUID" w:val="4158de7c-7ce6-46c8-9544-7012910b4988"/>
    <w:docVar w:name="WAFER_202405311329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31132930_GUID" w:val="054c3e9d-20eb-4eaf-9cc7-36af3e1d0987"/>
    <w:docVar w:name="WAFER_2024062019043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20190437_GUID" w:val="9af54839-a737-4953-a8ac-83e1eaceb6c3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7D7C3E16-2117-4FE3-BB43-E3A01ABBD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1806</Words>
  <Characters>9233</Characters>
  <Application>Microsoft Office Word</Application>
  <DocSecurity>0</DocSecurity>
  <Lines>419</Lines>
  <Paragraphs>245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Treasurer Regulations Amendment (Workers Compensation) Regulations 2024 - 00-00-00</dc:title>
  <dc:subject/>
  <dc:creator/>
  <cp:keywords/>
  <dc:description/>
  <cp:lastModifiedBy>Master Repository Process</cp:lastModifiedBy>
  <cp:revision>4</cp:revision>
  <cp:lastPrinted>2024-05-17T08:17:00Z</cp:lastPrinted>
  <dcterms:created xsi:type="dcterms:W3CDTF">2025-05-28T05:42:00Z</dcterms:created>
  <dcterms:modified xsi:type="dcterms:W3CDTF">2025-05-28T05:42:00Z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54666</vt:lpwstr>
  </property>
  <property fmtid="{D5CDD505-2E9C-101B-9397-08002B2CF9AE}" pid="3" name="DocumentType">
    <vt:lpwstr>Reg</vt:lpwstr>
  </property>
  <property fmtid="{D5CDD505-2E9C-101B-9397-08002B2CF9AE}" pid="4" name="AsAtDate">
    <vt:lpwstr>26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2024/133</vt:lpwstr>
  </property>
  <property fmtid="{D5CDD505-2E9C-101B-9397-08002B2CF9AE}" pid="8" name="PublishDate">
    <vt:lpwstr>26 Jun 2024</vt:lpwstr>
  </property>
  <property fmtid="{D5CDD505-2E9C-101B-9397-08002B2CF9AE}" pid="9" name="CommencementDate">
    <vt:lpwstr>20240626</vt:lpwstr>
  </property>
  <property fmtid="{D5CDD505-2E9C-101B-9397-08002B2CF9AE}" pid="10" name="CommencementAsAt">
    <vt:filetime>2024-06-25T16:00:00Z</vt:filetime>
  </property>
  <property fmtid="{D5CDD505-2E9C-101B-9397-08002B2CF9AE}" pid="11" name="CommencementYear">
    <vt:lpwstr>2024</vt:lpwstr>
  </property>
</Properties>
</file>