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Water Services Regulations Amendment (Fees and Charges)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Amendment (Fees and Charges)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_Toc170213066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_Toc170213067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Water Services Regulations 2013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_Toc170213069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82 amended</w:t>
      </w:r>
      <w:r>
        <w:tab/>
      </w:r>
      <w:r>
        <w:fldChar w:fldCharType="begin"/>
      </w:r>
      <w:r>
        <w:instrText xml:space="preserve"> PAGEREF _Toc170213070 \h </w:instrText>
      </w:r>
      <w:r>
        <w:fldChar w:fldCharType="separate"/>
      </w:r>
      <w:r>
        <w:t>2</w:t>
      </w:r>
      <w:r>
        <w:fldChar w:fldCharType="end"/>
      </w:r>
    </w:p>
    <w:p>
      <w:pPr>
        <w:pStyle w:val="TOC8"/>
        <w:rPr>
          <w:rFonts w:asciiTheme="minorHAnsi" w:eastAsiaTheme="minorEastAsia" w:hAnsiTheme="minorHAnsi" w:cstheme="minorBidi"/>
          <w:szCs w:val="22"/>
        </w:rPr>
      </w:pPr>
      <w:r>
        <w:t>5.</w:t>
      </w:r>
      <w:r>
        <w:tab/>
        <w:t>Schedule 4 replaced</w:t>
      </w:r>
      <w:r>
        <w:tab/>
      </w:r>
      <w:r>
        <w:fldChar w:fldCharType="begin"/>
      </w:r>
      <w:r>
        <w:instrText xml:space="preserve"> PAGEREF _Toc170213071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4 — Fees</w:t>
      </w:r>
    </w:p>
    <w:p>
      <w:pPr>
        <w:pStyle w:val="TOC9"/>
        <w:rPr>
          <w:rFonts w:asciiTheme="minorHAnsi" w:eastAsiaTheme="minorEastAsia" w:hAnsiTheme="minorHAnsi" w:cstheme="minorBidi"/>
          <w:noProof/>
          <w:sz w:val="22"/>
          <w:szCs w:val="22"/>
        </w:rPr>
      </w:pPr>
      <w:r>
        <w:rPr>
          <w:noProof/>
        </w:rPr>
        <w:t>1.</w:t>
      </w:r>
      <w:r>
        <w:rPr>
          <w:noProof/>
        </w:rPr>
        <w:tab/>
        <w:t>General fees applicable to all licensees</w:t>
      </w:r>
      <w:r>
        <w:rPr>
          <w:noProof/>
        </w:rPr>
        <w:tab/>
      </w:r>
      <w:r>
        <w:rPr>
          <w:noProof/>
        </w:rPr>
        <w:fldChar w:fldCharType="begin"/>
      </w:r>
      <w:r>
        <w:rPr>
          <w:noProof/>
        </w:rPr>
        <w:instrText xml:space="preserve"> PAGEREF _Toc170213073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Fees applicable to water corporations (s. 95)</w:t>
      </w:r>
      <w:r>
        <w:rPr>
          <w:noProof/>
        </w:rPr>
        <w:tab/>
      </w:r>
      <w:r>
        <w:rPr>
          <w:noProof/>
        </w:rPr>
        <w:fldChar w:fldCharType="begin"/>
      </w:r>
      <w:r>
        <w:rPr>
          <w:noProof/>
        </w:rPr>
        <w:instrText xml:space="preserve"> PAGEREF _Toc170213074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Water Services (Water Corporations Charges) Regulations 2014</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_Toc170213076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Regulation 10 amended</w:t>
      </w:r>
      <w:r>
        <w:tab/>
      </w:r>
      <w:r>
        <w:fldChar w:fldCharType="begin"/>
      </w:r>
      <w:r>
        <w:instrText xml:space="preserve"> PAGEREF _Toc170213077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 15 amended</w:t>
      </w:r>
      <w:r>
        <w:tab/>
      </w:r>
      <w:r>
        <w:fldChar w:fldCharType="begin"/>
      </w:r>
      <w:r>
        <w:instrText xml:space="preserve"> PAGEREF _Toc170213078 \h </w:instrText>
      </w:r>
      <w:r>
        <w:fldChar w:fldCharType="separate"/>
      </w:r>
      <w:r>
        <w:t>5</w:t>
      </w:r>
      <w:r>
        <w:fldChar w:fldCharType="end"/>
      </w:r>
    </w:p>
    <w:p>
      <w:pPr>
        <w:pStyle w:val="TOC8"/>
        <w:rPr>
          <w:rFonts w:asciiTheme="minorHAnsi" w:eastAsiaTheme="minorEastAsia" w:hAnsiTheme="minorHAnsi" w:cstheme="minorBidi"/>
          <w:szCs w:val="22"/>
        </w:rPr>
      </w:pPr>
      <w:r>
        <w:t>9.</w:t>
      </w:r>
      <w:r>
        <w:tab/>
        <w:t>Schedules 1 to 7 replaced</w:t>
      </w:r>
      <w:r>
        <w:tab/>
      </w:r>
      <w:r>
        <w:fldChar w:fldCharType="begin"/>
      </w:r>
      <w:r>
        <w:instrText xml:space="preserve"> PAGEREF _Toc170213079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Schedule 1 — Charges for Bunbury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9"/>
        <w:rPr>
          <w:rFonts w:asciiTheme="minorHAnsi" w:eastAsiaTheme="minorEastAsia" w:hAnsiTheme="minorHAnsi" w:cstheme="minorBidi"/>
          <w:noProof/>
          <w:sz w:val="22"/>
          <w:szCs w:val="22"/>
        </w:rPr>
      </w:pPr>
      <w:r>
        <w:rPr>
          <w:noProof/>
        </w:rPr>
        <w:t>1.</w:t>
      </w:r>
      <w:r>
        <w:rPr>
          <w:noProof/>
        </w:rPr>
        <w:tab/>
        <w:t>Service charges for 2024/25 and subsequent years</w:t>
      </w:r>
      <w:r>
        <w:rPr>
          <w:noProof/>
        </w:rPr>
        <w:tab/>
      </w:r>
      <w:r>
        <w:rPr>
          <w:noProof/>
        </w:rPr>
        <w:fldChar w:fldCharType="begin"/>
      </w:r>
      <w:r>
        <w:rPr>
          <w:noProof/>
        </w:rPr>
        <w:instrText xml:space="preserve"> PAGEREF _Toc170213082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lastRenderedPageBreak/>
        <w:t>2.</w:t>
      </w:r>
      <w:r>
        <w:rPr>
          <w:noProof/>
        </w:rPr>
        <w:tab/>
        <w:t>Residential lots</w:t>
      </w:r>
      <w:r>
        <w:rPr>
          <w:noProof/>
        </w:rPr>
        <w:tab/>
      </w:r>
      <w:r>
        <w:rPr>
          <w:noProof/>
        </w:rPr>
        <w:fldChar w:fldCharType="begin"/>
      </w:r>
      <w:r>
        <w:rPr>
          <w:noProof/>
        </w:rPr>
        <w:instrText xml:space="preserve"> PAGEREF _Toc170213083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Non</w:t>
      </w:r>
      <w:r>
        <w:rPr>
          <w:noProof/>
        </w:rPr>
        <w:noBreakHyphen/>
        <w:t>residential lots</w:t>
      </w:r>
      <w:r>
        <w:rPr>
          <w:noProof/>
        </w:rPr>
        <w:tab/>
      </w:r>
      <w:r>
        <w:rPr>
          <w:noProof/>
        </w:rPr>
        <w:fldChar w:fldCharType="begin"/>
      </w:r>
      <w:r>
        <w:rPr>
          <w:noProof/>
        </w:rPr>
        <w:instrText xml:space="preserve"> PAGEREF _Toc170213084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Fire service connections</w:t>
      </w:r>
      <w:r>
        <w:rPr>
          <w:noProof/>
        </w:rPr>
        <w:tab/>
      </w:r>
      <w:r>
        <w:rPr>
          <w:noProof/>
        </w:rPr>
        <w:fldChar w:fldCharType="begin"/>
      </w:r>
      <w:r>
        <w:rPr>
          <w:noProof/>
        </w:rPr>
        <w:instrText xml:space="preserve"> PAGEREF _Toc170213085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Consumption charges</w:t>
      </w:r>
    </w:p>
    <w:p>
      <w:pPr>
        <w:pStyle w:val="TOC9"/>
        <w:rPr>
          <w:rFonts w:asciiTheme="minorHAnsi" w:eastAsiaTheme="minorEastAsia" w:hAnsiTheme="minorHAnsi" w:cstheme="minorBidi"/>
          <w:noProof/>
          <w:sz w:val="22"/>
          <w:szCs w:val="22"/>
        </w:rPr>
      </w:pPr>
      <w:r>
        <w:rPr>
          <w:noProof/>
        </w:rPr>
        <w:t>5.</w:t>
      </w:r>
      <w:r>
        <w:rPr>
          <w:noProof/>
        </w:rPr>
        <w:tab/>
        <w:t>Consumption charges for 2024/25 and subsequent years</w:t>
      </w:r>
      <w:r>
        <w:rPr>
          <w:noProof/>
        </w:rPr>
        <w:tab/>
      </w:r>
      <w:r>
        <w:rPr>
          <w:noProof/>
        </w:rPr>
        <w:fldChar w:fldCharType="begin"/>
      </w:r>
      <w:r>
        <w:rPr>
          <w:noProof/>
        </w:rPr>
        <w:instrText xml:space="preserve"> PAGEREF _Toc170213087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Residential lots</w:t>
      </w:r>
      <w:r>
        <w:rPr>
          <w:noProof/>
        </w:rPr>
        <w:tab/>
      </w:r>
      <w:r>
        <w:rPr>
          <w:noProof/>
        </w:rPr>
        <w:fldChar w:fldCharType="begin"/>
      </w:r>
      <w:r>
        <w:rPr>
          <w:noProof/>
        </w:rPr>
        <w:instrText xml:space="preserve"> PAGEREF _Toc170213088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Non</w:t>
      </w:r>
      <w:r>
        <w:rPr>
          <w:noProof/>
        </w:rPr>
        <w:noBreakHyphen/>
        <w:t>residential lots</w:t>
      </w:r>
      <w:r>
        <w:rPr>
          <w:noProof/>
        </w:rPr>
        <w:tab/>
      </w:r>
      <w:r>
        <w:rPr>
          <w:noProof/>
        </w:rPr>
        <w:fldChar w:fldCharType="begin"/>
      </w:r>
      <w:r>
        <w:rPr>
          <w:noProof/>
        </w:rPr>
        <w:instrText xml:space="preserve"> PAGEREF _Toc170213089 \h </w:instrText>
      </w:r>
      <w:r>
        <w:rPr>
          <w:noProof/>
        </w:rPr>
      </w:r>
      <w:r>
        <w:rPr>
          <w:noProof/>
        </w:rPr>
        <w:fldChar w:fldCharType="separate"/>
      </w:r>
      <w:r>
        <w:rPr>
          <w:noProof/>
        </w:rPr>
        <w:t>7</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Charges for Busselton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9"/>
        <w:rPr>
          <w:rFonts w:asciiTheme="minorHAnsi" w:eastAsiaTheme="minorEastAsia" w:hAnsiTheme="minorHAnsi" w:cstheme="minorBidi"/>
          <w:noProof/>
          <w:sz w:val="22"/>
          <w:szCs w:val="22"/>
        </w:rPr>
      </w:pPr>
      <w:r>
        <w:rPr>
          <w:noProof/>
        </w:rPr>
        <w:t>1.</w:t>
      </w:r>
      <w:r>
        <w:rPr>
          <w:noProof/>
        </w:rPr>
        <w:tab/>
        <w:t>Service charges for 2024/25 and subsequent years</w:t>
      </w:r>
      <w:r>
        <w:rPr>
          <w:noProof/>
        </w:rPr>
        <w:tab/>
      </w:r>
      <w:r>
        <w:rPr>
          <w:noProof/>
        </w:rPr>
        <w:fldChar w:fldCharType="begin"/>
      </w:r>
      <w:r>
        <w:rPr>
          <w:noProof/>
        </w:rPr>
        <w:instrText xml:space="preserve"> PAGEREF _Toc170213092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Residential lots</w:t>
      </w:r>
      <w:r>
        <w:rPr>
          <w:noProof/>
        </w:rPr>
        <w:tab/>
      </w:r>
      <w:r>
        <w:rPr>
          <w:noProof/>
        </w:rPr>
        <w:fldChar w:fldCharType="begin"/>
      </w:r>
      <w:r>
        <w:rPr>
          <w:noProof/>
        </w:rPr>
        <w:instrText xml:space="preserve"> PAGEREF _Toc170213093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Non</w:t>
      </w:r>
      <w:r>
        <w:rPr>
          <w:noProof/>
        </w:rPr>
        <w:noBreakHyphen/>
        <w:t>residential lots</w:t>
      </w:r>
      <w:r>
        <w:rPr>
          <w:noProof/>
        </w:rPr>
        <w:tab/>
      </w:r>
      <w:r>
        <w:rPr>
          <w:noProof/>
        </w:rPr>
        <w:fldChar w:fldCharType="begin"/>
      </w:r>
      <w:r>
        <w:rPr>
          <w:noProof/>
        </w:rPr>
        <w:instrText xml:space="preserve"> PAGEREF _Toc170213094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Vacant land</w:t>
      </w:r>
      <w:r>
        <w:rPr>
          <w:noProof/>
        </w:rPr>
        <w:tab/>
      </w:r>
      <w:r>
        <w:rPr>
          <w:noProof/>
        </w:rPr>
        <w:fldChar w:fldCharType="begin"/>
      </w:r>
      <w:r>
        <w:rPr>
          <w:noProof/>
        </w:rPr>
        <w:instrText xml:space="preserve"> PAGEREF _Toc170213095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Fire service connections</w:t>
      </w:r>
      <w:r>
        <w:rPr>
          <w:noProof/>
        </w:rPr>
        <w:tab/>
      </w:r>
      <w:r>
        <w:rPr>
          <w:noProof/>
        </w:rPr>
        <w:fldChar w:fldCharType="begin"/>
      </w:r>
      <w:r>
        <w:rPr>
          <w:noProof/>
        </w:rPr>
        <w:instrText xml:space="preserve"> PAGEREF _Toc170213096 \h </w:instrText>
      </w:r>
      <w:r>
        <w:rPr>
          <w:noProof/>
        </w:rPr>
      </w:r>
      <w:r>
        <w:rPr>
          <w:noProof/>
        </w:rPr>
        <w:fldChar w:fldCharType="separate"/>
      </w:r>
      <w:r>
        <w:rPr>
          <w:noProof/>
        </w:rPr>
        <w:t>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Consumption charges</w:t>
      </w:r>
    </w:p>
    <w:p>
      <w:pPr>
        <w:pStyle w:val="TOC9"/>
        <w:rPr>
          <w:rFonts w:asciiTheme="minorHAnsi" w:eastAsiaTheme="minorEastAsia" w:hAnsiTheme="minorHAnsi" w:cstheme="minorBidi"/>
          <w:noProof/>
          <w:sz w:val="22"/>
          <w:szCs w:val="22"/>
        </w:rPr>
      </w:pPr>
      <w:r>
        <w:rPr>
          <w:noProof/>
        </w:rPr>
        <w:t>6.</w:t>
      </w:r>
      <w:r>
        <w:rPr>
          <w:noProof/>
        </w:rPr>
        <w:tab/>
        <w:t>Consumption charges for 2024/25 and subsequent years</w:t>
      </w:r>
      <w:r>
        <w:rPr>
          <w:noProof/>
        </w:rPr>
        <w:tab/>
      </w:r>
      <w:r>
        <w:rPr>
          <w:noProof/>
        </w:rPr>
        <w:fldChar w:fldCharType="begin"/>
      </w:r>
      <w:r>
        <w:rPr>
          <w:noProof/>
        </w:rPr>
        <w:instrText xml:space="preserve"> PAGEREF _Toc170213098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Residential lots</w:t>
      </w:r>
      <w:r>
        <w:rPr>
          <w:noProof/>
        </w:rPr>
        <w:tab/>
      </w:r>
      <w:r>
        <w:rPr>
          <w:noProof/>
        </w:rPr>
        <w:fldChar w:fldCharType="begin"/>
      </w:r>
      <w:r>
        <w:rPr>
          <w:noProof/>
        </w:rPr>
        <w:instrText xml:space="preserve"> PAGEREF _Toc170213099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Non</w:t>
      </w:r>
      <w:r>
        <w:rPr>
          <w:noProof/>
        </w:rPr>
        <w:noBreakHyphen/>
        <w:t>residential lots</w:t>
      </w:r>
      <w:r>
        <w:rPr>
          <w:noProof/>
        </w:rPr>
        <w:tab/>
      </w:r>
      <w:r>
        <w:rPr>
          <w:noProof/>
        </w:rPr>
        <w:fldChar w:fldCharType="begin"/>
      </w:r>
      <w:r>
        <w:rPr>
          <w:noProof/>
        </w:rPr>
        <w:instrText xml:space="preserve"> PAGEREF _Toc170213100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Water supply service (fire)</w:t>
      </w:r>
      <w:r>
        <w:rPr>
          <w:noProof/>
        </w:rPr>
        <w:tab/>
      </w:r>
      <w:r>
        <w:rPr>
          <w:noProof/>
        </w:rPr>
        <w:fldChar w:fldCharType="begin"/>
      </w:r>
      <w:r>
        <w:rPr>
          <w:noProof/>
        </w:rPr>
        <w:instrText xml:space="preserve"> PAGEREF _Toc170213101 \h </w:instrText>
      </w:r>
      <w:r>
        <w:rPr>
          <w:noProof/>
        </w:rPr>
      </w:r>
      <w:r>
        <w:rPr>
          <w:noProof/>
        </w:rPr>
        <w:fldChar w:fldCharType="separate"/>
      </w:r>
      <w:r>
        <w:rPr>
          <w:noProof/>
        </w:rPr>
        <w:t>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3 — Water supply charges for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w:t>
      </w:r>
      <w:r>
        <w:rPr>
          <w:noProof/>
        </w:rPr>
        <w:tab/>
        <w:t>Service charges for 2024/25 and subsequent years</w:t>
      </w:r>
      <w:r>
        <w:rPr>
          <w:noProof/>
        </w:rPr>
        <w:tab/>
      </w:r>
      <w:r>
        <w:rPr>
          <w:noProof/>
        </w:rPr>
        <w:fldChar w:fldCharType="begin"/>
      </w:r>
      <w:r>
        <w:rPr>
          <w:noProof/>
        </w:rPr>
        <w:instrText xml:space="preserve"> PAGEREF _Toc170213105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Table of meter</w:t>
      </w:r>
      <w:r>
        <w:rPr>
          <w:noProof/>
        </w:rPr>
        <w:noBreakHyphen/>
        <w:t>based charges</w:t>
      </w:r>
      <w:r>
        <w:rPr>
          <w:noProof/>
        </w:rPr>
        <w:tab/>
      </w:r>
      <w:r>
        <w:rPr>
          <w:noProof/>
        </w:rPr>
        <w:fldChar w:fldCharType="begin"/>
      </w:r>
      <w:r>
        <w:rPr>
          <w:noProof/>
        </w:rPr>
        <w:instrText xml:space="preserve"> PAGEREF _Toc170213106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Service charges that apply for land</w:t>
      </w:r>
    </w:p>
    <w:p>
      <w:pPr>
        <w:pStyle w:val="TOC9"/>
        <w:rPr>
          <w:rFonts w:asciiTheme="minorHAnsi" w:eastAsiaTheme="minorEastAsia" w:hAnsiTheme="minorHAnsi" w:cstheme="minorBidi"/>
          <w:noProof/>
          <w:sz w:val="22"/>
          <w:szCs w:val="22"/>
        </w:rPr>
      </w:pPr>
      <w:r>
        <w:rPr>
          <w:noProof/>
        </w:rPr>
        <w:t>3.</w:t>
      </w:r>
      <w:r>
        <w:rPr>
          <w:noProof/>
        </w:rPr>
        <w:tab/>
        <w:t>Residential</w:t>
      </w:r>
      <w:r>
        <w:rPr>
          <w:noProof/>
        </w:rPr>
        <w:tab/>
      </w:r>
      <w:r>
        <w:rPr>
          <w:noProof/>
        </w:rPr>
        <w:fldChar w:fldCharType="begin"/>
      </w:r>
      <w:r>
        <w:rPr>
          <w:noProof/>
        </w:rPr>
        <w:instrText xml:space="preserve"> PAGEREF _Toc170213108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Metropolitan concessional</w:t>
      </w:r>
      <w:r>
        <w:rPr>
          <w:noProof/>
        </w:rPr>
        <w:tab/>
      </w:r>
      <w:r>
        <w:rPr>
          <w:noProof/>
        </w:rPr>
        <w:fldChar w:fldCharType="begin"/>
      </w:r>
      <w:r>
        <w:rPr>
          <w:noProof/>
        </w:rPr>
        <w:instrText xml:space="preserve"> PAGEREF _Toc170213109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Strata</w:t>
      </w:r>
      <w:r>
        <w:rPr>
          <w:noProof/>
        </w:rPr>
        <w:noBreakHyphen/>
        <w:t>titled or long</w:t>
      </w:r>
      <w:r>
        <w:rPr>
          <w:noProof/>
        </w:rPr>
        <w:noBreakHyphen/>
        <w:t>term residential caravan bays and park homes</w:t>
      </w:r>
      <w:r>
        <w:rPr>
          <w:noProof/>
        </w:rPr>
        <w:tab/>
      </w:r>
      <w:r>
        <w:rPr>
          <w:noProof/>
        </w:rPr>
        <w:fldChar w:fldCharType="begin"/>
      </w:r>
      <w:r>
        <w:rPr>
          <w:noProof/>
        </w:rPr>
        <w:instrText xml:space="preserve"> PAGEREF _Toc170213110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Storage units or parking bays in strata titles scheme or community titles scheme</w:t>
      </w:r>
      <w:r>
        <w:rPr>
          <w:noProof/>
        </w:rPr>
        <w:tab/>
      </w:r>
      <w:r>
        <w:rPr>
          <w:noProof/>
        </w:rPr>
        <w:fldChar w:fldCharType="begin"/>
      </w:r>
      <w:r>
        <w:rPr>
          <w:noProof/>
        </w:rPr>
        <w:instrText xml:space="preserve"> PAGEREF _Toc170213111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Non</w:t>
      </w:r>
      <w:r>
        <w:rPr>
          <w:noProof/>
        </w:rPr>
        <w:noBreakHyphen/>
        <w:t>residential lots in strata titles scheme or community titles scheme that share a service</w:t>
      </w:r>
      <w:r>
        <w:rPr>
          <w:noProof/>
        </w:rPr>
        <w:tab/>
      </w:r>
      <w:r>
        <w:rPr>
          <w:noProof/>
        </w:rPr>
        <w:fldChar w:fldCharType="begin"/>
      </w:r>
      <w:r>
        <w:rPr>
          <w:noProof/>
        </w:rPr>
        <w:instrText xml:space="preserve"> PAGEREF _Toc170213112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Community residential</w:t>
      </w:r>
      <w:r>
        <w:rPr>
          <w:noProof/>
        </w:rPr>
        <w:tab/>
      </w:r>
      <w:r>
        <w:rPr>
          <w:noProof/>
        </w:rPr>
        <w:fldChar w:fldCharType="begin"/>
      </w:r>
      <w:r>
        <w:rPr>
          <w:noProof/>
        </w:rPr>
        <w:instrText xml:space="preserve"> PAGEREF _Toc170213113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Semi</w:t>
      </w:r>
      <w:r>
        <w:rPr>
          <w:noProof/>
        </w:rPr>
        <w:noBreakHyphen/>
        <w:t>rural residential</w:t>
      </w:r>
      <w:r>
        <w:rPr>
          <w:noProof/>
        </w:rPr>
        <w:tab/>
      </w:r>
      <w:r>
        <w:rPr>
          <w:noProof/>
        </w:rPr>
        <w:fldChar w:fldCharType="begin"/>
      </w:r>
      <w:r>
        <w:rPr>
          <w:noProof/>
        </w:rPr>
        <w:instrText xml:space="preserve"> PAGEREF _Toc170213114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Non</w:t>
      </w:r>
      <w:r>
        <w:rPr>
          <w:noProof/>
        </w:rPr>
        <w:noBreakHyphen/>
        <w:t>metropolitan concessional</w:t>
      </w:r>
      <w:r>
        <w:rPr>
          <w:noProof/>
        </w:rPr>
        <w:tab/>
      </w:r>
      <w:r>
        <w:rPr>
          <w:noProof/>
        </w:rPr>
        <w:fldChar w:fldCharType="begin"/>
      </w:r>
      <w:r>
        <w:rPr>
          <w:noProof/>
        </w:rPr>
        <w:instrText xml:space="preserve"> PAGEREF _Toc170213115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Non</w:t>
      </w:r>
      <w:r>
        <w:rPr>
          <w:noProof/>
        </w:rPr>
        <w:noBreakHyphen/>
        <w:t xml:space="preserve">residential or commercial residential (except storage units, parking bays and </w:t>
      </w:r>
      <w:r>
        <w:rPr>
          <w:noProof/>
        </w:rPr>
        <w:lastRenderedPageBreak/>
        <w:t>certain lots in strata titles scheme or community titles scheme)</w:t>
      </w:r>
      <w:r>
        <w:rPr>
          <w:noProof/>
        </w:rPr>
        <w:tab/>
      </w:r>
      <w:r>
        <w:rPr>
          <w:noProof/>
        </w:rPr>
        <w:fldChar w:fldCharType="begin"/>
      </w:r>
      <w:r>
        <w:rPr>
          <w:noProof/>
        </w:rPr>
        <w:instrText xml:space="preserve"> PAGEREF _Toc170213116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Additional connections</w:t>
      </w:r>
      <w:r>
        <w:rPr>
          <w:noProof/>
        </w:rPr>
        <w:tab/>
      </w:r>
      <w:r>
        <w:rPr>
          <w:noProof/>
        </w:rPr>
        <w:fldChar w:fldCharType="begin"/>
      </w:r>
      <w:r>
        <w:rPr>
          <w:noProof/>
        </w:rPr>
        <w:instrText xml:space="preserve"> PAGEREF _Toc170213117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Vacant land</w:t>
      </w:r>
      <w:r>
        <w:rPr>
          <w:noProof/>
        </w:rPr>
        <w:tab/>
      </w:r>
      <w:r>
        <w:rPr>
          <w:noProof/>
        </w:rPr>
        <w:fldChar w:fldCharType="begin"/>
      </w:r>
      <w:r>
        <w:rPr>
          <w:noProof/>
        </w:rPr>
        <w:instrText xml:space="preserve"> PAGEREF _Toc170213118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Garden service connections</w:t>
      </w:r>
      <w:r>
        <w:rPr>
          <w:noProof/>
        </w:rPr>
        <w:tab/>
      </w:r>
      <w:r>
        <w:rPr>
          <w:noProof/>
        </w:rPr>
        <w:fldChar w:fldCharType="begin"/>
      </w:r>
      <w:r>
        <w:rPr>
          <w:noProof/>
        </w:rPr>
        <w:instrText xml:space="preserve"> PAGEREF _Toc170213119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Government trading organisations and non</w:t>
      </w:r>
      <w:r>
        <w:rPr>
          <w:noProof/>
        </w:rPr>
        <w:noBreakHyphen/>
        <w:t>commercial government property</w:t>
      </w:r>
      <w:r>
        <w:rPr>
          <w:noProof/>
        </w:rPr>
        <w:tab/>
      </w:r>
      <w:r>
        <w:rPr>
          <w:noProof/>
        </w:rPr>
        <w:fldChar w:fldCharType="begin"/>
      </w:r>
      <w:r>
        <w:rPr>
          <w:noProof/>
        </w:rPr>
        <w:instrText xml:space="preserve"> PAGEREF _Toc170213120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Government trading organisations and non</w:t>
      </w:r>
      <w:r>
        <w:rPr>
          <w:noProof/>
        </w:rPr>
        <w:noBreakHyphen/>
        <w:t>commercial government property: on</w:t>
      </w:r>
      <w:r>
        <w:rPr>
          <w:noProof/>
        </w:rPr>
        <w:noBreakHyphen/>
        <w:t>supply to lessees or ships</w:t>
      </w:r>
      <w:r>
        <w:rPr>
          <w:noProof/>
        </w:rPr>
        <w:tab/>
      </w:r>
      <w:r>
        <w:rPr>
          <w:noProof/>
        </w:rPr>
        <w:fldChar w:fldCharType="begin"/>
      </w:r>
      <w:r>
        <w:rPr>
          <w:noProof/>
        </w:rPr>
        <w:instrText xml:space="preserve"> PAGEREF _Toc170213121 \h </w:instrText>
      </w:r>
      <w:r>
        <w:rPr>
          <w:noProof/>
        </w:rPr>
      </w:r>
      <w:r>
        <w:rPr>
          <w:noProof/>
        </w:rPr>
        <w:fldChar w:fldCharType="separate"/>
      </w:r>
      <w:r>
        <w:rPr>
          <w:noProof/>
        </w:rPr>
        <w:t>16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Other service charges</w:t>
      </w:r>
    </w:p>
    <w:p>
      <w:pPr>
        <w:pStyle w:val="TOC9"/>
        <w:rPr>
          <w:rFonts w:asciiTheme="minorHAnsi" w:eastAsiaTheme="minorEastAsia" w:hAnsiTheme="minorHAnsi" w:cstheme="minorBidi"/>
          <w:noProof/>
          <w:sz w:val="22"/>
          <w:szCs w:val="22"/>
        </w:rPr>
      </w:pPr>
      <w:r>
        <w:rPr>
          <w:noProof/>
        </w:rPr>
        <w:t>17.</w:t>
      </w:r>
      <w:r>
        <w:rPr>
          <w:noProof/>
        </w:rPr>
        <w:tab/>
        <w:t>Farmland</w:t>
      </w:r>
      <w:r>
        <w:rPr>
          <w:noProof/>
        </w:rPr>
        <w:tab/>
      </w:r>
      <w:r>
        <w:rPr>
          <w:noProof/>
        </w:rPr>
        <w:fldChar w:fldCharType="begin"/>
      </w:r>
      <w:r>
        <w:rPr>
          <w:noProof/>
        </w:rPr>
        <w:instrText xml:space="preserve"> PAGEREF _Toc170213123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Stock</w:t>
      </w:r>
      <w:r>
        <w:rPr>
          <w:noProof/>
        </w:rPr>
        <w:tab/>
      </w:r>
      <w:r>
        <w:rPr>
          <w:noProof/>
        </w:rPr>
        <w:fldChar w:fldCharType="begin"/>
      </w:r>
      <w:r>
        <w:rPr>
          <w:noProof/>
        </w:rPr>
        <w:instrText xml:space="preserve"> PAGEREF _Toc170213124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Shipping</w:t>
      </w:r>
      <w:r>
        <w:rPr>
          <w:noProof/>
        </w:rPr>
        <w:tab/>
      </w:r>
      <w:r>
        <w:rPr>
          <w:noProof/>
        </w:rPr>
        <w:fldChar w:fldCharType="begin"/>
      </w:r>
      <w:r>
        <w:rPr>
          <w:noProof/>
        </w:rPr>
        <w:instrText xml:space="preserve"> PAGEREF _Toc170213125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Local government standpipes</w:t>
      </w:r>
      <w:r>
        <w:rPr>
          <w:noProof/>
        </w:rPr>
        <w:tab/>
      </w:r>
      <w:r>
        <w:rPr>
          <w:noProof/>
        </w:rPr>
        <w:fldChar w:fldCharType="begin"/>
      </w:r>
      <w:r>
        <w:rPr>
          <w:noProof/>
        </w:rPr>
        <w:instrText xml:space="preserve"> PAGEREF _Toc170213126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Fire service connections</w:t>
      </w:r>
      <w:r>
        <w:rPr>
          <w:noProof/>
        </w:rPr>
        <w:tab/>
      </w:r>
      <w:r>
        <w:rPr>
          <w:noProof/>
        </w:rPr>
        <w:fldChar w:fldCharType="begin"/>
      </w:r>
      <w:r>
        <w:rPr>
          <w:noProof/>
        </w:rPr>
        <w:instrText xml:space="preserve"> PAGEREF _Toc170213127 \h </w:instrText>
      </w:r>
      <w:r>
        <w:rPr>
          <w:noProof/>
        </w:rPr>
      </w:r>
      <w:r>
        <w:rPr>
          <w:noProof/>
        </w:rPr>
        <w:fldChar w:fldCharType="separate"/>
      </w:r>
      <w:r>
        <w:rPr>
          <w:noProof/>
        </w:rPr>
        <w:t>17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Consumption charges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22.</w:t>
      </w:r>
      <w:r>
        <w:rPr>
          <w:noProof/>
        </w:rPr>
        <w:tab/>
        <w:t>Consumption charges for 2024/25 and subsequent years</w:t>
      </w:r>
      <w:r>
        <w:rPr>
          <w:noProof/>
        </w:rPr>
        <w:tab/>
      </w:r>
      <w:r>
        <w:rPr>
          <w:noProof/>
        </w:rPr>
        <w:fldChar w:fldCharType="begin"/>
      </w:r>
      <w:r>
        <w:rPr>
          <w:noProof/>
        </w:rPr>
        <w:instrText xml:space="preserve"> PAGEREF _Toc170213130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Residential or non</w:t>
      </w:r>
      <w:r>
        <w:rPr>
          <w:noProof/>
        </w:rPr>
        <w:noBreakHyphen/>
        <w:t>residential class of town or area</w:t>
      </w:r>
      <w:r>
        <w:rPr>
          <w:noProof/>
        </w:rPr>
        <w:tab/>
      </w:r>
      <w:r>
        <w:rPr>
          <w:noProof/>
        </w:rPr>
        <w:fldChar w:fldCharType="begin"/>
      </w:r>
      <w:r>
        <w:rPr>
          <w:noProof/>
        </w:rPr>
        <w:instrText xml:space="preserve"> PAGEREF _Toc170213131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Table of class</w:t>
      </w:r>
      <w:r>
        <w:rPr>
          <w:noProof/>
        </w:rPr>
        <w:noBreakHyphen/>
        <w:t>based charges</w:t>
      </w:r>
      <w:r>
        <w:rPr>
          <w:noProof/>
        </w:rPr>
        <w:tab/>
      </w:r>
      <w:r>
        <w:rPr>
          <w:noProof/>
        </w:rPr>
        <w:fldChar w:fldCharType="begin"/>
      </w:r>
      <w:r>
        <w:rPr>
          <w:noProof/>
        </w:rPr>
        <w:instrText xml:space="preserve"> PAGEREF _Toc170213132 \h </w:instrText>
      </w:r>
      <w:r>
        <w:rPr>
          <w:noProof/>
        </w:rPr>
      </w:r>
      <w:r>
        <w:rPr>
          <w:noProof/>
        </w:rPr>
        <w:fldChar w:fldCharType="separate"/>
      </w:r>
      <w:r>
        <w:rPr>
          <w:noProof/>
        </w:rPr>
        <w:t>18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Consumption charges that apply to land</w:t>
      </w:r>
    </w:p>
    <w:p>
      <w:pPr>
        <w:pStyle w:val="TOC9"/>
        <w:rPr>
          <w:rFonts w:asciiTheme="minorHAnsi" w:eastAsiaTheme="minorEastAsia" w:hAnsiTheme="minorHAnsi" w:cstheme="minorBidi"/>
          <w:noProof/>
          <w:sz w:val="22"/>
          <w:szCs w:val="22"/>
        </w:rPr>
      </w:pPr>
      <w:r>
        <w:rPr>
          <w:noProof/>
        </w:rPr>
        <w:t>25.</w:t>
      </w:r>
      <w:r>
        <w:rPr>
          <w:noProof/>
        </w:rPr>
        <w:tab/>
        <w:t>Metropolitan residential and semi</w:t>
      </w:r>
      <w:r>
        <w:rPr>
          <w:noProof/>
        </w:rPr>
        <w:noBreakHyphen/>
        <w:t>rural residential</w:t>
      </w:r>
      <w:r>
        <w:rPr>
          <w:noProof/>
        </w:rPr>
        <w:tab/>
      </w:r>
      <w:r>
        <w:rPr>
          <w:noProof/>
        </w:rPr>
        <w:fldChar w:fldCharType="begin"/>
      </w:r>
      <w:r>
        <w:rPr>
          <w:noProof/>
        </w:rPr>
        <w:instrText xml:space="preserve"> PAGEREF _Toc170213134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Metropolitan non</w:t>
      </w:r>
      <w:r>
        <w:rPr>
          <w:noProof/>
        </w:rPr>
        <w:noBreakHyphen/>
        <w:t>residential</w:t>
      </w:r>
      <w:r>
        <w:rPr>
          <w:noProof/>
        </w:rPr>
        <w:tab/>
      </w:r>
      <w:r>
        <w:rPr>
          <w:noProof/>
        </w:rPr>
        <w:fldChar w:fldCharType="begin"/>
      </w:r>
      <w:r>
        <w:rPr>
          <w:noProof/>
        </w:rPr>
        <w:instrText xml:space="preserve"> PAGEREF _Toc170213135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Metropolitan non</w:t>
      </w:r>
      <w:r>
        <w:rPr>
          <w:noProof/>
        </w:rPr>
        <w:noBreakHyphen/>
        <w:t>residential concessional</w:t>
      </w:r>
      <w:r>
        <w:rPr>
          <w:noProof/>
        </w:rPr>
        <w:tab/>
      </w:r>
      <w:r>
        <w:rPr>
          <w:noProof/>
        </w:rPr>
        <w:fldChar w:fldCharType="begin"/>
      </w:r>
      <w:r>
        <w:rPr>
          <w:noProof/>
        </w:rPr>
        <w:instrText xml:space="preserve"> PAGEREF _Toc170213136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Community residential</w:t>
      </w:r>
      <w:r>
        <w:rPr>
          <w:noProof/>
        </w:rPr>
        <w:tab/>
      </w:r>
      <w:r>
        <w:rPr>
          <w:noProof/>
        </w:rPr>
        <w:fldChar w:fldCharType="begin"/>
      </w:r>
      <w:r>
        <w:rPr>
          <w:noProof/>
        </w:rPr>
        <w:instrText xml:space="preserve"> PAGEREF _Toc170213137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Non</w:t>
      </w:r>
      <w:r>
        <w:rPr>
          <w:noProof/>
        </w:rPr>
        <w:noBreakHyphen/>
        <w:t>metropolitan residential</w:t>
      </w:r>
      <w:r>
        <w:rPr>
          <w:noProof/>
        </w:rPr>
        <w:tab/>
      </w:r>
      <w:r>
        <w:rPr>
          <w:noProof/>
        </w:rPr>
        <w:fldChar w:fldCharType="begin"/>
      </w:r>
      <w:r>
        <w:rPr>
          <w:noProof/>
        </w:rPr>
        <w:instrText xml:space="preserve"> PAGEREF _Toc170213138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Non</w:t>
      </w:r>
      <w:r>
        <w:rPr>
          <w:noProof/>
        </w:rPr>
        <w:noBreakHyphen/>
        <w:t>metropolitan non</w:t>
      </w:r>
      <w:r>
        <w:rPr>
          <w:noProof/>
        </w:rPr>
        <w:noBreakHyphen/>
        <w:t>residential</w:t>
      </w:r>
      <w:r>
        <w:rPr>
          <w:noProof/>
        </w:rPr>
        <w:tab/>
      </w:r>
      <w:r>
        <w:rPr>
          <w:noProof/>
        </w:rPr>
        <w:fldChar w:fldCharType="begin"/>
      </w:r>
      <w:r>
        <w:rPr>
          <w:noProof/>
        </w:rPr>
        <w:instrText xml:space="preserve"> PAGEREF _Toc170213139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Strata</w:t>
      </w:r>
      <w:r>
        <w:rPr>
          <w:noProof/>
        </w:rPr>
        <w:noBreakHyphen/>
        <w:t>titled or long</w:t>
      </w:r>
      <w:r>
        <w:rPr>
          <w:noProof/>
        </w:rPr>
        <w:noBreakHyphen/>
        <w:t>term residential caravan bays</w:t>
      </w:r>
      <w:r>
        <w:rPr>
          <w:noProof/>
        </w:rPr>
        <w:tab/>
      </w:r>
      <w:r>
        <w:rPr>
          <w:noProof/>
        </w:rPr>
        <w:fldChar w:fldCharType="begin"/>
      </w:r>
      <w:r>
        <w:rPr>
          <w:noProof/>
        </w:rPr>
        <w:instrText xml:space="preserve"> PAGEREF _Toc170213140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Government trading organisations and non</w:t>
      </w:r>
      <w:r>
        <w:rPr>
          <w:noProof/>
        </w:rPr>
        <w:noBreakHyphen/>
        <w:t>commercial government property</w:t>
      </w:r>
      <w:r>
        <w:rPr>
          <w:noProof/>
        </w:rPr>
        <w:tab/>
      </w:r>
      <w:r>
        <w:rPr>
          <w:noProof/>
        </w:rPr>
        <w:fldChar w:fldCharType="begin"/>
      </w:r>
      <w:r>
        <w:rPr>
          <w:noProof/>
        </w:rPr>
        <w:instrText xml:space="preserve"> PAGEREF _Toc170213141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Coral Bay desalinated</w:t>
      </w:r>
      <w:r>
        <w:rPr>
          <w:noProof/>
        </w:rPr>
        <w:tab/>
      </w:r>
      <w:r>
        <w:rPr>
          <w:noProof/>
        </w:rPr>
        <w:fldChar w:fldCharType="begin"/>
      </w:r>
      <w:r>
        <w:rPr>
          <w:noProof/>
        </w:rPr>
        <w:instrText xml:space="preserve"> PAGEREF _Toc170213142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Denham desalinated</w:t>
      </w:r>
      <w:r>
        <w:rPr>
          <w:noProof/>
        </w:rPr>
        <w:tab/>
      </w:r>
      <w:r>
        <w:rPr>
          <w:noProof/>
        </w:rPr>
        <w:fldChar w:fldCharType="begin"/>
      </w:r>
      <w:r>
        <w:rPr>
          <w:noProof/>
        </w:rPr>
        <w:instrText xml:space="preserve"> PAGEREF _Toc170213143 \h </w:instrText>
      </w:r>
      <w:r>
        <w:rPr>
          <w:noProof/>
        </w:rPr>
      </w:r>
      <w:r>
        <w:rPr>
          <w:noProof/>
        </w:rPr>
        <w:fldChar w:fldCharType="separate"/>
      </w:r>
      <w:r>
        <w:rPr>
          <w:noProof/>
        </w:rPr>
        <w:t>23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Other consumption charges</w:t>
      </w:r>
    </w:p>
    <w:p>
      <w:pPr>
        <w:pStyle w:val="TOC9"/>
        <w:rPr>
          <w:rFonts w:asciiTheme="minorHAnsi" w:eastAsiaTheme="minorEastAsia" w:hAnsiTheme="minorHAnsi" w:cstheme="minorBidi"/>
          <w:noProof/>
          <w:sz w:val="22"/>
          <w:szCs w:val="22"/>
        </w:rPr>
      </w:pPr>
      <w:r>
        <w:rPr>
          <w:noProof/>
        </w:rPr>
        <w:t>35.</w:t>
      </w:r>
      <w:r>
        <w:rPr>
          <w:noProof/>
        </w:rPr>
        <w:tab/>
        <w:t>Local government standpipes</w:t>
      </w:r>
      <w:r>
        <w:rPr>
          <w:noProof/>
        </w:rPr>
        <w:tab/>
      </w:r>
      <w:r>
        <w:rPr>
          <w:noProof/>
        </w:rPr>
        <w:fldChar w:fldCharType="begin"/>
      </w:r>
      <w:r>
        <w:rPr>
          <w:noProof/>
        </w:rPr>
        <w:instrText xml:space="preserve"> PAGEREF _Toc170213145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Shipping</w:t>
      </w:r>
      <w:r>
        <w:rPr>
          <w:noProof/>
        </w:rPr>
        <w:tab/>
      </w:r>
      <w:r>
        <w:rPr>
          <w:noProof/>
        </w:rPr>
        <w:fldChar w:fldCharType="begin"/>
      </w:r>
      <w:r>
        <w:rPr>
          <w:noProof/>
        </w:rPr>
        <w:instrText xml:space="preserve"> PAGEREF _Toc170213146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Stock</w:t>
      </w:r>
      <w:r>
        <w:rPr>
          <w:noProof/>
        </w:rPr>
        <w:tab/>
      </w:r>
      <w:r>
        <w:rPr>
          <w:noProof/>
        </w:rPr>
        <w:fldChar w:fldCharType="begin"/>
      </w:r>
      <w:r>
        <w:rPr>
          <w:noProof/>
        </w:rPr>
        <w:instrText xml:space="preserve"> PAGEREF _Toc170213147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Hydrant standpipes</w:t>
      </w:r>
      <w:r>
        <w:rPr>
          <w:noProof/>
        </w:rPr>
        <w:tab/>
      </w:r>
      <w:r>
        <w:rPr>
          <w:noProof/>
        </w:rPr>
        <w:fldChar w:fldCharType="begin"/>
      </w:r>
      <w:r>
        <w:rPr>
          <w:noProof/>
        </w:rPr>
        <w:instrText xml:space="preserve"> PAGEREF _Toc170213148 \h </w:instrText>
      </w:r>
      <w:r>
        <w:rPr>
          <w:noProof/>
        </w:rPr>
      </w:r>
      <w:r>
        <w:rPr>
          <w:noProof/>
        </w:rPr>
        <w:fldChar w:fldCharType="separate"/>
      </w:r>
      <w:r>
        <w:rPr>
          <w:noProof/>
        </w:rPr>
        <w:t>24</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4 — Sewerage charges for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9"/>
        <w:rPr>
          <w:rFonts w:asciiTheme="minorHAnsi" w:eastAsiaTheme="minorEastAsia" w:hAnsiTheme="minorHAnsi" w:cstheme="minorBidi"/>
          <w:noProof/>
          <w:sz w:val="22"/>
          <w:szCs w:val="22"/>
        </w:rPr>
      </w:pPr>
      <w:r>
        <w:rPr>
          <w:noProof/>
        </w:rPr>
        <w:t>1.</w:t>
      </w:r>
      <w:r>
        <w:rPr>
          <w:noProof/>
        </w:rPr>
        <w:tab/>
        <w:t>Service charges for 2024/25 and subsequent years</w:t>
      </w:r>
      <w:r>
        <w:rPr>
          <w:noProof/>
        </w:rPr>
        <w:tab/>
      </w:r>
      <w:r>
        <w:rPr>
          <w:noProof/>
        </w:rPr>
        <w:fldChar w:fldCharType="begin"/>
      </w:r>
      <w:r>
        <w:rPr>
          <w:noProof/>
        </w:rPr>
        <w:instrText xml:space="preserve"> PAGEREF _Toc170213151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Metropolitan residential</w:t>
      </w:r>
      <w:r>
        <w:rPr>
          <w:noProof/>
        </w:rPr>
        <w:tab/>
      </w:r>
      <w:r>
        <w:rPr>
          <w:noProof/>
        </w:rPr>
        <w:fldChar w:fldCharType="begin"/>
      </w:r>
      <w:r>
        <w:rPr>
          <w:noProof/>
        </w:rPr>
        <w:instrText xml:space="preserve"> PAGEREF _Toc170213152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Metropolitan vacant land</w:t>
      </w:r>
      <w:r>
        <w:rPr>
          <w:noProof/>
        </w:rPr>
        <w:tab/>
      </w:r>
      <w:r>
        <w:rPr>
          <w:noProof/>
        </w:rPr>
        <w:fldChar w:fldCharType="begin"/>
      </w:r>
      <w:r>
        <w:rPr>
          <w:noProof/>
        </w:rPr>
        <w:instrText xml:space="preserve"> PAGEREF _Toc170213153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Metropolitan concessional</w:t>
      </w:r>
      <w:r>
        <w:rPr>
          <w:noProof/>
        </w:rPr>
        <w:tab/>
      </w:r>
      <w:r>
        <w:rPr>
          <w:noProof/>
        </w:rPr>
        <w:fldChar w:fldCharType="begin"/>
      </w:r>
      <w:r>
        <w:rPr>
          <w:noProof/>
        </w:rPr>
        <w:instrText xml:space="preserve"> PAGEREF _Toc170213154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Strata</w:t>
      </w:r>
      <w:r>
        <w:rPr>
          <w:noProof/>
        </w:rPr>
        <w:noBreakHyphen/>
        <w:t>titled long</w:t>
      </w:r>
      <w:r>
        <w:rPr>
          <w:noProof/>
        </w:rPr>
        <w:noBreakHyphen/>
        <w:t>term residential caravan bays and park homes</w:t>
      </w:r>
      <w:r>
        <w:rPr>
          <w:noProof/>
        </w:rPr>
        <w:tab/>
      </w:r>
      <w:r>
        <w:rPr>
          <w:noProof/>
        </w:rPr>
        <w:fldChar w:fldCharType="begin"/>
      </w:r>
      <w:r>
        <w:rPr>
          <w:noProof/>
        </w:rPr>
        <w:instrText xml:space="preserve"> PAGEREF _Toc170213155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Storage units or parking bays in strata titles scheme or community titles scheme</w:t>
      </w:r>
      <w:r>
        <w:rPr>
          <w:noProof/>
        </w:rPr>
        <w:tab/>
      </w:r>
      <w:r>
        <w:rPr>
          <w:noProof/>
        </w:rPr>
        <w:fldChar w:fldCharType="begin"/>
      </w:r>
      <w:r>
        <w:rPr>
          <w:noProof/>
        </w:rPr>
        <w:instrText xml:space="preserve"> PAGEREF _Toc170213156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Land from which trade waste is discharged into sewer</w:t>
      </w:r>
      <w:r>
        <w:rPr>
          <w:noProof/>
        </w:rPr>
        <w:tab/>
      </w:r>
      <w:r>
        <w:rPr>
          <w:noProof/>
        </w:rPr>
        <w:fldChar w:fldCharType="begin"/>
      </w:r>
      <w:r>
        <w:rPr>
          <w:noProof/>
        </w:rPr>
        <w:instrText xml:space="preserve"> PAGEREF _Toc170213157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Land from which trade waste is discharged into sewer through grease arrestor</w:t>
      </w:r>
      <w:r>
        <w:rPr>
          <w:noProof/>
        </w:rPr>
        <w:tab/>
      </w:r>
      <w:r>
        <w:rPr>
          <w:noProof/>
        </w:rPr>
        <w:fldChar w:fldCharType="begin"/>
      </w:r>
      <w:r>
        <w:rPr>
          <w:noProof/>
        </w:rPr>
        <w:instrText xml:space="preserve"> PAGEREF _Toc170213158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Trade waste discharged from open area</w:t>
      </w:r>
      <w:r>
        <w:rPr>
          <w:noProof/>
        </w:rPr>
        <w:tab/>
      </w:r>
      <w:r>
        <w:rPr>
          <w:noProof/>
        </w:rPr>
        <w:fldChar w:fldCharType="begin"/>
      </w:r>
      <w:r>
        <w:rPr>
          <w:noProof/>
        </w:rPr>
        <w:instrText xml:space="preserve"> PAGEREF _Toc170213159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Non</w:t>
      </w:r>
      <w:r>
        <w:rPr>
          <w:noProof/>
        </w:rPr>
        <w:noBreakHyphen/>
        <w:t>metropolitan concessional</w:t>
      </w:r>
      <w:r>
        <w:rPr>
          <w:noProof/>
        </w:rPr>
        <w:tab/>
      </w:r>
      <w:r>
        <w:rPr>
          <w:noProof/>
        </w:rPr>
        <w:fldChar w:fldCharType="begin"/>
      </w:r>
      <w:r>
        <w:rPr>
          <w:noProof/>
        </w:rPr>
        <w:instrText xml:space="preserve"> PAGEREF _Toc170213160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Community residential</w:t>
      </w:r>
      <w:r>
        <w:rPr>
          <w:noProof/>
        </w:rPr>
        <w:tab/>
      </w:r>
      <w:r>
        <w:rPr>
          <w:noProof/>
        </w:rPr>
        <w:fldChar w:fldCharType="begin"/>
      </w:r>
      <w:r>
        <w:rPr>
          <w:noProof/>
        </w:rPr>
        <w:instrText xml:space="preserve"> PAGEREF _Toc170213161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Non</w:t>
      </w:r>
      <w:r>
        <w:rPr>
          <w:noProof/>
        </w:rPr>
        <w:noBreakHyphen/>
        <w:t>metropolitan residential or vacant land</w:t>
      </w:r>
      <w:r>
        <w:rPr>
          <w:noProof/>
        </w:rPr>
        <w:tab/>
      </w:r>
      <w:r>
        <w:rPr>
          <w:noProof/>
        </w:rPr>
        <w:fldChar w:fldCharType="begin"/>
      </w:r>
      <w:r>
        <w:rPr>
          <w:noProof/>
        </w:rPr>
        <w:instrText xml:space="preserve"> PAGEREF _Toc170213162 \h </w:instrText>
      </w:r>
      <w:r>
        <w:rPr>
          <w:noProof/>
        </w:rPr>
      </w:r>
      <w:r>
        <w:rPr>
          <w:noProof/>
        </w:rPr>
        <w:fldChar w:fldCharType="separate"/>
      </w:r>
      <w:r>
        <w:rPr>
          <w:noProof/>
        </w:rPr>
        <w:t>29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Combined charges for certain non</w:t>
      </w:r>
      <w:r>
        <w:noBreakHyphen/>
        <w:t>residential property</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13.</w:t>
      </w:r>
      <w:r>
        <w:rPr>
          <w:noProof/>
        </w:rPr>
        <w:tab/>
        <w:t>Combined charges for 2024/25 and subsequent years</w:t>
      </w:r>
      <w:r>
        <w:rPr>
          <w:noProof/>
        </w:rPr>
        <w:tab/>
      </w:r>
      <w:r>
        <w:rPr>
          <w:noProof/>
        </w:rPr>
        <w:fldChar w:fldCharType="begin"/>
      </w:r>
      <w:r>
        <w:rPr>
          <w:noProof/>
        </w:rPr>
        <w:instrText xml:space="preserve"> PAGEREF _Toc170213165 \h </w:instrText>
      </w:r>
      <w:r>
        <w:rPr>
          <w:noProof/>
        </w:rPr>
      </w:r>
      <w:r>
        <w:rPr>
          <w:noProof/>
        </w:rPr>
        <w:fldChar w:fldCharType="separate"/>
      </w:r>
      <w:r>
        <w:rPr>
          <w:noProof/>
        </w:rPr>
        <w:t>35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Combined charges: metropolitan</w:t>
      </w:r>
    </w:p>
    <w:p>
      <w:pPr>
        <w:pStyle w:val="TOC9"/>
        <w:rPr>
          <w:rFonts w:asciiTheme="minorHAnsi" w:eastAsiaTheme="minorEastAsia" w:hAnsiTheme="minorHAnsi" w:cstheme="minorBidi"/>
          <w:noProof/>
          <w:sz w:val="22"/>
          <w:szCs w:val="22"/>
        </w:rPr>
      </w:pPr>
      <w:r>
        <w:rPr>
          <w:noProof/>
        </w:rPr>
        <w:t>14.</w:t>
      </w:r>
      <w:r>
        <w:rPr>
          <w:noProof/>
        </w:rPr>
        <w:tab/>
        <w:t>Metropolitan non</w:t>
      </w:r>
      <w:r>
        <w:rPr>
          <w:noProof/>
        </w:rPr>
        <w:noBreakHyphen/>
        <w:t>residential</w:t>
      </w:r>
      <w:r>
        <w:rPr>
          <w:noProof/>
        </w:rPr>
        <w:tab/>
      </w:r>
      <w:r>
        <w:rPr>
          <w:noProof/>
        </w:rPr>
        <w:fldChar w:fldCharType="begin"/>
      </w:r>
      <w:r>
        <w:rPr>
          <w:noProof/>
        </w:rPr>
        <w:instrText xml:space="preserve"> PAGEREF _Toc170213167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Metropolitan government trading organisation and non</w:t>
      </w:r>
      <w:r>
        <w:rPr>
          <w:noProof/>
        </w:rPr>
        <w:noBreakHyphen/>
        <w:t>commercial government property</w:t>
      </w:r>
      <w:r>
        <w:rPr>
          <w:noProof/>
        </w:rPr>
        <w:tab/>
      </w:r>
      <w:r>
        <w:rPr>
          <w:noProof/>
        </w:rPr>
        <w:fldChar w:fldCharType="begin"/>
      </w:r>
      <w:r>
        <w:rPr>
          <w:noProof/>
        </w:rPr>
        <w:instrText xml:space="preserve"> PAGEREF _Toc170213168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Metropolitan non</w:t>
      </w:r>
      <w:r>
        <w:rPr>
          <w:noProof/>
        </w:rPr>
        <w:noBreakHyphen/>
        <w:t>strata titled caravan park with long</w:t>
      </w:r>
      <w:r>
        <w:rPr>
          <w:noProof/>
        </w:rPr>
        <w:noBreakHyphen/>
        <w:t>term residential caravan bays</w:t>
      </w:r>
      <w:r>
        <w:rPr>
          <w:noProof/>
        </w:rPr>
        <w:tab/>
      </w:r>
      <w:r>
        <w:rPr>
          <w:noProof/>
        </w:rPr>
        <w:fldChar w:fldCharType="begin"/>
      </w:r>
      <w:r>
        <w:rPr>
          <w:noProof/>
        </w:rPr>
        <w:instrText xml:space="preserve"> PAGEREF _Toc170213169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Metropolitan nursing home</w:t>
      </w:r>
      <w:r>
        <w:rPr>
          <w:noProof/>
        </w:rPr>
        <w:tab/>
      </w:r>
      <w:r>
        <w:rPr>
          <w:noProof/>
        </w:rPr>
        <w:fldChar w:fldCharType="begin"/>
      </w:r>
      <w:r>
        <w:rPr>
          <w:noProof/>
        </w:rPr>
        <w:instrText xml:space="preserve"> PAGEREF _Toc170213170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Certain metropolitan units</w:t>
      </w:r>
      <w:r>
        <w:rPr>
          <w:noProof/>
        </w:rPr>
        <w:tab/>
      </w:r>
      <w:r>
        <w:rPr>
          <w:noProof/>
        </w:rPr>
        <w:fldChar w:fldCharType="begin"/>
      </w:r>
      <w:r>
        <w:rPr>
          <w:noProof/>
        </w:rPr>
        <w:instrText xml:space="preserve"> PAGEREF _Toc170213171 \h </w:instrText>
      </w:r>
      <w:r>
        <w:rPr>
          <w:noProof/>
        </w:rPr>
      </w:r>
      <w:r>
        <w:rPr>
          <w:noProof/>
        </w:rPr>
        <w:fldChar w:fldCharType="separate"/>
      </w:r>
      <w:r>
        <w:rPr>
          <w:noProof/>
        </w:rPr>
        <w:t>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Calculation of certain factors for Subdivision 2</w:t>
      </w:r>
    </w:p>
    <w:p>
      <w:pPr>
        <w:pStyle w:val="TOC9"/>
        <w:rPr>
          <w:rFonts w:asciiTheme="minorHAnsi" w:eastAsiaTheme="minorEastAsia" w:hAnsiTheme="minorHAnsi" w:cstheme="minorBidi"/>
          <w:noProof/>
          <w:sz w:val="22"/>
          <w:szCs w:val="22"/>
        </w:rPr>
      </w:pPr>
      <w:r>
        <w:rPr>
          <w:noProof/>
        </w:rPr>
        <w:t>19.</w:t>
      </w:r>
      <w:r>
        <w:rPr>
          <w:noProof/>
        </w:rPr>
        <w:tab/>
        <w:t>Service charge</w:t>
      </w:r>
      <w:r>
        <w:rPr>
          <w:noProof/>
        </w:rPr>
        <w:tab/>
      </w:r>
      <w:r>
        <w:rPr>
          <w:noProof/>
        </w:rPr>
        <w:fldChar w:fldCharType="begin"/>
      </w:r>
      <w:r>
        <w:rPr>
          <w:noProof/>
        </w:rPr>
        <w:instrText xml:space="preserve"> PAGEREF _Toc170213173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Discharge charge</w:t>
      </w:r>
      <w:r>
        <w:rPr>
          <w:noProof/>
        </w:rPr>
        <w:tab/>
      </w:r>
      <w:r>
        <w:rPr>
          <w:noProof/>
        </w:rPr>
        <w:fldChar w:fldCharType="begin"/>
      </w:r>
      <w:r>
        <w:rPr>
          <w:noProof/>
        </w:rPr>
        <w:instrText xml:space="preserve"> PAGEREF _Toc170213174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Discharge allowance</w:t>
      </w:r>
      <w:r>
        <w:rPr>
          <w:noProof/>
        </w:rPr>
        <w:tab/>
      </w:r>
      <w:r>
        <w:rPr>
          <w:noProof/>
        </w:rPr>
        <w:fldChar w:fldCharType="begin"/>
      </w:r>
      <w:r>
        <w:rPr>
          <w:noProof/>
        </w:rPr>
        <w:instrText xml:space="preserve"> PAGEREF _Toc170213175 \h </w:instrText>
      </w:r>
      <w:r>
        <w:rPr>
          <w:noProof/>
        </w:rPr>
      </w:r>
      <w:r>
        <w:rPr>
          <w:noProof/>
        </w:rPr>
        <w:fldChar w:fldCharType="separate"/>
      </w:r>
      <w:r>
        <w:rPr>
          <w:noProof/>
        </w:rPr>
        <w:t>39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Combined charges: non</w:t>
      </w:r>
      <w:r>
        <w:rPr>
          <w:noProof/>
        </w:rPr>
        <w:noBreakHyphen/>
        <w:t>metropolitan</w:t>
      </w:r>
    </w:p>
    <w:p>
      <w:pPr>
        <w:pStyle w:val="TOC9"/>
        <w:rPr>
          <w:rFonts w:asciiTheme="minorHAnsi" w:eastAsiaTheme="minorEastAsia" w:hAnsiTheme="minorHAnsi" w:cstheme="minorBidi"/>
          <w:noProof/>
          <w:sz w:val="22"/>
          <w:szCs w:val="22"/>
        </w:rPr>
      </w:pPr>
      <w:r>
        <w:rPr>
          <w:noProof/>
        </w:rPr>
        <w:t>22.</w:t>
      </w:r>
      <w:r>
        <w:rPr>
          <w:noProof/>
        </w:rPr>
        <w:tab/>
        <w:t>Non</w:t>
      </w:r>
      <w:r>
        <w:rPr>
          <w:noProof/>
        </w:rPr>
        <w:noBreakHyphen/>
        <w:t>metropolitan non</w:t>
      </w:r>
      <w:r>
        <w:rPr>
          <w:noProof/>
        </w:rPr>
        <w:noBreakHyphen/>
        <w:t>residential</w:t>
      </w:r>
      <w:r>
        <w:rPr>
          <w:noProof/>
        </w:rPr>
        <w:tab/>
      </w:r>
      <w:r>
        <w:rPr>
          <w:noProof/>
        </w:rPr>
        <w:fldChar w:fldCharType="begin"/>
      </w:r>
      <w:r>
        <w:rPr>
          <w:noProof/>
        </w:rPr>
        <w:instrText xml:space="preserve"> PAGEREF _Toc170213177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Non</w:t>
      </w:r>
      <w:r>
        <w:rPr>
          <w:noProof/>
        </w:rPr>
        <w:noBreakHyphen/>
        <w:t>metropolitan non</w:t>
      </w:r>
      <w:r>
        <w:rPr>
          <w:noProof/>
        </w:rPr>
        <w:noBreakHyphen/>
        <w:t>strata titled caravan park with long</w:t>
      </w:r>
      <w:r>
        <w:rPr>
          <w:noProof/>
        </w:rPr>
        <w:noBreakHyphen/>
        <w:t>term residential caravan bays</w:t>
      </w:r>
      <w:r>
        <w:rPr>
          <w:noProof/>
        </w:rPr>
        <w:tab/>
      </w:r>
      <w:r>
        <w:rPr>
          <w:noProof/>
        </w:rPr>
        <w:fldChar w:fldCharType="begin"/>
      </w:r>
      <w:r>
        <w:rPr>
          <w:noProof/>
        </w:rPr>
        <w:instrText xml:space="preserve"> PAGEREF _Toc170213178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lastRenderedPageBreak/>
        <w:t>24.</w:t>
      </w:r>
      <w:r>
        <w:rPr>
          <w:noProof/>
        </w:rPr>
        <w:tab/>
        <w:t>Non</w:t>
      </w:r>
      <w:r>
        <w:rPr>
          <w:noProof/>
        </w:rPr>
        <w:noBreakHyphen/>
        <w:t>metropolitan nursing home</w:t>
      </w:r>
      <w:r>
        <w:rPr>
          <w:noProof/>
        </w:rPr>
        <w:tab/>
      </w:r>
      <w:r>
        <w:rPr>
          <w:noProof/>
        </w:rPr>
        <w:fldChar w:fldCharType="begin"/>
      </w:r>
      <w:r>
        <w:rPr>
          <w:noProof/>
        </w:rPr>
        <w:instrText xml:space="preserve"> PAGEREF _Toc170213179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Certain non</w:t>
      </w:r>
      <w:r>
        <w:rPr>
          <w:noProof/>
        </w:rPr>
        <w:noBreakHyphen/>
        <w:t>metropolitan units</w:t>
      </w:r>
      <w:r>
        <w:rPr>
          <w:noProof/>
        </w:rPr>
        <w:tab/>
      </w:r>
      <w:r>
        <w:rPr>
          <w:noProof/>
        </w:rPr>
        <w:fldChar w:fldCharType="begin"/>
      </w:r>
      <w:r>
        <w:rPr>
          <w:noProof/>
        </w:rPr>
        <w:instrText xml:space="preserve"> PAGEREF _Toc170213180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Non</w:t>
      </w:r>
      <w:r>
        <w:rPr>
          <w:noProof/>
        </w:rPr>
        <w:noBreakHyphen/>
        <w:t>metropolitan government trading organisation and non</w:t>
      </w:r>
      <w:r>
        <w:rPr>
          <w:noProof/>
        </w:rPr>
        <w:noBreakHyphen/>
        <w:t>commercial government property</w:t>
      </w:r>
      <w:r>
        <w:rPr>
          <w:noProof/>
        </w:rPr>
        <w:tab/>
      </w:r>
      <w:r>
        <w:rPr>
          <w:noProof/>
        </w:rPr>
        <w:fldChar w:fldCharType="begin"/>
      </w:r>
      <w:r>
        <w:rPr>
          <w:noProof/>
        </w:rPr>
        <w:instrText xml:space="preserve"> PAGEREF _Toc170213181 \h </w:instrText>
      </w:r>
      <w:r>
        <w:rPr>
          <w:noProof/>
        </w:rPr>
      </w:r>
      <w:r>
        <w:rPr>
          <w:noProof/>
        </w:rPr>
        <w:fldChar w:fldCharType="separate"/>
      </w:r>
      <w:r>
        <w:rPr>
          <w:noProof/>
        </w:rPr>
        <w:t>42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Calculation of certain factors for Subdivision 4</w:t>
      </w:r>
    </w:p>
    <w:p>
      <w:pPr>
        <w:pStyle w:val="TOC9"/>
        <w:rPr>
          <w:rFonts w:asciiTheme="minorHAnsi" w:eastAsiaTheme="minorEastAsia" w:hAnsiTheme="minorHAnsi" w:cstheme="minorBidi"/>
          <w:noProof/>
          <w:sz w:val="22"/>
          <w:szCs w:val="22"/>
        </w:rPr>
      </w:pPr>
      <w:r>
        <w:rPr>
          <w:noProof/>
        </w:rPr>
        <w:t>27.</w:t>
      </w:r>
      <w:r>
        <w:rPr>
          <w:noProof/>
        </w:rPr>
        <w:tab/>
        <w:t>Service charge</w:t>
      </w:r>
      <w:r>
        <w:rPr>
          <w:noProof/>
        </w:rPr>
        <w:tab/>
      </w:r>
      <w:r>
        <w:rPr>
          <w:noProof/>
        </w:rPr>
        <w:fldChar w:fldCharType="begin"/>
      </w:r>
      <w:r>
        <w:rPr>
          <w:noProof/>
        </w:rPr>
        <w:instrText xml:space="preserve"> PAGEREF _Toc170213183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Discharge charge</w:t>
      </w:r>
      <w:r>
        <w:rPr>
          <w:noProof/>
        </w:rPr>
        <w:tab/>
      </w:r>
      <w:r>
        <w:rPr>
          <w:noProof/>
        </w:rPr>
        <w:fldChar w:fldCharType="begin"/>
      </w:r>
      <w:r>
        <w:rPr>
          <w:noProof/>
        </w:rPr>
        <w:instrText xml:space="preserve"> PAGEREF _Toc170213184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Discharge allowance</w:t>
      </w:r>
      <w:r>
        <w:rPr>
          <w:noProof/>
        </w:rPr>
        <w:tab/>
      </w:r>
      <w:r>
        <w:rPr>
          <w:noProof/>
        </w:rPr>
        <w:fldChar w:fldCharType="begin"/>
      </w:r>
      <w:r>
        <w:rPr>
          <w:noProof/>
        </w:rPr>
        <w:instrText xml:space="preserve"> PAGEREF _Toc170213185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Maximum charge</w:t>
      </w:r>
      <w:r>
        <w:rPr>
          <w:noProof/>
        </w:rPr>
        <w:tab/>
      </w:r>
      <w:r>
        <w:rPr>
          <w:noProof/>
        </w:rPr>
        <w:fldChar w:fldCharType="begin"/>
      </w:r>
      <w:r>
        <w:rPr>
          <w:noProof/>
        </w:rPr>
        <w:instrText xml:space="preserve"> PAGEREF _Toc170213186 \h </w:instrText>
      </w:r>
      <w:r>
        <w:rPr>
          <w:noProof/>
        </w:rPr>
      </w:r>
      <w:r>
        <w:rPr>
          <w:noProof/>
        </w:rPr>
        <w:fldChar w:fldCharType="separate"/>
      </w:r>
      <w:r>
        <w:rPr>
          <w:noProof/>
        </w:rPr>
        <w:t>45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Discharge charges: trade waste and effluent</w:t>
      </w:r>
    </w:p>
    <w:p>
      <w:pPr>
        <w:pStyle w:val="TOC9"/>
        <w:rPr>
          <w:rFonts w:asciiTheme="minorHAnsi" w:eastAsiaTheme="minorEastAsia" w:hAnsiTheme="minorHAnsi" w:cstheme="minorBidi"/>
          <w:noProof/>
          <w:sz w:val="22"/>
          <w:szCs w:val="22"/>
        </w:rPr>
      </w:pPr>
      <w:r>
        <w:rPr>
          <w:noProof/>
        </w:rPr>
        <w:t>31.</w:t>
      </w:r>
      <w:r>
        <w:rPr>
          <w:noProof/>
        </w:rPr>
        <w:tab/>
        <w:t>Discharge charges for 2024/25 and subsequent years</w:t>
      </w:r>
      <w:r>
        <w:rPr>
          <w:noProof/>
        </w:rPr>
        <w:tab/>
      </w:r>
      <w:r>
        <w:rPr>
          <w:noProof/>
        </w:rPr>
        <w:fldChar w:fldCharType="begin"/>
      </w:r>
      <w:r>
        <w:rPr>
          <w:noProof/>
        </w:rPr>
        <w:instrText xml:space="preserve"> PAGEREF _Toc170213188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Trade waste discharged into sewer under approval</w:t>
      </w:r>
      <w:r>
        <w:rPr>
          <w:noProof/>
        </w:rPr>
        <w:tab/>
      </w:r>
      <w:r>
        <w:rPr>
          <w:noProof/>
        </w:rPr>
        <w:fldChar w:fldCharType="begin"/>
      </w:r>
      <w:r>
        <w:rPr>
          <w:noProof/>
        </w:rPr>
        <w:instrText xml:space="preserve"> PAGEREF _Toc170213189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Effluent discharged from septic tank effluent pumping system into sewer</w:t>
      </w:r>
      <w:r>
        <w:rPr>
          <w:noProof/>
        </w:rPr>
        <w:tab/>
      </w:r>
      <w:r>
        <w:rPr>
          <w:noProof/>
        </w:rPr>
        <w:fldChar w:fldCharType="begin"/>
      </w:r>
      <w:r>
        <w:rPr>
          <w:noProof/>
        </w:rPr>
        <w:instrText xml:space="preserve"> PAGEREF _Toc170213190 \h </w:instrText>
      </w:r>
      <w:r>
        <w:rPr>
          <w:noProof/>
        </w:rPr>
      </w:r>
      <w:r>
        <w:rPr>
          <w:noProof/>
        </w:rPr>
        <w:fldChar w:fldCharType="separate"/>
      </w:r>
      <w:r>
        <w:rPr>
          <w:noProof/>
        </w:rPr>
        <w:t>48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5 — Drainage charges for Water Corporation</w:t>
      </w:r>
    </w:p>
    <w:p>
      <w:pPr>
        <w:pStyle w:val="TOC9"/>
        <w:rPr>
          <w:rFonts w:asciiTheme="minorHAnsi" w:eastAsiaTheme="minorEastAsia" w:hAnsiTheme="minorHAnsi" w:cstheme="minorBidi"/>
          <w:noProof/>
          <w:sz w:val="22"/>
          <w:szCs w:val="22"/>
        </w:rPr>
      </w:pPr>
      <w:r>
        <w:rPr>
          <w:noProof/>
        </w:rPr>
        <w:t>1.</w:t>
      </w:r>
      <w:r>
        <w:rPr>
          <w:noProof/>
        </w:rPr>
        <w:tab/>
        <w:t>Drainage charges for 2024/25 and subsequent years</w:t>
      </w:r>
      <w:r>
        <w:rPr>
          <w:noProof/>
        </w:rPr>
        <w:tab/>
      </w:r>
      <w:r>
        <w:rPr>
          <w:noProof/>
        </w:rPr>
        <w:fldChar w:fldCharType="begin"/>
      </w:r>
      <w:r>
        <w:rPr>
          <w:noProof/>
        </w:rPr>
        <w:instrText xml:space="preserve"> PAGEREF _Toc170213192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Strata</w:t>
      </w:r>
      <w:r>
        <w:rPr>
          <w:noProof/>
        </w:rPr>
        <w:noBreakHyphen/>
        <w:t>titled long</w:t>
      </w:r>
      <w:r>
        <w:rPr>
          <w:noProof/>
        </w:rPr>
        <w:noBreakHyphen/>
        <w:t>term residential caravan bays and park homes</w:t>
      </w:r>
      <w:r>
        <w:rPr>
          <w:noProof/>
        </w:rPr>
        <w:tab/>
      </w:r>
      <w:r>
        <w:rPr>
          <w:noProof/>
        </w:rPr>
        <w:fldChar w:fldCharType="begin"/>
      </w:r>
      <w:r>
        <w:rPr>
          <w:noProof/>
        </w:rPr>
        <w:instrText xml:space="preserve"> PAGEREF _Toc170213193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Storage units or parking bays in strata titles scheme or community titles scheme</w:t>
      </w:r>
      <w:r>
        <w:rPr>
          <w:noProof/>
        </w:rPr>
        <w:tab/>
      </w:r>
      <w:r>
        <w:rPr>
          <w:noProof/>
        </w:rPr>
        <w:fldChar w:fldCharType="begin"/>
      </w:r>
      <w:r>
        <w:rPr>
          <w:noProof/>
        </w:rPr>
        <w:instrText xml:space="preserve"> PAGEREF _Toc170213194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Residential or semi</w:t>
      </w:r>
      <w:r>
        <w:rPr>
          <w:noProof/>
        </w:rPr>
        <w:noBreakHyphen/>
        <w:t>rural residential</w:t>
      </w:r>
      <w:r>
        <w:rPr>
          <w:noProof/>
        </w:rPr>
        <w:tab/>
      </w:r>
      <w:r>
        <w:rPr>
          <w:noProof/>
        </w:rPr>
        <w:fldChar w:fldCharType="begin"/>
      </w:r>
      <w:r>
        <w:rPr>
          <w:noProof/>
        </w:rPr>
        <w:instrText xml:space="preserve"> PAGEREF _Toc170213195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Vacant land</w:t>
      </w:r>
      <w:r>
        <w:rPr>
          <w:noProof/>
        </w:rPr>
        <w:tab/>
      </w:r>
      <w:r>
        <w:rPr>
          <w:noProof/>
        </w:rPr>
        <w:fldChar w:fldCharType="begin"/>
      </w:r>
      <w:r>
        <w:rPr>
          <w:noProof/>
        </w:rPr>
        <w:instrText xml:space="preserve"> PAGEREF _Toc170213196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Non</w:t>
      </w:r>
      <w:r>
        <w:rPr>
          <w:noProof/>
        </w:rPr>
        <w:noBreakHyphen/>
        <w:t>residential (except strata titled caravan bays and storage units or parking bays in strata titles scheme or community titles scheme)</w:t>
      </w:r>
      <w:r>
        <w:rPr>
          <w:noProof/>
        </w:rPr>
        <w:tab/>
      </w:r>
      <w:r>
        <w:rPr>
          <w:noProof/>
        </w:rPr>
        <w:fldChar w:fldCharType="begin"/>
      </w:r>
      <w:r>
        <w:rPr>
          <w:noProof/>
        </w:rPr>
        <w:instrText xml:space="preserve"> PAGEREF _Toc170213197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Concessional land</w:t>
      </w:r>
      <w:r>
        <w:rPr>
          <w:noProof/>
        </w:rPr>
        <w:tab/>
      </w:r>
      <w:r>
        <w:rPr>
          <w:noProof/>
        </w:rPr>
        <w:fldChar w:fldCharType="begin"/>
      </w:r>
      <w:r>
        <w:rPr>
          <w:noProof/>
        </w:rPr>
        <w:instrText xml:space="preserve"> PAGEREF _Toc170213198 \h </w:instrText>
      </w:r>
      <w:r>
        <w:rPr>
          <w:noProof/>
        </w:rPr>
      </w:r>
      <w:r>
        <w:rPr>
          <w:noProof/>
        </w:rPr>
        <w:fldChar w:fldCharType="separate"/>
      </w:r>
      <w:r>
        <w:rPr>
          <w:noProof/>
        </w:rPr>
        <w:t>50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6 — Irrigation charges for Water Corporation (Ord Irrigation District)</w:t>
      </w:r>
    </w:p>
    <w:p>
      <w:pPr>
        <w:pStyle w:val="TOC9"/>
        <w:rPr>
          <w:rFonts w:asciiTheme="minorHAnsi" w:eastAsiaTheme="minorEastAsia" w:hAnsiTheme="minorHAnsi" w:cstheme="minorBidi"/>
          <w:noProof/>
          <w:sz w:val="22"/>
          <w:szCs w:val="22"/>
        </w:rPr>
      </w:pPr>
      <w:r>
        <w:rPr>
          <w:noProof/>
        </w:rPr>
        <w:t>1.</w:t>
      </w:r>
      <w:r>
        <w:rPr>
          <w:noProof/>
        </w:rPr>
        <w:tab/>
        <w:t>Irrigation charges for 2024/25 and subsequent years</w:t>
      </w:r>
      <w:r>
        <w:rPr>
          <w:noProof/>
        </w:rPr>
        <w:tab/>
      </w:r>
      <w:r>
        <w:rPr>
          <w:noProof/>
        </w:rPr>
        <w:fldChar w:fldCharType="begin"/>
      </w:r>
      <w:r>
        <w:rPr>
          <w:noProof/>
        </w:rPr>
        <w:instrText xml:space="preserve"> PAGEREF _Toc170213200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Water provided as irrigation service</w:t>
      </w:r>
      <w:r>
        <w:rPr>
          <w:noProof/>
        </w:rPr>
        <w:tab/>
      </w:r>
      <w:r>
        <w:rPr>
          <w:noProof/>
        </w:rPr>
        <w:fldChar w:fldCharType="begin"/>
      </w:r>
      <w:r>
        <w:rPr>
          <w:noProof/>
        </w:rPr>
        <w:instrText xml:space="preserve"> PAGEREF _Toc170213201 \h </w:instrText>
      </w:r>
      <w:r>
        <w:rPr>
          <w:noProof/>
        </w:rPr>
      </w:r>
      <w:r>
        <w:rPr>
          <w:noProof/>
        </w:rPr>
        <w:fldChar w:fldCharType="separate"/>
      </w:r>
      <w:r>
        <w:rPr>
          <w:noProof/>
        </w:rPr>
        <w:t>50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7 — Miscellaneous charges for Water Corporation</w:t>
      </w:r>
    </w:p>
    <w:p>
      <w:pPr>
        <w:pStyle w:val="TOC9"/>
        <w:rPr>
          <w:rFonts w:asciiTheme="minorHAnsi" w:eastAsiaTheme="minorEastAsia" w:hAnsiTheme="minorHAnsi" w:cstheme="minorBidi"/>
          <w:noProof/>
          <w:sz w:val="22"/>
          <w:szCs w:val="22"/>
        </w:rPr>
      </w:pPr>
      <w:r>
        <w:rPr>
          <w:noProof/>
        </w:rPr>
        <w:t>1.</w:t>
      </w:r>
      <w:r>
        <w:rPr>
          <w:noProof/>
        </w:rPr>
        <w:tab/>
        <w:t>Requests for sub</w:t>
      </w:r>
      <w:r>
        <w:rPr>
          <w:noProof/>
        </w:rPr>
        <w:noBreakHyphen/>
        <w:t>meter installations: multi</w:t>
      </w:r>
      <w:r>
        <w:rPr>
          <w:noProof/>
        </w:rPr>
        <w:noBreakHyphen/>
        <w:t>unit developments</w:t>
      </w:r>
      <w:r>
        <w:rPr>
          <w:noProof/>
        </w:rPr>
        <w:tab/>
      </w:r>
      <w:r>
        <w:rPr>
          <w:noProof/>
        </w:rPr>
        <w:fldChar w:fldCharType="begin"/>
      </w:r>
      <w:r>
        <w:rPr>
          <w:noProof/>
        </w:rPr>
        <w:instrText xml:space="preserve"> PAGEREF _Toc170213203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Sub</w:t>
      </w:r>
      <w:r>
        <w:rPr>
          <w:noProof/>
        </w:rPr>
        <w:noBreakHyphen/>
        <w:t>meter installations: multi</w:t>
      </w:r>
      <w:r>
        <w:rPr>
          <w:noProof/>
        </w:rPr>
        <w:noBreakHyphen/>
        <w:t>unit developments</w:t>
      </w:r>
      <w:r>
        <w:rPr>
          <w:noProof/>
        </w:rPr>
        <w:tab/>
      </w:r>
      <w:r>
        <w:rPr>
          <w:noProof/>
        </w:rPr>
        <w:fldChar w:fldCharType="begin"/>
      </w:r>
      <w:r>
        <w:rPr>
          <w:noProof/>
        </w:rPr>
        <w:instrText xml:space="preserve"> PAGEREF _Toc170213204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Testing meters</w:t>
      </w:r>
      <w:r>
        <w:rPr>
          <w:noProof/>
        </w:rPr>
        <w:tab/>
      </w:r>
      <w:r>
        <w:rPr>
          <w:noProof/>
        </w:rPr>
        <w:fldChar w:fldCharType="begin"/>
      </w:r>
      <w:r>
        <w:rPr>
          <w:noProof/>
        </w:rPr>
        <w:instrText xml:space="preserve"> PAGEREF _Toc170213205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lastRenderedPageBreak/>
        <w:t>4.</w:t>
      </w:r>
      <w:r>
        <w:rPr>
          <w:noProof/>
        </w:rPr>
        <w:tab/>
        <w:t>Installing water supply connection</w:t>
      </w:r>
      <w:r>
        <w:rPr>
          <w:noProof/>
        </w:rPr>
        <w:tab/>
      </w:r>
      <w:r>
        <w:rPr>
          <w:noProof/>
        </w:rPr>
        <w:fldChar w:fldCharType="begin"/>
      </w:r>
      <w:r>
        <w:rPr>
          <w:noProof/>
        </w:rPr>
        <w:instrText xml:space="preserve"> PAGEREF _Toc170213206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Activating water supply connection</w:t>
      </w:r>
      <w:r>
        <w:rPr>
          <w:noProof/>
        </w:rPr>
        <w:tab/>
      </w:r>
      <w:r>
        <w:rPr>
          <w:noProof/>
        </w:rPr>
        <w:fldChar w:fldCharType="begin"/>
      </w:r>
      <w:r>
        <w:rPr>
          <w:noProof/>
        </w:rPr>
        <w:instrText xml:space="preserve"> PAGEREF _Toc170213207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Disconnecting water supply connection</w:t>
      </w:r>
      <w:r>
        <w:rPr>
          <w:noProof/>
        </w:rPr>
        <w:tab/>
      </w:r>
      <w:r>
        <w:rPr>
          <w:noProof/>
        </w:rPr>
        <w:fldChar w:fldCharType="begin"/>
      </w:r>
      <w:r>
        <w:rPr>
          <w:noProof/>
        </w:rPr>
        <w:instrText xml:space="preserve"> PAGEREF _Toc170213208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Relocating water supply connection</w:t>
      </w:r>
      <w:r>
        <w:rPr>
          <w:noProof/>
        </w:rPr>
        <w:tab/>
      </w:r>
      <w:r>
        <w:rPr>
          <w:noProof/>
        </w:rPr>
        <w:fldChar w:fldCharType="begin"/>
      </w:r>
      <w:r>
        <w:rPr>
          <w:noProof/>
        </w:rPr>
        <w:instrText xml:space="preserve"> PAGEREF _Toc170213209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Proposal to connect to sewer</w:t>
      </w:r>
      <w:r>
        <w:rPr>
          <w:noProof/>
        </w:rPr>
        <w:tab/>
      </w:r>
      <w:r>
        <w:rPr>
          <w:noProof/>
        </w:rPr>
        <w:fldChar w:fldCharType="begin"/>
      </w:r>
      <w:r>
        <w:rPr>
          <w:noProof/>
        </w:rPr>
        <w:instrText xml:space="preserve"> PAGEREF _Toc170213210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Installing sewer junction</w:t>
      </w:r>
      <w:r>
        <w:rPr>
          <w:noProof/>
        </w:rPr>
        <w:tab/>
      </w:r>
      <w:r>
        <w:rPr>
          <w:noProof/>
        </w:rPr>
        <w:fldChar w:fldCharType="begin"/>
      </w:r>
      <w:r>
        <w:rPr>
          <w:noProof/>
        </w:rPr>
        <w:instrText xml:space="preserve"> PAGEREF _Toc170213211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Hire of standpipe for fire hydrant</w:t>
      </w:r>
      <w:r>
        <w:rPr>
          <w:noProof/>
        </w:rPr>
        <w:tab/>
      </w:r>
      <w:r>
        <w:rPr>
          <w:noProof/>
        </w:rPr>
        <w:fldChar w:fldCharType="begin"/>
      </w:r>
      <w:r>
        <w:rPr>
          <w:noProof/>
        </w:rPr>
        <w:instrText xml:space="preserve"> PAGEREF _Toc170213212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Trade waste: services in relation to discharge</w:t>
      </w:r>
      <w:r>
        <w:rPr>
          <w:noProof/>
        </w:rPr>
        <w:tab/>
      </w:r>
      <w:r>
        <w:rPr>
          <w:noProof/>
        </w:rPr>
        <w:fldChar w:fldCharType="begin"/>
      </w:r>
      <w:r>
        <w:rPr>
          <w:noProof/>
        </w:rPr>
        <w:instrText xml:space="preserve"> PAGEREF _Toc170213213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Trade waste: product evaluation services</w:t>
      </w:r>
      <w:r>
        <w:rPr>
          <w:noProof/>
        </w:rPr>
        <w:tab/>
      </w:r>
      <w:r>
        <w:rPr>
          <w:noProof/>
        </w:rPr>
        <w:fldChar w:fldCharType="begin"/>
      </w:r>
      <w:r>
        <w:rPr>
          <w:noProof/>
        </w:rPr>
        <w:instrText xml:space="preserve"> PAGEREF _Toc170213214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Trade waste: one</w:t>
      </w:r>
      <w:r>
        <w:rPr>
          <w:noProof/>
        </w:rPr>
        <w:noBreakHyphen/>
        <w:t>off discharge services</w:t>
      </w:r>
      <w:r>
        <w:rPr>
          <w:noProof/>
        </w:rPr>
        <w:tab/>
      </w:r>
      <w:r>
        <w:rPr>
          <w:noProof/>
        </w:rPr>
        <w:fldChar w:fldCharType="begin"/>
      </w:r>
      <w:r>
        <w:rPr>
          <w:noProof/>
        </w:rPr>
        <w:instrText xml:space="preserve"> PAGEREF _Toc170213215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Meter reading and other information</w:t>
      </w:r>
      <w:r>
        <w:rPr>
          <w:noProof/>
        </w:rPr>
        <w:tab/>
      </w:r>
      <w:r>
        <w:rPr>
          <w:noProof/>
        </w:rPr>
        <w:fldChar w:fldCharType="begin"/>
      </w:r>
      <w:r>
        <w:rPr>
          <w:noProof/>
        </w:rPr>
        <w:instrText xml:space="preserve"> PAGEREF _Toc170213216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Copies of records</w:t>
      </w:r>
      <w:r>
        <w:rPr>
          <w:noProof/>
        </w:rPr>
        <w:tab/>
      </w:r>
      <w:r>
        <w:rPr>
          <w:noProof/>
        </w:rPr>
        <w:fldChar w:fldCharType="begin"/>
      </w:r>
      <w:r>
        <w:rPr>
          <w:noProof/>
        </w:rPr>
        <w:instrText xml:space="preserve"> PAGEREF _Toc170213217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10.</w:t>
      </w:r>
      <w:r>
        <w:tab/>
        <w:t>Schedule 10 amended</w:t>
      </w:r>
      <w:r>
        <w:tab/>
      </w:r>
      <w:r>
        <w:fldChar w:fldCharType="begin"/>
      </w:r>
      <w:r>
        <w:instrText xml:space="preserve"> PAGEREF _Toc170213218 \h </w:instrText>
      </w:r>
      <w:r>
        <w:fldChar w:fldCharType="separate"/>
      </w:r>
      <w:r>
        <w:t>57</w:t>
      </w:r>
      <w:r>
        <w:fldChar w:fldCharType="end"/>
      </w:r>
    </w:p>
    <w:p>
      <w:pPr>
        <w:pStyle w:val="TOC8"/>
        <w:rPr>
          <w:rFonts w:asciiTheme="minorHAnsi" w:eastAsiaTheme="minorEastAsia" w:hAnsiTheme="minorHAnsi" w:cstheme="minorBidi"/>
          <w:szCs w:val="22"/>
        </w:rPr>
      </w:pPr>
      <w:r>
        <w:t>11.</w:t>
      </w:r>
      <w:r>
        <w:tab/>
        <w:t>Schedule 11 amended</w:t>
      </w:r>
      <w:r>
        <w:tab/>
      </w:r>
      <w:r>
        <w:fldChar w:fldCharType="begin"/>
      </w:r>
      <w:r>
        <w:instrText xml:space="preserve"> PAGEREF _Toc170213219 \h </w:instrText>
      </w:r>
      <w:r>
        <w:fldChar w:fldCharType="separate"/>
      </w:r>
      <w:r>
        <w:t>57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Amendment (Fees and Charges) Regulations 2024</w:t>
      </w:r>
    </w:p>
    <w:p>
      <w:pPr>
        <w:pStyle w:val="MadeBy"/>
      </w:pPr>
      <w:r>
        <w:t>Made by the Governor in Executive Council.</w:t>
      </w:r>
    </w:p>
    <w:p>
      <w:pPr>
        <w:pStyle w:val="Heading2"/>
        <w:pageBreakBefore w:val="0"/>
        <w:spacing w:before="480"/>
      </w:pPr>
      <w:bookmarkStart w:id="2" w:name="_Toc169797154"/>
      <w:bookmarkStart w:id="3" w:name="_Toc169797309"/>
      <w:bookmarkStart w:id="4" w:name="_Toc169797464"/>
      <w:bookmarkStart w:id="5" w:name="_Toc1702130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9797155"/>
      <w:bookmarkStart w:id="7" w:name="_Toc170213066"/>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Water Services Regulations Amendment (Fees and Charges) Regulations 2024</w:t>
      </w:r>
      <w:r>
        <w:t>.</w:t>
      </w:r>
    </w:p>
    <w:p>
      <w:pPr>
        <w:pStyle w:val="Heading5"/>
        <w:rPr>
          <w:spacing w:val="-2"/>
        </w:rPr>
      </w:pPr>
      <w:bookmarkStart w:id="9" w:name="_Toc169797156"/>
      <w:bookmarkStart w:id="10" w:name="_Toc17021306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2"/>
      </w:pPr>
      <w:bookmarkStart w:id="11" w:name="_Toc169797157"/>
      <w:bookmarkStart w:id="12" w:name="_Toc169797312"/>
      <w:bookmarkStart w:id="13" w:name="_Toc169797467"/>
      <w:bookmarkStart w:id="14" w:name="_Toc170213068"/>
      <w:r>
        <w:rPr>
          <w:rStyle w:val="CharPartNo"/>
        </w:rPr>
        <w:lastRenderedPageBreak/>
        <w:t>Part 2</w:t>
      </w:r>
      <w:r>
        <w:rPr>
          <w:rStyle w:val="CharDivNo"/>
        </w:rPr>
        <w:t> </w:t>
      </w:r>
      <w:r>
        <w:t>—</w:t>
      </w:r>
      <w:r>
        <w:rPr>
          <w:rStyle w:val="CharDivText"/>
        </w:rPr>
        <w:t> </w:t>
      </w:r>
      <w:r>
        <w:rPr>
          <w:rStyle w:val="CharPartText"/>
          <w:i/>
        </w:rPr>
        <w:t>Water Services Regulations 2013</w:t>
      </w:r>
      <w:r>
        <w:rPr>
          <w:rStyle w:val="CharPartText"/>
        </w:rPr>
        <w:t xml:space="preserve"> amended</w:t>
      </w:r>
      <w:bookmarkEnd w:id="11"/>
      <w:bookmarkEnd w:id="12"/>
      <w:bookmarkEnd w:id="13"/>
      <w:bookmarkEnd w:id="14"/>
    </w:p>
    <w:p>
      <w:pPr>
        <w:pStyle w:val="Heading5"/>
        <w:rPr>
          <w:snapToGrid w:val="0"/>
        </w:rPr>
      </w:pPr>
      <w:bookmarkStart w:id="15" w:name="_Toc169797158"/>
      <w:bookmarkStart w:id="16" w:name="_Toc170213069"/>
      <w:r>
        <w:rPr>
          <w:rStyle w:val="CharSectno"/>
        </w:rPr>
        <w:t>3</w:t>
      </w:r>
      <w:r>
        <w:rPr>
          <w:snapToGrid w:val="0"/>
        </w:rPr>
        <w:t>.</w:t>
      </w:r>
      <w:r>
        <w:rPr>
          <w:snapToGrid w:val="0"/>
        </w:rPr>
        <w:tab/>
        <w:t>Regulations amended</w:t>
      </w:r>
      <w:bookmarkEnd w:id="15"/>
      <w:bookmarkEnd w:id="16"/>
    </w:p>
    <w:p>
      <w:pPr>
        <w:pStyle w:val="Subsection"/>
      </w:pPr>
      <w:r>
        <w:tab/>
      </w:r>
      <w:r>
        <w:tab/>
        <w:t xml:space="preserve">This Part amends the </w:t>
      </w:r>
      <w:r>
        <w:rPr>
          <w:i/>
        </w:rPr>
        <w:t>Water Services Regulations 2013</w:t>
      </w:r>
      <w:r>
        <w:t>.</w:t>
      </w:r>
    </w:p>
    <w:p>
      <w:pPr>
        <w:pStyle w:val="Heading5"/>
      </w:pPr>
      <w:bookmarkStart w:id="17" w:name="_Toc169797159"/>
      <w:bookmarkStart w:id="18" w:name="_Toc170213070"/>
      <w:r>
        <w:rPr>
          <w:rStyle w:val="CharSectno"/>
        </w:rPr>
        <w:t>4</w:t>
      </w:r>
      <w:r>
        <w:t>.</w:t>
      </w:r>
      <w:r>
        <w:tab/>
        <w:t>Regulation 82 amended</w:t>
      </w:r>
      <w:bookmarkEnd w:id="17"/>
      <w:bookmarkEnd w:id="18"/>
      <w:r>
        <w:rPr>
          <w:rStyle w:val="CharSectno"/>
        </w:rPr>
        <w:t xml:space="preserve"> </w:t>
      </w:r>
    </w:p>
    <w:p>
      <w:pPr>
        <w:pStyle w:val="Subsection"/>
      </w:pPr>
      <w:r>
        <w:tab/>
      </w:r>
      <w:r>
        <w:tab/>
        <w:t>In regulation 82 delete “13.08%” and insert:</w:t>
      </w:r>
    </w:p>
    <w:p>
      <w:pPr>
        <w:pStyle w:val="BlankOpen"/>
      </w:pPr>
    </w:p>
    <w:p>
      <w:pPr>
        <w:pStyle w:val="Subsection"/>
      </w:pPr>
      <w:r>
        <w:tab/>
      </w:r>
      <w:r>
        <w:tab/>
        <w:t>11.08%</w:t>
      </w:r>
    </w:p>
    <w:p>
      <w:pPr>
        <w:pStyle w:val="BlankClose"/>
      </w:pPr>
    </w:p>
    <w:p>
      <w:pPr>
        <w:pStyle w:val="Heading5"/>
      </w:pPr>
      <w:bookmarkStart w:id="19" w:name="_Toc169797160"/>
      <w:bookmarkStart w:id="20" w:name="_Toc170213071"/>
      <w:r>
        <w:rPr>
          <w:rStyle w:val="CharSectno"/>
        </w:rPr>
        <w:t>5</w:t>
      </w:r>
      <w:r>
        <w:t>.</w:t>
      </w:r>
      <w:r>
        <w:tab/>
        <w:t>Schedule 4 replaced</w:t>
      </w:r>
      <w:bookmarkEnd w:id="19"/>
      <w:bookmarkEnd w:id="20"/>
    </w:p>
    <w:p>
      <w:pPr>
        <w:pStyle w:val="Subsection"/>
        <w:keepNext/>
      </w:pPr>
      <w:r>
        <w:tab/>
      </w:r>
      <w:r>
        <w:tab/>
        <w:t>Delete Schedule 4 and insert:</w:t>
      </w:r>
    </w:p>
    <w:p>
      <w:pPr>
        <w:pStyle w:val="BlankOpen"/>
      </w:pPr>
    </w:p>
    <w:p>
      <w:pPr>
        <w:pStyle w:val="zyHeading2"/>
      </w:pPr>
      <w:bookmarkStart w:id="21" w:name="_Toc169797161"/>
      <w:bookmarkStart w:id="22" w:name="_Toc169797316"/>
      <w:bookmarkStart w:id="23" w:name="_Toc169797471"/>
      <w:bookmarkStart w:id="24" w:name="_Toc170213072"/>
      <w:r>
        <w:t>Schedule 4 — Fees</w:t>
      </w:r>
      <w:bookmarkEnd w:id="21"/>
      <w:bookmarkEnd w:id="22"/>
      <w:bookmarkEnd w:id="23"/>
      <w:bookmarkEnd w:id="24"/>
    </w:p>
    <w:p>
      <w:pPr>
        <w:pStyle w:val="yShoulderClause"/>
      </w:pPr>
      <w:r>
        <w:t>[r. 84]</w:t>
      </w:r>
    </w:p>
    <w:p>
      <w:pPr>
        <w:pStyle w:val="zyHeading5"/>
      </w:pPr>
      <w:bookmarkStart w:id="25" w:name="_Toc169797162"/>
      <w:bookmarkStart w:id="26" w:name="_Toc170213073"/>
      <w:r>
        <w:t>1.</w:t>
      </w:r>
      <w:r>
        <w:tab/>
        <w:t>General fees applicable to all licensees</w:t>
      </w:r>
      <w:bookmarkEnd w:id="25"/>
      <w:bookmarkEnd w:id="26"/>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z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$113.74</w:t>
            </w:r>
          </w:p>
        </w:tc>
      </w:tr>
      <w:tr>
        <w:trPr>
          <w:cantSplit/>
        </w:trPr>
        <w:tc>
          <w:tcPr>
            <w:tcW w:w="709" w:type="dxa"/>
            <w:tcBorders>
              <w:top w:val="nil"/>
              <w:bottom w:val="nil"/>
            </w:tcBorders>
            <w:noWrap/>
          </w:tcPr>
          <w:p>
            <w:pPr>
              <w:pStyle w:val="z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$113.74</w:t>
            </w:r>
          </w:p>
        </w:tc>
      </w:tr>
      <w:tr>
        <w:trPr>
          <w:cantSplit/>
        </w:trPr>
        <w:tc>
          <w:tcPr>
            <w:tcW w:w="709" w:type="dxa"/>
            <w:tcBorders>
              <w:top w:val="nil"/>
              <w:bottom w:val="nil"/>
            </w:tcBorders>
            <w:noWrap/>
          </w:tcPr>
          <w:p>
            <w:pPr>
              <w:pStyle w:val="z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$208.04</w:t>
            </w:r>
          </w:p>
        </w:tc>
      </w:tr>
      <w:tr>
        <w:trPr>
          <w:cantSplit/>
        </w:trPr>
        <w:tc>
          <w:tcPr>
            <w:tcW w:w="709" w:type="dxa"/>
            <w:tcBorders>
              <w:top w:val="nil"/>
              <w:bottom w:val="single" w:sz="4" w:space="0" w:color="auto"/>
            </w:tcBorders>
            <w:noWrap/>
          </w:tcPr>
          <w:p>
            <w:pPr>
              <w:pStyle w:val="z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$267.00</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zyHeading5"/>
      </w:pPr>
      <w:bookmarkStart w:id="27" w:name="_Toc169797163"/>
      <w:bookmarkStart w:id="28" w:name="_Toc170213074"/>
      <w:r>
        <w:t>2.</w:t>
      </w:r>
      <w:r>
        <w:tab/>
        <w:t>Fees applicable to water corporations (s. 95)</w:t>
      </w:r>
      <w:bookmarkEnd w:id="27"/>
      <w:bookmarkEnd w:id="28"/>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$236.00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$236.00</w:t>
            </w:r>
          </w:p>
        </w:tc>
      </w:tr>
      <w:tr>
        <w:trPr>
          <w:cantSplit/>
        </w:trPr>
        <w:tc>
          <w:tcPr>
            <w:tcW w:w="709" w:type="dxa"/>
            <w:tcBorders>
              <w:top w:val="nil"/>
            </w:tcBorders>
            <w:noWrap/>
          </w:tcPr>
          <w:p>
            <w:pPr>
              <w:pStyle w:val="z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$375.01</w:t>
            </w:r>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pPr>
              <w:pStyle w:val="yTableNAm"/>
            </w:pPr>
            <w:r>
              <w:t>$193.10</w:t>
            </w:r>
          </w:p>
        </w:tc>
      </w:tr>
      <w:tr>
        <w:trPr>
          <w:cantSplit/>
        </w:trPr>
        <w:tc>
          <w:tcPr>
            <w:tcW w:w="709" w:type="dxa"/>
            <w:tcBorders>
              <w:bottom w:val="single" w:sz="4" w:space="0" w:color="auto"/>
            </w:tcBorders>
            <w:noWrap/>
          </w:tcPr>
          <w:p>
            <w:pPr>
              <w:pStyle w:val="yTableNAm"/>
            </w:pPr>
            <w:r>
              <w:lastRenderedPageBreak/>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pPr>
              <w:pStyle w:val="yTableNAm"/>
            </w:pPr>
            <w:r>
              <w:t>$193.10</w:t>
            </w:r>
          </w:p>
        </w:tc>
      </w:tr>
      <w:tr>
        <w:trPr>
          <w:cantSplit/>
        </w:trPr>
        <w:tc>
          <w:tcPr>
            <w:tcW w:w="6804" w:type="dxa"/>
            <w:gridSpan w:val="3"/>
            <w:shd w:val="clear" w:color="auto" w:fill="auto"/>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$300.00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$39.40</w:t>
            </w:r>
          </w:p>
        </w:tc>
      </w:tr>
    </w:tbl>
    <w:p>
      <w:pPr>
        <w:pStyle w:val="BlankClose"/>
      </w:pPr>
    </w:p>
    <w:p>
      <w:pPr>
        <w:pStyle w:val="Heading2"/>
      </w:pPr>
      <w:bookmarkStart w:id="29" w:name="_Toc169797164"/>
      <w:bookmarkStart w:id="30" w:name="_Toc169797319"/>
      <w:bookmarkStart w:id="31" w:name="_Toc169797474"/>
      <w:bookmarkStart w:id="32" w:name="_Toc170213075"/>
      <w:r>
        <w:rPr>
          <w:rStyle w:val="CharPartNo"/>
        </w:rPr>
        <w:lastRenderedPageBreak/>
        <w:t>Part 3</w:t>
      </w:r>
      <w:r>
        <w:rPr>
          <w:rStyle w:val="CharDivNo"/>
        </w:rPr>
        <w:t> </w:t>
      </w:r>
      <w:r>
        <w:t>—</w:t>
      </w:r>
      <w:r>
        <w:rPr>
          <w:rStyle w:val="CharDivText"/>
        </w:rPr>
        <w:t> </w:t>
      </w:r>
      <w:r>
        <w:rPr>
          <w:rStyle w:val="CharPartText"/>
          <w:i/>
        </w:rPr>
        <w:t>Water Services (Water Corporations Charges) Regulations 2014</w:t>
      </w:r>
      <w:r>
        <w:rPr>
          <w:rStyle w:val="CharPartText"/>
        </w:rPr>
        <w:t xml:space="preserve"> amended</w:t>
      </w:r>
      <w:bookmarkEnd w:id="29"/>
      <w:bookmarkEnd w:id="30"/>
      <w:bookmarkEnd w:id="31"/>
      <w:bookmarkEnd w:id="32"/>
    </w:p>
    <w:p>
      <w:pPr>
        <w:pStyle w:val="Heading5"/>
        <w:rPr>
          <w:snapToGrid w:val="0"/>
        </w:rPr>
      </w:pPr>
      <w:bookmarkStart w:id="33" w:name="_Toc169797165"/>
      <w:bookmarkStart w:id="34" w:name="_Toc170213076"/>
      <w:r>
        <w:rPr>
          <w:rStyle w:val="CharSectno"/>
        </w:rPr>
        <w:t>6</w:t>
      </w:r>
      <w:r>
        <w:rPr>
          <w:snapToGrid w:val="0"/>
        </w:rPr>
        <w:t>.</w:t>
      </w:r>
      <w:r>
        <w:rPr>
          <w:snapToGrid w:val="0"/>
        </w:rPr>
        <w:tab/>
        <w:t>Regulations amended</w:t>
      </w:r>
      <w:bookmarkEnd w:id="33"/>
      <w:bookmarkEnd w:id="34"/>
    </w:p>
    <w:p>
      <w:pPr>
        <w:pStyle w:val="Subsection"/>
      </w:pPr>
      <w:r>
        <w:tab/>
      </w:r>
      <w:r>
        <w:tab/>
        <w:t xml:space="preserve">This Part amends the </w:t>
      </w:r>
      <w:r>
        <w:rPr>
          <w:i/>
        </w:rPr>
        <w:t>Water Services (Water Corporations Charges) Regulations 2014</w:t>
      </w:r>
      <w:r>
        <w:t>.</w:t>
      </w:r>
    </w:p>
    <w:p>
      <w:pPr>
        <w:pStyle w:val="Heading5"/>
      </w:pPr>
      <w:bookmarkStart w:id="35" w:name="_Toc169797166"/>
      <w:bookmarkStart w:id="36" w:name="_Toc170213077"/>
      <w:r>
        <w:rPr>
          <w:rStyle w:val="CharSectno"/>
        </w:rPr>
        <w:t>7</w:t>
      </w:r>
      <w:r>
        <w:rPr>
          <w:snapToGrid w:val="0"/>
        </w:rPr>
        <w:t>.</w:t>
      </w:r>
      <w:r>
        <w:rPr>
          <w:snapToGrid w:val="0"/>
        </w:rPr>
        <w:tab/>
      </w:r>
      <w:r>
        <w:t>Regulation 10 amended</w:t>
      </w:r>
      <w:bookmarkEnd w:id="35"/>
      <w:bookmarkEnd w:id="36"/>
    </w:p>
    <w:p>
      <w:pPr>
        <w:pStyle w:val="Subsection"/>
      </w:pPr>
      <w:r>
        <w:tab/>
      </w:r>
      <w:r>
        <w:tab/>
        <w:t>In regulation 10 delete “12.83%” and insert:</w:t>
      </w:r>
    </w:p>
    <w:p>
      <w:pPr>
        <w:pStyle w:val="BlankOpen"/>
      </w:pPr>
    </w:p>
    <w:p>
      <w:pPr>
        <w:pStyle w:val="Subsection"/>
      </w:pPr>
      <w:r>
        <w:tab/>
      </w:r>
      <w:r>
        <w:tab/>
        <w:t>11.08%</w:t>
      </w:r>
    </w:p>
    <w:p>
      <w:pPr>
        <w:pStyle w:val="BlankClose"/>
      </w:pPr>
    </w:p>
    <w:p>
      <w:pPr>
        <w:pStyle w:val="Heading5"/>
      </w:pPr>
      <w:bookmarkStart w:id="37" w:name="_Toc169797167"/>
      <w:bookmarkStart w:id="38" w:name="_Toc170213078"/>
      <w:r>
        <w:rPr>
          <w:rStyle w:val="CharSectno"/>
        </w:rPr>
        <w:t>8</w:t>
      </w:r>
      <w:r>
        <w:t>.</w:t>
      </w:r>
      <w:r>
        <w:tab/>
        <w:t>Regulation 15 amended</w:t>
      </w:r>
      <w:bookmarkEnd w:id="37"/>
      <w:bookmarkEnd w:id="38"/>
    </w:p>
    <w:p>
      <w:pPr>
        <w:pStyle w:val="Subsection"/>
      </w:pPr>
      <w:r>
        <w:tab/>
      </w:r>
      <w:r>
        <w:tab/>
        <w:t>In regulation 15 delete “10.08%” and insert:</w:t>
      </w:r>
    </w:p>
    <w:p>
      <w:pPr>
        <w:pStyle w:val="BlankOpen"/>
      </w:pPr>
    </w:p>
    <w:p>
      <w:pPr>
        <w:pStyle w:val="Subsection"/>
      </w:pPr>
      <w:r>
        <w:tab/>
      </w:r>
      <w:r>
        <w:tab/>
        <w:t>11.08%</w:t>
      </w:r>
    </w:p>
    <w:p>
      <w:pPr>
        <w:pStyle w:val="BlankClose"/>
      </w:pPr>
    </w:p>
    <w:p>
      <w:pPr>
        <w:pStyle w:val="Heading5"/>
      </w:pPr>
      <w:bookmarkStart w:id="39" w:name="_Toc169797168"/>
      <w:bookmarkStart w:id="40" w:name="_Toc170213079"/>
      <w:r>
        <w:rPr>
          <w:rStyle w:val="CharSectno"/>
        </w:rPr>
        <w:t>9</w:t>
      </w:r>
      <w:r>
        <w:t>.</w:t>
      </w:r>
      <w:r>
        <w:tab/>
        <w:t>Schedules 1 to 7 replaced</w:t>
      </w:r>
      <w:bookmarkEnd w:id="39"/>
      <w:bookmarkEnd w:id="40"/>
    </w:p>
    <w:p>
      <w:pPr>
        <w:pStyle w:val="Subsection"/>
        <w:keepNext/>
      </w:pPr>
      <w:r>
        <w:tab/>
      </w:r>
      <w:r>
        <w:tab/>
        <w:t>Delete Schedules 1 to 7 and insert:</w:t>
      </w:r>
    </w:p>
    <w:p>
      <w:pPr>
        <w:pStyle w:val="BlankOpen"/>
      </w:pPr>
    </w:p>
    <w:p>
      <w:pPr>
        <w:pStyle w:val="zyHeading2"/>
      </w:pPr>
      <w:bookmarkStart w:id="41" w:name="_Toc169797169"/>
      <w:bookmarkStart w:id="42" w:name="_Toc169797324"/>
      <w:bookmarkStart w:id="43" w:name="_Toc169797479"/>
      <w:bookmarkStart w:id="44" w:name="_Toc170213080"/>
      <w:r>
        <w:t>Schedule 1 — Charges for Bunbury Water Corporation</w:t>
      </w:r>
      <w:bookmarkEnd w:id="41"/>
      <w:bookmarkEnd w:id="42"/>
      <w:bookmarkEnd w:id="43"/>
      <w:bookmarkEnd w:id="44"/>
    </w:p>
    <w:p>
      <w:pPr>
        <w:pStyle w:val="yShoulderClause"/>
      </w:pPr>
      <w:r>
        <w:t>[r. 7]</w:t>
      </w:r>
    </w:p>
    <w:p>
      <w:pPr>
        <w:pStyle w:val="zyHeading3"/>
      </w:pPr>
      <w:bookmarkStart w:id="45" w:name="_Toc169797170"/>
      <w:bookmarkStart w:id="46" w:name="_Toc169797325"/>
      <w:bookmarkStart w:id="47" w:name="_Toc169797480"/>
      <w:bookmarkStart w:id="48" w:name="_Toc170213081"/>
      <w:r>
        <w:t>Division 1 — Service charges</w:t>
      </w:r>
      <w:bookmarkEnd w:id="45"/>
      <w:bookmarkEnd w:id="46"/>
      <w:bookmarkEnd w:id="47"/>
      <w:bookmarkEnd w:id="48"/>
    </w:p>
    <w:p>
      <w:pPr>
        <w:pStyle w:val="zyHeading5"/>
      </w:pPr>
      <w:bookmarkStart w:id="49" w:name="_Toc169797171"/>
      <w:bookmarkStart w:id="50" w:name="_Toc170213082"/>
      <w:r>
        <w:t>1.</w:t>
      </w:r>
      <w:r>
        <w:tab/>
        <w:t>Service charges for 2024/25 and subsequent years</w:t>
      </w:r>
      <w:bookmarkEnd w:id="49"/>
      <w:bookmarkEnd w:id="50"/>
    </w:p>
    <w:p>
      <w:pPr>
        <w:pStyle w:val="ySubsection"/>
      </w:pPr>
      <w:r>
        <w:tab/>
      </w:r>
      <w:r>
        <w:tab/>
        <w:t>The charges set out in this Division apply for water supply services provided in the 2024/25 financial year and each subsequent year.</w:t>
      </w:r>
    </w:p>
    <w:p>
      <w:pPr>
        <w:pStyle w:val="zyHeading5"/>
      </w:pPr>
      <w:bookmarkStart w:id="51" w:name="_Toc169797172"/>
      <w:bookmarkStart w:id="52" w:name="_Toc170213083"/>
      <w:r>
        <w:lastRenderedPageBreak/>
        <w:t>2.</w:t>
      </w:r>
      <w:r>
        <w:tab/>
        <w:t>Residential lots</w:t>
      </w:r>
      <w:bookmarkEnd w:id="51"/>
      <w:bookmarkEnd w:id="52"/>
    </w:p>
    <w:p>
      <w:pPr>
        <w:pStyle w:val="ySubsection"/>
        <w:tabs>
          <w:tab w:val="right" w:leader="dot" w:pos="6804"/>
        </w:tabs>
      </w:pPr>
      <w:r>
        <w:tab/>
      </w:r>
      <w:r>
        <w:tab/>
        <w:t>For a residential lot, the charge is,</w:t>
      </w:r>
      <w:r>
        <w:br/>
        <w:t xml:space="preserve">for each dwelling on the lot </w:t>
      </w:r>
      <w:r>
        <w:tab/>
        <w:t>$276.00</w:t>
      </w:r>
    </w:p>
    <w:p>
      <w:pPr>
        <w:pStyle w:val="zyHeading5"/>
      </w:pPr>
      <w:bookmarkStart w:id="53" w:name="_Toc169797173"/>
      <w:bookmarkStart w:id="54" w:name="_Toc170213084"/>
      <w:r>
        <w:t>3.</w:t>
      </w:r>
      <w:r>
        <w:tab/>
        <w:t>Non</w:t>
      </w:r>
      <w:r>
        <w:noBreakHyphen/>
        <w:t>residential lots</w:t>
      </w:r>
      <w:bookmarkEnd w:id="53"/>
      <w:bookmarkEnd w:id="54"/>
    </w:p>
    <w:p>
      <w:pPr>
        <w:pStyle w:val="ySubsection"/>
      </w:pPr>
      <w:r>
        <w:tab/>
      </w:r>
      <w:r>
        <w:tab/>
        <w:t>For a non</w:t>
      </w:r>
      <w:r>
        <w:noBreakHyphen/>
        <w:t>residential lot, the charge, according to the size of the meter, is —</w:t>
      </w:r>
    </w:p>
    <w:p>
      <w:pPr>
        <w:pStyle w:val="yMiscellaneousBodyLeft1cm"/>
      </w:pPr>
      <w:r>
        <w:tab/>
        <w:t xml:space="preserve">20 mm </w:t>
      </w:r>
      <w:r>
        <w:tab/>
        <w:t>$307.00</w:t>
      </w:r>
    </w:p>
    <w:p>
      <w:pPr>
        <w:pStyle w:val="yMiscellaneousBodyLeft1cm"/>
      </w:pPr>
      <w:r>
        <w:tab/>
        <w:t xml:space="preserve">25 mm </w:t>
      </w:r>
      <w:r>
        <w:tab/>
        <w:t>$478.95</w:t>
      </w:r>
    </w:p>
    <w:p>
      <w:pPr>
        <w:pStyle w:val="yMiscellaneousBodyLeft1cm"/>
      </w:pPr>
      <w:r>
        <w:tab/>
        <w:t xml:space="preserve">40 mm </w:t>
      </w:r>
      <w:r>
        <w:tab/>
        <w:t>$1 228.25</w:t>
      </w:r>
    </w:p>
    <w:p>
      <w:pPr>
        <w:pStyle w:val="yMiscellaneousBodyLeft1cm"/>
      </w:pPr>
      <w:r>
        <w:tab/>
        <w:t xml:space="preserve">50 mm </w:t>
      </w:r>
      <w:r>
        <w:tab/>
        <w:t>$1 919.20</w:t>
      </w:r>
    </w:p>
    <w:p>
      <w:pPr>
        <w:pStyle w:val="yMiscellaneousBodyLeft1cm"/>
      </w:pPr>
      <w:r>
        <w:tab/>
        <w:t xml:space="preserve">80 mm </w:t>
      </w:r>
      <w:r>
        <w:tab/>
        <w:t>$4 913.05</w:t>
      </w:r>
    </w:p>
    <w:p>
      <w:pPr>
        <w:pStyle w:val="yMiscellaneousBodyLeft1cm"/>
      </w:pPr>
      <w:r>
        <w:tab/>
        <w:t xml:space="preserve">100 mm </w:t>
      </w:r>
      <w:r>
        <w:tab/>
        <w:t>$7 676.70</w:t>
      </w:r>
    </w:p>
    <w:p>
      <w:pPr>
        <w:pStyle w:val="yMiscellaneousBodyLeft1cm"/>
      </w:pPr>
      <w:r>
        <w:tab/>
        <w:t xml:space="preserve">150 mm </w:t>
      </w:r>
      <w:r>
        <w:tab/>
        <w:t>$17 272.60</w:t>
      </w:r>
    </w:p>
    <w:p>
      <w:pPr>
        <w:pStyle w:val="zyHeading5"/>
      </w:pPr>
      <w:bookmarkStart w:id="55" w:name="_Toc169797174"/>
      <w:bookmarkStart w:id="56" w:name="_Toc170213085"/>
      <w:r>
        <w:t>4.</w:t>
      </w:r>
      <w:r>
        <w:tab/>
        <w:t>Fire service connections</w:t>
      </w:r>
      <w:bookmarkEnd w:id="55"/>
      <w:bookmarkEnd w:id="56"/>
    </w:p>
    <w:p>
      <w:pPr>
        <w:pStyle w:val="ySubsection"/>
      </w:pPr>
      <w:r>
        <w:tab/>
      </w:r>
      <w:r>
        <w:tab/>
        <w:t>For a fire service connection, the charge, according to the size of the meter, is —</w:t>
      </w:r>
    </w:p>
    <w:p>
      <w:pPr>
        <w:pStyle w:val="yMiscellaneousBodyLeft1cm"/>
      </w:pPr>
      <w:r>
        <w:tab/>
        <w:t xml:space="preserve">25 mm </w:t>
      </w:r>
      <w:r>
        <w:tab/>
        <w:t>$174.60</w:t>
      </w:r>
    </w:p>
    <w:p>
      <w:pPr>
        <w:pStyle w:val="yMiscellaneousBodyLeft1cm"/>
      </w:pPr>
      <w:r>
        <w:tab/>
        <w:t xml:space="preserve">40 mm </w:t>
      </w:r>
      <w:r>
        <w:tab/>
        <w:t>$279.40</w:t>
      </w:r>
    </w:p>
    <w:p>
      <w:pPr>
        <w:pStyle w:val="yMiscellaneousBodyLeft1cm"/>
      </w:pPr>
      <w:r>
        <w:tab/>
        <w:t xml:space="preserve">50 mm </w:t>
      </w:r>
      <w:r>
        <w:tab/>
        <w:t>$349.20</w:t>
      </w:r>
    </w:p>
    <w:p>
      <w:pPr>
        <w:pStyle w:val="yMiscellaneousBodyLeft1cm"/>
      </w:pPr>
      <w:r>
        <w:tab/>
        <w:t xml:space="preserve">100 mm </w:t>
      </w:r>
      <w:r>
        <w:tab/>
        <w:t>$698.60</w:t>
      </w:r>
    </w:p>
    <w:p>
      <w:pPr>
        <w:pStyle w:val="yMiscellaneousBodyLeft1cm"/>
      </w:pPr>
      <w:r>
        <w:tab/>
        <w:t xml:space="preserve">150 mm </w:t>
      </w:r>
      <w:r>
        <w:tab/>
        <w:t>$1 047.85</w:t>
      </w:r>
    </w:p>
    <w:p>
      <w:pPr>
        <w:pStyle w:val="yMiscellaneousBodyLeft1cm"/>
      </w:pPr>
      <w:r>
        <w:tab/>
        <w:t xml:space="preserve">200 mm </w:t>
      </w:r>
      <w:r>
        <w:tab/>
        <w:t>$1 397.20</w:t>
      </w:r>
    </w:p>
    <w:p>
      <w:pPr>
        <w:pStyle w:val="zyHeading3"/>
      </w:pPr>
      <w:bookmarkStart w:id="57" w:name="_Toc169797175"/>
      <w:bookmarkStart w:id="58" w:name="_Toc169797330"/>
      <w:bookmarkStart w:id="59" w:name="_Toc169797485"/>
      <w:bookmarkStart w:id="60" w:name="_Toc170213086"/>
      <w:r>
        <w:lastRenderedPageBreak/>
        <w:t>Division 2 — Consumption charges</w:t>
      </w:r>
      <w:bookmarkEnd w:id="57"/>
      <w:bookmarkEnd w:id="58"/>
      <w:bookmarkEnd w:id="59"/>
      <w:bookmarkEnd w:id="60"/>
    </w:p>
    <w:p>
      <w:pPr>
        <w:pStyle w:val="zyHeading5"/>
      </w:pPr>
      <w:bookmarkStart w:id="61" w:name="_Toc169797176"/>
      <w:bookmarkStart w:id="62" w:name="_Toc170213087"/>
      <w:r>
        <w:t>5.</w:t>
      </w:r>
      <w:r>
        <w:tab/>
        <w:t>Consumption charges for 2024/25 and subsequent years</w:t>
      </w:r>
      <w:bookmarkEnd w:id="61"/>
      <w:bookmarkEnd w:id="62"/>
    </w:p>
    <w:p>
      <w:pPr>
        <w:pStyle w:val="ySubsection"/>
      </w:pPr>
      <w:r>
        <w:tab/>
      </w:r>
      <w:r>
        <w:tab/>
        <w:t>The charges set out in this Division apply for water supplied in the 2024/25 financial year and each subsequent year.</w:t>
      </w:r>
    </w:p>
    <w:p>
      <w:pPr>
        <w:pStyle w:val="zyHeading5"/>
      </w:pPr>
      <w:bookmarkStart w:id="63" w:name="_Toc169797177"/>
      <w:bookmarkStart w:id="64" w:name="_Toc170213088"/>
      <w:r>
        <w:t>6.</w:t>
      </w:r>
      <w:r>
        <w:tab/>
        <w:t>Residential lots</w:t>
      </w:r>
      <w:bookmarkEnd w:id="63"/>
      <w:bookmarkEnd w:id="64"/>
    </w:p>
    <w:p>
      <w:pPr>
        <w:pStyle w:val="ySubsection"/>
      </w:pPr>
      <w:r>
        <w:tab/>
        <w:t>(1)</w:t>
      </w:r>
      <w:r>
        <w:tab/>
        <w:t>For each kilolitre of water supplied to a residential lot, the charge is —</w:t>
      </w:r>
    </w:p>
    <w:p>
      <w:pPr>
        <w:pStyle w:val="yMiscellaneousBodyLeft1cm"/>
      </w:pPr>
      <w:r>
        <w:tab/>
        <w:t xml:space="preserve">up to 150 kL </w:t>
      </w:r>
      <w:r>
        <w:tab/>
        <w:t>$1.15</w:t>
      </w:r>
    </w:p>
    <w:p>
      <w:pPr>
        <w:pStyle w:val="yMiscellaneousBodyLeft1cm"/>
      </w:pPr>
      <w:r>
        <w:tab/>
        <w:t xml:space="preserve">over 150 but not over 350 kL </w:t>
      </w:r>
      <w:r>
        <w:tab/>
        <w:t>$2.12</w:t>
      </w:r>
    </w:p>
    <w:p>
      <w:pPr>
        <w:pStyle w:val="yMiscellaneousBodyLeft1cm"/>
      </w:pPr>
      <w:r>
        <w:tab/>
        <w:t xml:space="preserve">over 350 but not over 500 kL </w:t>
      </w:r>
      <w:r>
        <w:tab/>
        <w:t>$3.03</w:t>
      </w:r>
    </w:p>
    <w:p>
      <w:pPr>
        <w:pStyle w:val="yMiscellaneousBodyLeft1cm"/>
      </w:pPr>
      <w:r>
        <w:tab/>
        <w:t xml:space="preserve">over 500 kL </w:t>
      </w:r>
      <w:r>
        <w:tab/>
        <w:t>$3.76</w:t>
      </w:r>
    </w:p>
    <w:p>
      <w:pPr>
        <w:pStyle w:val="ySubsection"/>
      </w:pPr>
      <w:r>
        <w:tab/>
        <w:t>(2)</w:t>
      </w:r>
      <w:r>
        <w:tab/>
        <w:t>The volumetric ranges in this item have effect by reference to the volume of water supplied in the current consumption year.</w:t>
      </w:r>
    </w:p>
    <w:p>
      <w:pPr>
        <w:pStyle w:val="zyHeading5"/>
      </w:pPr>
      <w:bookmarkStart w:id="65" w:name="_Toc169797178"/>
      <w:bookmarkStart w:id="66" w:name="_Toc170213089"/>
      <w:r>
        <w:t>7.</w:t>
      </w:r>
      <w:r>
        <w:tab/>
        <w:t>Non</w:t>
      </w:r>
      <w:r>
        <w:noBreakHyphen/>
        <w:t>residential lots</w:t>
      </w:r>
      <w:bookmarkEnd w:id="65"/>
      <w:bookmarkEnd w:id="66"/>
    </w:p>
    <w:p>
      <w:pPr>
        <w:pStyle w:val="ySubsection"/>
        <w:tabs>
          <w:tab w:val="right" w:leader="dot" w:pos="6804"/>
        </w:tabs>
      </w:pPr>
      <w:r>
        <w:tab/>
      </w:r>
      <w:r>
        <w:tab/>
        <w:t xml:space="preserve">For each kilolitre of water supplied to a </w:t>
      </w:r>
      <w:r>
        <w:br/>
        <w:t>non</w:t>
      </w:r>
      <w:r>
        <w:noBreakHyphen/>
        <w:t>residential lot, the charge is</w:t>
      </w:r>
      <w:r>
        <w:tab/>
        <w:t>$3.36</w:t>
      </w:r>
    </w:p>
    <w:p>
      <w:pPr>
        <w:pStyle w:val="zyHeading2"/>
      </w:pPr>
      <w:bookmarkStart w:id="67" w:name="_Toc169797179"/>
      <w:bookmarkStart w:id="68" w:name="_Toc169797334"/>
      <w:bookmarkStart w:id="69" w:name="_Toc169797489"/>
      <w:bookmarkStart w:id="70" w:name="_Toc170213090"/>
      <w:r>
        <w:t>Schedule 2 — Charges for Busselton Water Corporation</w:t>
      </w:r>
      <w:bookmarkEnd w:id="67"/>
      <w:bookmarkEnd w:id="68"/>
      <w:bookmarkEnd w:id="69"/>
      <w:bookmarkEnd w:id="70"/>
    </w:p>
    <w:p>
      <w:pPr>
        <w:pStyle w:val="yShoulderClause"/>
      </w:pPr>
      <w:r>
        <w:t>[r. 12]</w:t>
      </w:r>
    </w:p>
    <w:p>
      <w:pPr>
        <w:pStyle w:val="zyHeading3"/>
      </w:pPr>
      <w:bookmarkStart w:id="71" w:name="_Toc169797180"/>
      <w:bookmarkStart w:id="72" w:name="_Toc169797335"/>
      <w:bookmarkStart w:id="73" w:name="_Toc169797490"/>
      <w:bookmarkStart w:id="74" w:name="_Toc170213091"/>
      <w:r>
        <w:t>Division 1 — Service charges</w:t>
      </w:r>
      <w:bookmarkEnd w:id="71"/>
      <w:bookmarkEnd w:id="72"/>
      <w:bookmarkEnd w:id="73"/>
      <w:bookmarkEnd w:id="74"/>
    </w:p>
    <w:p>
      <w:pPr>
        <w:pStyle w:val="zyHeading5"/>
      </w:pPr>
      <w:bookmarkStart w:id="75" w:name="_Toc169797181"/>
      <w:bookmarkStart w:id="76" w:name="_Toc170213092"/>
      <w:r>
        <w:t>1.</w:t>
      </w:r>
      <w:r>
        <w:tab/>
        <w:t>Service charges for 2024/25 and subsequent years</w:t>
      </w:r>
      <w:bookmarkEnd w:id="75"/>
      <w:bookmarkEnd w:id="76"/>
    </w:p>
    <w:p>
      <w:pPr>
        <w:pStyle w:val="ySubsection"/>
      </w:pPr>
      <w:r>
        <w:tab/>
      </w:r>
      <w:r>
        <w:tab/>
        <w:t>The charges set out in this Division apply for water supply services provided in the 2024/25 financial year and each subsequent year.</w:t>
      </w:r>
    </w:p>
    <w:p>
      <w:pPr>
        <w:pStyle w:val="zyHeading5"/>
      </w:pPr>
      <w:bookmarkStart w:id="77" w:name="_Toc169797182"/>
      <w:bookmarkStart w:id="78" w:name="_Toc170213093"/>
      <w:r>
        <w:t>2.</w:t>
      </w:r>
      <w:r>
        <w:tab/>
        <w:t>Residential lots</w:t>
      </w:r>
      <w:bookmarkEnd w:id="77"/>
      <w:bookmarkEnd w:id="78"/>
    </w:p>
    <w:p>
      <w:pPr>
        <w:pStyle w:val="ySubsection"/>
        <w:tabs>
          <w:tab w:val="right" w:leader="dot" w:pos="6804"/>
        </w:tabs>
      </w:pPr>
      <w:r>
        <w:tab/>
      </w:r>
      <w:r>
        <w:tab/>
        <w:t>For a residential lot, the charge is</w:t>
      </w:r>
      <w:r>
        <w:tab/>
        <w:t>$240.35</w:t>
      </w:r>
    </w:p>
    <w:p>
      <w:pPr>
        <w:pStyle w:val="zyHeading5"/>
      </w:pPr>
      <w:bookmarkStart w:id="79" w:name="_Toc169797183"/>
      <w:bookmarkStart w:id="80" w:name="_Toc170213094"/>
      <w:r>
        <w:lastRenderedPageBreak/>
        <w:t>3.</w:t>
      </w:r>
      <w:r>
        <w:tab/>
        <w:t>Non</w:t>
      </w:r>
      <w:r>
        <w:noBreakHyphen/>
        <w:t>residential lots</w:t>
      </w:r>
      <w:bookmarkEnd w:id="79"/>
      <w:bookmarkEnd w:id="80"/>
    </w:p>
    <w:p>
      <w:pPr>
        <w:pStyle w:val="ySubsection"/>
      </w:pPr>
      <w:r>
        <w:tab/>
      </w:r>
      <w:r>
        <w:tab/>
        <w:t>For a non</w:t>
      </w:r>
      <w:r>
        <w:noBreakHyphen/>
        <w:t>residential lot, the charge, according to the size of the meter, is —</w:t>
      </w:r>
    </w:p>
    <w:p>
      <w:pPr>
        <w:pStyle w:val="yMiscellaneousBodyLeft1cm"/>
      </w:pPr>
      <w:r>
        <w:tab/>
        <w:t xml:space="preserve">20 mm </w:t>
      </w:r>
      <w:r>
        <w:tab/>
        <w:t>$257.38</w:t>
      </w:r>
    </w:p>
    <w:p>
      <w:pPr>
        <w:pStyle w:val="yMiscellaneousBodyLeft1cm"/>
      </w:pPr>
      <w:r>
        <w:tab/>
        <w:t xml:space="preserve">25 mm </w:t>
      </w:r>
      <w:r>
        <w:tab/>
        <w:t>$402.12</w:t>
      </w:r>
    </w:p>
    <w:p>
      <w:pPr>
        <w:pStyle w:val="yMiscellaneousBodyLeft1cm"/>
      </w:pPr>
      <w:r>
        <w:tab/>
        <w:t xml:space="preserve">40 mm </w:t>
      </w:r>
      <w:r>
        <w:tab/>
        <w:t>$1 029.46</w:t>
      </w:r>
    </w:p>
    <w:p>
      <w:pPr>
        <w:pStyle w:val="yMiscellaneousBodyLeft1cm"/>
      </w:pPr>
      <w:r>
        <w:tab/>
        <w:t xml:space="preserve">50 mm </w:t>
      </w:r>
      <w:r>
        <w:tab/>
        <w:t>$1 608.52</w:t>
      </w:r>
    </w:p>
    <w:p>
      <w:pPr>
        <w:pStyle w:val="yMiscellaneousBodyLeft1cm"/>
      </w:pPr>
      <w:r>
        <w:tab/>
        <w:t xml:space="preserve">80 mm </w:t>
      </w:r>
      <w:r>
        <w:tab/>
        <w:t>$4 117.84</w:t>
      </w:r>
    </w:p>
    <w:p>
      <w:pPr>
        <w:pStyle w:val="yMiscellaneousBodyLeft1cm"/>
      </w:pPr>
      <w:r>
        <w:tab/>
        <w:t xml:space="preserve">100 mm </w:t>
      </w:r>
      <w:r>
        <w:tab/>
        <w:t>$6 434.10</w:t>
      </w:r>
    </w:p>
    <w:p>
      <w:pPr>
        <w:pStyle w:val="yMiscellaneousBodyLeft1cm"/>
      </w:pPr>
      <w:r>
        <w:tab/>
        <w:t xml:space="preserve">150 mm </w:t>
      </w:r>
      <w:r>
        <w:tab/>
        <w:t>$14 476.69</w:t>
      </w:r>
    </w:p>
    <w:p>
      <w:pPr>
        <w:pStyle w:val="zyHeading5"/>
      </w:pPr>
      <w:bookmarkStart w:id="81" w:name="_Toc169797184"/>
      <w:bookmarkStart w:id="82" w:name="_Toc170213095"/>
      <w:r>
        <w:t>4.</w:t>
      </w:r>
      <w:r>
        <w:tab/>
        <w:t>Vacant land</w:t>
      </w:r>
      <w:bookmarkEnd w:id="81"/>
      <w:bookmarkEnd w:id="82"/>
    </w:p>
    <w:p>
      <w:pPr>
        <w:pStyle w:val="ySubsection"/>
        <w:tabs>
          <w:tab w:val="right" w:leader="dot" w:pos="6804"/>
        </w:tabs>
      </w:pPr>
      <w:r>
        <w:tab/>
      </w:r>
      <w:r>
        <w:tab/>
        <w:t xml:space="preserve">For vacant land, the charge is </w:t>
      </w:r>
      <w:r>
        <w:tab/>
        <w:t>$248.19</w:t>
      </w:r>
    </w:p>
    <w:p>
      <w:pPr>
        <w:pStyle w:val="zyHeading5"/>
      </w:pPr>
      <w:bookmarkStart w:id="83" w:name="_Toc169797185"/>
      <w:bookmarkStart w:id="84" w:name="_Toc170213096"/>
      <w:r>
        <w:t>5.</w:t>
      </w:r>
      <w:r>
        <w:tab/>
        <w:t>Fire service connections</w:t>
      </w:r>
      <w:bookmarkEnd w:id="83"/>
      <w:bookmarkEnd w:id="84"/>
    </w:p>
    <w:p>
      <w:pPr>
        <w:pStyle w:val="ySubsection"/>
        <w:tabs>
          <w:tab w:val="right" w:leader="dot" w:pos="6804"/>
        </w:tabs>
      </w:pPr>
      <w:r>
        <w:tab/>
      </w:r>
      <w:r>
        <w:tab/>
        <w:t xml:space="preserve">For a fire service connection, the charge is </w:t>
      </w:r>
      <w:r>
        <w:tab/>
        <w:t>$257.38</w:t>
      </w:r>
    </w:p>
    <w:p>
      <w:pPr>
        <w:pStyle w:val="zyHeading3"/>
      </w:pPr>
      <w:bookmarkStart w:id="85" w:name="_Toc169797186"/>
      <w:bookmarkStart w:id="86" w:name="_Toc169797341"/>
      <w:bookmarkStart w:id="87" w:name="_Toc169797496"/>
      <w:bookmarkStart w:id="88" w:name="_Toc170213097"/>
      <w:r>
        <w:t>Division 2 — Consumption charges</w:t>
      </w:r>
      <w:bookmarkEnd w:id="85"/>
      <w:bookmarkEnd w:id="86"/>
      <w:bookmarkEnd w:id="87"/>
      <w:bookmarkEnd w:id="88"/>
    </w:p>
    <w:p>
      <w:pPr>
        <w:pStyle w:val="zyHeading5"/>
      </w:pPr>
      <w:bookmarkStart w:id="89" w:name="_Toc169797187"/>
      <w:bookmarkStart w:id="90" w:name="_Toc170213098"/>
      <w:r>
        <w:t>6.</w:t>
      </w:r>
      <w:r>
        <w:tab/>
        <w:t>Consumption charges for 2024/25 and subsequent years</w:t>
      </w:r>
      <w:bookmarkEnd w:id="89"/>
      <w:bookmarkEnd w:id="90"/>
    </w:p>
    <w:p>
      <w:pPr>
        <w:pStyle w:val="ySubsection"/>
      </w:pPr>
      <w:r>
        <w:tab/>
      </w:r>
      <w:r>
        <w:tab/>
        <w:t>The charges set out in this Division apply for water supplied in the 2024/25 financial year and each subsequent year.</w:t>
      </w:r>
    </w:p>
    <w:p>
      <w:pPr>
        <w:pStyle w:val="zyHeading5"/>
      </w:pPr>
      <w:bookmarkStart w:id="91" w:name="_Toc169797188"/>
      <w:bookmarkStart w:id="92" w:name="_Toc170213099"/>
      <w:r>
        <w:t>7.</w:t>
      </w:r>
      <w:r>
        <w:tab/>
        <w:t>Residential lots</w:t>
      </w:r>
      <w:bookmarkEnd w:id="91"/>
      <w:bookmarkEnd w:id="92"/>
    </w:p>
    <w:p>
      <w:pPr>
        <w:pStyle w:val="ySubsection"/>
      </w:pPr>
      <w:r>
        <w:tab/>
        <w:t>(1)</w:t>
      </w:r>
      <w:r>
        <w:tab/>
        <w:t>For each kilolitre of water supplied to a residential lot, the charge is —</w:t>
      </w:r>
    </w:p>
    <w:p>
      <w:pPr>
        <w:pStyle w:val="yMiscellaneousBodyLeft1cm"/>
      </w:pPr>
      <w:r>
        <w:tab/>
        <w:t xml:space="preserve">up to 150 kL </w:t>
      </w:r>
      <w:r>
        <w:tab/>
        <w:t>$1.20</w:t>
      </w:r>
    </w:p>
    <w:p>
      <w:pPr>
        <w:pStyle w:val="yMiscellaneousBodyLeft1cm"/>
      </w:pPr>
      <w:r>
        <w:tab/>
        <w:t xml:space="preserve">over 150 but not over 350 kL </w:t>
      </w:r>
      <w:r>
        <w:tab/>
        <w:t>$1.67</w:t>
      </w:r>
    </w:p>
    <w:p>
      <w:pPr>
        <w:pStyle w:val="yMiscellaneousBodyLeft1cm"/>
      </w:pPr>
      <w:r>
        <w:tab/>
        <w:t xml:space="preserve">over 350 but not over 500 kL </w:t>
      </w:r>
      <w:r>
        <w:tab/>
        <w:t>$1.91</w:t>
      </w:r>
    </w:p>
    <w:p>
      <w:pPr>
        <w:pStyle w:val="yMiscellaneousBodyLeft1cm"/>
      </w:pPr>
      <w:r>
        <w:tab/>
        <w:t xml:space="preserve">over 500 but not over 700 kL </w:t>
      </w:r>
      <w:r>
        <w:tab/>
        <w:t>$2.52</w:t>
      </w:r>
    </w:p>
    <w:p>
      <w:pPr>
        <w:pStyle w:val="yMiscellaneousBodyLeft1cm"/>
      </w:pPr>
      <w:r>
        <w:lastRenderedPageBreak/>
        <w:tab/>
        <w:t xml:space="preserve">over 700 but not over 1 000 kL </w:t>
      </w:r>
      <w:r>
        <w:tab/>
        <w:t>$3.53</w:t>
      </w:r>
    </w:p>
    <w:p>
      <w:pPr>
        <w:pStyle w:val="yMiscellaneousBodyLeft1cm"/>
      </w:pPr>
      <w:r>
        <w:tab/>
        <w:t xml:space="preserve">over 1 000 kL </w:t>
      </w:r>
      <w:r>
        <w:tab/>
        <w:t>$3.62</w:t>
      </w:r>
    </w:p>
    <w:p>
      <w:pPr>
        <w:pStyle w:val="ySubsection"/>
      </w:pPr>
      <w:r>
        <w:tab/>
        <w:t>(2)</w:t>
      </w:r>
      <w:r>
        <w:tab/>
        <w:t>The volumetric ranges in this item have effect by reference to the volume of water supplied in the current consumption year.</w:t>
      </w:r>
    </w:p>
    <w:p>
      <w:pPr>
        <w:pStyle w:val="zyHeading5"/>
      </w:pPr>
      <w:bookmarkStart w:id="93" w:name="_Toc169797189"/>
      <w:bookmarkStart w:id="94" w:name="_Toc170213100"/>
      <w:r>
        <w:t>8.</w:t>
      </w:r>
      <w:r>
        <w:tab/>
        <w:t>Non</w:t>
      </w:r>
      <w:r>
        <w:noBreakHyphen/>
        <w:t>residential lots</w:t>
      </w:r>
      <w:bookmarkEnd w:id="93"/>
      <w:bookmarkEnd w:id="94"/>
    </w:p>
    <w:p>
      <w:pPr>
        <w:pStyle w:val="ySubsection"/>
        <w:tabs>
          <w:tab w:val="right" w:leader="dot" w:pos="6804"/>
        </w:tabs>
      </w:pPr>
      <w:r>
        <w:tab/>
      </w:r>
      <w:r>
        <w:tab/>
        <w:t xml:space="preserve">For each kilolitre of water supplied to a </w:t>
      </w:r>
      <w:r>
        <w:br/>
        <w:t>non</w:t>
      </w:r>
      <w:r>
        <w:noBreakHyphen/>
        <w:t xml:space="preserve">residential lot, the charge is </w:t>
      </w:r>
      <w:r>
        <w:tab/>
        <w:t>$2.03</w:t>
      </w:r>
    </w:p>
    <w:p>
      <w:pPr>
        <w:pStyle w:val="zyHeading5"/>
      </w:pPr>
      <w:bookmarkStart w:id="95" w:name="_Toc169797190"/>
      <w:bookmarkStart w:id="96" w:name="_Toc170213101"/>
      <w:r>
        <w:t>9.</w:t>
      </w:r>
      <w:r>
        <w:tab/>
        <w:t>Water supply service (fire)</w:t>
      </w:r>
      <w:bookmarkEnd w:id="95"/>
      <w:bookmarkEnd w:id="96"/>
    </w:p>
    <w:p>
      <w:pPr>
        <w:pStyle w:val="ySubsection"/>
        <w:tabs>
          <w:tab w:val="right" w:leader="dot" w:pos="6804"/>
        </w:tabs>
      </w:pPr>
      <w:r>
        <w:tab/>
      </w:r>
      <w:r>
        <w:tab/>
        <w:t xml:space="preserve">For each kilolitre of water supplied through a </w:t>
      </w:r>
      <w:r>
        <w:br/>
        <w:t xml:space="preserve">fire service connection, the charge is </w:t>
      </w:r>
      <w:r>
        <w:tab/>
        <w:t>$2.49</w:t>
      </w:r>
    </w:p>
    <w:p>
      <w:pPr>
        <w:pStyle w:val="zyHeading2"/>
      </w:pPr>
      <w:bookmarkStart w:id="97" w:name="_Toc169797191"/>
      <w:bookmarkStart w:id="98" w:name="_Toc169797346"/>
      <w:bookmarkStart w:id="99" w:name="_Toc169797501"/>
      <w:bookmarkStart w:id="100" w:name="_Toc170213102"/>
      <w:r>
        <w:t>Schedule 3 — Water supply charges for Water Corporation</w:t>
      </w:r>
      <w:bookmarkEnd w:id="97"/>
      <w:bookmarkEnd w:id="98"/>
      <w:bookmarkEnd w:id="99"/>
      <w:bookmarkEnd w:id="100"/>
    </w:p>
    <w:p>
      <w:pPr>
        <w:pStyle w:val="yShoulderClause"/>
      </w:pPr>
      <w:r>
        <w:t>[r. 24, 27 and 31]</w:t>
      </w:r>
    </w:p>
    <w:p>
      <w:pPr>
        <w:pStyle w:val="zyHeading3"/>
      </w:pPr>
      <w:bookmarkStart w:id="101" w:name="_Toc169797192"/>
      <w:bookmarkStart w:id="102" w:name="_Toc169797347"/>
      <w:bookmarkStart w:id="103" w:name="_Toc169797502"/>
      <w:bookmarkStart w:id="104" w:name="_Toc170213103"/>
      <w:r>
        <w:t>Division 1 — Service charges</w:t>
      </w:r>
      <w:bookmarkEnd w:id="101"/>
      <w:bookmarkEnd w:id="102"/>
      <w:bookmarkEnd w:id="103"/>
      <w:bookmarkEnd w:id="104"/>
    </w:p>
    <w:p>
      <w:pPr>
        <w:pStyle w:val="zyHeading4"/>
      </w:pPr>
      <w:bookmarkStart w:id="105" w:name="_Toc169797193"/>
      <w:bookmarkStart w:id="106" w:name="_Toc169797348"/>
      <w:bookmarkStart w:id="107" w:name="_Toc169797503"/>
      <w:bookmarkStart w:id="108" w:name="_Toc170213104"/>
      <w:r>
        <w:t>Subdivision 1 — Preliminary</w:t>
      </w:r>
      <w:bookmarkEnd w:id="105"/>
      <w:bookmarkEnd w:id="106"/>
      <w:bookmarkEnd w:id="107"/>
      <w:bookmarkEnd w:id="108"/>
    </w:p>
    <w:p>
      <w:pPr>
        <w:pStyle w:val="zyHeading5"/>
      </w:pPr>
      <w:bookmarkStart w:id="109" w:name="_Toc169797194"/>
      <w:bookmarkStart w:id="110" w:name="_Toc170213105"/>
      <w:r>
        <w:t>1.</w:t>
      </w:r>
      <w:r>
        <w:tab/>
        <w:t>Service charges for 2024/25 and subsequent years</w:t>
      </w:r>
      <w:bookmarkEnd w:id="109"/>
      <w:bookmarkEnd w:id="110"/>
    </w:p>
    <w:p>
      <w:pPr>
        <w:pStyle w:val="ySubsection"/>
      </w:pPr>
      <w:r>
        <w:tab/>
      </w:r>
      <w:r>
        <w:tab/>
        <w:t>The charges set out in this Division apply for water supply services provided in the 2024/25 financial year and each subsequent year.</w:t>
      </w:r>
    </w:p>
    <w:p>
      <w:pPr>
        <w:pStyle w:val="zyHeading5"/>
      </w:pPr>
      <w:bookmarkStart w:id="111" w:name="_Toc169797195"/>
      <w:bookmarkStart w:id="112" w:name="_Toc170213106"/>
      <w:r>
        <w:t>2.</w:t>
      </w:r>
      <w:r>
        <w:tab/>
        <w:t>Table of meter</w:t>
      </w:r>
      <w:r>
        <w:noBreakHyphen/>
        <w:t>based charges</w:t>
      </w:r>
      <w:bookmarkEnd w:id="111"/>
      <w:bookmarkEnd w:id="112"/>
    </w:p>
    <w:p>
      <w:pPr>
        <w:pStyle w:val="ySubsection"/>
      </w:pPr>
      <w:r>
        <w:tab/>
      </w:r>
      <w:r>
        <w:tab/>
        <w:t>For the purposes of this Division, meter</w:t>
      </w:r>
      <w:r>
        <w:noBreakHyphen/>
        <w:t>based charges are set out in the Table.</w:t>
      </w:r>
    </w:p>
    <w:p>
      <w:pPr>
        <w:pStyle w:val="yTHeadingNAm"/>
      </w:pPr>
      <w:r>
        <w:t>Table of meter</w:t>
      </w:r>
      <w:r>
        <w:noBreakHyphen/>
        <w:t>based charges</w:t>
      </w:r>
    </w:p>
    <w:tbl>
      <w:tblPr>
        <w:tblW w:w="0" w:type="auto"/>
        <w:tblInd w:w="1418" w:type="dxa"/>
        <w:tblLayout w:type="fixed"/>
        <w:tblLook w:val="0000" w:firstRow="0" w:lastRow="0" w:firstColumn="0" w:lastColumn="0" w:noHBand="0" w:noVBand="0"/>
      </w:tblPr>
      <w:tblGrid>
        <w:gridCol w:w="2292"/>
        <w:gridCol w:w="2292"/>
      </w:tblGrid>
      <w:tr>
        <w:trPr>
          <w:cantSplit/>
          <w:tblHeader/>
        </w:trPr>
        <w:tc>
          <w:tcPr>
            <w:tcW w:w="2292" w:type="dxa"/>
            <w:tcBorders>
              <w:top w:val="single" w:sz="4" w:space="0" w:color="auto"/>
              <w:bottom w:val="single" w:sz="4" w:space="0" w:color="auto"/>
            </w:tcBorders>
            <w:noWrap/>
          </w:tcPr>
          <w:p>
            <w:pPr>
              <w:pStyle w:val="yTableNAm"/>
              <w:jc w:val="center"/>
            </w:pPr>
            <w:r>
              <w:rPr>
                <w:b/>
              </w:rPr>
              <w:t>Meter size</w:t>
            </w:r>
            <w:r>
              <w:rPr>
                <w:b/>
              </w:rPr>
              <w:br/>
              <w:t>mm</w:t>
            </w:r>
          </w:p>
        </w:tc>
        <w:tc>
          <w:tcPr>
            <w:tcW w:w="2292" w:type="dxa"/>
            <w:tcBorders>
              <w:top w:val="single" w:sz="4" w:space="0" w:color="auto"/>
              <w:bottom w:val="single" w:sz="4" w:space="0" w:color="auto"/>
            </w:tcBorders>
            <w:noWrap/>
          </w:tcPr>
          <w:p>
            <w:pPr>
              <w:pStyle w:val="yTableNAm"/>
              <w:jc w:val="center"/>
            </w:pPr>
            <w:r>
              <w:rPr>
                <w:b/>
              </w:rPr>
              <w:t>Charge</w:t>
            </w:r>
            <w:r>
              <w:rPr>
                <w:b/>
              </w:rPr>
              <w:br/>
              <w:t>$</w:t>
            </w:r>
          </w:p>
        </w:tc>
      </w:tr>
      <w:tr>
        <w:trPr>
          <w:cantSplit/>
        </w:trPr>
        <w:tc>
          <w:tcPr>
            <w:tcW w:w="2292" w:type="dxa"/>
            <w:noWrap/>
          </w:tcPr>
          <w:p>
            <w:pPr>
              <w:pStyle w:val="yTableNAm"/>
              <w:jc w:val="center"/>
            </w:pPr>
            <w:r>
              <w:t>15, 20</w:t>
            </w:r>
          </w:p>
        </w:tc>
        <w:tc>
          <w:tcPr>
            <w:tcW w:w="2292" w:type="dxa"/>
            <w:noWrap/>
          </w:tcPr>
          <w:p>
            <w:pPr>
              <w:pStyle w:val="yTableNAm"/>
              <w:jc w:val="center"/>
            </w:pPr>
            <w:r>
              <w:t>307.80</w:t>
            </w:r>
          </w:p>
        </w:tc>
      </w:tr>
      <w:tr>
        <w:trPr>
          <w:cantSplit/>
        </w:trPr>
        <w:tc>
          <w:tcPr>
            <w:tcW w:w="2292" w:type="dxa"/>
            <w:noWrap/>
          </w:tcPr>
          <w:p>
            <w:pPr>
              <w:pStyle w:val="yTableNAm"/>
              <w:jc w:val="center"/>
            </w:pPr>
            <w:r>
              <w:t>25</w:t>
            </w:r>
          </w:p>
        </w:tc>
        <w:tc>
          <w:tcPr>
            <w:tcW w:w="2292" w:type="dxa"/>
            <w:noWrap/>
          </w:tcPr>
          <w:p>
            <w:pPr>
              <w:pStyle w:val="yTableNAm"/>
              <w:jc w:val="center"/>
            </w:pPr>
            <w:r>
              <w:t>480.98</w:t>
            </w:r>
          </w:p>
        </w:tc>
      </w:tr>
      <w:tr>
        <w:trPr>
          <w:cantSplit/>
        </w:trPr>
        <w:tc>
          <w:tcPr>
            <w:tcW w:w="2292" w:type="dxa"/>
            <w:noWrap/>
          </w:tcPr>
          <w:p>
            <w:pPr>
              <w:pStyle w:val="yTableNAm"/>
              <w:jc w:val="center"/>
            </w:pPr>
            <w:r>
              <w:lastRenderedPageBreak/>
              <w:t>30</w:t>
            </w:r>
          </w:p>
        </w:tc>
        <w:tc>
          <w:tcPr>
            <w:tcW w:w="2292" w:type="dxa"/>
            <w:noWrap/>
          </w:tcPr>
          <w:p>
            <w:pPr>
              <w:pStyle w:val="yTableNAm"/>
              <w:jc w:val="center"/>
            </w:pPr>
            <w:r>
              <w:t>692.55</w:t>
            </w:r>
          </w:p>
        </w:tc>
      </w:tr>
      <w:tr>
        <w:trPr>
          <w:cantSplit/>
        </w:trPr>
        <w:tc>
          <w:tcPr>
            <w:tcW w:w="2292" w:type="dxa"/>
            <w:noWrap/>
          </w:tcPr>
          <w:p>
            <w:pPr>
              <w:pStyle w:val="yTableNAm"/>
              <w:jc w:val="center"/>
            </w:pPr>
            <w:r>
              <w:t>35, 38, 40</w:t>
            </w:r>
          </w:p>
        </w:tc>
        <w:tc>
          <w:tcPr>
            <w:tcW w:w="2292" w:type="dxa"/>
            <w:noWrap/>
          </w:tcPr>
          <w:p>
            <w:pPr>
              <w:pStyle w:val="yTableNAm"/>
              <w:jc w:val="center"/>
            </w:pPr>
            <w:r>
              <w:t>1 231.28</w:t>
            </w:r>
          </w:p>
        </w:tc>
      </w:tr>
      <w:tr>
        <w:trPr>
          <w:cantSplit/>
        </w:trPr>
        <w:tc>
          <w:tcPr>
            <w:tcW w:w="2292" w:type="dxa"/>
            <w:noWrap/>
          </w:tcPr>
          <w:p>
            <w:pPr>
              <w:pStyle w:val="yTableNAm"/>
              <w:jc w:val="center"/>
            </w:pPr>
            <w:r>
              <w:t>50</w:t>
            </w:r>
          </w:p>
        </w:tc>
        <w:tc>
          <w:tcPr>
            <w:tcW w:w="2292" w:type="dxa"/>
            <w:noWrap/>
          </w:tcPr>
          <w:p>
            <w:pPr>
              <w:pStyle w:val="yTableNAm"/>
              <w:jc w:val="center"/>
            </w:pPr>
            <w:r>
              <w:t>1 923.84</w:t>
            </w:r>
          </w:p>
        </w:tc>
      </w:tr>
      <w:tr>
        <w:trPr>
          <w:cantSplit/>
        </w:trPr>
        <w:tc>
          <w:tcPr>
            <w:tcW w:w="2292" w:type="dxa"/>
            <w:noWrap/>
          </w:tcPr>
          <w:p>
            <w:pPr>
              <w:pStyle w:val="yTableNAm"/>
              <w:jc w:val="center"/>
            </w:pPr>
            <w:r>
              <w:t>70, 75, 80</w:t>
            </w:r>
          </w:p>
        </w:tc>
        <w:tc>
          <w:tcPr>
            <w:tcW w:w="2292" w:type="dxa"/>
            <w:noWrap/>
          </w:tcPr>
          <w:p>
            <w:pPr>
              <w:pStyle w:val="yTableNAm"/>
              <w:jc w:val="center"/>
            </w:pPr>
            <w:r>
              <w:t>4 925.05</w:t>
            </w:r>
          </w:p>
        </w:tc>
      </w:tr>
      <w:tr>
        <w:trPr>
          <w:cantSplit/>
        </w:trPr>
        <w:tc>
          <w:tcPr>
            <w:tcW w:w="2292" w:type="dxa"/>
            <w:noWrap/>
          </w:tcPr>
          <w:p>
            <w:pPr>
              <w:pStyle w:val="yTableNAm"/>
              <w:jc w:val="center"/>
            </w:pPr>
            <w:r>
              <w:t>100</w:t>
            </w:r>
          </w:p>
        </w:tc>
        <w:tc>
          <w:tcPr>
            <w:tcW w:w="2292" w:type="dxa"/>
            <w:noWrap/>
          </w:tcPr>
          <w:p>
            <w:pPr>
              <w:pStyle w:val="yTableNAm"/>
              <w:jc w:val="center"/>
            </w:pPr>
            <w:r>
              <w:t>7 695.38</w:t>
            </w:r>
          </w:p>
        </w:tc>
      </w:tr>
      <w:tr>
        <w:trPr>
          <w:cantSplit/>
        </w:trPr>
        <w:tc>
          <w:tcPr>
            <w:tcW w:w="2292" w:type="dxa"/>
            <w:noWrap/>
          </w:tcPr>
          <w:p>
            <w:pPr>
              <w:pStyle w:val="yTableNAm"/>
              <w:jc w:val="center"/>
            </w:pPr>
            <w:r>
              <w:t>140, 150</w:t>
            </w:r>
          </w:p>
        </w:tc>
        <w:tc>
          <w:tcPr>
            <w:tcW w:w="2292" w:type="dxa"/>
            <w:noWrap/>
          </w:tcPr>
          <w:p>
            <w:pPr>
              <w:pStyle w:val="yTableNAm"/>
              <w:jc w:val="center"/>
            </w:pPr>
            <w:r>
              <w:t>17 314.62</w:t>
            </w:r>
          </w:p>
        </w:tc>
      </w:tr>
      <w:tr>
        <w:trPr>
          <w:cantSplit/>
        </w:trPr>
        <w:tc>
          <w:tcPr>
            <w:tcW w:w="2292" w:type="dxa"/>
            <w:noWrap/>
          </w:tcPr>
          <w:p>
            <w:pPr>
              <w:pStyle w:val="yTableNAm"/>
              <w:jc w:val="center"/>
            </w:pPr>
            <w:r>
              <w:t>200</w:t>
            </w:r>
          </w:p>
        </w:tc>
        <w:tc>
          <w:tcPr>
            <w:tcW w:w="2292" w:type="dxa"/>
            <w:noWrap/>
          </w:tcPr>
          <w:p>
            <w:pPr>
              <w:pStyle w:val="yTableNAm"/>
              <w:jc w:val="center"/>
            </w:pPr>
            <w:r>
              <w:t>30 781.53</w:t>
            </w:r>
          </w:p>
        </w:tc>
      </w:tr>
      <w:tr>
        <w:trPr>
          <w:cantSplit/>
        </w:trPr>
        <w:tc>
          <w:tcPr>
            <w:tcW w:w="2292" w:type="dxa"/>
            <w:noWrap/>
          </w:tcPr>
          <w:p>
            <w:pPr>
              <w:pStyle w:val="yTableNAm"/>
              <w:jc w:val="center"/>
            </w:pPr>
            <w:r>
              <w:t>250</w:t>
            </w:r>
          </w:p>
        </w:tc>
        <w:tc>
          <w:tcPr>
            <w:tcW w:w="2292" w:type="dxa"/>
            <w:noWrap/>
          </w:tcPr>
          <w:p>
            <w:pPr>
              <w:pStyle w:val="yTableNAm"/>
              <w:jc w:val="center"/>
            </w:pPr>
            <w:r>
              <w:t>48 096.15</w:t>
            </w:r>
          </w:p>
        </w:tc>
      </w:tr>
      <w:tr>
        <w:trPr>
          <w:cantSplit/>
        </w:trPr>
        <w:tc>
          <w:tcPr>
            <w:tcW w:w="2292" w:type="dxa"/>
            <w:noWrap/>
          </w:tcPr>
          <w:p>
            <w:pPr>
              <w:pStyle w:val="yTableNAm"/>
              <w:jc w:val="center"/>
            </w:pPr>
            <w:r>
              <w:t>300</w:t>
            </w:r>
          </w:p>
        </w:tc>
        <w:tc>
          <w:tcPr>
            <w:tcW w:w="2292" w:type="dxa"/>
            <w:noWrap/>
          </w:tcPr>
          <w:p>
            <w:pPr>
              <w:pStyle w:val="yTableNAm"/>
              <w:jc w:val="center"/>
            </w:pPr>
            <w:r>
              <w:t>69 258.46</w:t>
            </w:r>
          </w:p>
        </w:tc>
      </w:tr>
      <w:tr>
        <w:trPr>
          <w:cantSplit/>
        </w:trPr>
        <w:tc>
          <w:tcPr>
            <w:tcW w:w="2292" w:type="dxa"/>
            <w:tcBorders>
              <w:bottom w:val="single" w:sz="4" w:space="0" w:color="auto"/>
            </w:tcBorders>
            <w:noWrap/>
          </w:tcPr>
          <w:p>
            <w:pPr>
              <w:pStyle w:val="yTableNAm"/>
              <w:jc w:val="center"/>
            </w:pPr>
            <w:r>
              <w:t>350</w:t>
            </w:r>
          </w:p>
        </w:tc>
        <w:tc>
          <w:tcPr>
            <w:tcW w:w="2292" w:type="dxa"/>
            <w:tcBorders>
              <w:bottom w:val="single" w:sz="4" w:space="0" w:color="auto"/>
            </w:tcBorders>
            <w:noWrap/>
          </w:tcPr>
          <w:p>
            <w:pPr>
              <w:pStyle w:val="yTableNAm"/>
              <w:jc w:val="center"/>
            </w:pPr>
            <w:r>
              <w:t>94 268.50</w:t>
            </w:r>
          </w:p>
        </w:tc>
      </w:tr>
    </w:tbl>
    <w:p>
      <w:pPr>
        <w:pStyle w:val="zyHeading4"/>
      </w:pPr>
      <w:bookmarkStart w:id="113" w:name="_Toc169797196"/>
      <w:bookmarkStart w:id="114" w:name="_Toc169797351"/>
      <w:bookmarkStart w:id="115" w:name="_Toc169797506"/>
      <w:bookmarkStart w:id="116" w:name="_Toc170213107"/>
      <w:r>
        <w:t>Subdivision 2 — Service charges that apply for land</w:t>
      </w:r>
      <w:bookmarkEnd w:id="113"/>
      <w:bookmarkEnd w:id="114"/>
      <w:bookmarkEnd w:id="115"/>
      <w:bookmarkEnd w:id="116"/>
    </w:p>
    <w:p>
      <w:pPr>
        <w:pStyle w:val="zyHeading5"/>
      </w:pPr>
      <w:bookmarkStart w:id="117" w:name="_Toc169797197"/>
      <w:bookmarkStart w:id="118" w:name="_Toc170213108"/>
      <w:r>
        <w:t>3.</w:t>
      </w:r>
      <w:r>
        <w:tab/>
        <w:t>Residential</w:t>
      </w:r>
      <w:bookmarkEnd w:id="117"/>
      <w:bookmarkEnd w:id="118"/>
    </w:p>
    <w:p>
      <w:pPr>
        <w:pStyle w:val="ySubsection"/>
        <w:tabs>
          <w:tab w:val="right" w:leader="dot" w:pos="6804"/>
        </w:tabs>
      </w:pPr>
      <w:r>
        <w:tab/>
      </w:r>
      <w:r>
        <w:tab/>
        <w:t xml:space="preserve">For a residential property not covered by </w:t>
      </w:r>
      <w:r>
        <w:br/>
        <w:t xml:space="preserve">item 4, 5, 8, 9 or 10, the charge, per </w:t>
      </w:r>
      <w:r>
        <w:br/>
        <w:t xml:space="preserve">dwelling on the land, is </w:t>
      </w:r>
      <w:r>
        <w:tab/>
        <w:t>$289.65</w:t>
      </w:r>
    </w:p>
    <w:p>
      <w:pPr>
        <w:pStyle w:val="zyHeading5"/>
      </w:pPr>
      <w:bookmarkStart w:id="119" w:name="_Toc169797198"/>
      <w:bookmarkStart w:id="120" w:name="_Toc170213109"/>
      <w:r>
        <w:t>4.</w:t>
      </w:r>
      <w:r>
        <w:tab/>
        <w:t>Metropolitan concessional</w:t>
      </w:r>
      <w:bookmarkEnd w:id="119"/>
      <w:bookmarkEnd w:id="120"/>
    </w:p>
    <w:p>
      <w:pPr>
        <w:pStyle w:val="ySubsection"/>
      </w:pPr>
      <w:r>
        <w:tab/>
        <w:t>(1)</w:t>
      </w:r>
      <w:r>
        <w:tab/>
        <w:t>For land in the metropolitan area that is classified as aged home, community purpose or charitable purposes, the charge, per water supply connection, is the discounted charge set out in the Table to this sub</w:t>
      </w:r>
      <w:r>
        <w:noBreakHyphen/>
        <w:t>item, according to the relevant meter size.</w:t>
      </w:r>
    </w:p>
    <w:p>
      <w:pPr>
        <w:pStyle w:val="yTHeadingNAm"/>
      </w:pPr>
      <w:r>
        <w:t>Table of charges and discounts</w:t>
      </w:r>
    </w:p>
    <w:tbl>
      <w:tblPr>
        <w:tblW w:w="5529" w:type="dxa"/>
        <w:tblInd w:w="1418" w:type="dxa"/>
        <w:tblLayout w:type="fixed"/>
        <w:tblLook w:val="0000" w:firstRow="0" w:lastRow="0" w:firstColumn="0" w:lastColumn="0" w:noHBand="0" w:noVBand="0"/>
      </w:tblPr>
      <w:tblGrid>
        <w:gridCol w:w="1560"/>
        <w:gridCol w:w="1275"/>
        <w:gridCol w:w="1276"/>
        <w:gridCol w:w="1418"/>
      </w:tblGrid>
      <w:tr>
        <w:trPr>
          <w:cantSplit/>
          <w:tblHeader/>
        </w:trPr>
        <w:tc>
          <w:tcPr>
            <w:tcW w:w="1560" w:type="dxa"/>
            <w:tcBorders>
              <w:top w:val="single" w:sz="4" w:space="0" w:color="auto"/>
              <w:bottom w:val="single" w:sz="4" w:space="0" w:color="auto"/>
            </w:tcBorders>
            <w:noWrap/>
            <w:vAlign w:val="center"/>
          </w:tcPr>
          <w:p>
            <w:pPr>
              <w:pStyle w:val="yTableNAm"/>
              <w:jc w:val="center"/>
            </w:pPr>
            <w:r>
              <w:rPr>
                <w:b/>
              </w:rPr>
              <w:t>Meter size</w:t>
            </w:r>
            <w:r>
              <w:rPr>
                <w:b/>
              </w:rPr>
              <w:br/>
            </w:r>
            <w:r>
              <w:rPr>
                <w:b/>
              </w:rPr>
              <w:br/>
              <w:t>mm</w:t>
            </w:r>
          </w:p>
        </w:tc>
        <w:tc>
          <w:tcPr>
            <w:tcW w:w="127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560" w:type="dxa"/>
            <w:tcBorders>
              <w:top w:val="single" w:sz="4" w:space="0" w:color="auto"/>
            </w:tcBorders>
            <w:noWrap/>
            <w:tcMar>
              <w:left w:w="28" w:type="dxa"/>
              <w:right w:w="28" w:type="dxa"/>
            </w:tcMar>
          </w:tcPr>
          <w:p>
            <w:pPr>
              <w:pStyle w:val="yTableNAm"/>
              <w:jc w:val="center"/>
            </w:pPr>
            <w:r>
              <w:t>15, 20</w:t>
            </w:r>
          </w:p>
        </w:tc>
        <w:tc>
          <w:tcPr>
            <w:tcW w:w="1275" w:type="dxa"/>
            <w:tcBorders>
              <w:top w:val="single" w:sz="4" w:space="0" w:color="auto"/>
            </w:tcBorders>
            <w:noWrap/>
          </w:tcPr>
          <w:p>
            <w:pPr>
              <w:pStyle w:val="yTableNAm"/>
              <w:jc w:val="center"/>
            </w:pPr>
            <w:r>
              <w:t>307.80</w:t>
            </w:r>
          </w:p>
        </w:tc>
        <w:tc>
          <w:tcPr>
            <w:tcW w:w="1276" w:type="dxa"/>
            <w:tcBorders>
              <w:top w:val="single" w:sz="4" w:space="0" w:color="auto"/>
            </w:tcBorders>
            <w:noWrap/>
          </w:tcPr>
          <w:p>
            <w:pPr>
              <w:pStyle w:val="yTableNAm"/>
              <w:jc w:val="center"/>
            </w:pPr>
            <w:r>
              <w:t>307.80</w:t>
            </w:r>
          </w:p>
        </w:tc>
        <w:tc>
          <w:tcPr>
            <w:tcW w:w="1418" w:type="dxa"/>
            <w:tcBorders>
              <w:top w:val="single" w:sz="4" w:space="0" w:color="auto"/>
            </w:tcBorders>
            <w:noWrap/>
            <w:vAlign w:val="bottom"/>
          </w:tcPr>
          <w:p>
            <w:pPr>
              <w:pStyle w:val="yTableNAm"/>
              <w:jc w:val="center"/>
            </w:pPr>
            <w:r>
              <w:t>0.00</w:t>
            </w:r>
          </w:p>
        </w:tc>
      </w:tr>
      <w:tr>
        <w:trPr>
          <w:cantSplit/>
        </w:trPr>
        <w:tc>
          <w:tcPr>
            <w:tcW w:w="1560" w:type="dxa"/>
            <w:noWrap/>
            <w:tcMar>
              <w:left w:w="62" w:type="dxa"/>
              <w:right w:w="62" w:type="dxa"/>
            </w:tcMar>
          </w:tcPr>
          <w:p>
            <w:pPr>
              <w:pStyle w:val="yTableNAm"/>
              <w:jc w:val="center"/>
            </w:pPr>
            <w:r>
              <w:t>25</w:t>
            </w:r>
          </w:p>
        </w:tc>
        <w:tc>
          <w:tcPr>
            <w:tcW w:w="1275" w:type="dxa"/>
            <w:noWrap/>
          </w:tcPr>
          <w:p>
            <w:pPr>
              <w:pStyle w:val="yTableNAm"/>
              <w:jc w:val="center"/>
            </w:pPr>
            <w:r>
              <w:t>480.98</w:t>
            </w:r>
          </w:p>
        </w:tc>
        <w:tc>
          <w:tcPr>
            <w:tcW w:w="1276" w:type="dxa"/>
            <w:noWrap/>
          </w:tcPr>
          <w:p>
            <w:pPr>
              <w:pStyle w:val="yTableNAm"/>
              <w:jc w:val="center"/>
            </w:pPr>
            <w:r>
              <w:t>480.98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lastRenderedPageBreak/>
              <w:t>30</w:t>
            </w:r>
          </w:p>
        </w:tc>
        <w:tc>
          <w:tcPr>
            <w:tcW w:w="1275" w:type="dxa"/>
            <w:noWrap/>
          </w:tcPr>
          <w:p>
            <w:pPr>
              <w:pStyle w:val="yTableNAm"/>
              <w:jc w:val="center"/>
            </w:pPr>
            <w:r>
              <w:t>692.55</w:t>
            </w:r>
          </w:p>
        </w:tc>
        <w:tc>
          <w:tcPr>
            <w:tcW w:w="1276" w:type="dxa"/>
            <w:noWrap/>
          </w:tcPr>
          <w:p>
            <w:pPr>
              <w:pStyle w:val="yTableNAm"/>
              <w:jc w:val="center"/>
            </w:pPr>
            <w:r>
              <w:t>692.55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35, 38, 40</w:t>
            </w:r>
          </w:p>
        </w:tc>
        <w:tc>
          <w:tcPr>
            <w:tcW w:w="1275" w:type="dxa"/>
            <w:noWrap/>
          </w:tcPr>
          <w:p>
            <w:pPr>
              <w:pStyle w:val="yTableNAm"/>
              <w:jc w:val="center"/>
            </w:pPr>
            <w:r>
              <w:t>1 231.28</w:t>
            </w:r>
          </w:p>
        </w:tc>
        <w:tc>
          <w:tcPr>
            <w:tcW w:w="1276" w:type="dxa"/>
            <w:noWrap/>
          </w:tcPr>
          <w:p>
            <w:pPr>
              <w:pStyle w:val="yTableNAm"/>
              <w:jc w:val="center"/>
            </w:pPr>
            <w:r>
              <w:t>1 231.28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50</w:t>
            </w:r>
          </w:p>
        </w:tc>
        <w:tc>
          <w:tcPr>
            <w:tcW w:w="1275" w:type="dxa"/>
            <w:noWrap/>
          </w:tcPr>
          <w:p>
            <w:pPr>
              <w:pStyle w:val="yTableNAm"/>
              <w:jc w:val="center"/>
            </w:pPr>
            <w:r>
              <w:t>1 923.84</w:t>
            </w:r>
          </w:p>
        </w:tc>
        <w:tc>
          <w:tcPr>
            <w:tcW w:w="1276" w:type="dxa"/>
            <w:noWrap/>
          </w:tcPr>
          <w:p>
            <w:pPr>
              <w:pStyle w:val="yTableNAm"/>
              <w:jc w:val="center"/>
            </w:pPr>
            <w:r>
              <w:t>1 923.84</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70, 75, 80</w:t>
            </w:r>
          </w:p>
        </w:tc>
        <w:tc>
          <w:tcPr>
            <w:tcW w:w="1275" w:type="dxa"/>
            <w:noWrap/>
          </w:tcPr>
          <w:p>
            <w:pPr>
              <w:pStyle w:val="yTableNAm"/>
              <w:jc w:val="center"/>
            </w:pPr>
            <w:r>
              <w:t>4 925.05</w:t>
            </w:r>
          </w:p>
        </w:tc>
        <w:tc>
          <w:tcPr>
            <w:tcW w:w="1276" w:type="dxa"/>
            <w:noWrap/>
          </w:tcPr>
          <w:p>
            <w:pPr>
              <w:pStyle w:val="yTableNAm"/>
              <w:jc w:val="center"/>
            </w:pPr>
            <w:r>
              <w:t>4 925.05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100</w:t>
            </w:r>
          </w:p>
        </w:tc>
        <w:tc>
          <w:tcPr>
            <w:tcW w:w="1275" w:type="dxa"/>
            <w:noWrap/>
          </w:tcPr>
          <w:p>
            <w:pPr>
              <w:pStyle w:val="yTableNAm"/>
              <w:jc w:val="center"/>
            </w:pPr>
            <w:r>
              <w:t>7 695.38</w:t>
            </w:r>
          </w:p>
        </w:tc>
        <w:tc>
          <w:tcPr>
            <w:tcW w:w="1276" w:type="dxa"/>
            <w:noWrap/>
          </w:tcPr>
          <w:p>
            <w:pPr>
              <w:pStyle w:val="yTableNAm"/>
              <w:jc w:val="center"/>
            </w:pPr>
            <w:r>
              <w:t>7 695.38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140, 150</w:t>
            </w:r>
          </w:p>
        </w:tc>
        <w:tc>
          <w:tcPr>
            <w:tcW w:w="1275" w:type="dxa"/>
            <w:noWrap/>
          </w:tcPr>
          <w:p>
            <w:pPr>
              <w:pStyle w:val="yTableNAm"/>
              <w:jc w:val="center"/>
            </w:pPr>
            <w:r>
              <w:t>17 314.62</w:t>
            </w:r>
          </w:p>
        </w:tc>
        <w:tc>
          <w:tcPr>
            <w:tcW w:w="1276" w:type="dxa"/>
            <w:noWrap/>
          </w:tcPr>
          <w:p>
            <w:pPr>
              <w:pStyle w:val="yTableNAm"/>
              <w:jc w:val="center"/>
            </w:pPr>
            <w:r>
              <w:t>17 314.62</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200</w:t>
            </w:r>
          </w:p>
        </w:tc>
        <w:tc>
          <w:tcPr>
            <w:tcW w:w="1275" w:type="dxa"/>
            <w:noWrap/>
          </w:tcPr>
          <w:p>
            <w:pPr>
              <w:pStyle w:val="yTableNAm"/>
              <w:jc w:val="center"/>
            </w:pPr>
            <w:r>
              <w:t>30 781.53</w:t>
            </w:r>
          </w:p>
        </w:tc>
        <w:tc>
          <w:tcPr>
            <w:tcW w:w="1276" w:type="dxa"/>
            <w:noWrap/>
          </w:tcPr>
          <w:p>
            <w:pPr>
              <w:pStyle w:val="yTableNAm"/>
              <w:jc w:val="center"/>
            </w:pPr>
            <w:r>
              <w:t>30 781.53</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250</w:t>
            </w:r>
          </w:p>
        </w:tc>
        <w:tc>
          <w:tcPr>
            <w:tcW w:w="1275" w:type="dxa"/>
            <w:noWrap/>
          </w:tcPr>
          <w:p>
            <w:pPr>
              <w:pStyle w:val="yTableNAm"/>
              <w:jc w:val="center"/>
            </w:pPr>
            <w:r>
              <w:t>48 096.15</w:t>
            </w:r>
          </w:p>
        </w:tc>
        <w:tc>
          <w:tcPr>
            <w:tcW w:w="1276" w:type="dxa"/>
            <w:noWrap/>
          </w:tcPr>
          <w:p>
            <w:pPr>
              <w:pStyle w:val="yTableNAm"/>
              <w:jc w:val="center"/>
            </w:pPr>
            <w:r>
              <w:t>48 096.15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300</w:t>
            </w:r>
          </w:p>
        </w:tc>
        <w:tc>
          <w:tcPr>
            <w:tcW w:w="1275" w:type="dxa"/>
            <w:noWrap/>
          </w:tcPr>
          <w:p>
            <w:pPr>
              <w:pStyle w:val="yTableNAm"/>
              <w:jc w:val="center"/>
            </w:pPr>
            <w:r>
              <w:t>69 258.46</w:t>
            </w:r>
          </w:p>
        </w:tc>
        <w:tc>
          <w:tcPr>
            <w:tcW w:w="1276" w:type="dxa"/>
            <w:noWrap/>
          </w:tcPr>
          <w:p>
            <w:pPr>
              <w:pStyle w:val="yTableNAm"/>
              <w:jc w:val="center"/>
            </w:pPr>
            <w:r>
              <w:t>69 258.46</w:t>
            </w:r>
          </w:p>
        </w:tc>
        <w:tc>
          <w:tcPr>
            <w:tcW w:w="1418" w:type="dxa"/>
            <w:noWrap/>
            <w:vAlign w:val="bottom"/>
          </w:tcPr>
          <w:p>
            <w:pPr>
              <w:pStyle w:val="yTableNAm"/>
              <w:jc w:val="center"/>
            </w:pPr>
            <w:r>
              <w:t>0.00</w:t>
            </w:r>
          </w:p>
        </w:tc>
      </w:tr>
      <w:tr>
        <w:trPr>
          <w:cantSplit/>
        </w:trPr>
        <w:tc>
          <w:tcPr>
            <w:tcW w:w="1560" w:type="dxa"/>
            <w:tcBorders>
              <w:bottom w:val="single" w:sz="4" w:space="0" w:color="auto"/>
            </w:tcBorders>
            <w:noWrap/>
            <w:tcMar>
              <w:left w:w="28" w:type="dxa"/>
              <w:right w:w="57" w:type="dxa"/>
            </w:tcMar>
          </w:tcPr>
          <w:p>
            <w:pPr>
              <w:pStyle w:val="yTableNAm"/>
              <w:jc w:val="center"/>
            </w:pPr>
            <w:r>
              <w:t>350</w:t>
            </w:r>
          </w:p>
        </w:tc>
        <w:tc>
          <w:tcPr>
            <w:tcW w:w="1275" w:type="dxa"/>
            <w:tcBorders>
              <w:bottom w:val="single" w:sz="4" w:space="0" w:color="auto"/>
            </w:tcBorders>
            <w:noWrap/>
          </w:tcPr>
          <w:p>
            <w:pPr>
              <w:pStyle w:val="yTableNAm"/>
              <w:jc w:val="center"/>
            </w:pPr>
            <w:r>
              <w:t>94 268.50</w:t>
            </w:r>
          </w:p>
        </w:tc>
        <w:tc>
          <w:tcPr>
            <w:tcW w:w="1276" w:type="dxa"/>
            <w:tcBorders>
              <w:bottom w:val="single" w:sz="4" w:space="0" w:color="auto"/>
            </w:tcBorders>
            <w:noWrap/>
          </w:tcPr>
          <w:p>
            <w:pPr>
              <w:pStyle w:val="yTableNAm"/>
              <w:jc w:val="center"/>
            </w:pPr>
            <w:r>
              <w:t>94 268.50</w:t>
            </w:r>
          </w:p>
        </w:tc>
        <w:tc>
          <w:tcPr>
            <w:tcW w:w="1418" w:type="dxa"/>
            <w:tcBorders>
              <w:bottom w:val="single" w:sz="4" w:space="0" w:color="auto"/>
            </w:tcBorders>
            <w:noWrap/>
            <w:vAlign w:val="bottom"/>
          </w:tcPr>
          <w:p>
            <w:pPr>
              <w:pStyle w:val="yTableNAm"/>
              <w:jc w:val="center"/>
            </w:pPr>
            <w:r>
              <w:t>0.00</w:t>
            </w:r>
          </w:p>
        </w:tc>
      </w:tr>
    </w:tbl>
    <w:p>
      <w:pPr>
        <w:pStyle w:val="ySubsection"/>
      </w:pPr>
      <w:r>
        <w:tab/>
        <w:t>(2)</w:t>
      </w:r>
      <w:r>
        <w:tab/>
        <w:t>Sub</w:t>
      </w:r>
      <w:r>
        <w:noBreakHyphen/>
        <w:t>item (1) does not apply to a connection covered by item 21.</w:t>
      </w:r>
    </w:p>
    <w:p>
      <w:pPr>
        <w:pStyle w:val="ySubsection"/>
      </w:pPr>
      <w:r>
        <w:tab/>
        <w:t>(3)</w:t>
      </w:r>
      <w:r>
        <w:tab/>
        <w:t>For concessional land in the metropolitan area which, although a water service is provided, is not connected to water supply works of the Water Corporation, the charge is the discounted charge set out in the Table to this sub</w:t>
      </w:r>
      <w:r>
        <w:noBreakHyphen/>
        <w:t>item.</w:t>
      </w:r>
    </w:p>
    <w:p>
      <w:pPr>
        <w:pStyle w:val="yTHeadingNAm"/>
      </w:pPr>
      <w:r>
        <w:t>Table of charge and discount</w:t>
      </w:r>
    </w:p>
    <w:tbl>
      <w:tblPr>
        <w:tblW w:w="3687" w:type="dxa"/>
        <w:jc w:val="center"/>
        <w:tblLayout w:type="fixed"/>
        <w:tblLook w:val="0000" w:firstRow="0" w:lastRow="0" w:firstColumn="0" w:lastColumn="0" w:noHBand="0" w:noVBand="0"/>
      </w:tblPr>
      <w:tblGrid>
        <w:gridCol w:w="1134"/>
        <w:gridCol w:w="1135"/>
        <w:gridCol w:w="1418"/>
      </w:tblGrid>
      <w:tr>
        <w:trPr>
          <w:cantSplit/>
          <w:tblHeader/>
          <w:jc w:val="center"/>
        </w:trPr>
        <w:tc>
          <w:tcPr>
            <w:tcW w:w="1134"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jc w:val="center"/>
        </w:trPr>
        <w:tc>
          <w:tcPr>
            <w:tcW w:w="1134" w:type="dxa"/>
            <w:tcBorders>
              <w:bottom w:val="single" w:sz="4" w:space="0" w:color="auto"/>
            </w:tcBorders>
            <w:noWrap/>
          </w:tcPr>
          <w:p>
            <w:pPr>
              <w:pStyle w:val="yTableNAm"/>
              <w:jc w:val="center"/>
            </w:pPr>
            <w:r>
              <w:t>307.80</w:t>
            </w:r>
          </w:p>
        </w:tc>
        <w:tc>
          <w:tcPr>
            <w:tcW w:w="1135" w:type="dxa"/>
            <w:tcBorders>
              <w:bottom w:val="single" w:sz="4" w:space="0" w:color="auto"/>
            </w:tcBorders>
            <w:noWrap/>
          </w:tcPr>
          <w:p>
            <w:pPr>
              <w:pStyle w:val="yTableNAm"/>
              <w:jc w:val="center"/>
            </w:pPr>
            <w:r>
              <w:t>307.80</w:t>
            </w:r>
          </w:p>
        </w:tc>
        <w:tc>
          <w:tcPr>
            <w:tcW w:w="1418" w:type="dxa"/>
            <w:tcBorders>
              <w:bottom w:val="single" w:sz="4" w:space="0" w:color="auto"/>
            </w:tcBorders>
            <w:noWrap/>
            <w:vAlign w:val="bottom"/>
          </w:tcPr>
          <w:p>
            <w:pPr>
              <w:pStyle w:val="yTableNAm"/>
              <w:jc w:val="center"/>
            </w:pPr>
            <w:r>
              <w:t>0.00</w:t>
            </w:r>
          </w:p>
        </w:tc>
      </w:tr>
    </w:tbl>
    <w:p>
      <w:pPr>
        <w:pStyle w:val="zyHeading5"/>
      </w:pPr>
      <w:bookmarkStart w:id="121" w:name="_Toc169797199"/>
      <w:bookmarkStart w:id="122" w:name="_Toc170213110"/>
      <w:r>
        <w:t>5.</w:t>
      </w:r>
      <w:r>
        <w:tab/>
        <w:t>Strata</w:t>
      </w:r>
      <w:r>
        <w:noBreakHyphen/>
        <w:t>titled or long</w:t>
      </w:r>
      <w:r>
        <w:noBreakHyphen/>
        <w:t>term residential caravan bays and park homes</w:t>
      </w:r>
      <w:bookmarkEnd w:id="121"/>
      <w:bookmarkEnd w:id="122"/>
    </w:p>
    <w:p>
      <w:pPr>
        <w:pStyle w:val="ySubsection"/>
        <w:tabs>
          <w:tab w:val="right" w:leader="dot" w:pos="6804"/>
        </w:tabs>
      </w:pPr>
      <w:r>
        <w:tab/>
      </w:r>
      <w:r>
        <w:tab/>
        <w:t>For a strata</w:t>
      </w:r>
      <w:r>
        <w:noBreakHyphen/>
        <w:t>titled caravan bay, a long</w:t>
      </w:r>
      <w:r>
        <w:noBreakHyphen/>
        <w:t xml:space="preserve">term </w:t>
      </w:r>
      <w:r>
        <w:br/>
        <w:t xml:space="preserve">residential caravan bay or a park home, </w:t>
      </w:r>
      <w:r>
        <w:br/>
        <w:t xml:space="preserve">the charge is </w:t>
      </w:r>
      <w:r>
        <w:tab/>
        <w:t>$209.51</w:t>
      </w:r>
    </w:p>
    <w:p>
      <w:pPr>
        <w:pStyle w:val="zyHeading5"/>
      </w:pPr>
      <w:bookmarkStart w:id="123" w:name="_Toc169797200"/>
      <w:bookmarkStart w:id="124" w:name="_Toc170213111"/>
      <w:r>
        <w:lastRenderedPageBreak/>
        <w:t>6.</w:t>
      </w:r>
      <w:r>
        <w:tab/>
        <w:t>Storage units or parking bays in strata titles scheme or community titles scheme</w:t>
      </w:r>
      <w:bookmarkEnd w:id="123"/>
      <w:bookmarkEnd w:id="124"/>
      <w:r>
        <w:t xml:space="preserve"> </w:t>
      </w:r>
    </w:p>
    <w:p>
      <w:pPr>
        <w:pStyle w:val="ySubsection"/>
        <w:tabs>
          <w:tab w:val="right" w:leader="dot" w:pos="6804"/>
        </w:tabs>
      </w:pPr>
      <w:r>
        <w:tab/>
      </w:r>
      <w:r>
        <w:tab/>
        <w:t xml:space="preserve">For a lot that is used for storage purposes or </w:t>
      </w:r>
      <w:r>
        <w:br/>
        <w:t>as a parking bay, in a strata titles scheme or a</w:t>
      </w:r>
      <w:r>
        <w:br/>
        <w:t xml:space="preserve">community titles scheme, the charge is </w:t>
      </w:r>
      <w:r>
        <w:tab/>
        <w:t>$108.34</w:t>
      </w:r>
    </w:p>
    <w:p>
      <w:pPr>
        <w:pStyle w:val="zyHeading5"/>
      </w:pPr>
      <w:bookmarkStart w:id="125" w:name="_Toc169797201"/>
      <w:bookmarkStart w:id="126" w:name="_Toc170213112"/>
      <w:r>
        <w:t>7.</w:t>
      </w:r>
      <w:r>
        <w:tab/>
        <w:t>Non</w:t>
      </w:r>
      <w:r>
        <w:noBreakHyphen/>
        <w:t>residential lots in strata titles scheme or community titles scheme that share a service</w:t>
      </w:r>
      <w:bookmarkEnd w:id="125"/>
      <w:bookmarkEnd w:id="126"/>
      <w:r>
        <w:t xml:space="preserve"> </w:t>
      </w:r>
    </w:p>
    <w:p>
      <w:pPr>
        <w:pStyle w:val="ySubsection"/>
      </w:pPr>
      <w:r>
        <w:tab/>
      </w:r>
      <w:r>
        <w:tab/>
        <w:t>For land that —</w:t>
      </w:r>
    </w:p>
    <w:p>
      <w:pPr>
        <w:pStyle w:val="yIndenta"/>
      </w:pPr>
      <w:r>
        <w:tab/>
        <w:t>(a)</w:t>
      </w:r>
      <w:r>
        <w:tab/>
        <w:t>is contained in a lot in a strata titles scheme or a lot in a community titles scheme; and</w:t>
      </w:r>
    </w:p>
    <w:p>
      <w:pPr>
        <w:pStyle w:val="yIndenta"/>
      </w:pPr>
      <w:r>
        <w:tab/>
        <w:t>(b)</w:t>
      </w:r>
      <w:r>
        <w:tab/>
        <w:t>is classified as non</w:t>
      </w:r>
      <w:r>
        <w:noBreakHyphen/>
        <w:t>residential; and</w:t>
      </w:r>
    </w:p>
    <w:p>
      <w:pPr>
        <w:pStyle w:val="yIndenta"/>
      </w:pPr>
      <w:r>
        <w:tab/>
        <w:t>(c)</w:t>
      </w:r>
      <w:r>
        <w:tab/>
        <w:t>is not covered by item 5 or 6; and</w:t>
      </w:r>
    </w:p>
    <w:p>
      <w:pPr>
        <w:pStyle w:val="yIndenta"/>
      </w:pPr>
      <w:r>
        <w:tab/>
        <w:t>(d)</w:t>
      </w:r>
      <w:r>
        <w:tab/>
        <w:t xml:space="preserve">shares a water supply connection with </w:t>
      </w:r>
      <w:r>
        <w:br/>
        <w:t>other such land,</w:t>
      </w:r>
    </w:p>
    <w:p>
      <w:pPr>
        <w:pStyle w:val="ySubsection"/>
        <w:tabs>
          <w:tab w:val="right" w:leader="dot" w:pos="6804"/>
        </w:tabs>
      </w:pPr>
      <w:r>
        <w:tab/>
      </w:r>
      <w:r>
        <w:tab/>
        <w:t xml:space="preserve">the charge is </w:t>
      </w:r>
      <w:r>
        <w:tab/>
        <w:t>$307.80</w:t>
      </w:r>
    </w:p>
    <w:p>
      <w:pPr>
        <w:pStyle w:val="zyHeading5"/>
      </w:pPr>
      <w:bookmarkStart w:id="127" w:name="_Toc169797202"/>
      <w:bookmarkStart w:id="128" w:name="_Toc170213113"/>
      <w:r>
        <w:t>8.</w:t>
      </w:r>
      <w:r>
        <w:tab/>
        <w:t>Community residential</w:t>
      </w:r>
      <w:bookmarkEnd w:id="127"/>
      <w:bookmarkEnd w:id="128"/>
    </w:p>
    <w:p>
      <w:pPr>
        <w:pStyle w:val="ySubsection"/>
      </w:pPr>
      <w:r>
        <w:tab/>
        <w:t>(1)</w:t>
      </w:r>
      <w:r>
        <w:tab/>
        <w:t>For land that is classified as community residential, the Water Corporation must determine the number of dwellings on the land.</w:t>
      </w:r>
    </w:p>
    <w:p>
      <w:pPr>
        <w:pStyle w:val="ySubsection"/>
      </w:pPr>
      <w:r>
        <w:tab/>
        <w:t>(2)</w:t>
      </w:r>
      <w:r>
        <w:tab/>
        <w:t xml:space="preserve">For land that is classified as community residential, the charge, according to the number of dwellings on the land, is the sum of the discounted charges for each dwelling, as set out in the Table, according to whether the Housing Authority agrees to be responsible for payment of the charge. </w:t>
      </w:r>
    </w:p>
    <w:p>
      <w:pPr>
        <w:pStyle w:val="yTHeadingNAm"/>
      </w:pPr>
      <w:r>
        <w:t>Table of charges and discounts</w:t>
      </w:r>
    </w:p>
    <w:tbl>
      <w:tblPr>
        <w:tblW w:w="5954" w:type="dxa"/>
        <w:tblInd w:w="1134" w:type="dxa"/>
        <w:tblLayout w:type="fixed"/>
        <w:tblLook w:val="0000" w:firstRow="0" w:lastRow="0" w:firstColumn="0" w:lastColumn="0" w:noHBand="0" w:noVBand="0"/>
      </w:tblPr>
      <w:tblGrid>
        <w:gridCol w:w="2126"/>
        <w:gridCol w:w="1170"/>
        <w:gridCol w:w="1170"/>
        <w:gridCol w:w="1488"/>
      </w:tblGrid>
      <w:tr>
        <w:trPr>
          <w:cantSplit/>
          <w:tblHeader/>
        </w:trPr>
        <w:tc>
          <w:tcPr>
            <w:tcW w:w="2126" w:type="dxa"/>
            <w:tcBorders>
              <w:top w:val="single" w:sz="4" w:space="0" w:color="auto"/>
              <w:bottom w:val="single" w:sz="4" w:space="0" w:color="auto"/>
            </w:tcBorders>
            <w:noWrap/>
          </w:tcPr>
          <w:p>
            <w:pPr>
              <w:pStyle w:val="zyTableNAm"/>
            </w:pPr>
          </w:p>
        </w:tc>
        <w:tc>
          <w:tcPr>
            <w:tcW w:w="1170"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70"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8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2126" w:type="dxa"/>
            <w:tcBorders>
              <w:bottom w:val="single" w:sz="4" w:space="0" w:color="auto"/>
            </w:tcBorders>
            <w:noWrap/>
          </w:tcPr>
          <w:p>
            <w:pPr>
              <w:pStyle w:val="yTableNAm"/>
            </w:pPr>
            <w:r>
              <w:t>If Housing Authority responsible for payment of charge</w:t>
            </w:r>
          </w:p>
        </w:tc>
        <w:tc>
          <w:tcPr>
            <w:tcW w:w="1170" w:type="dxa"/>
            <w:tcBorders>
              <w:bottom w:val="single" w:sz="4" w:space="0" w:color="auto"/>
            </w:tcBorders>
            <w:noWrap/>
          </w:tcPr>
          <w:p>
            <w:pPr>
              <w:pStyle w:val="yTableNAm"/>
              <w:jc w:val="center"/>
            </w:pPr>
            <w:r>
              <w:t>289.65</w:t>
            </w:r>
          </w:p>
        </w:tc>
        <w:tc>
          <w:tcPr>
            <w:tcW w:w="1170" w:type="dxa"/>
            <w:tcBorders>
              <w:bottom w:val="single" w:sz="4" w:space="0" w:color="auto"/>
            </w:tcBorders>
            <w:noWrap/>
          </w:tcPr>
          <w:p>
            <w:pPr>
              <w:pStyle w:val="yTableNAm"/>
              <w:jc w:val="center"/>
            </w:pPr>
            <w:r>
              <w:t>108.86</w:t>
            </w:r>
          </w:p>
        </w:tc>
        <w:tc>
          <w:tcPr>
            <w:tcW w:w="1488" w:type="dxa"/>
            <w:tcBorders>
              <w:bottom w:val="single" w:sz="4" w:space="0" w:color="auto"/>
            </w:tcBorders>
            <w:noWrap/>
          </w:tcPr>
          <w:p>
            <w:pPr>
              <w:pStyle w:val="yTableNAm"/>
              <w:jc w:val="center"/>
            </w:pPr>
            <w:r>
              <w:t>180.79</w:t>
            </w:r>
          </w:p>
        </w:tc>
      </w:tr>
      <w:tr>
        <w:trPr>
          <w:cantSplit/>
        </w:trPr>
        <w:tc>
          <w:tcPr>
            <w:tcW w:w="2126" w:type="dxa"/>
            <w:tcBorders>
              <w:bottom w:val="single" w:sz="4" w:space="0" w:color="auto"/>
            </w:tcBorders>
            <w:noWrap/>
          </w:tcPr>
          <w:p>
            <w:pPr>
              <w:pStyle w:val="yTableNAm"/>
            </w:pPr>
            <w:r>
              <w:t>In any other case</w:t>
            </w:r>
          </w:p>
        </w:tc>
        <w:tc>
          <w:tcPr>
            <w:tcW w:w="1170" w:type="dxa"/>
            <w:tcBorders>
              <w:bottom w:val="single" w:sz="4" w:space="0" w:color="auto"/>
            </w:tcBorders>
            <w:noWrap/>
            <w:vAlign w:val="bottom"/>
          </w:tcPr>
          <w:p>
            <w:pPr>
              <w:pStyle w:val="yTableNAm"/>
              <w:jc w:val="center"/>
            </w:pPr>
            <w:r>
              <w:t>289.65</w:t>
            </w:r>
          </w:p>
        </w:tc>
        <w:tc>
          <w:tcPr>
            <w:tcW w:w="1170" w:type="dxa"/>
            <w:tcBorders>
              <w:bottom w:val="single" w:sz="4" w:space="0" w:color="auto"/>
            </w:tcBorders>
            <w:noWrap/>
            <w:vAlign w:val="bottom"/>
          </w:tcPr>
          <w:p>
            <w:pPr>
              <w:pStyle w:val="yTableNAm"/>
              <w:jc w:val="center"/>
            </w:pPr>
            <w:r>
              <w:t>289.65</w:t>
            </w:r>
          </w:p>
        </w:tc>
        <w:tc>
          <w:tcPr>
            <w:tcW w:w="1488" w:type="dxa"/>
            <w:tcBorders>
              <w:bottom w:val="single" w:sz="4" w:space="0" w:color="auto"/>
            </w:tcBorders>
            <w:noWrap/>
            <w:vAlign w:val="bottom"/>
          </w:tcPr>
          <w:p>
            <w:pPr>
              <w:pStyle w:val="yTableNAm"/>
              <w:jc w:val="center"/>
            </w:pPr>
            <w:r>
              <w:t>0.00</w:t>
            </w:r>
          </w:p>
        </w:tc>
      </w:tr>
    </w:tbl>
    <w:p>
      <w:pPr>
        <w:pStyle w:val="zyHeading5"/>
      </w:pPr>
      <w:bookmarkStart w:id="129" w:name="_Toc169797203"/>
      <w:bookmarkStart w:id="130" w:name="_Toc170213114"/>
      <w:r>
        <w:lastRenderedPageBreak/>
        <w:t>9.</w:t>
      </w:r>
      <w:r>
        <w:tab/>
        <w:t>Semi</w:t>
      </w:r>
      <w:r>
        <w:noBreakHyphen/>
        <w:t>rural residential</w:t>
      </w:r>
      <w:bookmarkEnd w:id="129"/>
      <w:bookmarkEnd w:id="130"/>
    </w:p>
    <w:p>
      <w:pPr>
        <w:pStyle w:val="ySubsection"/>
        <w:tabs>
          <w:tab w:val="right" w:leader="dot" w:pos="6804"/>
        </w:tabs>
      </w:pPr>
      <w:r>
        <w:tab/>
      </w:r>
      <w:r>
        <w:tab/>
        <w:t>For a semi</w:t>
      </w:r>
      <w:r>
        <w:noBreakHyphen/>
        <w:t xml:space="preserve">rural residential property not </w:t>
      </w:r>
      <w:r>
        <w:br/>
        <w:t xml:space="preserve">covered by item 4, the charge, per </w:t>
      </w:r>
      <w:r>
        <w:br/>
        <w:t xml:space="preserve">dwelling on the land, is </w:t>
      </w:r>
      <w:r>
        <w:tab/>
        <w:t>$289.65</w:t>
      </w:r>
    </w:p>
    <w:p>
      <w:pPr>
        <w:pStyle w:val="zyHeading5"/>
      </w:pPr>
      <w:bookmarkStart w:id="131" w:name="_Toc169797204"/>
      <w:bookmarkStart w:id="132" w:name="_Toc170213115"/>
      <w:r>
        <w:t>10.</w:t>
      </w:r>
      <w:r>
        <w:tab/>
        <w:t>Non</w:t>
      </w:r>
      <w:r>
        <w:noBreakHyphen/>
        <w:t>metropolitan concessional</w:t>
      </w:r>
      <w:bookmarkEnd w:id="131"/>
      <w:bookmarkEnd w:id="132"/>
    </w:p>
    <w:p>
      <w:pPr>
        <w:pStyle w:val="ySubsection"/>
      </w:pPr>
      <w:r>
        <w:tab/>
        <w:t>(1)</w:t>
      </w:r>
      <w:r>
        <w:tab/>
        <w:t>For land in the non</w:t>
      </w:r>
      <w:r>
        <w:noBreakHyphen/>
        <w:t>metropolitan area that is classified as aged home, charitable purposes or institutional public, the charge per water supply connection is the discounted charge set out in the Table to this sub</w:t>
      </w:r>
      <w:r>
        <w:noBreakHyphen/>
        <w:t>item, according to the relevant meter size.</w:t>
      </w:r>
    </w:p>
    <w:p>
      <w:pPr>
        <w:pStyle w:val="yTHeadingNAm"/>
      </w:pPr>
      <w:r>
        <w:t>Table of charges and discounts</w:t>
      </w:r>
    </w:p>
    <w:tbl>
      <w:tblPr>
        <w:tblW w:w="5529" w:type="dxa"/>
        <w:tblInd w:w="1418" w:type="dxa"/>
        <w:tblLayout w:type="fixed"/>
        <w:tblLook w:val="0000" w:firstRow="0" w:lastRow="0" w:firstColumn="0" w:lastColumn="0" w:noHBand="0" w:noVBand="0"/>
      </w:tblPr>
      <w:tblGrid>
        <w:gridCol w:w="1560"/>
        <w:gridCol w:w="1275"/>
        <w:gridCol w:w="1276"/>
        <w:gridCol w:w="1418"/>
      </w:tblGrid>
      <w:tr>
        <w:trPr>
          <w:cantSplit/>
          <w:tblHeader/>
        </w:trPr>
        <w:tc>
          <w:tcPr>
            <w:tcW w:w="1560" w:type="dxa"/>
            <w:tcBorders>
              <w:top w:val="single" w:sz="4" w:space="0" w:color="auto"/>
              <w:bottom w:val="single" w:sz="4" w:space="0" w:color="auto"/>
            </w:tcBorders>
            <w:noWrap/>
            <w:vAlign w:val="center"/>
          </w:tcPr>
          <w:p>
            <w:pPr>
              <w:pStyle w:val="yTableNAm"/>
              <w:jc w:val="center"/>
            </w:pPr>
            <w:r>
              <w:rPr>
                <w:b/>
              </w:rPr>
              <w:t>Meter size</w:t>
            </w:r>
            <w:r>
              <w:rPr>
                <w:b/>
              </w:rPr>
              <w:br/>
            </w:r>
            <w:r>
              <w:rPr>
                <w:b/>
              </w:rPr>
              <w:br/>
              <w:t>mm</w:t>
            </w:r>
          </w:p>
        </w:tc>
        <w:tc>
          <w:tcPr>
            <w:tcW w:w="127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560" w:type="dxa"/>
            <w:tcBorders>
              <w:top w:val="single" w:sz="4" w:space="0" w:color="auto"/>
            </w:tcBorders>
            <w:noWrap/>
            <w:tcMar>
              <w:left w:w="28" w:type="dxa"/>
              <w:right w:w="28" w:type="dxa"/>
            </w:tcMar>
          </w:tcPr>
          <w:p>
            <w:pPr>
              <w:pStyle w:val="yTableNAm"/>
              <w:jc w:val="center"/>
            </w:pPr>
            <w:r>
              <w:t>15, 20</w:t>
            </w:r>
          </w:p>
        </w:tc>
        <w:tc>
          <w:tcPr>
            <w:tcW w:w="1275" w:type="dxa"/>
            <w:tcBorders>
              <w:top w:val="single" w:sz="4" w:space="0" w:color="auto"/>
            </w:tcBorders>
            <w:noWrap/>
          </w:tcPr>
          <w:p>
            <w:pPr>
              <w:pStyle w:val="yTableNAm"/>
              <w:jc w:val="center"/>
            </w:pPr>
            <w:r>
              <w:t>307.80</w:t>
            </w:r>
          </w:p>
        </w:tc>
        <w:tc>
          <w:tcPr>
            <w:tcW w:w="1276" w:type="dxa"/>
            <w:tcBorders>
              <w:top w:val="single" w:sz="4" w:space="0" w:color="auto"/>
            </w:tcBorders>
            <w:noWrap/>
          </w:tcPr>
          <w:p>
            <w:pPr>
              <w:pStyle w:val="yTableNAm"/>
              <w:jc w:val="center"/>
            </w:pPr>
            <w:r>
              <w:t>307.80</w:t>
            </w:r>
          </w:p>
        </w:tc>
        <w:tc>
          <w:tcPr>
            <w:tcW w:w="1418" w:type="dxa"/>
            <w:tcBorders>
              <w:top w:val="single" w:sz="4" w:space="0" w:color="auto"/>
            </w:tcBorders>
            <w:noWrap/>
            <w:vAlign w:val="bottom"/>
          </w:tcPr>
          <w:p>
            <w:pPr>
              <w:pStyle w:val="yTableNAm"/>
              <w:jc w:val="center"/>
            </w:pPr>
            <w:r>
              <w:t>0.00</w:t>
            </w:r>
          </w:p>
        </w:tc>
      </w:tr>
      <w:tr>
        <w:trPr>
          <w:cantSplit/>
        </w:trPr>
        <w:tc>
          <w:tcPr>
            <w:tcW w:w="1560" w:type="dxa"/>
            <w:noWrap/>
            <w:tcMar>
              <w:left w:w="62" w:type="dxa"/>
              <w:right w:w="62" w:type="dxa"/>
            </w:tcMar>
          </w:tcPr>
          <w:p>
            <w:pPr>
              <w:pStyle w:val="yTableNAm"/>
              <w:jc w:val="center"/>
            </w:pPr>
            <w:r>
              <w:t>25</w:t>
            </w:r>
          </w:p>
        </w:tc>
        <w:tc>
          <w:tcPr>
            <w:tcW w:w="1275" w:type="dxa"/>
            <w:noWrap/>
          </w:tcPr>
          <w:p>
            <w:pPr>
              <w:pStyle w:val="yTableNAm"/>
              <w:jc w:val="center"/>
            </w:pPr>
            <w:r>
              <w:t>480.98</w:t>
            </w:r>
          </w:p>
        </w:tc>
        <w:tc>
          <w:tcPr>
            <w:tcW w:w="1276" w:type="dxa"/>
            <w:noWrap/>
          </w:tcPr>
          <w:p>
            <w:pPr>
              <w:pStyle w:val="yTableNAm"/>
              <w:jc w:val="center"/>
            </w:pPr>
            <w:r>
              <w:t>480.98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w:t>
            </w:r>
          </w:p>
        </w:tc>
        <w:tc>
          <w:tcPr>
            <w:tcW w:w="1275" w:type="dxa"/>
            <w:noWrap/>
          </w:tcPr>
          <w:p>
            <w:pPr>
              <w:pStyle w:val="yTableNAm"/>
              <w:jc w:val="center"/>
            </w:pPr>
            <w:r>
              <w:t>692.55</w:t>
            </w:r>
          </w:p>
        </w:tc>
        <w:tc>
          <w:tcPr>
            <w:tcW w:w="1276" w:type="dxa"/>
            <w:noWrap/>
          </w:tcPr>
          <w:p>
            <w:pPr>
              <w:pStyle w:val="yTableNAm"/>
              <w:jc w:val="center"/>
            </w:pPr>
            <w:r>
              <w:t>692.55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35, 38, 40</w:t>
            </w:r>
          </w:p>
        </w:tc>
        <w:tc>
          <w:tcPr>
            <w:tcW w:w="1275" w:type="dxa"/>
            <w:noWrap/>
          </w:tcPr>
          <w:p>
            <w:pPr>
              <w:pStyle w:val="yTableNAm"/>
              <w:jc w:val="center"/>
            </w:pPr>
            <w:r>
              <w:t>1 231.28</w:t>
            </w:r>
          </w:p>
        </w:tc>
        <w:tc>
          <w:tcPr>
            <w:tcW w:w="1276" w:type="dxa"/>
            <w:noWrap/>
          </w:tcPr>
          <w:p>
            <w:pPr>
              <w:pStyle w:val="yTableNAm"/>
              <w:jc w:val="center"/>
            </w:pPr>
            <w:r>
              <w:t>1 231.28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50</w:t>
            </w:r>
          </w:p>
        </w:tc>
        <w:tc>
          <w:tcPr>
            <w:tcW w:w="1275" w:type="dxa"/>
            <w:noWrap/>
          </w:tcPr>
          <w:p>
            <w:pPr>
              <w:pStyle w:val="yTableNAm"/>
              <w:jc w:val="center"/>
            </w:pPr>
            <w:r>
              <w:t>1 923.84</w:t>
            </w:r>
          </w:p>
        </w:tc>
        <w:tc>
          <w:tcPr>
            <w:tcW w:w="1276" w:type="dxa"/>
            <w:noWrap/>
          </w:tcPr>
          <w:p>
            <w:pPr>
              <w:pStyle w:val="yTableNAm"/>
              <w:jc w:val="center"/>
            </w:pPr>
            <w:r>
              <w:t>1 923.84</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70, 75, 80</w:t>
            </w:r>
          </w:p>
        </w:tc>
        <w:tc>
          <w:tcPr>
            <w:tcW w:w="1275" w:type="dxa"/>
            <w:noWrap/>
          </w:tcPr>
          <w:p>
            <w:pPr>
              <w:pStyle w:val="yTableNAm"/>
              <w:jc w:val="center"/>
            </w:pPr>
            <w:r>
              <w:t>4 925.05</w:t>
            </w:r>
          </w:p>
        </w:tc>
        <w:tc>
          <w:tcPr>
            <w:tcW w:w="1276" w:type="dxa"/>
            <w:noWrap/>
          </w:tcPr>
          <w:p>
            <w:pPr>
              <w:pStyle w:val="yTableNAm"/>
              <w:jc w:val="center"/>
            </w:pPr>
            <w:r>
              <w:t>4 925.05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100</w:t>
            </w:r>
          </w:p>
        </w:tc>
        <w:tc>
          <w:tcPr>
            <w:tcW w:w="1275" w:type="dxa"/>
            <w:noWrap/>
          </w:tcPr>
          <w:p>
            <w:pPr>
              <w:pStyle w:val="yTableNAm"/>
              <w:jc w:val="center"/>
            </w:pPr>
            <w:r>
              <w:t>7 695.38</w:t>
            </w:r>
          </w:p>
        </w:tc>
        <w:tc>
          <w:tcPr>
            <w:tcW w:w="1276" w:type="dxa"/>
            <w:noWrap/>
          </w:tcPr>
          <w:p>
            <w:pPr>
              <w:pStyle w:val="yTableNAm"/>
              <w:jc w:val="center"/>
            </w:pPr>
            <w:r>
              <w:t>7 695.38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140, 150</w:t>
            </w:r>
          </w:p>
        </w:tc>
        <w:tc>
          <w:tcPr>
            <w:tcW w:w="1275" w:type="dxa"/>
            <w:noWrap/>
          </w:tcPr>
          <w:p>
            <w:pPr>
              <w:pStyle w:val="yTableNAm"/>
              <w:jc w:val="center"/>
            </w:pPr>
            <w:r>
              <w:t>17 314.62</w:t>
            </w:r>
          </w:p>
        </w:tc>
        <w:tc>
          <w:tcPr>
            <w:tcW w:w="1276" w:type="dxa"/>
            <w:noWrap/>
          </w:tcPr>
          <w:p>
            <w:pPr>
              <w:pStyle w:val="yTableNAm"/>
              <w:jc w:val="center"/>
            </w:pPr>
            <w:r>
              <w:t>17 314.62</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200</w:t>
            </w:r>
          </w:p>
        </w:tc>
        <w:tc>
          <w:tcPr>
            <w:tcW w:w="1275" w:type="dxa"/>
            <w:noWrap/>
          </w:tcPr>
          <w:p>
            <w:pPr>
              <w:pStyle w:val="yTableNAm"/>
              <w:jc w:val="center"/>
            </w:pPr>
            <w:r>
              <w:t>30 781.53</w:t>
            </w:r>
          </w:p>
        </w:tc>
        <w:tc>
          <w:tcPr>
            <w:tcW w:w="1276" w:type="dxa"/>
            <w:noWrap/>
          </w:tcPr>
          <w:p>
            <w:pPr>
              <w:pStyle w:val="yTableNAm"/>
              <w:jc w:val="center"/>
            </w:pPr>
            <w:r>
              <w:t>30 781.53</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250</w:t>
            </w:r>
          </w:p>
        </w:tc>
        <w:tc>
          <w:tcPr>
            <w:tcW w:w="1275" w:type="dxa"/>
            <w:noWrap/>
          </w:tcPr>
          <w:p>
            <w:pPr>
              <w:pStyle w:val="yTableNAm"/>
              <w:jc w:val="center"/>
            </w:pPr>
            <w:r>
              <w:t>48 096.15</w:t>
            </w:r>
          </w:p>
        </w:tc>
        <w:tc>
          <w:tcPr>
            <w:tcW w:w="1276" w:type="dxa"/>
            <w:noWrap/>
          </w:tcPr>
          <w:p>
            <w:pPr>
              <w:pStyle w:val="yTableNAm"/>
              <w:jc w:val="center"/>
            </w:pPr>
            <w:r>
              <w:t>48 096.15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300</w:t>
            </w:r>
          </w:p>
        </w:tc>
        <w:tc>
          <w:tcPr>
            <w:tcW w:w="1275" w:type="dxa"/>
            <w:noWrap/>
          </w:tcPr>
          <w:p>
            <w:pPr>
              <w:pStyle w:val="yTableNAm"/>
              <w:jc w:val="center"/>
            </w:pPr>
            <w:r>
              <w:t>69 258.46</w:t>
            </w:r>
          </w:p>
        </w:tc>
        <w:tc>
          <w:tcPr>
            <w:tcW w:w="1276" w:type="dxa"/>
            <w:noWrap/>
          </w:tcPr>
          <w:p>
            <w:pPr>
              <w:pStyle w:val="yTableNAm"/>
              <w:jc w:val="center"/>
            </w:pPr>
            <w:r>
              <w:t>69 258.46</w:t>
            </w:r>
          </w:p>
        </w:tc>
        <w:tc>
          <w:tcPr>
            <w:tcW w:w="1418" w:type="dxa"/>
            <w:noWrap/>
            <w:vAlign w:val="bottom"/>
          </w:tcPr>
          <w:p>
            <w:pPr>
              <w:pStyle w:val="yTableNAm"/>
              <w:jc w:val="center"/>
            </w:pPr>
            <w:r>
              <w:t>0.00</w:t>
            </w:r>
          </w:p>
        </w:tc>
      </w:tr>
      <w:tr>
        <w:trPr>
          <w:cantSplit/>
        </w:trPr>
        <w:tc>
          <w:tcPr>
            <w:tcW w:w="1560" w:type="dxa"/>
            <w:tcBorders>
              <w:bottom w:val="single" w:sz="4" w:space="0" w:color="auto"/>
            </w:tcBorders>
            <w:noWrap/>
            <w:tcMar>
              <w:left w:w="28" w:type="dxa"/>
              <w:right w:w="57" w:type="dxa"/>
            </w:tcMar>
          </w:tcPr>
          <w:p>
            <w:pPr>
              <w:pStyle w:val="yTableNAm"/>
              <w:jc w:val="center"/>
            </w:pPr>
            <w:r>
              <w:t>350</w:t>
            </w:r>
          </w:p>
        </w:tc>
        <w:tc>
          <w:tcPr>
            <w:tcW w:w="1275" w:type="dxa"/>
            <w:tcBorders>
              <w:bottom w:val="single" w:sz="4" w:space="0" w:color="auto"/>
            </w:tcBorders>
            <w:noWrap/>
          </w:tcPr>
          <w:p>
            <w:pPr>
              <w:pStyle w:val="yTableNAm"/>
              <w:jc w:val="center"/>
            </w:pPr>
            <w:r>
              <w:t>94 268.50</w:t>
            </w:r>
          </w:p>
        </w:tc>
        <w:tc>
          <w:tcPr>
            <w:tcW w:w="1276" w:type="dxa"/>
            <w:tcBorders>
              <w:bottom w:val="single" w:sz="4" w:space="0" w:color="auto"/>
            </w:tcBorders>
            <w:noWrap/>
          </w:tcPr>
          <w:p>
            <w:pPr>
              <w:pStyle w:val="yTableNAm"/>
              <w:jc w:val="center"/>
            </w:pPr>
            <w:r>
              <w:t>94 268.50</w:t>
            </w:r>
          </w:p>
        </w:tc>
        <w:tc>
          <w:tcPr>
            <w:tcW w:w="1418" w:type="dxa"/>
            <w:tcBorders>
              <w:bottom w:val="single" w:sz="4" w:space="0" w:color="auto"/>
            </w:tcBorders>
            <w:noWrap/>
            <w:vAlign w:val="bottom"/>
          </w:tcPr>
          <w:p>
            <w:pPr>
              <w:pStyle w:val="yTableNAm"/>
              <w:jc w:val="center"/>
            </w:pPr>
            <w:r>
              <w:t>0.00</w:t>
            </w:r>
          </w:p>
        </w:tc>
      </w:tr>
    </w:tbl>
    <w:p>
      <w:pPr>
        <w:pStyle w:val="ySubsection"/>
      </w:pPr>
      <w:r>
        <w:tab/>
        <w:t>(2)</w:t>
      </w:r>
      <w:r>
        <w:tab/>
        <w:t>Sub</w:t>
      </w:r>
      <w:r>
        <w:noBreakHyphen/>
        <w:t>item (1) does not apply to a connection covered by item 21.</w:t>
      </w:r>
    </w:p>
    <w:p>
      <w:pPr>
        <w:pStyle w:val="ySubsection"/>
      </w:pPr>
      <w:r>
        <w:tab/>
        <w:t>(3)</w:t>
      </w:r>
      <w:r>
        <w:tab/>
        <w:t>For concessional land in the non</w:t>
      </w:r>
      <w:r>
        <w:noBreakHyphen/>
        <w:t xml:space="preserve">metropolitan area which, although a water service is provided, is not connected to water supply works of </w:t>
      </w:r>
      <w:r>
        <w:lastRenderedPageBreak/>
        <w:t>the Water Corporation, the charge is the discounted charge set out in the Table to this sub</w:t>
      </w:r>
      <w:r>
        <w:noBreakHyphen/>
        <w:t xml:space="preserve">item. </w:t>
      </w:r>
    </w:p>
    <w:p>
      <w:pPr>
        <w:pStyle w:val="yTHeadingNAm"/>
      </w:pPr>
      <w:r>
        <w:t>Table of charge and discount</w:t>
      </w:r>
    </w:p>
    <w:tbl>
      <w:tblPr>
        <w:tblW w:w="3687" w:type="dxa"/>
        <w:jc w:val="center"/>
        <w:tblLayout w:type="fixed"/>
        <w:tblLook w:val="0000" w:firstRow="0" w:lastRow="0" w:firstColumn="0" w:lastColumn="0" w:noHBand="0" w:noVBand="0"/>
      </w:tblPr>
      <w:tblGrid>
        <w:gridCol w:w="1135"/>
        <w:gridCol w:w="1135"/>
        <w:gridCol w:w="1417"/>
      </w:tblGrid>
      <w:tr>
        <w:trPr>
          <w:cantSplit/>
          <w:tblHeader/>
          <w:jc w:val="center"/>
        </w:trPr>
        <w:tc>
          <w:tcPr>
            <w:tcW w:w="113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jc w:val="center"/>
        </w:trPr>
        <w:tc>
          <w:tcPr>
            <w:tcW w:w="1135" w:type="dxa"/>
            <w:tcBorders>
              <w:bottom w:val="single" w:sz="4" w:space="0" w:color="auto"/>
            </w:tcBorders>
            <w:noWrap/>
          </w:tcPr>
          <w:p>
            <w:pPr>
              <w:pStyle w:val="yTableNAm"/>
              <w:jc w:val="center"/>
            </w:pPr>
            <w:r>
              <w:t>307.80</w:t>
            </w:r>
          </w:p>
        </w:tc>
        <w:tc>
          <w:tcPr>
            <w:tcW w:w="1135" w:type="dxa"/>
            <w:tcBorders>
              <w:bottom w:val="single" w:sz="4" w:space="0" w:color="auto"/>
            </w:tcBorders>
            <w:noWrap/>
          </w:tcPr>
          <w:p>
            <w:pPr>
              <w:pStyle w:val="yTableNAm"/>
              <w:jc w:val="center"/>
            </w:pPr>
            <w:r>
              <w:t>307.80</w:t>
            </w:r>
          </w:p>
        </w:tc>
        <w:tc>
          <w:tcPr>
            <w:tcW w:w="1417" w:type="dxa"/>
            <w:tcBorders>
              <w:bottom w:val="single" w:sz="4" w:space="0" w:color="auto"/>
            </w:tcBorders>
            <w:noWrap/>
            <w:vAlign w:val="bottom"/>
          </w:tcPr>
          <w:p>
            <w:pPr>
              <w:pStyle w:val="yTableNAm"/>
              <w:jc w:val="center"/>
            </w:pPr>
            <w:r>
              <w:t>0.00</w:t>
            </w:r>
          </w:p>
        </w:tc>
      </w:tr>
    </w:tbl>
    <w:p>
      <w:pPr>
        <w:pStyle w:val="zyHeading5"/>
      </w:pPr>
      <w:bookmarkStart w:id="133" w:name="_Toc169797205"/>
      <w:bookmarkStart w:id="134" w:name="_Toc170213116"/>
      <w:r>
        <w:t>11.</w:t>
      </w:r>
      <w:r>
        <w:tab/>
        <w:t>Non</w:t>
      </w:r>
      <w:r>
        <w:noBreakHyphen/>
        <w:t>residential or commercial residential (except storage units, parking bays and certain lots in strata titles scheme or community titles scheme)</w:t>
      </w:r>
      <w:bookmarkEnd w:id="133"/>
      <w:bookmarkEnd w:id="134"/>
    </w:p>
    <w:p>
      <w:pPr>
        <w:pStyle w:val="ySubsection"/>
      </w:pPr>
      <w:r>
        <w:tab/>
        <w:t>(1)</w:t>
      </w:r>
      <w:r>
        <w:tab/>
        <w:t>For land that —</w:t>
      </w:r>
    </w:p>
    <w:p>
      <w:pPr>
        <w:pStyle w:val="yIndenta"/>
      </w:pPr>
      <w:r>
        <w:tab/>
        <w:t>(a)</w:t>
      </w:r>
      <w:r>
        <w:tab/>
        <w:t>is classified as non</w:t>
      </w:r>
      <w:r>
        <w:noBreakHyphen/>
        <w:t>residential or commercial residential; and</w:t>
      </w:r>
    </w:p>
    <w:p>
      <w:pPr>
        <w:pStyle w:val="yIndenta"/>
      </w:pPr>
      <w:r>
        <w:tab/>
        <w:t>(b)</w:t>
      </w:r>
      <w:r>
        <w:tab/>
        <w:t>is not contained in a residential property; and</w:t>
      </w:r>
    </w:p>
    <w:p>
      <w:pPr>
        <w:pStyle w:val="yIndenta"/>
      </w:pPr>
      <w:r>
        <w:tab/>
        <w:t>(c)</w:t>
      </w:r>
      <w:r>
        <w:tab/>
        <w:t>is not covered by item 5, 6 or 7,</w:t>
      </w:r>
    </w:p>
    <w:p>
      <w:pPr>
        <w:pStyle w:val="ySubsection"/>
      </w:pPr>
      <w:r>
        <w:tab/>
      </w:r>
      <w:r>
        <w:tab/>
        <w:t>the charge is the charge set out in the Table in item 2, according to the relevant meter size.</w:t>
      </w:r>
    </w:p>
    <w:p>
      <w:pPr>
        <w:pStyle w:val="ySubsection"/>
      </w:pPr>
      <w:r>
        <w:tab/>
        <w:t>(2)</w:t>
      </w:r>
      <w:r>
        <w:tab/>
        <w:t>Sub</w:t>
      </w:r>
      <w:r>
        <w:noBreakHyphen/>
        <w:t>item (1) does not apply to a connection covered by item 21.</w:t>
      </w:r>
    </w:p>
    <w:p>
      <w:pPr>
        <w:pStyle w:val="ySubsection"/>
      </w:pPr>
      <w:r>
        <w:tab/>
        <w:t>(3)</w:t>
      </w:r>
      <w:r>
        <w:tab/>
        <w:t>If land covered by sub</w:t>
      </w:r>
      <w:r>
        <w:noBreakHyphen/>
        <w:t>item (1) is connected to the water supply works of the Water Corporation but not metered, the charge must be calculated as if the connection were metered through a meter of the same diameter as the pipe with which the connection is made.</w:t>
      </w:r>
    </w:p>
    <w:p>
      <w:pPr>
        <w:pStyle w:val="ySubsection"/>
      </w:pPr>
      <w:r>
        <w:tab/>
        <w:t>(4)</w:t>
      </w:r>
      <w:r>
        <w:tab/>
        <w:t>If land covered by sub</w:t>
      </w:r>
      <w:r>
        <w:noBreakHyphen/>
        <w:t>item (1) is not connected to the water supply works of the Water Corporation, the charge must be calculated as if the land were connected and the connection metered through a 20 mm meter.</w:t>
      </w:r>
    </w:p>
    <w:p>
      <w:pPr>
        <w:pStyle w:val="zyHeading5"/>
      </w:pPr>
      <w:bookmarkStart w:id="135" w:name="_Toc169797206"/>
      <w:bookmarkStart w:id="136" w:name="_Toc170213117"/>
      <w:r>
        <w:t>12.</w:t>
      </w:r>
      <w:r>
        <w:tab/>
        <w:t>Additional connections</w:t>
      </w:r>
      <w:bookmarkEnd w:id="135"/>
      <w:bookmarkEnd w:id="136"/>
    </w:p>
    <w:p>
      <w:pPr>
        <w:pStyle w:val="ySubsection"/>
      </w:pPr>
      <w:r>
        <w:tab/>
        <w:t>(1)</w:t>
      </w:r>
      <w:r>
        <w:tab/>
        <w:t>For land supplied water through more than one water supply connection, the charge, for each additional connection, is —</w:t>
      </w:r>
    </w:p>
    <w:p>
      <w:pPr>
        <w:pStyle w:val="yIndenta"/>
      </w:pPr>
      <w:r>
        <w:tab/>
        <w:t>(a)</w:t>
      </w:r>
      <w:r>
        <w:tab/>
        <w:t>for land that is classified as non</w:t>
      </w:r>
      <w:r>
        <w:noBreakHyphen/>
        <w:t>residential or commercial residential, the charge set out in the Table in item 2, according to the relevant meter size; and</w:t>
      </w:r>
    </w:p>
    <w:p>
      <w:pPr>
        <w:pStyle w:val="yIndenta"/>
        <w:tabs>
          <w:tab w:val="right" w:leader="dot" w:pos="6804"/>
        </w:tabs>
      </w:pPr>
      <w:r>
        <w:lastRenderedPageBreak/>
        <w:tab/>
        <w:t>(b)</w:t>
      </w:r>
      <w:r>
        <w:tab/>
        <w:t xml:space="preserve">for land to which paragraph (a) </w:t>
      </w:r>
      <w:r>
        <w:br/>
        <w:t xml:space="preserve">does not apply </w:t>
      </w:r>
      <w:r>
        <w:tab/>
        <w:t>$289.65</w:t>
      </w:r>
    </w:p>
    <w:p>
      <w:pPr>
        <w:pStyle w:val="ySubsection"/>
      </w:pPr>
      <w:r>
        <w:tab/>
        <w:t>(2)</w:t>
      </w:r>
      <w:r>
        <w:tab/>
        <w:t>Sub</w:t>
      </w:r>
      <w:r>
        <w:noBreakHyphen/>
        <w:t>item (1) does not apply to —</w:t>
      </w:r>
    </w:p>
    <w:p>
      <w:pPr>
        <w:pStyle w:val="yIndenta"/>
      </w:pPr>
      <w:r>
        <w:tab/>
        <w:t>(a)</w:t>
      </w:r>
      <w:r>
        <w:tab/>
        <w:t>a garden service connection; or</w:t>
      </w:r>
    </w:p>
    <w:p>
      <w:pPr>
        <w:pStyle w:val="yIndenta"/>
      </w:pPr>
      <w:r>
        <w:tab/>
        <w:t>(b)</w:t>
      </w:r>
      <w:r>
        <w:tab/>
        <w:t>a connection covered by item 17 or 21.</w:t>
      </w:r>
    </w:p>
    <w:p>
      <w:pPr>
        <w:pStyle w:val="ySubsection"/>
      </w:pPr>
      <w:r>
        <w:tab/>
        <w:t>(3)</w:t>
      </w:r>
      <w:r>
        <w:tab/>
        <w:t>The charge under sub</w:t>
      </w:r>
      <w:r>
        <w:noBreakHyphen/>
        <w:t>item (1) is in addition to any other charge applicable to the land under this Schedule.</w:t>
      </w:r>
    </w:p>
    <w:p>
      <w:pPr>
        <w:pStyle w:val="ySubsection"/>
      </w:pPr>
      <w:r>
        <w:tab/>
        <w:t>(4)</w:t>
      </w:r>
      <w:r>
        <w:tab/>
        <w:t>If a connection to which sub</w:t>
      </w:r>
      <w:r>
        <w:noBreakHyphen/>
        <w:t>item (1)(a) applies is not metered, the charge must be calculated as if the connection were metered through a meter of a size equal to the diameter of the pipe making the connection.</w:t>
      </w:r>
    </w:p>
    <w:p>
      <w:pPr>
        <w:pStyle w:val="zyHeading5"/>
      </w:pPr>
      <w:bookmarkStart w:id="137" w:name="_Toc169797207"/>
      <w:bookmarkStart w:id="138" w:name="_Toc170213118"/>
      <w:r>
        <w:t>13.</w:t>
      </w:r>
      <w:r>
        <w:tab/>
        <w:t>Vacant land</w:t>
      </w:r>
      <w:bookmarkEnd w:id="137"/>
      <w:bookmarkEnd w:id="138"/>
    </w:p>
    <w:p>
      <w:pPr>
        <w:pStyle w:val="ySubsection"/>
        <w:tabs>
          <w:tab w:val="right" w:leader="dot" w:pos="6804"/>
        </w:tabs>
      </w:pPr>
      <w:r>
        <w:tab/>
      </w:r>
      <w:r>
        <w:tab/>
        <w:t xml:space="preserve">For land that is classified as vacant land, </w:t>
      </w:r>
      <w:r>
        <w:br/>
        <w:t xml:space="preserve">the charge is </w:t>
      </w:r>
      <w:r>
        <w:tab/>
        <w:t>$289.65</w:t>
      </w:r>
    </w:p>
    <w:p>
      <w:pPr>
        <w:pStyle w:val="zyHeading5"/>
      </w:pPr>
      <w:bookmarkStart w:id="139" w:name="_Toc169797208"/>
      <w:bookmarkStart w:id="140" w:name="_Toc170213119"/>
      <w:r>
        <w:t>14.</w:t>
      </w:r>
      <w:r>
        <w:tab/>
        <w:t>Garden service connections</w:t>
      </w:r>
      <w:bookmarkEnd w:id="139"/>
      <w:bookmarkEnd w:id="140"/>
    </w:p>
    <w:p>
      <w:pPr>
        <w:pStyle w:val="ySubsection"/>
      </w:pPr>
      <w:r>
        <w:tab/>
        <w:t>(1)</w:t>
      </w:r>
      <w:r>
        <w:tab/>
        <w:t xml:space="preserve">For a garden service connection for water supplied to land in the suburb of Butler in the metropolitan area — </w:t>
      </w:r>
    </w:p>
    <w:p>
      <w:pPr>
        <w:pStyle w:val="yIndenta"/>
        <w:tabs>
          <w:tab w:val="right" w:leader="dot" w:pos="6804"/>
        </w:tabs>
      </w:pPr>
      <w:r>
        <w:tab/>
        <w:t>(a)</w:t>
      </w:r>
      <w:r>
        <w:tab/>
        <w:t xml:space="preserve">for land with an area of less </w:t>
      </w:r>
      <w:r>
        <w:br/>
        <w:t>than 400 m</w:t>
      </w:r>
      <w:r>
        <w:rPr>
          <w:vertAlign w:val="superscript"/>
        </w:rPr>
        <w:t>2</w:t>
      </w:r>
      <w:r>
        <w:t xml:space="preserve">, the charge is </w:t>
      </w:r>
      <w:r>
        <w:tab/>
        <w:t>$90.22</w:t>
      </w:r>
    </w:p>
    <w:p>
      <w:pPr>
        <w:pStyle w:val="yIndenta"/>
        <w:tabs>
          <w:tab w:val="right" w:leader="dot" w:pos="6804"/>
        </w:tabs>
      </w:pPr>
      <w:r>
        <w:tab/>
        <w:t>(b)</w:t>
      </w:r>
      <w:r>
        <w:tab/>
        <w:t xml:space="preserve">for land with an area equal to </w:t>
      </w:r>
      <w:r>
        <w:br/>
        <w:t>or greater than 400 m</w:t>
      </w:r>
      <w:r>
        <w:rPr>
          <w:vertAlign w:val="superscript"/>
        </w:rPr>
        <w:t>2</w:t>
      </w:r>
      <w:r>
        <w:t xml:space="preserve">, </w:t>
      </w:r>
      <w:r>
        <w:br/>
        <w:t xml:space="preserve">the charge is </w:t>
      </w:r>
      <w:r>
        <w:tab/>
        <w:t>$180.45</w:t>
      </w:r>
    </w:p>
    <w:p>
      <w:pPr>
        <w:pStyle w:val="ySubsection"/>
      </w:pPr>
      <w:r>
        <w:tab/>
        <w:t>(2)</w:t>
      </w:r>
      <w:r>
        <w:tab/>
        <w:t>The charge under sub</w:t>
      </w:r>
      <w:r>
        <w:noBreakHyphen/>
        <w:t>item (1) is in addition to any other charge applicable to the land under this Schedule.</w:t>
      </w:r>
    </w:p>
    <w:p>
      <w:pPr>
        <w:pStyle w:val="zyHeading5"/>
      </w:pPr>
      <w:bookmarkStart w:id="141" w:name="_Toc169797209"/>
      <w:bookmarkStart w:id="142" w:name="_Toc170213120"/>
      <w:r>
        <w:t>15.</w:t>
      </w:r>
      <w:r>
        <w:tab/>
        <w:t>Government trading organisations and non</w:t>
      </w:r>
      <w:r>
        <w:noBreakHyphen/>
        <w:t>commercial government property</w:t>
      </w:r>
      <w:bookmarkEnd w:id="141"/>
      <w:bookmarkEnd w:id="142"/>
    </w:p>
    <w:p>
      <w:pPr>
        <w:pStyle w:val="ySubsection"/>
      </w:pPr>
      <w:r>
        <w:tab/>
        <w:t>(1)</w:t>
      </w:r>
      <w:r>
        <w:tab/>
        <w:t>This item applies to land held by a government trading organisation, or a public authority that holds non</w:t>
      </w:r>
      <w:r>
        <w:noBreakHyphen/>
        <w:t>commercial government property, in respect of which a water service charge set out in item 4 or 10 would, but for this item, apply.</w:t>
      </w:r>
    </w:p>
    <w:p>
      <w:pPr>
        <w:pStyle w:val="ySubsection"/>
      </w:pPr>
      <w:r>
        <w:lastRenderedPageBreak/>
        <w:tab/>
        <w:t>(2)</w:t>
      </w:r>
      <w:r>
        <w:tab/>
        <w:t>This item does not apply to public land.</w:t>
      </w:r>
    </w:p>
    <w:p>
      <w:pPr>
        <w:pStyle w:val="ySubsection"/>
      </w:pPr>
      <w:r>
        <w:tab/>
        <w:t>(3)</w:t>
      </w:r>
      <w:r>
        <w:tab/>
        <w:t xml:space="preserve">For land to which this item applies — </w:t>
      </w:r>
    </w:p>
    <w:p>
      <w:pPr>
        <w:pStyle w:val="yIndenta"/>
      </w:pPr>
      <w:r>
        <w:tab/>
        <w:t>(a)</w:t>
      </w:r>
      <w:r>
        <w:tab/>
        <w:t>the charge referred to in sub</w:t>
      </w:r>
      <w:r>
        <w:noBreakHyphen/>
        <w:t>item (1) that would otherwise apply, does not; and</w:t>
      </w:r>
    </w:p>
    <w:p>
      <w:pPr>
        <w:pStyle w:val="yIndenta"/>
      </w:pPr>
      <w:r>
        <w:tab/>
        <w:t>(b)</w:t>
      </w:r>
      <w:r>
        <w:tab/>
        <w:t>the charge, per water supply connection, is the charge set out in the Table in item 2 according to the relevant meter size.</w:t>
      </w:r>
    </w:p>
    <w:p>
      <w:pPr>
        <w:pStyle w:val="ySubsection"/>
      </w:pPr>
      <w:r>
        <w:tab/>
        <w:t>(4)</w:t>
      </w:r>
      <w:r>
        <w:tab/>
        <w:t>If a connection to which sub</w:t>
      </w:r>
      <w:r>
        <w:noBreakHyphen/>
        <w:t>item (3)(b) applies is not metered, the charge must be calculated as if the connection were metered through a 20 mm meter.</w:t>
      </w:r>
    </w:p>
    <w:p>
      <w:pPr>
        <w:pStyle w:val="zyHeading5"/>
      </w:pPr>
      <w:bookmarkStart w:id="143" w:name="_Toc169797210"/>
      <w:bookmarkStart w:id="144" w:name="_Toc170213121"/>
      <w:r>
        <w:t>16.</w:t>
      </w:r>
      <w:r>
        <w:tab/>
        <w:t>Government trading organisations and non</w:t>
      </w:r>
      <w:r>
        <w:noBreakHyphen/>
        <w:t>commercial government property: on</w:t>
      </w:r>
      <w:r>
        <w:noBreakHyphen/>
        <w:t>supply to lessees or ships</w:t>
      </w:r>
      <w:bookmarkEnd w:id="143"/>
      <w:bookmarkEnd w:id="144"/>
    </w:p>
    <w:p>
      <w:pPr>
        <w:pStyle w:val="ySubsection"/>
      </w:pPr>
      <w:r>
        <w:tab/>
        <w:t>(1)</w:t>
      </w:r>
      <w:r>
        <w:tab/>
        <w:t>This item applies to land held by a government trading organisation, or a public authority that holds non</w:t>
      </w:r>
      <w:r>
        <w:noBreakHyphen/>
        <w:t>commercial government property, if —</w:t>
      </w:r>
    </w:p>
    <w:p>
      <w:pPr>
        <w:pStyle w:val="yIndenta"/>
      </w:pPr>
      <w:r>
        <w:tab/>
        <w:t>(a)</w:t>
      </w:r>
      <w:r>
        <w:tab/>
        <w:t>the land is connected to the water supply works of the Water Corporation; and</w:t>
      </w:r>
    </w:p>
    <w:p>
      <w:pPr>
        <w:pStyle w:val="yIndenta"/>
      </w:pPr>
      <w:r>
        <w:tab/>
        <w:t>(b)</w:t>
      </w:r>
      <w:r>
        <w:tab/>
        <w:t>a meter is connected to the property water supply connection with which the Water Corporation supplies water to the land; and</w:t>
      </w:r>
    </w:p>
    <w:p>
      <w:pPr>
        <w:pStyle w:val="yIndenta"/>
      </w:pPr>
      <w:r>
        <w:tab/>
        <w:t>(c)</w:t>
      </w:r>
      <w:r>
        <w:tab/>
        <w:t>at least some of the water supplied through the meter referred to in paragraph (b) is supplied, through a meter, to one or more lessees of any of the land or to ships in port.</w:t>
      </w:r>
    </w:p>
    <w:p>
      <w:pPr>
        <w:pStyle w:val="ySubsection"/>
      </w:pPr>
      <w:r>
        <w:tab/>
        <w:t>(2)</w:t>
      </w:r>
      <w:r>
        <w:tab/>
        <w:t>For land to which this item applies, the charge for the supply of water referred to in sub</w:t>
      </w:r>
      <w:r>
        <w:noBreakHyphen/>
        <w:t>item (1)(b) is reduced by the charge set out in the Table in item 2 for a meter of the size that would be required to supply, in aggregate, water as described in sub</w:t>
      </w:r>
      <w:r>
        <w:noBreakHyphen/>
        <w:t>item (1)(c).</w:t>
      </w:r>
    </w:p>
    <w:p>
      <w:pPr>
        <w:pStyle w:val="ySubsection"/>
      </w:pPr>
      <w:r>
        <w:tab/>
        <w:t>(3)</w:t>
      </w:r>
      <w:r>
        <w:tab/>
        <w:t>This item does not apply if the meter referred to in sub</w:t>
      </w:r>
      <w:r>
        <w:noBreakHyphen/>
        <w:t>item (1)(b) would be the same size whether or not the organisation or authority supplied water as described in sub</w:t>
      </w:r>
      <w:r>
        <w:noBreakHyphen/>
        <w:t>item (1)(c).</w:t>
      </w:r>
    </w:p>
    <w:p>
      <w:pPr>
        <w:pStyle w:val="zyHeading4"/>
      </w:pPr>
      <w:bookmarkStart w:id="145" w:name="_Toc169797211"/>
      <w:bookmarkStart w:id="146" w:name="_Toc169797366"/>
      <w:bookmarkStart w:id="147" w:name="_Toc169797521"/>
      <w:bookmarkStart w:id="148" w:name="_Toc170213122"/>
      <w:r>
        <w:lastRenderedPageBreak/>
        <w:t>Subdivision 3 — Other service charges</w:t>
      </w:r>
      <w:bookmarkEnd w:id="145"/>
      <w:bookmarkEnd w:id="146"/>
      <w:bookmarkEnd w:id="147"/>
      <w:bookmarkEnd w:id="148"/>
    </w:p>
    <w:p>
      <w:pPr>
        <w:pStyle w:val="zyHeading5"/>
      </w:pPr>
      <w:bookmarkStart w:id="149" w:name="_Toc169797212"/>
      <w:bookmarkStart w:id="150" w:name="_Toc170213123"/>
      <w:r>
        <w:t>17.</w:t>
      </w:r>
      <w:r>
        <w:tab/>
        <w:t>Farmland</w:t>
      </w:r>
      <w:bookmarkEnd w:id="149"/>
      <w:bookmarkEnd w:id="150"/>
    </w:p>
    <w:p>
      <w:pPr>
        <w:pStyle w:val="ySubsection"/>
        <w:tabs>
          <w:tab w:val="right" w:leader="dot" w:pos="6804"/>
        </w:tabs>
      </w:pPr>
      <w:r>
        <w:tab/>
      </w:r>
      <w:r>
        <w:tab/>
        <w:t>For each water supply connection provided</w:t>
      </w:r>
      <w:r>
        <w:br/>
        <w:t xml:space="preserve">on land that is classified as farmland, </w:t>
      </w:r>
      <w:r>
        <w:br/>
        <w:t xml:space="preserve">the charge is </w:t>
      </w:r>
      <w:r>
        <w:tab/>
        <w:t>$307.80</w:t>
      </w:r>
    </w:p>
    <w:p>
      <w:pPr>
        <w:pStyle w:val="zyHeading5"/>
      </w:pPr>
      <w:bookmarkStart w:id="151" w:name="_Toc169797213"/>
      <w:bookmarkStart w:id="152" w:name="_Toc170213124"/>
      <w:r>
        <w:t>18.</w:t>
      </w:r>
      <w:r>
        <w:tab/>
        <w:t>Stock</w:t>
      </w:r>
      <w:bookmarkEnd w:id="151"/>
      <w:bookmarkEnd w:id="152"/>
    </w:p>
    <w:p>
      <w:pPr>
        <w:pStyle w:val="ySubsection"/>
        <w:tabs>
          <w:tab w:val="right" w:leader="dot" w:pos="6804"/>
        </w:tabs>
      </w:pPr>
      <w:r>
        <w:tab/>
      </w:r>
      <w:r>
        <w:tab/>
        <w:t xml:space="preserve">For each water supply connection provided </w:t>
      </w:r>
      <w:r>
        <w:br/>
        <w:t xml:space="preserve">for the purpose of watering stock on land that </w:t>
      </w:r>
      <w:r>
        <w:br/>
        <w:t xml:space="preserve">is not classified as farmland, </w:t>
      </w:r>
      <w:r>
        <w:br/>
        <w:t xml:space="preserve">the charge is </w:t>
      </w:r>
      <w:r>
        <w:tab/>
        <w:t>$307.80</w:t>
      </w:r>
    </w:p>
    <w:p>
      <w:pPr>
        <w:pStyle w:val="zyHeading5"/>
      </w:pPr>
      <w:bookmarkStart w:id="153" w:name="_Toc169797214"/>
      <w:bookmarkStart w:id="154" w:name="_Toc170213125"/>
      <w:r>
        <w:t>19.</w:t>
      </w:r>
      <w:r>
        <w:tab/>
        <w:t>Shipping</w:t>
      </w:r>
      <w:bookmarkEnd w:id="153"/>
      <w:bookmarkEnd w:id="154"/>
    </w:p>
    <w:p>
      <w:pPr>
        <w:pStyle w:val="ySubsection"/>
      </w:pPr>
      <w:r>
        <w:tab/>
      </w:r>
      <w:r>
        <w:tab/>
        <w:t>For each water supply connection provided for the purpose of water being taken on board any ship in a port, the charge is the charge set out in the Table in item 2 according to the relevant meter size.</w:t>
      </w:r>
    </w:p>
    <w:p>
      <w:pPr>
        <w:pStyle w:val="zyHeading5"/>
      </w:pPr>
      <w:bookmarkStart w:id="155" w:name="_Toc169797215"/>
      <w:bookmarkStart w:id="156" w:name="_Toc170213126"/>
      <w:r>
        <w:t>20.</w:t>
      </w:r>
      <w:r>
        <w:tab/>
        <w:t>Local government standpipes</w:t>
      </w:r>
      <w:bookmarkEnd w:id="155"/>
      <w:bookmarkEnd w:id="156"/>
    </w:p>
    <w:p>
      <w:pPr>
        <w:pStyle w:val="ySubsection"/>
      </w:pPr>
      <w:r>
        <w:tab/>
      </w:r>
      <w:r>
        <w:tab/>
        <w:t xml:space="preserve">For each local government standpipe, the charge is — </w:t>
      </w:r>
    </w:p>
    <w:p>
      <w:pPr>
        <w:pStyle w:val="yIndenta"/>
      </w:pPr>
      <w:r>
        <w:tab/>
        <w:t>(a)</w:t>
      </w:r>
      <w:r>
        <w:tab/>
        <w:t>if the standpipe is used solely for local government works and purposes, the discounted charge set out in the Table; and</w:t>
      </w:r>
    </w:p>
    <w:p>
      <w:pPr>
        <w:pStyle w:val="yIndenta"/>
        <w:tabs>
          <w:tab w:val="right" w:leader="dot" w:pos="6804"/>
        </w:tabs>
      </w:pPr>
      <w:r>
        <w:tab/>
        <w:t>(b)</w:t>
      </w:r>
      <w:r>
        <w:tab/>
        <w:t xml:space="preserve">in any other case </w:t>
      </w:r>
      <w:r>
        <w:tab/>
        <w:t>$307.80</w:t>
      </w:r>
    </w:p>
    <w:p>
      <w:pPr>
        <w:pStyle w:val="yTHeadingNAm"/>
      </w:pPr>
      <w:r>
        <w:t>Table of charge and discount</w:t>
      </w:r>
    </w:p>
    <w:tbl>
      <w:tblPr>
        <w:tblW w:w="3687" w:type="dxa"/>
        <w:tblInd w:w="1701" w:type="dxa"/>
        <w:tblLayout w:type="fixed"/>
        <w:tblLook w:val="0000" w:firstRow="0" w:lastRow="0" w:firstColumn="0" w:lastColumn="0" w:noHBand="0" w:noVBand="0"/>
      </w:tblPr>
      <w:tblGrid>
        <w:gridCol w:w="1134"/>
        <w:gridCol w:w="1136"/>
        <w:gridCol w:w="1417"/>
      </w:tblGrid>
      <w:tr>
        <w:trPr>
          <w:cantSplit/>
          <w:tblHeader/>
        </w:trPr>
        <w:tc>
          <w:tcPr>
            <w:tcW w:w="1134"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134" w:type="dxa"/>
            <w:tcBorders>
              <w:bottom w:val="single" w:sz="4" w:space="0" w:color="auto"/>
            </w:tcBorders>
            <w:noWrap/>
          </w:tcPr>
          <w:p>
            <w:pPr>
              <w:pStyle w:val="yTableNAm"/>
              <w:jc w:val="center"/>
            </w:pPr>
            <w:r>
              <w:t>307.80</w:t>
            </w:r>
          </w:p>
        </w:tc>
        <w:tc>
          <w:tcPr>
            <w:tcW w:w="1136" w:type="dxa"/>
            <w:tcBorders>
              <w:bottom w:val="single" w:sz="4" w:space="0" w:color="auto"/>
            </w:tcBorders>
            <w:noWrap/>
          </w:tcPr>
          <w:p>
            <w:pPr>
              <w:pStyle w:val="yTableNAm"/>
              <w:jc w:val="center"/>
            </w:pPr>
            <w:r>
              <w:t>307.80</w:t>
            </w:r>
          </w:p>
        </w:tc>
        <w:tc>
          <w:tcPr>
            <w:tcW w:w="1417" w:type="dxa"/>
            <w:tcBorders>
              <w:bottom w:val="single" w:sz="4" w:space="0" w:color="auto"/>
            </w:tcBorders>
            <w:noWrap/>
            <w:vAlign w:val="bottom"/>
          </w:tcPr>
          <w:p>
            <w:pPr>
              <w:pStyle w:val="yTableNAm"/>
              <w:jc w:val="center"/>
            </w:pPr>
            <w:r>
              <w:t>0.00</w:t>
            </w:r>
          </w:p>
        </w:tc>
      </w:tr>
    </w:tbl>
    <w:p>
      <w:pPr>
        <w:pStyle w:val="zyHeading5"/>
      </w:pPr>
      <w:bookmarkStart w:id="157" w:name="_Toc169797216"/>
      <w:bookmarkStart w:id="158" w:name="_Toc170213127"/>
      <w:r>
        <w:t>21.</w:t>
      </w:r>
      <w:r>
        <w:tab/>
        <w:t>Fire service connections</w:t>
      </w:r>
      <w:bookmarkEnd w:id="157"/>
      <w:bookmarkEnd w:id="158"/>
    </w:p>
    <w:p>
      <w:pPr>
        <w:pStyle w:val="ySubsection"/>
        <w:tabs>
          <w:tab w:val="right" w:leader="dot" w:pos="6804"/>
        </w:tabs>
      </w:pPr>
      <w:r>
        <w:tab/>
      </w:r>
      <w:r>
        <w:tab/>
        <w:t xml:space="preserve">For a fire service connection, the charge is </w:t>
      </w:r>
      <w:r>
        <w:tab/>
        <w:t>$307.80</w:t>
      </w:r>
    </w:p>
    <w:p>
      <w:pPr>
        <w:pStyle w:val="zyHeading3"/>
      </w:pPr>
      <w:bookmarkStart w:id="159" w:name="_Toc169797217"/>
      <w:bookmarkStart w:id="160" w:name="_Toc169797372"/>
      <w:bookmarkStart w:id="161" w:name="_Toc169797527"/>
      <w:bookmarkStart w:id="162" w:name="_Toc170213128"/>
      <w:r>
        <w:lastRenderedPageBreak/>
        <w:t>Division 2 — Consumption charges</w:t>
      </w:r>
      <w:bookmarkEnd w:id="159"/>
      <w:bookmarkEnd w:id="160"/>
      <w:bookmarkEnd w:id="161"/>
      <w:bookmarkEnd w:id="162"/>
    </w:p>
    <w:p>
      <w:pPr>
        <w:pStyle w:val="zyHeading4"/>
      </w:pPr>
      <w:bookmarkStart w:id="163" w:name="_Toc169797218"/>
      <w:bookmarkStart w:id="164" w:name="_Toc169797373"/>
      <w:bookmarkStart w:id="165" w:name="_Toc169797528"/>
      <w:bookmarkStart w:id="166" w:name="_Toc170213129"/>
      <w:r>
        <w:t>Subdivision 1 — Preliminary</w:t>
      </w:r>
      <w:bookmarkEnd w:id="163"/>
      <w:bookmarkEnd w:id="164"/>
      <w:bookmarkEnd w:id="165"/>
      <w:bookmarkEnd w:id="166"/>
    </w:p>
    <w:p>
      <w:pPr>
        <w:pStyle w:val="zyHeading5"/>
      </w:pPr>
      <w:bookmarkStart w:id="167" w:name="_Toc169797219"/>
      <w:bookmarkStart w:id="168" w:name="_Toc170213130"/>
      <w:r>
        <w:t>22.</w:t>
      </w:r>
      <w:r>
        <w:tab/>
        <w:t>Consumption charges for 2024/25 and subsequent years</w:t>
      </w:r>
      <w:bookmarkEnd w:id="167"/>
      <w:bookmarkEnd w:id="168"/>
    </w:p>
    <w:p>
      <w:pPr>
        <w:pStyle w:val="ySubsection"/>
      </w:pPr>
      <w:r>
        <w:tab/>
        <w:t>(1)</w:t>
      </w:r>
      <w:r>
        <w:tab/>
        <w:t>The charges set out in this Division apply for water supplied in the 2024/25 financial year and each subsequent year.</w:t>
      </w:r>
    </w:p>
    <w:p>
      <w:pPr>
        <w:pStyle w:val="ySubsection"/>
      </w:pPr>
      <w:r>
        <w:tab/>
        <w:t>(2)</w:t>
      </w:r>
      <w:r>
        <w:tab/>
        <w:t>Volumetric ranges in an item of this Division have effect by reference to the volume of water supplied in the current consumption year.</w:t>
      </w:r>
    </w:p>
    <w:p>
      <w:pPr>
        <w:pStyle w:val="zyHeading5"/>
      </w:pPr>
      <w:bookmarkStart w:id="169" w:name="_Toc169797220"/>
      <w:bookmarkStart w:id="170" w:name="_Toc170213131"/>
      <w:r>
        <w:t>23.</w:t>
      </w:r>
      <w:r>
        <w:tab/>
        <w:t>Residential or non</w:t>
      </w:r>
      <w:r>
        <w:noBreakHyphen/>
        <w:t>residential class of town or area</w:t>
      </w:r>
      <w:bookmarkEnd w:id="169"/>
      <w:bookmarkEnd w:id="170"/>
    </w:p>
    <w:p>
      <w:pPr>
        <w:pStyle w:val="ySubsection"/>
      </w:pPr>
      <w:r>
        <w:tab/>
      </w:r>
      <w:r>
        <w:tab/>
        <w:t>In this Schedule a reference to the residential or non</w:t>
      </w:r>
      <w:r>
        <w:noBreakHyphen/>
        <w:t>residential class of a town or area is a reference to the residential or non</w:t>
      </w:r>
      <w:r>
        <w:noBreakHyphen/>
        <w:t>residential class of the town or area as set out in Schedule 10 for the current consumption year and Schedule 11 for the previous consumption year.</w:t>
      </w:r>
    </w:p>
    <w:p>
      <w:pPr>
        <w:pStyle w:val="zyHeading5"/>
      </w:pPr>
      <w:bookmarkStart w:id="171" w:name="_Toc169797221"/>
      <w:bookmarkStart w:id="172" w:name="_Toc170213132"/>
      <w:r>
        <w:t>24.</w:t>
      </w:r>
      <w:r>
        <w:tab/>
        <w:t>Table of class</w:t>
      </w:r>
      <w:r>
        <w:noBreakHyphen/>
        <w:t>based charges</w:t>
      </w:r>
      <w:bookmarkEnd w:id="171"/>
      <w:bookmarkEnd w:id="172"/>
    </w:p>
    <w:p>
      <w:pPr>
        <w:pStyle w:val="ySubsection"/>
      </w:pPr>
      <w:r>
        <w:tab/>
      </w:r>
      <w:r>
        <w:tab/>
        <w:t>For the purposes of this Division, class</w:t>
      </w:r>
      <w:r>
        <w:noBreakHyphen/>
        <w:t>based charges are set out in the Table.</w:t>
      </w:r>
    </w:p>
    <w:p>
      <w:pPr>
        <w:pStyle w:val="yTHeadingNAm"/>
      </w:pPr>
      <w:r>
        <w:t>Table of class</w:t>
      </w:r>
      <w:r>
        <w:noBreakHyphen/>
        <w:t>based charges</w:t>
      </w:r>
    </w:p>
    <w:tbl>
      <w:tblPr>
        <w:tblW w:w="4395" w:type="dxa"/>
        <w:tblInd w:w="1418" w:type="dxa"/>
        <w:tblLayout w:type="fixed"/>
        <w:tblCellMar>
          <w:left w:w="28" w:type="dxa"/>
          <w:right w:w="28" w:type="dxa"/>
        </w:tblCellMar>
        <w:tblLook w:val="0000" w:firstRow="0" w:lastRow="0" w:firstColumn="0" w:lastColumn="0" w:noHBand="0" w:noVBand="0"/>
      </w:tblPr>
      <w:tblGrid>
        <w:gridCol w:w="2197"/>
        <w:gridCol w:w="2198"/>
      </w:tblGrid>
      <w:tr>
        <w:trPr>
          <w:cantSplit/>
          <w:trHeight w:val="217"/>
          <w:tblHeader/>
        </w:trPr>
        <w:tc>
          <w:tcPr>
            <w:tcW w:w="2197" w:type="dxa"/>
            <w:tcBorders>
              <w:top w:val="single" w:sz="4" w:space="0" w:color="auto"/>
              <w:bottom w:val="single" w:sz="4" w:space="0" w:color="auto"/>
            </w:tcBorders>
            <w:noWrap/>
            <w:vAlign w:val="center"/>
          </w:tcPr>
          <w:p>
            <w:pPr>
              <w:pStyle w:val="yTableNAm"/>
              <w:jc w:val="center"/>
            </w:pPr>
            <w:r>
              <w:rPr>
                <w:b/>
              </w:rPr>
              <w:t>Class</w:t>
            </w:r>
          </w:p>
        </w:tc>
        <w:tc>
          <w:tcPr>
            <w:tcW w:w="2198" w:type="dxa"/>
            <w:tcBorders>
              <w:top w:val="single" w:sz="4" w:space="0" w:color="auto"/>
              <w:bottom w:val="single" w:sz="4" w:space="0" w:color="auto"/>
            </w:tcBorders>
            <w:noWrap/>
          </w:tcPr>
          <w:p>
            <w:pPr>
              <w:pStyle w:val="yTableNAm"/>
              <w:jc w:val="center"/>
            </w:pPr>
            <w:r>
              <w:rPr>
                <w:b/>
              </w:rPr>
              <w:t>Charge (cents)</w:t>
            </w:r>
          </w:p>
        </w:tc>
      </w:tr>
      <w:tr>
        <w:trPr>
          <w:cantSplit/>
        </w:trPr>
        <w:tc>
          <w:tcPr>
            <w:tcW w:w="2197" w:type="dxa"/>
            <w:tcBorders>
              <w:top w:val="single" w:sz="4" w:space="0" w:color="auto"/>
            </w:tcBorders>
            <w:noWrap/>
            <w:vAlign w:val="center"/>
          </w:tcPr>
          <w:p>
            <w:pPr>
              <w:pStyle w:val="yTableNAm"/>
              <w:jc w:val="center"/>
            </w:pPr>
            <w:r>
              <w:t>1</w:t>
            </w:r>
          </w:p>
        </w:tc>
        <w:tc>
          <w:tcPr>
            <w:tcW w:w="2198" w:type="dxa"/>
            <w:tcBorders>
              <w:top w:val="single" w:sz="4" w:space="0" w:color="auto"/>
            </w:tcBorders>
            <w:noWrap/>
          </w:tcPr>
          <w:p>
            <w:pPr>
              <w:pStyle w:val="yTableNAm"/>
              <w:jc w:val="center"/>
            </w:pPr>
            <w:r>
              <w:t>293.9</w:t>
            </w:r>
          </w:p>
        </w:tc>
      </w:tr>
      <w:tr>
        <w:trPr>
          <w:cantSplit/>
        </w:trPr>
        <w:tc>
          <w:tcPr>
            <w:tcW w:w="2197" w:type="dxa"/>
            <w:noWrap/>
            <w:vAlign w:val="center"/>
          </w:tcPr>
          <w:p>
            <w:pPr>
              <w:pStyle w:val="yTableNAm"/>
              <w:jc w:val="center"/>
            </w:pPr>
            <w:r>
              <w:t>2</w:t>
            </w:r>
          </w:p>
        </w:tc>
        <w:tc>
          <w:tcPr>
            <w:tcW w:w="2198" w:type="dxa"/>
            <w:noWrap/>
          </w:tcPr>
          <w:p>
            <w:pPr>
              <w:pStyle w:val="yTableNAm"/>
              <w:jc w:val="center"/>
            </w:pPr>
            <w:r>
              <w:t>320.2</w:t>
            </w:r>
          </w:p>
        </w:tc>
      </w:tr>
      <w:tr>
        <w:trPr>
          <w:cantSplit/>
        </w:trPr>
        <w:tc>
          <w:tcPr>
            <w:tcW w:w="2197" w:type="dxa"/>
            <w:noWrap/>
            <w:vAlign w:val="center"/>
          </w:tcPr>
          <w:p>
            <w:pPr>
              <w:pStyle w:val="yTableNAm"/>
              <w:jc w:val="center"/>
            </w:pPr>
            <w:r>
              <w:t>3</w:t>
            </w:r>
          </w:p>
        </w:tc>
        <w:tc>
          <w:tcPr>
            <w:tcW w:w="2198" w:type="dxa"/>
            <w:noWrap/>
          </w:tcPr>
          <w:p>
            <w:pPr>
              <w:pStyle w:val="yTableNAm"/>
              <w:jc w:val="center"/>
            </w:pPr>
            <w:r>
              <w:t>348.3</w:t>
            </w:r>
          </w:p>
        </w:tc>
      </w:tr>
      <w:tr>
        <w:trPr>
          <w:cantSplit/>
        </w:trPr>
        <w:tc>
          <w:tcPr>
            <w:tcW w:w="2197" w:type="dxa"/>
            <w:noWrap/>
            <w:vAlign w:val="center"/>
          </w:tcPr>
          <w:p>
            <w:pPr>
              <w:pStyle w:val="yTableNAm"/>
              <w:jc w:val="center"/>
            </w:pPr>
            <w:r>
              <w:t>4</w:t>
            </w:r>
          </w:p>
        </w:tc>
        <w:tc>
          <w:tcPr>
            <w:tcW w:w="2198" w:type="dxa"/>
            <w:noWrap/>
          </w:tcPr>
          <w:p>
            <w:pPr>
              <w:pStyle w:val="yTableNAm"/>
              <w:jc w:val="center"/>
            </w:pPr>
            <w:r>
              <w:t>379.5</w:t>
            </w:r>
          </w:p>
        </w:tc>
      </w:tr>
      <w:tr>
        <w:trPr>
          <w:cantSplit/>
        </w:trPr>
        <w:tc>
          <w:tcPr>
            <w:tcW w:w="2197" w:type="dxa"/>
            <w:noWrap/>
            <w:vAlign w:val="center"/>
          </w:tcPr>
          <w:p>
            <w:pPr>
              <w:pStyle w:val="yTableNAm"/>
              <w:jc w:val="center"/>
            </w:pPr>
            <w:r>
              <w:t>5</w:t>
            </w:r>
          </w:p>
        </w:tc>
        <w:tc>
          <w:tcPr>
            <w:tcW w:w="2198" w:type="dxa"/>
            <w:noWrap/>
          </w:tcPr>
          <w:p>
            <w:pPr>
              <w:pStyle w:val="yTableNAm"/>
              <w:jc w:val="center"/>
            </w:pPr>
            <w:r>
              <w:t>413.3</w:t>
            </w:r>
          </w:p>
        </w:tc>
      </w:tr>
      <w:tr>
        <w:trPr>
          <w:cantSplit/>
        </w:trPr>
        <w:tc>
          <w:tcPr>
            <w:tcW w:w="2197" w:type="dxa"/>
            <w:noWrap/>
            <w:vAlign w:val="center"/>
          </w:tcPr>
          <w:p>
            <w:pPr>
              <w:pStyle w:val="yTableNAm"/>
              <w:jc w:val="center"/>
            </w:pPr>
            <w:r>
              <w:t>6</w:t>
            </w:r>
          </w:p>
        </w:tc>
        <w:tc>
          <w:tcPr>
            <w:tcW w:w="2198" w:type="dxa"/>
            <w:noWrap/>
          </w:tcPr>
          <w:p>
            <w:pPr>
              <w:pStyle w:val="yTableNAm"/>
              <w:jc w:val="center"/>
            </w:pPr>
            <w:r>
              <w:t>449.9</w:t>
            </w:r>
          </w:p>
        </w:tc>
      </w:tr>
      <w:tr>
        <w:trPr>
          <w:cantSplit/>
        </w:trPr>
        <w:tc>
          <w:tcPr>
            <w:tcW w:w="2197" w:type="dxa"/>
            <w:noWrap/>
            <w:vAlign w:val="center"/>
          </w:tcPr>
          <w:p>
            <w:pPr>
              <w:pStyle w:val="yTableNAm"/>
              <w:jc w:val="center"/>
            </w:pPr>
            <w:r>
              <w:t>7</w:t>
            </w:r>
          </w:p>
        </w:tc>
        <w:tc>
          <w:tcPr>
            <w:tcW w:w="2198" w:type="dxa"/>
            <w:noWrap/>
          </w:tcPr>
          <w:p>
            <w:pPr>
              <w:pStyle w:val="yTableNAm"/>
              <w:jc w:val="center"/>
            </w:pPr>
            <w:r>
              <w:t>490.2</w:t>
            </w:r>
          </w:p>
        </w:tc>
      </w:tr>
      <w:tr>
        <w:trPr>
          <w:cantSplit/>
        </w:trPr>
        <w:tc>
          <w:tcPr>
            <w:tcW w:w="2197" w:type="dxa"/>
            <w:noWrap/>
            <w:vAlign w:val="center"/>
          </w:tcPr>
          <w:p>
            <w:pPr>
              <w:pStyle w:val="yTableNAm"/>
              <w:jc w:val="center"/>
            </w:pPr>
            <w:r>
              <w:t>8</w:t>
            </w:r>
          </w:p>
        </w:tc>
        <w:tc>
          <w:tcPr>
            <w:tcW w:w="2198" w:type="dxa"/>
            <w:noWrap/>
          </w:tcPr>
          <w:p>
            <w:pPr>
              <w:pStyle w:val="yTableNAm"/>
              <w:jc w:val="center"/>
            </w:pPr>
            <w:r>
              <w:t>533.6</w:t>
            </w:r>
          </w:p>
        </w:tc>
      </w:tr>
      <w:tr>
        <w:trPr>
          <w:cantSplit/>
        </w:trPr>
        <w:tc>
          <w:tcPr>
            <w:tcW w:w="2197" w:type="dxa"/>
            <w:noWrap/>
            <w:vAlign w:val="center"/>
          </w:tcPr>
          <w:p>
            <w:pPr>
              <w:pStyle w:val="yTableNAm"/>
              <w:jc w:val="center"/>
            </w:pPr>
            <w:r>
              <w:t>9</w:t>
            </w:r>
          </w:p>
        </w:tc>
        <w:tc>
          <w:tcPr>
            <w:tcW w:w="2198" w:type="dxa"/>
            <w:noWrap/>
          </w:tcPr>
          <w:p>
            <w:pPr>
              <w:pStyle w:val="yTableNAm"/>
              <w:jc w:val="center"/>
            </w:pPr>
            <w:r>
              <w:t>581.1</w:t>
            </w:r>
          </w:p>
        </w:tc>
      </w:tr>
      <w:tr>
        <w:trPr>
          <w:cantSplit/>
        </w:trPr>
        <w:tc>
          <w:tcPr>
            <w:tcW w:w="2197" w:type="dxa"/>
            <w:noWrap/>
            <w:vAlign w:val="center"/>
          </w:tcPr>
          <w:p>
            <w:pPr>
              <w:pStyle w:val="yTableNAm"/>
              <w:jc w:val="center"/>
            </w:pPr>
            <w:r>
              <w:t>10</w:t>
            </w:r>
          </w:p>
        </w:tc>
        <w:tc>
          <w:tcPr>
            <w:tcW w:w="2198" w:type="dxa"/>
            <w:noWrap/>
          </w:tcPr>
          <w:p>
            <w:pPr>
              <w:pStyle w:val="yTableNAm"/>
              <w:jc w:val="center"/>
            </w:pPr>
            <w:r>
              <w:t>632.8</w:t>
            </w:r>
          </w:p>
        </w:tc>
      </w:tr>
      <w:tr>
        <w:trPr>
          <w:cantSplit/>
        </w:trPr>
        <w:tc>
          <w:tcPr>
            <w:tcW w:w="2197" w:type="dxa"/>
            <w:noWrap/>
            <w:vAlign w:val="center"/>
          </w:tcPr>
          <w:p>
            <w:pPr>
              <w:pStyle w:val="yTableNAm"/>
              <w:jc w:val="center"/>
            </w:pPr>
            <w:r>
              <w:lastRenderedPageBreak/>
              <w:t>11</w:t>
            </w:r>
          </w:p>
        </w:tc>
        <w:tc>
          <w:tcPr>
            <w:tcW w:w="2198" w:type="dxa"/>
            <w:noWrap/>
          </w:tcPr>
          <w:p>
            <w:pPr>
              <w:pStyle w:val="yTableNAm"/>
              <w:jc w:val="center"/>
            </w:pPr>
            <w:r>
              <w:t>688.9</w:t>
            </w:r>
          </w:p>
        </w:tc>
      </w:tr>
      <w:tr>
        <w:trPr>
          <w:cantSplit/>
        </w:trPr>
        <w:tc>
          <w:tcPr>
            <w:tcW w:w="2197" w:type="dxa"/>
            <w:noWrap/>
            <w:vAlign w:val="center"/>
          </w:tcPr>
          <w:p>
            <w:pPr>
              <w:pStyle w:val="yTableNAm"/>
              <w:jc w:val="center"/>
            </w:pPr>
            <w:r>
              <w:t>12</w:t>
            </w:r>
          </w:p>
        </w:tc>
        <w:tc>
          <w:tcPr>
            <w:tcW w:w="2198" w:type="dxa"/>
            <w:noWrap/>
          </w:tcPr>
          <w:p>
            <w:pPr>
              <w:pStyle w:val="yTableNAm"/>
              <w:jc w:val="center"/>
            </w:pPr>
            <w:r>
              <w:t>750.3</w:t>
            </w:r>
          </w:p>
        </w:tc>
      </w:tr>
      <w:tr>
        <w:trPr>
          <w:cantSplit/>
        </w:trPr>
        <w:tc>
          <w:tcPr>
            <w:tcW w:w="2197" w:type="dxa"/>
            <w:noWrap/>
            <w:vAlign w:val="center"/>
          </w:tcPr>
          <w:p>
            <w:pPr>
              <w:pStyle w:val="yTableNAm"/>
              <w:jc w:val="center"/>
            </w:pPr>
            <w:r>
              <w:t>13</w:t>
            </w:r>
          </w:p>
        </w:tc>
        <w:tc>
          <w:tcPr>
            <w:tcW w:w="2198" w:type="dxa"/>
            <w:noWrap/>
          </w:tcPr>
          <w:p>
            <w:pPr>
              <w:pStyle w:val="yTableNAm"/>
              <w:jc w:val="center"/>
            </w:pPr>
            <w:r>
              <w:t>817.0</w:t>
            </w:r>
          </w:p>
        </w:tc>
      </w:tr>
      <w:tr>
        <w:trPr>
          <w:cantSplit/>
        </w:trPr>
        <w:tc>
          <w:tcPr>
            <w:tcW w:w="2197" w:type="dxa"/>
            <w:noWrap/>
            <w:vAlign w:val="center"/>
          </w:tcPr>
          <w:p>
            <w:pPr>
              <w:pStyle w:val="yTableNAm"/>
              <w:jc w:val="center"/>
            </w:pPr>
            <w:r>
              <w:t>14</w:t>
            </w:r>
          </w:p>
        </w:tc>
        <w:tc>
          <w:tcPr>
            <w:tcW w:w="2198" w:type="dxa"/>
            <w:noWrap/>
          </w:tcPr>
          <w:p>
            <w:pPr>
              <w:pStyle w:val="yTableNAm"/>
              <w:jc w:val="center"/>
            </w:pPr>
            <w:r>
              <w:t>889.9</w:t>
            </w:r>
          </w:p>
        </w:tc>
      </w:tr>
      <w:tr>
        <w:trPr>
          <w:cantSplit/>
        </w:trPr>
        <w:tc>
          <w:tcPr>
            <w:tcW w:w="2197" w:type="dxa"/>
            <w:tcBorders>
              <w:bottom w:val="single" w:sz="4" w:space="0" w:color="auto"/>
            </w:tcBorders>
            <w:noWrap/>
            <w:vAlign w:val="center"/>
          </w:tcPr>
          <w:p>
            <w:pPr>
              <w:pStyle w:val="yTableNAm"/>
              <w:jc w:val="center"/>
            </w:pPr>
            <w:r>
              <w:t>15</w:t>
            </w:r>
          </w:p>
        </w:tc>
        <w:tc>
          <w:tcPr>
            <w:tcW w:w="2198" w:type="dxa"/>
            <w:tcBorders>
              <w:bottom w:val="single" w:sz="4" w:space="0" w:color="auto"/>
            </w:tcBorders>
            <w:noWrap/>
          </w:tcPr>
          <w:p>
            <w:pPr>
              <w:pStyle w:val="yTableNAm"/>
              <w:jc w:val="center"/>
            </w:pPr>
            <w:r>
              <w:t>968.7</w:t>
            </w:r>
          </w:p>
        </w:tc>
      </w:tr>
    </w:tbl>
    <w:p>
      <w:pPr>
        <w:pStyle w:val="zyHeading4"/>
      </w:pPr>
      <w:bookmarkStart w:id="173" w:name="_Toc169797222"/>
      <w:bookmarkStart w:id="174" w:name="_Toc169797377"/>
      <w:bookmarkStart w:id="175" w:name="_Toc169797532"/>
      <w:bookmarkStart w:id="176" w:name="_Toc170213133"/>
      <w:r>
        <w:t>Subdivision 2 — Consumption charges that apply to land</w:t>
      </w:r>
      <w:bookmarkEnd w:id="173"/>
      <w:bookmarkEnd w:id="174"/>
      <w:bookmarkEnd w:id="175"/>
      <w:bookmarkEnd w:id="176"/>
    </w:p>
    <w:p>
      <w:pPr>
        <w:pStyle w:val="zyHeading5"/>
      </w:pPr>
      <w:bookmarkStart w:id="177" w:name="_Toc169797223"/>
      <w:bookmarkStart w:id="178" w:name="_Toc170213134"/>
      <w:r>
        <w:t>25.</w:t>
      </w:r>
      <w:r>
        <w:tab/>
        <w:t>Metropolitan residential and semi</w:t>
      </w:r>
      <w:r>
        <w:noBreakHyphen/>
        <w:t>rural residential</w:t>
      </w:r>
      <w:bookmarkEnd w:id="177"/>
      <w:bookmarkEnd w:id="178"/>
    </w:p>
    <w:p>
      <w:pPr>
        <w:pStyle w:val="ySubsection"/>
      </w:pPr>
      <w:r>
        <w:tab/>
        <w:t>(1)</w:t>
      </w:r>
      <w:r>
        <w:tab/>
        <w:t xml:space="preserve">For each kilolitre of water supplied to land in the metropolitan area that is — </w:t>
      </w:r>
    </w:p>
    <w:p>
      <w:pPr>
        <w:pStyle w:val="yIndenta"/>
      </w:pPr>
      <w:r>
        <w:tab/>
        <w:t>(a)</w:t>
      </w:r>
      <w:r>
        <w:tab/>
        <w:t>a residential property; or</w:t>
      </w:r>
    </w:p>
    <w:p>
      <w:pPr>
        <w:pStyle w:val="yIndenta"/>
      </w:pPr>
      <w:r>
        <w:tab/>
        <w:t>(b)</w:t>
      </w:r>
      <w:r>
        <w:tab/>
        <w:t>classified as vacant land but held for residential purposes; or</w:t>
      </w:r>
    </w:p>
    <w:p>
      <w:pPr>
        <w:pStyle w:val="yIndenta"/>
        <w:keepNext/>
      </w:pPr>
      <w:r>
        <w:tab/>
        <w:t>(c)</w:t>
      </w:r>
      <w:r>
        <w:tab/>
        <w:t>a semi</w:t>
      </w:r>
      <w:r>
        <w:noBreakHyphen/>
        <w:t>rural residential property,</w:t>
      </w:r>
    </w:p>
    <w:p>
      <w:pPr>
        <w:pStyle w:val="ySubsection"/>
      </w:pPr>
      <w:r>
        <w:tab/>
      </w:r>
      <w:r>
        <w:tab/>
        <w:t xml:space="preserve">the charge is — </w:t>
      </w:r>
    </w:p>
    <w:p>
      <w:pPr>
        <w:pStyle w:val="yMiscellaneousBodyLeft1cm"/>
      </w:pPr>
      <w:r>
        <w:tab/>
        <w:t xml:space="preserve">up to 150 kL </w:t>
      </w:r>
      <w:r>
        <w:tab/>
        <w:t>200.2 cents</w:t>
      </w:r>
    </w:p>
    <w:p>
      <w:pPr>
        <w:pStyle w:val="yMiscellaneousBodyLeft1cm"/>
      </w:pPr>
      <w:r>
        <w:tab/>
        <w:t xml:space="preserve">over 150 but not over 500 kL </w:t>
      </w:r>
      <w:r>
        <w:tab/>
        <w:t>266.7 cents</w:t>
      </w:r>
    </w:p>
    <w:p>
      <w:pPr>
        <w:pStyle w:val="yMiscellaneousBodyLeft1cm"/>
      </w:pPr>
      <w:r>
        <w:tab/>
        <w:t xml:space="preserve">over 500 kL </w:t>
      </w:r>
      <w:r>
        <w:tab/>
        <w:t>499.0 cents</w:t>
      </w:r>
    </w:p>
    <w:p>
      <w:pPr>
        <w:pStyle w:val="ySubsection"/>
      </w:pPr>
      <w:r>
        <w:tab/>
        <w:t>(2)</w:t>
      </w:r>
      <w:r>
        <w:tab/>
        <w:t>The charge under sub</w:t>
      </w:r>
      <w:r>
        <w:noBreakHyphen/>
        <w:t>item (1) does not apply to the supply of water for which a more specific charge is provided in this Subdivision or the supply of water through a garden service connection.</w:t>
      </w:r>
    </w:p>
    <w:p>
      <w:pPr>
        <w:pStyle w:val="zyHeading5"/>
      </w:pPr>
      <w:bookmarkStart w:id="179" w:name="_Toc169797224"/>
      <w:bookmarkStart w:id="180" w:name="_Toc170213135"/>
      <w:r>
        <w:t>26.</w:t>
      </w:r>
      <w:r>
        <w:tab/>
        <w:t>Metropolitan non</w:t>
      </w:r>
      <w:r>
        <w:noBreakHyphen/>
        <w:t>residential</w:t>
      </w:r>
      <w:bookmarkEnd w:id="179"/>
      <w:bookmarkEnd w:id="180"/>
    </w:p>
    <w:p>
      <w:pPr>
        <w:pStyle w:val="ySubsection"/>
      </w:pPr>
      <w:r>
        <w:tab/>
        <w:t>(1)</w:t>
      </w:r>
      <w:r>
        <w:tab/>
        <w:t>For each kilolitre of water supplied to land in the metropolitan area that is neither classified as residential nor classified as vacant land but held for residential purposes, the charge is —</w:t>
      </w:r>
    </w:p>
    <w:p>
      <w:pPr>
        <w:pStyle w:val="yIndenta"/>
      </w:pPr>
      <w:r>
        <w:tab/>
        <w:t>(a)</w:t>
      </w:r>
      <w:r>
        <w:tab/>
        <w:t>if the land is classified as commercial residential —</w:t>
      </w:r>
    </w:p>
    <w:p>
      <w:pPr>
        <w:pStyle w:val="yMiscellaneousBodyLeft425cm"/>
        <w:ind w:left="1985" w:hanging="291"/>
      </w:pPr>
      <w:r>
        <w:t xml:space="preserve">up to 150 kL </w:t>
      </w:r>
      <w:r>
        <w:tab/>
        <w:t>200.2 cents</w:t>
      </w:r>
    </w:p>
    <w:p>
      <w:pPr>
        <w:pStyle w:val="yMiscellaneousBodyLeft425cm"/>
        <w:ind w:hanging="716"/>
      </w:pPr>
      <w:r>
        <w:t xml:space="preserve">over 150 kL </w:t>
      </w:r>
      <w:r>
        <w:tab/>
        <w:t>285.0 cents</w:t>
      </w:r>
    </w:p>
    <w:p>
      <w:pPr>
        <w:pStyle w:val="yIndenta"/>
        <w:tabs>
          <w:tab w:val="right" w:leader="dot" w:pos="6804"/>
        </w:tabs>
      </w:pPr>
      <w:r>
        <w:lastRenderedPageBreak/>
        <w:tab/>
        <w:t>(b)</w:t>
      </w:r>
      <w:r>
        <w:tab/>
        <w:t xml:space="preserve">if paragraph (a) does not apply </w:t>
      </w:r>
      <w:r>
        <w:tab/>
        <w:t>285.0 </w:t>
      </w:r>
      <w:r>
        <w:rPr>
          <w:spacing w:val="-4"/>
        </w:rPr>
        <w:t>cents</w:t>
      </w:r>
    </w:p>
    <w:p>
      <w:pPr>
        <w:pStyle w:val="ySubsection"/>
      </w:pPr>
      <w:r>
        <w:tab/>
        <w:t>(2)</w:t>
      </w:r>
      <w:r>
        <w:tab/>
        <w:t>A charge under sub</w:t>
      </w:r>
      <w:r>
        <w:noBreakHyphen/>
        <w:t>item (1) does not apply to the supply of water for which a more specific charge is provided in this Subdivision.</w:t>
      </w:r>
    </w:p>
    <w:p>
      <w:pPr>
        <w:pStyle w:val="zyHeading5"/>
      </w:pPr>
      <w:bookmarkStart w:id="181" w:name="_Toc169797225"/>
      <w:bookmarkStart w:id="182" w:name="_Toc170213136"/>
      <w:r>
        <w:t>27.</w:t>
      </w:r>
      <w:r>
        <w:tab/>
        <w:t>Metropolitan non</w:t>
      </w:r>
      <w:r>
        <w:noBreakHyphen/>
        <w:t>residential concessional</w:t>
      </w:r>
      <w:bookmarkEnd w:id="181"/>
      <w:bookmarkEnd w:id="182"/>
    </w:p>
    <w:p>
      <w:pPr>
        <w:pStyle w:val="ySubsection"/>
        <w:tabs>
          <w:tab w:val="right" w:leader="dot" w:pos="6804"/>
        </w:tabs>
      </w:pPr>
      <w:r>
        <w:tab/>
        <w:t>(1)</w:t>
      </w:r>
      <w:r>
        <w:tab/>
        <w:t xml:space="preserve">For each kilolitre of water supplied to </w:t>
      </w:r>
      <w:r>
        <w:br/>
        <w:t xml:space="preserve">concessional land that is in the metropolitan </w:t>
      </w:r>
      <w:r>
        <w:br/>
        <w:t xml:space="preserve">area and is not classified as residential, </w:t>
      </w:r>
      <w:r>
        <w:br/>
        <w:t xml:space="preserve">the charge is </w:t>
      </w:r>
      <w:r>
        <w:tab/>
        <w:t>285.0 cents</w:t>
      </w:r>
    </w:p>
    <w:p>
      <w:pPr>
        <w:pStyle w:val="ySubsection"/>
      </w:pPr>
      <w:r>
        <w:tab/>
        <w:t>(2)</w:t>
      </w:r>
      <w:r>
        <w:tab/>
        <w:t>Sub</w:t>
      </w:r>
      <w:r>
        <w:noBreakHyphen/>
        <w:t>item (1) does not apply if the supply of water is covered by item 37.</w:t>
      </w:r>
    </w:p>
    <w:p>
      <w:pPr>
        <w:pStyle w:val="zyHeading5"/>
      </w:pPr>
      <w:bookmarkStart w:id="183" w:name="_Toc169797226"/>
      <w:bookmarkStart w:id="184" w:name="_Toc170213137"/>
      <w:r>
        <w:t>28.</w:t>
      </w:r>
      <w:r>
        <w:tab/>
        <w:t>Community residential</w:t>
      </w:r>
      <w:bookmarkEnd w:id="183"/>
      <w:bookmarkEnd w:id="184"/>
    </w:p>
    <w:p>
      <w:pPr>
        <w:pStyle w:val="ySubsection"/>
        <w:tabs>
          <w:tab w:val="right" w:leader="dot" w:pos="6804"/>
        </w:tabs>
      </w:pPr>
      <w:r>
        <w:tab/>
      </w:r>
      <w:r>
        <w:tab/>
        <w:t xml:space="preserve">For each kilolitre of water supplied to </w:t>
      </w:r>
      <w:r>
        <w:br/>
        <w:t xml:space="preserve">land that is classified as community </w:t>
      </w:r>
      <w:r>
        <w:br/>
        <w:t xml:space="preserve">residential, the charge is </w:t>
      </w:r>
      <w:r>
        <w:tab/>
        <w:t>100.1 cents</w:t>
      </w:r>
    </w:p>
    <w:p>
      <w:pPr>
        <w:pStyle w:val="zyHeading5"/>
      </w:pPr>
      <w:bookmarkStart w:id="185" w:name="_Toc169797227"/>
      <w:bookmarkStart w:id="186" w:name="_Toc170213138"/>
      <w:r>
        <w:t>29.</w:t>
      </w:r>
      <w:r>
        <w:tab/>
        <w:t>Non</w:t>
      </w:r>
      <w:r>
        <w:noBreakHyphen/>
        <w:t>metropolitan residential</w:t>
      </w:r>
      <w:bookmarkEnd w:id="185"/>
      <w:bookmarkEnd w:id="186"/>
    </w:p>
    <w:p>
      <w:pPr>
        <w:pStyle w:val="ySubsection"/>
      </w:pPr>
      <w:r>
        <w:tab/>
        <w:t>(1)</w:t>
      </w:r>
      <w:r>
        <w:tab/>
        <w:t>For each kilolitre of water supplied to land in the non</w:t>
      </w:r>
      <w:r>
        <w:noBreakHyphen/>
        <w:t xml:space="preserve">metropolitan area that is — </w:t>
      </w:r>
    </w:p>
    <w:p>
      <w:pPr>
        <w:pStyle w:val="yIndenta"/>
      </w:pPr>
      <w:r>
        <w:tab/>
        <w:t>(a)</w:t>
      </w:r>
      <w:r>
        <w:tab/>
        <w:t>a residential property; or</w:t>
      </w:r>
    </w:p>
    <w:p>
      <w:pPr>
        <w:pStyle w:val="yIndenta"/>
      </w:pPr>
      <w:r>
        <w:tab/>
        <w:t>(b)</w:t>
      </w:r>
      <w:r>
        <w:tab/>
        <w:t>classified as vacant land but held for residential purposes,</w:t>
      </w:r>
    </w:p>
    <w:p>
      <w:pPr>
        <w:pStyle w:val="ySubsection"/>
      </w:pPr>
      <w:r>
        <w:tab/>
      </w:r>
      <w:r>
        <w:tab/>
        <w:t xml:space="preserve">the charge, according to the residential class of the town or area in which the land is located, is — </w:t>
      </w:r>
    </w:p>
    <w:tbl>
      <w:tblPr>
        <w:tblW w:w="0" w:type="auto"/>
        <w:tblInd w:w="879" w:type="dxa"/>
        <w:tblCellMar>
          <w:left w:w="28" w:type="dxa"/>
          <w:right w:w="28" w:type="dxa"/>
        </w:tblCellMar>
        <w:tblLook w:val="0000" w:firstRow="0" w:lastRow="0" w:firstColumn="0" w:lastColumn="0" w:noHBand="0" w:noVBand="0"/>
      </w:tblPr>
      <w:tblGrid>
        <w:gridCol w:w="1567"/>
        <w:gridCol w:w="929"/>
        <w:gridCol w:w="928"/>
        <w:gridCol w:w="928"/>
        <w:gridCol w:w="928"/>
        <w:gridCol w:w="928"/>
      </w:tblGrid>
      <w:tr>
        <w:trPr>
          <w:cantSplit/>
          <w:tblHeader/>
        </w:trPr>
        <w:tc>
          <w:tcPr>
            <w:tcW w:w="0" w:type="auto"/>
            <w:tcBorders>
              <w:top w:val="single" w:sz="4" w:space="0" w:color="auto"/>
              <w:bottom w:val="single" w:sz="4" w:space="0" w:color="auto"/>
            </w:tcBorders>
            <w:noWrap/>
          </w:tcPr>
          <w:p>
            <w:pPr>
              <w:pStyle w:val="yTableNAm"/>
              <w:jc w:val="center"/>
            </w:pPr>
            <w:r>
              <w:rPr>
                <w:b/>
              </w:rPr>
              <w:br w:type="page"/>
              <w:t>Consumption (kL)</w:t>
            </w:r>
          </w:p>
        </w:tc>
        <w:tc>
          <w:tcPr>
            <w:tcW w:w="0" w:type="auto"/>
            <w:tcBorders>
              <w:top w:val="single" w:sz="4" w:space="0" w:color="auto"/>
              <w:bottom w:val="single" w:sz="4" w:space="0" w:color="auto"/>
            </w:tcBorders>
            <w:noWrap/>
          </w:tcPr>
          <w:p>
            <w:pPr>
              <w:pStyle w:val="yTableNAm"/>
              <w:jc w:val="center"/>
            </w:pPr>
            <w:r>
              <w:rPr>
                <w:b/>
              </w:rPr>
              <w:t>Class 1 (cents)</w:t>
            </w:r>
          </w:p>
        </w:tc>
        <w:tc>
          <w:tcPr>
            <w:tcW w:w="0" w:type="auto"/>
            <w:tcBorders>
              <w:top w:val="single" w:sz="4" w:space="0" w:color="auto"/>
              <w:bottom w:val="single" w:sz="4" w:space="0" w:color="auto"/>
            </w:tcBorders>
            <w:noWrap/>
          </w:tcPr>
          <w:p>
            <w:pPr>
              <w:pStyle w:val="yTableNAm"/>
              <w:jc w:val="center"/>
            </w:pPr>
            <w:r>
              <w:rPr>
                <w:b/>
              </w:rPr>
              <w:t>Class 2 (cents)</w:t>
            </w:r>
          </w:p>
        </w:tc>
        <w:tc>
          <w:tcPr>
            <w:tcW w:w="0" w:type="auto"/>
            <w:tcBorders>
              <w:top w:val="single" w:sz="4" w:space="0" w:color="auto"/>
              <w:bottom w:val="single" w:sz="4" w:space="0" w:color="auto"/>
            </w:tcBorders>
            <w:noWrap/>
          </w:tcPr>
          <w:p>
            <w:pPr>
              <w:pStyle w:val="yTableNAm"/>
              <w:jc w:val="center"/>
            </w:pPr>
            <w:r>
              <w:rPr>
                <w:b/>
              </w:rPr>
              <w:t>Class 3 (cents)</w:t>
            </w:r>
          </w:p>
        </w:tc>
        <w:tc>
          <w:tcPr>
            <w:tcW w:w="0" w:type="auto"/>
            <w:tcBorders>
              <w:top w:val="single" w:sz="4" w:space="0" w:color="auto"/>
              <w:bottom w:val="single" w:sz="4" w:space="0" w:color="auto"/>
            </w:tcBorders>
            <w:noWrap/>
          </w:tcPr>
          <w:p>
            <w:pPr>
              <w:pStyle w:val="yTableNAm"/>
              <w:jc w:val="center"/>
            </w:pPr>
            <w:r>
              <w:rPr>
                <w:b/>
              </w:rPr>
              <w:t>Class 4 (cents)</w:t>
            </w:r>
          </w:p>
        </w:tc>
        <w:tc>
          <w:tcPr>
            <w:tcW w:w="0" w:type="auto"/>
            <w:tcBorders>
              <w:top w:val="single" w:sz="4" w:space="0" w:color="auto"/>
              <w:bottom w:val="single" w:sz="4" w:space="0" w:color="auto"/>
            </w:tcBorders>
            <w:noWrap/>
          </w:tcPr>
          <w:p>
            <w:pPr>
              <w:pStyle w:val="yTableNAm"/>
              <w:jc w:val="center"/>
            </w:pPr>
            <w:r>
              <w:rPr>
                <w:b/>
              </w:rPr>
              <w:t>Class 5 (cents)</w:t>
            </w:r>
          </w:p>
        </w:tc>
      </w:tr>
      <w:tr>
        <w:trPr>
          <w:cantSplit/>
        </w:trPr>
        <w:tc>
          <w:tcPr>
            <w:tcW w:w="0" w:type="auto"/>
            <w:noWrap/>
          </w:tcPr>
          <w:p>
            <w:pPr>
              <w:pStyle w:val="yTableNAm"/>
            </w:pPr>
            <w:r>
              <w:t>Up to 150</w:t>
            </w:r>
          </w:p>
        </w:tc>
        <w:tc>
          <w:tcPr>
            <w:tcW w:w="0" w:type="auto"/>
            <w:noWrap/>
          </w:tcPr>
          <w:p>
            <w:pPr>
              <w:pStyle w:val="yTableNAm"/>
              <w:jc w:val="center"/>
            </w:pPr>
            <w:r>
              <w:t>152.7</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c>
          <w:tcPr>
            <w:tcW w:w="0" w:type="auto"/>
            <w:shd w:val="clear" w:color="auto" w:fill="auto"/>
            <w:noWrap/>
            <w:vAlign w:val="bottom"/>
          </w:tcPr>
          <w:p>
            <w:pPr>
              <w:pStyle w:val="yTableNAm"/>
              <w:jc w:val="center"/>
            </w:pPr>
            <w:r>
              <w:t>200.2</w:t>
            </w:r>
          </w:p>
        </w:tc>
        <w:tc>
          <w:tcPr>
            <w:tcW w:w="0" w:type="auto"/>
            <w:shd w:val="clear" w:color="auto" w:fill="auto"/>
            <w:noWrap/>
            <w:vAlign w:val="bottom"/>
          </w:tcPr>
          <w:p>
            <w:pPr>
              <w:pStyle w:val="yTableNAm"/>
              <w:jc w:val="center"/>
            </w:pPr>
            <w:r>
              <w:t>200.2</w:t>
            </w:r>
          </w:p>
        </w:tc>
      </w:tr>
      <w:tr>
        <w:trPr>
          <w:cantSplit/>
        </w:trPr>
        <w:tc>
          <w:tcPr>
            <w:tcW w:w="0" w:type="auto"/>
            <w:noWrap/>
          </w:tcPr>
          <w:p>
            <w:pPr>
              <w:pStyle w:val="yTableNAm"/>
            </w:pPr>
            <w:r>
              <w:t>Over 150 but not over 300</w:t>
            </w:r>
          </w:p>
        </w:tc>
        <w:tc>
          <w:tcPr>
            <w:tcW w:w="0" w:type="auto"/>
            <w:noWrap/>
            <w:vAlign w:val="bottom"/>
          </w:tcPr>
          <w:p>
            <w:pPr>
              <w:pStyle w:val="yTableNAm"/>
              <w:jc w:val="center"/>
            </w:pPr>
            <w:r>
              <w:t>203.4</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c>
          <w:tcPr>
            <w:tcW w:w="0" w:type="auto"/>
            <w:noWrap/>
            <w:vAlign w:val="bottom"/>
          </w:tcPr>
          <w:p>
            <w:pPr>
              <w:pStyle w:val="yTableNAm"/>
              <w:jc w:val="center"/>
            </w:pPr>
            <w:r>
              <w:t>266.7 </w:t>
            </w:r>
          </w:p>
        </w:tc>
        <w:tc>
          <w:tcPr>
            <w:tcW w:w="0" w:type="auto"/>
            <w:noWrap/>
            <w:vAlign w:val="bottom"/>
          </w:tcPr>
          <w:p>
            <w:pPr>
              <w:pStyle w:val="yTableNAm"/>
              <w:jc w:val="center"/>
            </w:pPr>
            <w:r>
              <w:t>266.7</w:t>
            </w:r>
          </w:p>
        </w:tc>
      </w:tr>
      <w:tr>
        <w:trPr>
          <w:cantSplit/>
        </w:trPr>
        <w:tc>
          <w:tcPr>
            <w:tcW w:w="0" w:type="auto"/>
            <w:noWrap/>
          </w:tcPr>
          <w:p>
            <w:pPr>
              <w:pStyle w:val="yTableNAm"/>
            </w:pPr>
            <w:r>
              <w:t>Over 300 but not over 550</w:t>
            </w:r>
          </w:p>
        </w:tc>
        <w:tc>
          <w:tcPr>
            <w:tcW w:w="0" w:type="auto"/>
            <w:noWrap/>
            <w:vAlign w:val="bottom"/>
          </w:tcPr>
          <w:p>
            <w:pPr>
              <w:pStyle w:val="yTableNAm"/>
              <w:jc w:val="center"/>
            </w:pPr>
            <w:r>
              <w:t>233.5</w:t>
            </w:r>
          </w:p>
        </w:tc>
        <w:tc>
          <w:tcPr>
            <w:tcW w:w="0" w:type="auto"/>
            <w:noWrap/>
            <w:vAlign w:val="bottom"/>
          </w:tcPr>
          <w:p>
            <w:pPr>
              <w:pStyle w:val="yTableNAm"/>
              <w:jc w:val="center"/>
            </w:pPr>
            <w:r>
              <w:t>321.2</w:t>
            </w:r>
          </w:p>
        </w:tc>
        <w:tc>
          <w:tcPr>
            <w:tcW w:w="0" w:type="auto"/>
            <w:noWrap/>
            <w:vAlign w:val="bottom"/>
          </w:tcPr>
          <w:p>
            <w:pPr>
              <w:pStyle w:val="yTableNAm"/>
              <w:jc w:val="center"/>
            </w:pPr>
            <w:r>
              <w:t>427.9</w:t>
            </w:r>
          </w:p>
        </w:tc>
        <w:tc>
          <w:tcPr>
            <w:tcW w:w="0" w:type="auto"/>
            <w:noWrap/>
            <w:vAlign w:val="bottom"/>
          </w:tcPr>
          <w:p>
            <w:pPr>
              <w:pStyle w:val="yTableNAm"/>
              <w:jc w:val="center"/>
            </w:pPr>
            <w:r>
              <w:t>503.2</w:t>
            </w:r>
          </w:p>
        </w:tc>
        <w:tc>
          <w:tcPr>
            <w:tcW w:w="0" w:type="auto"/>
            <w:noWrap/>
            <w:vAlign w:val="bottom"/>
          </w:tcPr>
          <w:p>
            <w:pPr>
              <w:pStyle w:val="yTableNAm"/>
              <w:jc w:val="center"/>
            </w:pPr>
            <w:r>
              <w:t>591.9</w:t>
            </w:r>
          </w:p>
        </w:tc>
      </w:tr>
      <w:tr>
        <w:trPr>
          <w:cantSplit/>
        </w:trPr>
        <w:tc>
          <w:tcPr>
            <w:tcW w:w="0" w:type="auto"/>
            <w:tcBorders>
              <w:bottom w:val="single" w:sz="4" w:space="0" w:color="auto"/>
            </w:tcBorders>
            <w:noWrap/>
          </w:tcPr>
          <w:p>
            <w:pPr>
              <w:pStyle w:val="yTableNAm"/>
            </w:pPr>
            <w:r>
              <w:t>Over 550</w:t>
            </w:r>
          </w:p>
        </w:tc>
        <w:tc>
          <w:tcPr>
            <w:tcW w:w="0" w:type="auto"/>
            <w:tcBorders>
              <w:bottom w:val="single" w:sz="4" w:space="0" w:color="auto"/>
            </w:tcBorders>
            <w:noWrap/>
            <w:vAlign w:val="bottom"/>
          </w:tcPr>
          <w:p>
            <w:pPr>
              <w:pStyle w:val="yTableNAm"/>
              <w:jc w:val="center"/>
            </w:pPr>
            <w:r>
              <w:t>272.7</w:t>
            </w:r>
          </w:p>
        </w:tc>
        <w:tc>
          <w:tcPr>
            <w:tcW w:w="0" w:type="auto"/>
            <w:tcBorders>
              <w:bottom w:val="single" w:sz="4" w:space="0" w:color="auto"/>
            </w:tcBorders>
            <w:noWrap/>
            <w:vAlign w:val="bottom"/>
          </w:tcPr>
          <w:p>
            <w:pPr>
              <w:pStyle w:val="yTableNAm"/>
              <w:jc w:val="center"/>
            </w:pPr>
            <w:r>
              <w:t>409.8</w:t>
            </w:r>
          </w:p>
        </w:tc>
        <w:tc>
          <w:tcPr>
            <w:tcW w:w="0" w:type="auto"/>
            <w:tcBorders>
              <w:bottom w:val="single" w:sz="4" w:space="0" w:color="auto"/>
            </w:tcBorders>
            <w:noWrap/>
            <w:vAlign w:val="bottom"/>
          </w:tcPr>
          <w:p>
            <w:pPr>
              <w:pStyle w:val="yTableNAm"/>
              <w:jc w:val="center"/>
            </w:pPr>
            <w:r>
              <w:t>545.6</w:t>
            </w:r>
          </w:p>
        </w:tc>
        <w:tc>
          <w:tcPr>
            <w:tcW w:w="0" w:type="auto"/>
            <w:tcBorders>
              <w:bottom w:val="single" w:sz="4" w:space="0" w:color="auto"/>
            </w:tcBorders>
            <w:noWrap/>
            <w:vAlign w:val="bottom"/>
          </w:tcPr>
          <w:p>
            <w:pPr>
              <w:pStyle w:val="yTableNAm"/>
              <w:jc w:val="center"/>
            </w:pPr>
            <w:r>
              <w:t>754.7</w:t>
            </w:r>
          </w:p>
        </w:tc>
        <w:tc>
          <w:tcPr>
            <w:tcW w:w="0" w:type="auto"/>
            <w:tcBorders>
              <w:bottom w:val="single" w:sz="4" w:space="0" w:color="auto"/>
            </w:tcBorders>
            <w:noWrap/>
            <w:vAlign w:val="bottom"/>
          </w:tcPr>
          <w:p>
            <w:pPr>
              <w:pStyle w:val="yTableNAm"/>
              <w:jc w:val="center"/>
            </w:pPr>
            <w:r>
              <w:t>1 017.8</w:t>
            </w:r>
          </w:p>
        </w:tc>
      </w:tr>
    </w:tbl>
    <w:p>
      <w:pPr>
        <w:pStyle w:val="ySubsection"/>
      </w:pPr>
      <w:r>
        <w:lastRenderedPageBreak/>
        <w:tab/>
        <w:t>(2)</w:t>
      </w:r>
      <w:r>
        <w:tab/>
        <w:t>Sub</w:t>
      </w:r>
      <w:r>
        <w:noBreakHyphen/>
        <w:t xml:space="preserve">item (1) applies unless the land is located — </w:t>
      </w:r>
    </w:p>
    <w:p>
      <w:pPr>
        <w:pStyle w:val="yIndenta"/>
      </w:pPr>
      <w:r>
        <w:tab/>
        <w:t>(a)</w:t>
      </w:r>
      <w:r>
        <w:tab/>
        <w:t>in the town of Cue, Laverton, Leonora, Meekatharra, Menzies, Mount Magnet, Mullewa, Sandstone, Wiluna or Yalgoo; or</w:t>
      </w:r>
    </w:p>
    <w:p>
      <w:pPr>
        <w:pStyle w:val="yIndenta"/>
      </w:pPr>
      <w:r>
        <w:tab/>
        <w:t>(b)</w:t>
      </w:r>
      <w:r>
        <w:tab/>
        <w:t>north of 26°S Latitude,</w:t>
      </w:r>
    </w:p>
    <w:p>
      <w:pPr>
        <w:pStyle w:val="ySubsection"/>
      </w:pPr>
      <w:r>
        <w:tab/>
      </w:r>
      <w:r>
        <w:tab/>
        <w:t>in which case the charge, according to the residential class of the town or area in which the land is located, is —</w:t>
      </w:r>
    </w:p>
    <w:tbl>
      <w:tblPr>
        <w:tblW w:w="0" w:type="auto"/>
        <w:tblInd w:w="879" w:type="dxa"/>
        <w:tblCellMar>
          <w:left w:w="28" w:type="dxa"/>
          <w:right w:w="28" w:type="dxa"/>
        </w:tblCellMar>
        <w:tblLook w:val="0000" w:firstRow="0" w:lastRow="0" w:firstColumn="0" w:lastColumn="0" w:noHBand="0" w:noVBand="0"/>
      </w:tblPr>
      <w:tblGrid>
        <w:gridCol w:w="1567"/>
        <w:gridCol w:w="929"/>
        <w:gridCol w:w="928"/>
        <w:gridCol w:w="928"/>
        <w:gridCol w:w="928"/>
        <w:gridCol w:w="928"/>
      </w:tblGrid>
      <w:tr>
        <w:trPr>
          <w:cantSplit/>
          <w:tblHeader/>
        </w:trPr>
        <w:tc>
          <w:tcPr>
            <w:tcW w:w="0" w:type="auto"/>
            <w:tcBorders>
              <w:top w:val="single" w:sz="4" w:space="0" w:color="auto"/>
              <w:bottom w:val="single" w:sz="4" w:space="0" w:color="auto"/>
            </w:tcBorders>
            <w:noWrap/>
          </w:tcPr>
          <w:p>
            <w:pPr>
              <w:pStyle w:val="yTableNAm"/>
              <w:jc w:val="center"/>
            </w:pPr>
            <w:r>
              <w:rPr>
                <w:b/>
              </w:rPr>
              <w:br w:type="page"/>
              <w:t>Consumption (kL)</w:t>
            </w:r>
          </w:p>
        </w:tc>
        <w:tc>
          <w:tcPr>
            <w:tcW w:w="0" w:type="auto"/>
            <w:tcBorders>
              <w:top w:val="single" w:sz="4" w:space="0" w:color="auto"/>
              <w:bottom w:val="single" w:sz="4" w:space="0" w:color="auto"/>
            </w:tcBorders>
            <w:noWrap/>
          </w:tcPr>
          <w:p>
            <w:pPr>
              <w:pStyle w:val="yTableNAm"/>
              <w:jc w:val="center"/>
            </w:pPr>
            <w:r>
              <w:rPr>
                <w:b/>
              </w:rPr>
              <w:t>Class 1 (cents)</w:t>
            </w:r>
          </w:p>
        </w:tc>
        <w:tc>
          <w:tcPr>
            <w:tcW w:w="0" w:type="auto"/>
            <w:tcBorders>
              <w:top w:val="single" w:sz="4" w:space="0" w:color="auto"/>
              <w:bottom w:val="single" w:sz="4" w:space="0" w:color="auto"/>
            </w:tcBorders>
            <w:noWrap/>
          </w:tcPr>
          <w:p>
            <w:pPr>
              <w:pStyle w:val="yTableNAm"/>
              <w:jc w:val="center"/>
            </w:pPr>
            <w:r>
              <w:rPr>
                <w:b/>
              </w:rPr>
              <w:t>Class 2 (cents)</w:t>
            </w:r>
          </w:p>
        </w:tc>
        <w:tc>
          <w:tcPr>
            <w:tcW w:w="0" w:type="auto"/>
            <w:tcBorders>
              <w:top w:val="single" w:sz="4" w:space="0" w:color="auto"/>
              <w:bottom w:val="single" w:sz="4" w:space="0" w:color="auto"/>
            </w:tcBorders>
            <w:noWrap/>
          </w:tcPr>
          <w:p>
            <w:pPr>
              <w:pStyle w:val="yTableNAm"/>
              <w:jc w:val="center"/>
            </w:pPr>
            <w:r>
              <w:rPr>
                <w:b/>
              </w:rPr>
              <w:t>Class 3 (cents)</w:t>
            </w:r>
          </w:p>
        </w:tc>
        <w:tc>
          <w:tcPr>
            <w:tcW w:w="0" w:type="auto"/>
            <w:tcBorders>
              <w:top w:val="single" w:sz="4" w:space="0" w:color="auto"/>
              <w:bottom w:val="single" w:sz="4" w:space="0" w:color="auto"/>
            </w:tcBorders>
            <w:noWrap/>
          </w:tcPr>
          <w:p>
            <w:pPr>
              <w:pStyle w:val="yTableNAm"/>
              <w:jc w:val="center"/>
            </w:pPr>
            <w:r>
              <w:rPr>
                <w:b/>
              </w:rPr>
              <w:t>Class 4 (cents)</w:t>
            </w:r>
          </w:p>
        </w:tc>
        <w:tc>
          <w:tcPr>
            <w:tcW w:w="0" w:type="auto"/>
            <w:tcBorders>
              <w:top w:val="single" w:sz="4" w:space="0" w:color="auto"/>
              <w:bottom w:val="single" w:sz="4" w:space="0" w:color="auto"/>
            </w:tcBorders>
            <w:noWrap/>
          </w:tcPr>
          <w:p>
            <w:pPr>
              <w:pStyle w:val="yTableNAm"/>
              <w:jc w:val="center"/>
            </w:pPr>
            <w:r>
              <w:rPr>
                <w:b/>
              </w:rPr>
              <w:t>Class 5 (cents)</w:t>
            </w:r>
          </w:p>
        </w:tc>
      </w:tr>
      <w:tr>
        <w:trPr>
          <w:cantSplit/>
        </w:trPr>
        <w:tc>
          <w:tcPr>
            <w:tcW w:w="0" w:type="auto"/>
            <w:noWrap/>
          </w:tcPr>
          <w:p>
            <w:pPr>
              <w:pStyle w:val="yTableNAm"/>
              <w:rPr>
                <w:szCs w:val="22"/>
              </w:rPr>
            </w:pPr>
            <w:r>
              <w:rPr>
                <w:szCs w:val="22"/>
              </w:rPr>
              <w:t>Up to 350</w:t>
            </w:r>
          </w:p>
        </w:tc>
        <w:tc>
          <w:tcPr>
            <w:tcW w:w="0" w:type="auto"/>
            <w:noWrap/>
            <w:vAlign w:val="bottom"/>
          </w:tcPr>
          <w:p>
            <w:pPr>
              <w:pStyle w:val="yTableNAm"/>
              <w:jc w:val="center"/>
            </w:pPr>
            <w:r>
              <w:t>152.7</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c>
          <w:tcPr>
            <w:tcW w:w="0" w:type="auto"/>
            <w:noWrap/>
            <w:vAlign w:val="bottom"/>
          </w:tcPr>
          <w:p>
            <w:pPr>
              <w:pStyle w:val="yTableNAm"/>
              <w:jc w:val="center"/>
            </w:pPr>
            <w:r>
              <w:t>200.2</w:t>
            </w:r>
          </w:p>
        </w:tc>
      </w:tr>
      <w:tr>
        <w:trPr>
          <w:cantSplit/>
        </w:trPr>
        <w:tc>
          <w:tcPr>
            <w:tcW w:w="0" w:type="auto"/>
            <w:noWrap/>
          </w:tcPr>
          <w:p>
            <w:pPr>
              <w:pStyle w:val="yTableNAm"/>
              <w:rPr>
                <w:szCs w:val="22"/>
              </w:rPr>
            </w:pPr>
            <w:r>
              <w:rPr>
                <w:szCs w:val="22"/>
              </w:rPr>
              <w:t>Over 350 but not over 500</w:t>
            </w:r>
          </w:p>
        </w:tc>
        <w:tc>
          <w:tcPr>
            <w:tcW w:w="0" w:type="auto"/>
            <w:noWrap/>
            <w:vAlign w:val="bottom"/>
          </w:tcPr>
          <w:p>
            <w:pPr>
              <w:pStyle w:val="yTableNAm"/>
              <w:jc w:val="center"/>
            </w:pPr>
            <w:r>
              <w:t>203.4</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c>
          <w:tcPr>
            <w:tcW w:w="0" w:type="auto"/>
            <w:noWrap/>
            <w:vAlign w:val="bottom"/>
          </w:tcPr>
          <w:p>
            <w:pPr>
              <w:pStyle w:val="yTableNAm"/>
              <w:jc w:val="center"/>
            </w:pPr>
            <w:r>
              <w:t>266.7</w:t>
            </w:r>
          </w:p>
        </w:tc>
      </w:tr>
      <w:tr>
        <w:trPr>
          <w:cantSplit/>
        </w:trPr>
        <w:tc>
          <w:tcPr>
            <w:tcW w:w="0" w:type="auto"/>
            <w:noWrap/>
          </w:tcPr>
          <w:p>
            <w:pPr>
              <w:pStyle w:val="yTableNAm"/>
              <w:rPr>
                <w:szCs w:val="22"/>
              </w:rPr>
            </w:pPr>
            <w:r>
              <w:rPr>
                <w:szCs w:val="22"/>
              </w:rPr>
              <w:t>Over 500 but not over 750</w:t>
            </w:r>
          </w:p>
        </w:tc>
        <w:tc>
          <w:tcPr>
            <w:tcW w:w="0" w:type="auto"/>
            <w:noWrap/>
            <w:vAlign w:val="bottom"/>
          </w:tcPr>
          <w:p>
            <w:pPr>
              <w:pStyle w:val="yTableNAm"/>
              <w:jc w:val="center"/>
            </w:pPr>
            <w:r>
              <w:t>233.5</w:t>
            </w:r>
          </w:p>
        </w:tc>
        <w:tc>
          <w:tcPr>
            <w:tcW w:w="0" w:type="auto"/>
            <w:noWrap/>
            <w:vAlign w:val="bottom"/>
          </w:tcPr>
          <w:p>
            <w:pPr>
              <w:pStyle w:val="yTableNAm"/>
              <w:jc w:val="center"/>
            </w:pPr>
            <w:r>
              <w:t>321.2</w:t>
            </w:r>
          </w:p>
        </w:tc>
        <w:tc>
          <w:tcPr>
            <w:tcW w:w="0" w:type="auto"/>
            <w:noWrap/>
            <w:vAlign w:val="bottom"/>
          </w:tcPr>
          <w:p>
            <w:pPr>
              <w:pStyle w:val="yTableNAm"/>
              <w:jc w:val="center"/>
            </w:pPr>
            <w:r>
              <w:t>427.9</w:t>
            </w:r>
          </w:p>
        </w:tc>
        <w:tc>
          <w:tcPr>
            <w:tcW w:w="0" w:type="auto"/>
            <w:noWrap/>
            <w:vAlign w:val="bottom"/>
          </w:tcPr>
          <w:p>
            <w:pPr>
              <w:pStyle w:val="yTableNAm"/>
              <w:jc w:val="center"/>
            </w:pPr>
            <w:r>
              <w:t>503.2</w:t>
            </w:r>
          </w:p>
        </w:tc>
        <w:tc>
          <w:tcPr>
            <w:tcW w:w="0" w:type="auto"/>
            <w:noWrap/>
            <w:vAlign w:val="bottom"/>
          </w:tcPr>
          <w:p>
            <w:pPr>
              <w:pStyle w:val="yTableNAm"/>
              <w:jc w:val="center"/>
            </w:pPr>
            <w:r>
              <w:t>591.9</w:t>
            </w:r>
          </w:p>
        </w:tc>
      </w:tr>
      <w:tr>
        <w:trPr>
          <w:cantSplit/>
        </w:trPr>
        <w:tc>
          <w:tcPr>
            <w:tcW w:w="0" w:type="auto"/>
            <w:tcBorders>
              <w:bottom w:val="single" w:sz="4" w:space="0" w:color="auto"/>
            </w:tcBorders>
            <w:noWrap/>
          </w:tcPr>
          <w:p>
            <w:pPr>
              <w:pStyle w:val="yTableNAm"/>
              <w:rPr>
                <w:szCs w:val="22"/>
              </w:rPr>
            </w:pPr>
            <w:r>
              <w:rPr>
                <w:szCs w:val="22"/>
              </w:rPr>
              <w:t>Over 750</w:t>
            </w:r>
          </w:p>
        </w:tc>
        <w:tc>
          <w:tcPr>
            <w:tcW w:w="0" w:type="auto"/>
            <w:tcBorders>
              <w:bottom w:val="single" w:sz="4" w:space="0" w:color="auto"/>
            </w:tcBorders>
            <w:noWrap/>
            <w:vAlign w:val="bottom"/>
          </w:tcPr>
          <w:p>
            <w:pPr>
              <w:pStyle w:val="yTableNAm"/>
              <w:jc w:val="center"/>
            </w:pPr>
            <w:r>
              <w:t>272.7</w:t>
            </w:r>
          </w:p>
        </w:tc>
        <w:tc>
          <w:tcPr>
            <w:tcW w:w="0" w:type="auto"/>
            <w:tcBorders>
              <w:bottom w:val="single" w:sz="4" w:space="0" w:color="auto"/>
            </w:tcBorders>
            <w:noWrap/>
            <w:vAlign w:val="bottom"/>
          </w:tcPr>
          <w:p>
            <w:pPr>
              <w:pStyle w:val="yTableNAm"/>
              <w:jc w:val="center"/>
            </w:pPr>
            <w:r>
              <w:t>409.8</w:t>
            </w:r>
          </w:p>
        </w:tc>
        <w:tc>
          <w:tcPr>
            <w:tcW w:w="0" w:type="auto"/>
            <w:tcBorders>
              <w:bottom w:val="single" w:sz="4" w:space="0" w:color="auto"/>
            </w:tcBorders>
            <w:noWrap/>
            <w:vAlign w:val="bottom"/>
          </w:tcPr>
          <w:p>
            <w:pPr>
              <w:pStyle w:val="yTableNAm"/>
              <w:jc w:val="center"/>
            </w:pPr>
            <w:r>
              <w:t>545.6</w:t>
            </w:r>
          </w:p>
        </w:tc>
        <w:tc>
          <w:tcPr>
            <w:tcW w:w="0" w:type="auto"/>
            <w:tcBorders>
              <w:bottom w:val="single" w:sz="4" w:space="0" w:color="auto"/>
            </w:tcBorders>
            <w:noWrap/>
            <w:vAlign w:val="bottom"/>
          </w:tcPr>
          <w:p>
            <w:pPr>
              <w:pStyle w:val="yTableNAm"/>
              <w:jc w:val="center"/>
            </w:pPr>
            <w:r>
              <w:t>754.7</w:t>
            </w:r>
          </w:p>
        </w:tc>
        <w:tc>
          <w:tcPr>
            <w:tcW w:w="0" w:type="auto"/>
            <w:tcBorders>
              <w:bottom w:val="single" w:sz="4" w:space="0" w:color="auto"/>
            </w:tcBorders>
            <w:noWrap/>
            <w:vAlign w:val="bottom"/>
          </w:tcPr>
          <w:p>
            <w:pPr>
              <w:pStyle w:val="yTableNAm"/>
              <w:jc w:val="center"/>
            </w:pPr>
            <w:r>
              <w:t>1 017.8</w:t>
            </w:r>
          </w:p>
        </w:tc>
      </w:tr>
    </w:tbl>
    <w:p>
      <w:pPr>
        <w:pStyle w:val="ySubsection"/>
      </w:pPr>
      <w:r>
        <w:tab/>
        <w:t>(3)</w:t>
      </w:r>
      <w:r>
        <w:tab/>
        <w:t>A charge under sub</w:t>
      </w:r>
      <w:r>
        <w:noBreakHyphen/>
        <w:t>item (1) or (2) does not apply to the supply of water for which a more specific charge is provided in this Subdivision.</w:t>
      </w:r>
    </w:p>
    <w:p>
      <w:pPr>
        <w:pStyle w:val="zyHeading5"/>
      </w:pPr>
      <w:bookmarkStart w:id="187" w:name="_Toc169797228"/>
      <w:bookmarkStart w:id="188" w:name="_Toc170213139"/>
      <w:r>
        <w:t>30.</w:t>
      </w:r>
      <w:r>
        <w:tab/>
        <w:t>Non</w:t>
      </w:r>
      <w:r>
        <w:noBreakHyphen/>
        <w:t>metropolitan non</w:t>
      </w:r>
      <w:r>
        <w:noBreakHyphen/>
        <w:t>residential</w:t>
      </w:r>
      <w:bookmarkEnd w:id="187"/>
      <w:bookmarkEnd w:id="188"/>
    </w:p>
    <w:p>
      <w:pPr>
        <w:pStyle w:val="ySubsection"/>
        <w:keepNext/>
      </w:pPr>
      <w:r>
        <w:tab/>
        <w:t>(1)</w:t>
      </w:r>
      <w:r>
        <w:tab/>
        <w:t>For each kilolitre of water supplied to land in the non</w:t>
      </w:r>
      <w:r>
        <w:noBreakHyphen/>
        <w:t>metropolitan area that is neither classified as residential nor classified as vacant land but held for residential purposes, the charge is —</w:t>
      </w:r>
    </w:p>
    <w:p>
      <w:pPr>
        <w:pStyle w:val="yIndenta"/>
        <w:tabs>
          <w:tab w:val="right" w:leader="dot" w:pos="6804"/>
        </w:tabs>
      </w:pPr>
      <w:r>
        <w:tab/>
        <w:t>(a)</w:t>
      </w:r>
      <w:r>
        <w:tab/>
        <w:t xml:space="preserve">if the land is classified as local </w:t>
      </w:r>
      <w:r>
        <w:br/>
        <w:t xml:space="preserve">government, institutional public </w:t>
      </w:r>
      <w:r>
        <w:br/>
        <w:t xml:space="preserve">or charitable purposes </w:t>
      </w:r>
      <w:r>
        <w:tab/>
        <w:t>293.9 cents</w:t>
      </w:r>
    </w:p>
    <w:p>
      <w:pPr>
        <w:pStyle w:val="yIndenta"/>
        <w:tabs>
          <w:tab w:val="right" w:leader="dot" w:pos="6804"/>
        </w:tabs>
      </w:pPr>
      <w:r>
        <w:tab/>
        <w:t>(b)</w:t>
      </w:r>
      <w:r>
        <w:tab/>
        <w:t xml:space="preserve">if the land is classified as farmland </w:t>
      </w:r>
      <w:r>
        <w:tab/>
        <w:t>293.9 cents</w:t>
      </w:r>
    </w:p>
    <w:p>
      <w:pPr>
        <w:pStyle w:val="yIndenta"/>
      </w:pPr>
      <w:r>
        <w:tab/>
        <w:t>(c)</w:t>
      </w:r>
      <w:r>
        <w:tab/>
        <w:t>if the land is classified as mining — the charge applicable in the Table in item 24 according to the non</w:t>
      </w:r>
      <w:r>
        <w:noBreakHyphen/>
        <w:t>residential class of the town or area in which the land is located, except that the Table is to have effect as if the charge for classes 14 and 15 were 968.7 cents;</w:t>
      </w:r>
    </w:p>
    <w:p>
      <w:pPr>
        <w:pStyle w:val="yIndenta"/>
      </w:pPr>
      <w:r>
        <w:lastRenderedPageBreak/>
        <w:tab/>
        <w:t>(d)</w:t>
      </w:r>
      <w:r>
        <w:tab/>
        <w:t>if the land is classified as non</w:t>
      </w:r>
      <w:r>
        <w:noBreakHyphen/>
        <w:t>residential or vacant land — the charge applicable in the Table in item 24 according to the non</w:t>
      </w:r>
      <w:r>
        <w:noBreakHyphen/>
        <w:t>residential class of the town or area in which the land is located;</w:t>
      </w:r>
    </w:p>
    <w:p>
      <w:pPr>
        <w:pStyle w:val="yIndenta"/>
      </w:pPr>
      <w:r>
        <w:tab/>
        <w:t>(e)</w:t>
      </w:r>
      <w:r>
        <w:tab/>
        <w:t>if the land is classified as commercial residential —</w:t>
      </w:r>
    </w:p>
    <w:p>
      <w:pPr>
        <w:pStyle w:val="yMiscellaneousBodyLeft425cm"/>
        <w:ind w:left="1695"/>
      </w:pPr>
      <w:r>
        <w:t xml:space="preserve">up to 150 kL </w:t>
      </w:r>
      <w:r>
        <w:tab/>
        <w:t>200.2 cents</w:t>
      </w:r>
    </w:p>
    <w:p>
      <w:pPr>
        <w:pStyle w:val="yMiscellaneousBodyLeft425cm"/>
        <w:ind w:left="1695"/>
      </w:pPr>
      <w:r>
        <w:t>over 150 kL — the charge applicable in the Table in item 24 according to the non</w:t>
      </w:r>
      <w:r>
        <w:noBreakHyphen/>
        <w:t>residential class of the town or area in which the land is located.</w:t>
      </w:r>
    </w:p>
    <w:p>
      <w:pPr>
        <w:pStyle w:val="ySubsection"/>
      </w:pPr>
      <w:r>
        <w:tab/>
        <w:t>(2)</w:t>
      </w:r>
      <w:r>
        <w:tab/>
        <w:t>A charge under sub</w:t>
      </w:r>
      <w:r>
        <w:noBreakHyphen/>
        <w:t>item (1) does not apply to the supply of water for which a more specific charge is provided in this Subdivision.</w:t>
      </w:r>
    </w:p>
    <w:p>
      <w:pPr>
        <w:pStyle w:val="zyHeading5"/>
      </w:pPr>
      <w:bookmarkStart w:id="189" w:name="_Toc169797229"/>
      <w:bookmarkStart w:id="190" w:name="_Toc170213140"/>
      <w:r>
        <w:t>31.</w:t>
      </w:r>
      <w:r>
        <w:tab/>
        <w:t>Strata</w:t>
      </w:r>
      <w:r>
        <w:noBreakHyphen/>
        <w:t>titled or long</w:t>
      </w:r>
      <w:r>
        <w:noBreakHyphen/>
        <w:t>term residential caravan bays</w:t>
      </w:r>
      <w:bookmarkEnd w:id="189"/>
      <w:bookmarkEnd w:id="190"/>
    </w:p>
    <w:p>
      <w:pPr>
        <w:pStyle w:val="ySubsection"/>
      </w:pPr>
      <w:r>
        <w:tab/>
        <w:t>(1)</w:t>
      </w:r>
      <w:r>
        <w:tab/>
        <w:t>For each kilolitre of water supplied to a strata</w:t>
      </w:r>
      <w:r>
        <w:noBreakHyphen/>
        <w:t>titled caravan bay, or a long</w:t>
      </w:r>
      <w:r>
        <w:noBreakHyphen/>
        <w:t xml:space="preserve">term residential caravan bay, in the metropolitan area, the charge is — </w:t>
      </w:r>
    </w:p>
    <w:p>
      <w:pPr>
        <w:pStyle w:val="yMiscellaneousBodyLeft425cm"/>
        <w:ind w:left="1695"/>
      </w:pPr>
      <w:r>
        <w:t xml:space="preserve">up to 150 kL </w:t>
      </w:r>
      <w:r>
        <w:tab/>
        <w:t>200.2 cents</w:t>
      </w:r>
    </w:p>
    <w:p>
      <w:pPr>
        <w:pStyle w:val="yMiscellaneousBodyLeft425cm"/>
        <w:ind w:left="1695"/>
      </w:pPr>
      <w:r>
        <w:t xml:space="preserve">over 150 kL </w:t>
      </w:r>
      <w:r>
        <w:tab/>
        <w:t>285.0 cents</w:t>
      </w:r>
    </w:p>
    <w:p>
      <w:pPr>
        <w:pStyle w:val="ySubsection"/>
      </w:pPr>
      <w:r>
        <w:tab/>
        <w:t>(2)</w:t>
      </w:r>
      <w:r>
        <w:tab/>
        <w:t>For each kilolitre of water supplied to a strata</w:t>
      </w:r>
      <w:r>
        <w:noBreakHyphen/>
        <w:t>titled caravan bay, or a long</w:t>
      </w:r>
      <w:r>
        <w:noBreakHyphen/>
        <w:t>term residential caravan bay, in the non</w:t>
      </w:r>
      <w:r>
        <w:noBreakHyphen/>
        <w:t xml:space="preserve">metropolitan area, the charge is — </w:t>
      </w:r>
    </w:p>
    <w:p>
      <w:pPr>
        <w:pStyle w:val="yMiscellaneousBodyLeft3cm"/>
      </w:pPr>
      <w:r>
        <w:t xml:space="preserve">up to 150 kL </w:t>
      </w:r>
      <w:r>
        <w:tab/>
        <w:t>200.2 cents</w:t>
      </w:r>
    </w:p>
    <w:p>
      <w:pPr>
        <w:pStyle w:val="yMiscellaneousBodyLeft3cm"/>
      </w:pPr>
      <w:r>
        <w:t>over 150 kL — the charge applicable in the Table in item 24 according to the residential class of the town or area in which the bay is located.</w:t>
      </w:r>
    </w:p>
    <w:p>
      <w:pPr>
        <w:pStyle w:val="ySubsection"/>
      </w:pPr>
      <w:r>
        <w:tab/>
        <w:t>(3)</w:t>
      </w:r>
      <w:r>
        <w:tab/>
        <w:t>Sub</w:t>
      </w:r>
      <w:r>
        <w:noBreakHyphen/>
        <w:t>items (1) and (2) do not apply to long</w:t>
      </w:r>
      <w:r>
        <w:noBreakHyphen/>
        <w:t>term residential caravan bays referred to in regulation 27(2)(a).</w:t>
      </w:r>
    </w:p>
    <w:p>
      <w:pPr>
        <w:pStyle w:val="zyHeading5"/>
      </w:pPr>
      <w:bookmarkStart w:id="191" w:name="_Toc169797230"/>
      <w:bookmarkStart w:id="192" w:name="_Toc170213141"/>
      <w:r>
        <w:t>32.</w:t>
      </w:r>
      <w:r>
        <w:tab/>
        <w:t>Government trading organisations and non</w:t>
      </w:r>
      <w:r>
        <w:noBreakHyphen/>
        <w:t>commercial government property</w:t>
      </w:r>
      <w:bookmarkEnd w:id="191"/>
      <w:bookmarkEnd w:id="192"/>
    </w:p>
    <w:p>
      <w:pPr>
        <w:pStyle w:val="ySubsection"/>
      </w:pPr>
      <w:r>
        <w:tab/>
        <w:t>(1)</w:t>
      </w:r>
      <w:r>
        <w:tab/>
        <w:t>This item applies to land held by a government trading organisation, or a public authority that holds non</w:t>
      </w:r>
      <w:r>
        <w:noBreakHyphen/>
        <w:t xml:space="preserve">commercial government property, </w:t>
      </w:r>
      <w:r>
        <w:lastRenderedPageBreak/>
        <w:t>in respect of which a water service charge set out in item 27 or 30(1)(a) would, but for this item, apply.</w:t>
      </w:r>
    </w:p>
    <w:p>
      <w:pPr>
        <w:pStyle w:val="ySubsection"/>
      </w:pPr>
      <w:r>
        <w:tab/>
        <w:t>(2)</w:t>
      </w:r>
      <w:r>
        <w:tab/>
        <w:t>This item does not apply to public land or land classified as vacant land.</w:t>
      </w:r>
    </w:p>
    <w:p>
      <w:pPr>
        <w:pStyle w:val="ySubsection"/>
      </w:pPr>
      <w:r>
        <w:tab/>
        <w:t>(3)</w:t>
      </w:r>
      <w:r>
        <w:tab/>
        <w:t>For land to which this item applies, the charge under sub</w:t>
      </w:r>
      <w:r>
        <w:noBreakHyphen/>
        <w:t>item (4) or (5) applies instead of the charge referred to in sub</w:t>
      </w:r>
      <w:r>
        <w:noBreakHyphen/>
        <w:t>item (1).</w:t>
      </w:r>
    </w:p>
    <w:p>
      <w:pPr>
        <w:pStyle w:val="ySubsection"/>
        <w:tabs>
          <w:tab w:val="right" w:leader="dot" w:pos="6804"/>
        </w:tabs>
      </w:pPr>
      <w:r>
        <w:tab/>
        <w:t>(4)</w:t>
      </w:r>
      <w:r>
        <w:tab/>
        <w:t xml:space="preserve">For each kilolitre of water supplied to land </w:t>
      </w:r>
      <w:r>
        <w:br/>
        <w:t xml:space="preserve">in the metropolitan area, the charge is </w:t>
      </w:r>
      <w:r>
        <w:tab/>
        <w:t>285.0 cents</w:t>
      </w:r>
    </w:p>
    <w:p>
      <w:pPr>
        <w:pStyle w:val="ySubsection"/>
        <w:tabs>
          <w:tab w:val="left" w:pos="7087"/>
        </w:tabs>
      </w:pPr>
      <w:r>
        <w:tab/>
        <w:t>(5)</w:t>
      </w:r>
      <w:r>
        <w:tab/>
        <w:t>For each kilolitre of water supplied to land in the non</w:t>
      </w:r>
      <w:r>
        <w:noBreakHyphen/>
        <w:t>metropolitan area, the charge is the charge applicable in the Table in item 24 according to the non</w:t>
      </w:r>
      <w:r>
        <w:noBreakHyphen/>
        <w:t>residential class of the town or area in which the land is located.</w:t>
      </w:r>
    </w:p>
    <w:p>
      <w:pPr>
        <w:pStyle w:val="zyHeading5"/>
      </w:pPr>
      <w:bookmarkStart w:id="193" w:name="_Toc169797231"/>
      <w:bookmarkStart w:id="194" w:name="_Toc170213142"/>
      <w:r>
        <w:t>33.</w:t>
      </w:r>
      <w:r>
        <w:tab/>
        <w:t>Coral Bay desalinated</w:t>
      </w:r>
      <w:bookmarkEnd w:id="193"/>
      <w:bookmarkEnd w:id="194"/>
    </w:p>
    <w:p>
      <w:pPr>
        <w:pStyle w:val="ySubsection"/>
        <w:tabs>
          <w:tab w:val="right" w:leader="dot" w:pos="6804"/>
        </w:tabs>
      </w:pPr>
      <w:r>
        <w:tab/>
      </w:r>
      <w:r>
        <w:tab/>
        <w:t xml:space="preserve">For each kilolitre of desalinated water </w:t>
      </w:r>
      <w:r>
        <w:br/>
        <w:t xml:space="preserve">supplied to land in Coral Bay that is not </w:t>
      </w:r>
      <w:r>
        <w:br/>
        <w:t>classified as residential, the charge is</w:t>
      </w:r>
      <w:r>
        <w:tab/>
        <w:t>823.2 cents</w:t>
      </w:r>
    </w:p>
    <w:p>
      <w:pPr>
        <w:pStyle w:val="zyHeading5"/>
      </w:pPr>
      <w:bookmarkStart w:id="195" w:name="_Toc169797232"/>
      <w:bookmarkStart w:id="196" w:name="_Toc170213143"/>
      <w:r>
        <w:t>34.</w:t>
      </w:r>
      <w:r>
        <w:tab/>
        <w:t>Denham desalinated</w:t>
      </w:r>
      <w:bookmarkEnd w:id="195"/>
      <w:bookmarkEnd w:id="196"/>
    </w:p>
    <w:p>
      <w:pPr>
        <w:pStyle w:val="ySubsection"/>
      </w:pPr>
      <w:r>
        <w:tab/>
        <w:t>(1)</w:t>
      </w:r>
      <w:r>
        <w:tab/>
        <w:t>For each kilolitre of desalinated water supplied, in a charge period, to land in Denham that is classified as residential, the charge is —</w:t>
      </w:r>
    </w:p>
    <w:p>
      <w:pPr>
        <w:pStyle w:val="yMiscellaneousBodyLeft425cm"/>
        <w:ind w:left="1695"/>
      </w:pPr>
      <w:r>
        <w:t xml:space="preserve">up to quota </w:t>
      </w:r>
      <w:r>
        <w:tab/>
      </w:r>
      <w:r>
        <w:rPr>
          <w:szCs w:val="22"/>
        </w:rPr>
        <w:t>74.2 </w:t>
      </w:r>
      <w:r>
        <w:t>cents</w:t>
      </w:r>
    </w:p>
    <w:p>
      <w:pPr>
        <w:pStyle w:val="yMiscellaneousBodyLeft425cm"/>
        <w:ind w:left="1695"/>
      </w:pPr>
      <w:r>
        <w:t xml:space="preserve">over quota but by not more than the </w:t>
      </w:r>
      <w:r>
        <w:br/>
        <w:t xml:space="preserve">shoulder amount </w:t>
      </w:r>
      <w:r>
        <w:tab/>
        <w:t>545.9 cents</w:t>
      </w:r>
    </w:p>
    <w:p>
      <w:pPr>
        <w:pStyle w:val="yMiscellaneousBodyLeft425cm"/>
        <w:ind w:left="1695"/>
      </w:pPr>
      <w:r>
        <w:t xml:space="preserve">over quota by more than the shoulder </w:t>
      </w:r>
      <w:r>
        <w:br/>
        <w:t xml:space="preserve">amount </w:t>
      </w:r>
      <w:r>
        <w:tab/>
        <w:t>1 700.9 cents</w:t>
      </w:r>
    </w:p>
    <w:p>
      <w:pPr>
        <w:pStyle w:val="ySubsection"/>
      </w:pPr>
      <w:r>
        <w:tab/>
        <w:t>(2)</w:t>
      </w:r>
      <w:r>
        <w:tab/>
        <w:t>In sub</w:t>
      </w:r>
      <w:r>
        <w:noBreakHyphen/>
        <w:t xml:space="preserve">item (1) — </w:t>
      </w:r>
    </w:p>
    <w:p>
      <w:pPr>
        <w:pStyle w:val="yIndenta"/>
      </w:pPr>
      <w:r>
        <w:tab/>
        <w:t>(a)</w:t>
      </w:r>
      <w:r>
        <w:tab/>
        <w:t>the quota for the charge period is 18 kL plus 4 kL for each resident on the land in excess of 4 residents; and</w:t>
      </w:r>
    </w:p>
    <w:p>
      <w:pPr>
        <w:pStyle w:val="yIndenta"/>
      </w:pPr>
      <w:r>
        <w:tab/>
        <w:t>(b)</w:t>
      </w:r>
      <w:r>
        <w:tab/>
        <w:t>the shoulder amount for the charge period is 3 kL plus 1 kL for each resident on the land in excess of 4 residents.</w:t>
      </w:r>
    </w:p>
    <w:p>
      <w:pPr>
        <w:pStyle w:val="ySubsection"/>
      </w:pPr>
      <w:r>
        <w:lastRenderedPageBreak/>
        <w:tab/>
        <w:t>(3)</w:t>
      </w:r>
      <w:r>
        <w:tab/>
        <w:t xml:space="preserve">For each kilolitre of desalinated water </w:t>
      </w:r>
      <w:r>
        <w:br/>
        <w:t xml:space="preserve">supplied to land in Denham that is not </w:t>
      </w:r>
      <w:r>
        <w:br/>
        <w:t>classified as residential, the charge is —</w:t>
      </w:r>
    </w:p>
    <w:p>
      <w:pPr>
        <w:pStyle w:val="yMiscellaneousBodyLeft3cm"/>
        <w:ind w:left="1695"/>
      </w:pPr>
      <w:r>
        <w:t xml:space="preserve">up to quota </w:t>
      </w:r>
      <w:r>
        <w:tab/>
        <w:t>75.7 cents</w:t>
      </w:r>
    </w:p>
    <w:p>
      <w:pPr>
        <w:pStyle w:val="yMiscellaneousBodyLeft3cm"/>
        <w:ind w:left="1695"/>
      </w:pPr>
      <w:r>
        <w:t xml:space="preserve">over quota </w:t>
      </w:r>
      <w:r>
        <w:tab/>
        <w:t>1 734.8 cents</w:t>
      </w:r>
    </w:p>
    <w:p>
      <w:pPr>
        <w:pStyle w:val="ySubsection"/>
      </w:pPr>
      <w:r>
        <w:tab/>
        <w:t>(4)</w:t>
      </w:r>
      <w:r>
        <w:tab/>
        <w:t>In sub</w:t>
      </w:r>
      <w:r>
        <w:noBreakHyphen/>
        <w:t>item (3), the quota for the land for the current consumption year is 108 kL or a greater amount specified for the land for the year by the Water Corporation.</w:t>
      </w:r>
    </w:p>
    <w:p>
      <w:pPr>
        <w:pStyle w:val="zyHeading4"/>
      </w:pPr>
      <w:bookmarkStart w:id="197" w:name="_Toc169797233"/>
      <w:bookmarkStart w:id="198" w:name="_Toc169797388"/>
      <w:bookmarkStart w:id="199" w:name="_Toc169797543"/>
      <w:bookmarkStart w:id="200" w:name="_Toc170213144"/>
      <w:r>
        <w:t>Subdivision 3 — Other consumption charges</w:t>
      </w:r>
      <w:bookmarkEnd w:id="197"/>
      <w:bookmarkEnd w:id="198"/>
      <w:bookmarkEnd w:id="199"/>
      <w:bookmarkEnd w:id="200"/>
    </w:p>
    <w:p>
      <w:pPr>
        <w:pStyle w:val="zyHeading5"/>
      </w:pPr>
      <w:bookmarkStart w:id="201" w:name="_Toc169797234"/>
      <w:bookmarkStart w:id="202" w:name="_Toc170213145"/>
      <w:r>
        <w:t>35.</w:t>
      </w:r>
      <w:r>
        <w:tab/>
        <w:t>Local government standpipes</w:t>
      </w:r>
      <w:bookmarkEnd w:id="201"/>
      <w:bookmarkEnd w:id="202"/>
    </w:p>
    <w:p>
      <w:pPr>
        <w:pStyle w:val="ySubsection"/>
        <w:tabs>
          <w:tab w:val="right" w:leader="dot" w:pos="6804"/>
        </w:tabs>
      </w:pPr>
      <w:r>
        <w:tab/>
      </w:r>
      <w:r>
        <w:tab/>
        <w:t xml:space="preserve">For each kilolitre of water supplied </w:t>
      </w:r>
      <w:r>
        <w:br/>
        <w:t xml:space="preserve">through a local government standpipe, </w:t>
      </w:r>
      <w:r>
        <w:br/>
        <w:t xml:space="preserve">the charge is </w:t>
      </w:r>
      <w:r>
        <w:tab/>
        <w:t>293.9 cents</w:t>
      </w:r>
    </w:p>
    <w:p>
      <w:pPr>
        <w:pStyle w:val="zyHeading5"/>
      </w:pPr>
      <w:bookmarkStart w:id="203" w:name="_Toc169797235"/>
      <w:bookmarkStart w:id="204" w:name="_Toc170213146"/>
      <w:r>
        <w:t>36.</w:t>
      </w:r>
      <w:r>
        <w:tab/>
        <w:t>Shipping</w:t>
      </w:r>
      <w:bookmarkEnd w:id="203"/>
      <w:bookmarkEnd w:id="204"/>
    </w:p>
    <w:p>
      <w:pPr>
        <w:pStyle w:val="ySubsection"/>
        <w:keepNext/>
      </w:pPr>
      <w:r>
        <w:tab/>
      </w:r>
      <w:r>
        <w:tab/>
        <w:t>For each kilolitre of water supplied for the purpose of being taken on board any ship in port —</w:t>
      </w:r>
    </w:p>
    <w:p>
      <w:pPr>
        <w:pStyle w:val="yIndenta"/>
        <w:tabs>
          <w:tab w:val="right" w:leader="dot" w:pos="6804"/>
        </w:tabs>
      </w:pPr>
      <w:r>
        <w:tab/>
        <w:t>(a)</w:t>
      </w:r>
      <w:r>
        <w:tab/>
        <w:t xml:space="preserve">for a port in </w:t>
      </w:r>
      <w:r>
        <w:rPr>
          <w:szCs w:val="22"/>
        </w:rPr>
        <w:t>the</w:t>
      </w:r>
      <w:r>
        <w:t xml:space="preserve"> metropolitan area, </w:t>
      </w:r>
      <w:r>
        <w:br/>
        <w:t xml:space="preserve">the charge is </w:t>
      </w:r>
      <w:r>
        <w:tab/>
        <w:t>285.0 cents</w:t>
      </w:r>
    </w:p>
    <w:p>
      <w:pPr>
        <w:pStyle w:val="yIndenta"/>
        <w:rPr>
          <w:szCs w:val="22"/>
        </w:rPr>
      </w:pPr>
      <w:r>
        <w:rPr>
          <w:szCs w:val="22"/>
        </w:rPr>
        <w:tab/>
        <w:t>(b)</w:t>
      </w:r>
      <w:r>
        <w:rPr>
          <w:szCs w:val="22"/>
        </w:rPr>
        <w:tab/>
        <w:t>for a port in the non</w:t>
      </w:r>
      <w:r>
        <w:rPr>
          <w:szCs w:val="22"/>
        </w:rPr>
        <w:noBreakHyphen/>
        <w:t xml:space="preserve">metropolitan area, the charge is the charge applicable </w:t>
      </w:r>
      <w:r>
        <w:t>in</w:t>
      </w:r>
      <w:r>
        <w:rPr>
          <w:szCs w:val="22"/>
        </w:rPr>
        <w:t xml:space="preserve"> the Table in item 24 according to the non</w:t>
      </w:r>
      <w:r>
        <w:rPr>
          <w:szCs w:val="22"/>
        </w:rPr>
        <w:noBreakHyphen/>
        <w:t>residential class of the town or area in which the port is located.</w:t>
      </w:r>
    </w:p>
    <w:p>
      <w:pPr>
        <w:pStyle w:val="zyHeading5"/>
      </w:pPr>
      <w:bookmarkStart w:id="205" w:name="_Toc169797236"/>
      <w:bookmarkStart w:id="206" w:name="_Toc170213147"/>
      <w:r>
        <w:t>37.</w:t>
      </w:r>
      <w:r>
        <w:tab/>
        <w:t>Stock</w:t>
      </w:r>
      <w:bookmarkEnd w:id="205"/>
      <w:bookmarkEnd w:id="206"/>
    </w:p>
    <w:p>
      <w:pPr>
        <w:pStyle w:val="ySubsection"/>
        <w:tabs>
          <w:tab w:val="right" w:leader="dot" w:pos="6804"/>
        </w:tabs>
      </w:pPr>
      <w:r>
        <w:tab/>
      </w:r>
      <w:r>
        <w:tab/>
        <w:t xml:space="preserve">For each kilolitre of water supplied through </w:t>
      </w:r>
      <w:r>
        <w:br/>
        <w:t xml:space="preserve">a water supply connection solely for the </w:t>
      </w:r>
      <w:r>
        <w:br/>
        <w:t xml:space="preserve">purpose of watering stock, the charge is </w:t>
      </w:r>
      <w:r>
        <w:tab/>
        <w:t>293.9 cents</w:t>
      </w:r>
    </w:p>
    <w:p>
      <w:pPr>
        <w:pStyle w:val="zyHeading5"/>
      </w:pPr>
      <w:bookmarkStart w:id="207" w:name="_Toc169797237"/>
      <w:bookmarkStart w:id="208" w:name="_Toc170213148"/>
      <w:r>
        <w:t>38.</w:t>
      </w:r>
      <w:r>
        <w:tab/>
        <w:t>Hydrant standpipes</w:t>
      </w:r>
      <w:bookmarkEnd w:id="207"/>
      <w:bookmarkEnd w:id="208"/>
    </w:p>
    <w:p>
      <w:pPr>
        <w:pStyle w:val="ySubsection"/>
        <w:tabs>
          <w:tab w:val="right" w:leader="dot" w:pos="6804"/>
        </w:tabs>
      </w:pPr>
      <w:r>
        <w:tab/>
      </w:r>
      <w:r>
        <w:tab/>
        <w:t xml:space="preserve">For each kilolitre of water supplied </w:t>
      </w:r>
      <w:r>
        <w:br/>
        <w:t xml:space="preserve">through a hydrant standpipe, the charge is </w:t>
      </w:r>
      <w:r>
        <w:tab/>
        <w:t>285.0 cents</w:t>
      </w:r>
    </w:p>
    <w:p>
      <w:pPr>
        <w:pStyle w:val="zyHeading2"/>
      </w:pPr>
      <w:bookmarkStart w:id="209" w:name="_Toc169797238"/>
      <w:bookmarkStart w:id="210" w:name="_Toc169797393"/>
      <w:bookmarkStart w:id="211" w:name="_Toc169797548"/>
      <w:bookmarkStart w:id="212" w:name="_Toc170213149"/>
      <w:r>
        <w:lastRenderedPageBreak/>
        <w:t>Schedule 4 — Sewerage charges for Water Corporation</w:t>
      </w:r>
      <w:bookmarkEnd w:id="209"/>
      <w:bookmarkEnd w:id="210"/>
      <w:bookmarkEnd w:id="211"/>
      <w:bookmarkEnd w:id="212"/>
    </w:p>
    <w:p>
      <w:pPr>
        <w:pStyle w:val="yShoulderClause"/>
      </w:pPr>
      <w:r>
        <w:t>[r. 24, 39 and 41]</w:t>
      </w:r>
    </w:p>
    <w:p>
      <w:pPr>
        <w:pStyle w:val="zyHeading3"/>
      </w:pPr>
      <w:bookmarkStart w:id="213" w:name="_Toc169797239"/>
      <w:bookmarkStart w:id="214" w:name="_Toc169797394"/>
      <w:bookmarkStart w:id="215" w:name="_Toc169797549"/>
      <w:bookmarkStart w:id="216" w:name="_Toc170213150"/>
      <w:r>
        <w:t>Division 1 — Service charges</w:t>
      </w:r>
      <w:bookmarkEnd w:id="213"/>
      <w:bookmarkEnd w:id="214"/>
      <w:bookmarkEnd w:id="215"/>
      <w:bookmarkEnd w:id="216"/>
    </w:p>
    <w:p>
      <w:pPr>
        <w:pStyle w:val="zyHeading5"/>
      </w:pPr>
      <w:bookmarkStart w:id="217" w:name="_Toc169797240"/>
      <w:bookmarkStart w:id="218" w:name="_Toc170213151"/>
      <w:r>
        <w:t>1.</w:t>
      </w:r>
      <w:r>
        <w:tab/>
        <w:t>Service charges for 2024/25 and subsequent years</w:t>
      </w:r>
      <w:bookmarkEnd w:id="217"/>
      <w:bookmarkEnd w:id="218"/>
    </w:p>
    <w:p>
      <w:pPr>
        <w:pStyle w:val="ySubsection"/>
      </w:pPr>
      <w:r>
        <w:tab/>
      </w:r>
      <w:r>
        <w:tab/>
        <w:t>The charges set out in this Division apply for sewerage services provided in the</w:t>
      </w:r>
      <w:r>
        <w:rPr>
          <w:szCs w:val="22"/>
        </w:rPr>
        <w:t xml:space="preserve"> 2024/25</w:t>
      </w:r>
      <w:r>
        <w:t> financial year and each subsequent year.</w:t>
      </w:r>
    </w:p>
    <w:p>
      <w:pPr>
        <w:pStyle w:val="zyHeading5"/>
      </w:pPr>
      <w:bookmarkStart w:id="219" w:name="_Toc169797241"/>
      <w:bookmarkStart w:id="220" w:name="_Toc170213152"/>
      <w:r>
        <w:t>2.</w:t>
      </w:r>
      <w:r>
        <w:tab/>
        <w:t>Metropolitan residential</w:t>
      </w:r>
      <w:bookmarkEnd w:id="219"/>
      <w:bookmarkEnd w:id="220"/>
    </w:p>
    <w:p>
      <w:pPr>
        <w:pStyle w:val="ySubsection"/>
      </w:pPr>
      <w:r>
        <w:tab/>
        <w:t>(1)</w:t>
      </w:r>
      <w:r>
        <w:tab/>
        <w:t>For each residential property in the metropolitan area that —</w:t>
      </w:r>
    </w:p>
    <w:p>
      <w:pPr>
        <w:pStyle w:val="yIndenta"/>
      </w:pPr>
      <w:r>
        <w:tab/>
        <w:t>(a)</w:t>
      </w:r>
      <w:r>
        <w:tab/>
        <w:t>is not covered by item 4 or 5; and</w:t>
      </w:r>
    </w:p>
    <w:p>
      <w:pPr>
        <w:pStyle w:val="yIndenta"/>
      </w:pPr>
      <w:r>
        <w:tab/>
        <w:t>(b)</w:t>
      </w:r>
      <w:r>
        <w:tab/>
        <w:t>is not a caravan park or a nursing home,</w:t>
      </w:r>
    </w:p>
    <w:p>
      <w:pPr>
        <w:pStyle w:val="ySubsection"/>
      </w:pPr>
      <w:r>
        <w:tab/>
      </w:r>
      <w:r>
        <w:tab/>
        <w:t>the charge, per dwelling on the land, is —</w:t>
      </w:r>
    </w:p>
    <w:p>
      <w:pPr>
        <w:pStyle w:val="yMiscellaneousBodyLeft3cm"/>
      </w:pPr>
      <w:r>
        <w:t xml:space="preserve">up to $20 000 GRV </w:t>
      </w:r>
      <w:r>
        <w:tab/>
        <w:t>4.446 cents/$</w:t>
      </w:r>
    </w:p>
    <w:p>
      <w:pPr>
        <w:pStyle w:val="ySubsectionRight"/>
      </w:pPr>
      <w:r>
        <w:tab/>
        <w:t>of GRV</w:t>
      </w:r>
    </w:p>
    <w:p>
      <w:pPr>
        <w:pStyle w:val="yMiscellaneousBodyLeft3cm"/>
      </w:pPr>
      <w:r>
        <w:t xml:space="preserve">over $20 000 GRV </w:t>
      </w:r>
      <w:r>
        <w:tab/>
        <w:t>3.855 cents/$</w:t>
      </w:r>
    </w:p>
    <w:p>
      <w:pPr>
        <w:pStyle w:val="ySubsectionRight"/>
      </w:pPr>
      <w:r>
        <w:tab/>
        <w:t>of GRV</w:t>
      </w:r>
    </w:p>
    <w:p>
      <w:pPr>
        <w:pStyle w:val="ySubsection"/>
        <w:tabs>
          <w:tab w:val="right" w:leader="dot" w:pos="6804"/>
        </w:tabs>
      </w:pPr>
      <w:r>
        <w:tab/>
        <w:t>(2)</w:t>
      </w:r>
      <w:r>
        <w:tab/>
        <w:t xml:space="preserve">The minimum charge per dwelling </w:t>
      </w:r>
      <w:r>
        <w:br/>
        <w:t xml:space="preserve">under this item is </w:t>
      </w:r>
      <w:r>
        <w:tab/>
      </w:r>
      <w:r>
        <w:rPr>
          <w:szCs w:val="22"/>
        </w:rPr>
        <w:t>$481.14</w:t>
      </w:r>
    </w:p>
    <w:p>
      <w:pPr>
        <w:pStyle w:val="zyHeading5"/>
      </w:pPr>
      <w:bookmarkStart w:id="221" w:name="_Toc169797242"/>
      <w:bookmarkStart w:id="222" w:name="_Toc170213153"/>
      <w:r>
        <w:t>3.</w:t>
      </w:r>
      <w:r>
        <w:tab/>
        <w:t>Metropolitan vacant land</w:t>
      </w:r>
      <w:bookmarkEnd w:id="221"/>
      <w:bookmarkEnd w:id="222"/>
    </w:p>
    <w:p>
      <w:pPr>
        <w:pStyle w:val="ySubsection"/>
        <w:tabs>
          <w:tab w:val="right" w:leader="dot" w:pos="6804"/>
        </w:tabs>
      </w:pPr>
      <w:r>
        <w:tab/>
        <w:t>(1)</w:t>
      </w:r>
      <w:r>
        <w:tab/>
        <w:t xml:space="preserve">For land in the metropolitan area that is </w:t>
      </w:r>
      <w:r>
        <w:br/>
        <w:t xml:space="preserve">classified as vacant land, the charge is </w:t>
      </w:r>
      <w:r>
        <w:tab/>
        <w:t>2.456 cents/$</w:t>
      </w:r>
    </w:p>
    <w:p>
      <w:pPr>
        <w:pStyle w:val="ySubsectionRight"/>
      </w:pPr>
      <w:r>
        <w:tab/>
        <w:t>of GRV</w:t>
      </w:r>
    </w:p>
    <w:p>
      <w:pPr>
        <w:pStyle w:val="ySubsection"/>
        <w:tabs>
          <w:tab w:val="right" w:leader="dot" w:pos="6804"/>
        </w:tabs>
      </w:pPr>
      <w:r>
        <w:tab/>
        <w:t>(2)</w:t>
      </w:r>
      <w:r>
        <w:tab/>
        <w:t xml:space="preserve">The minimum charge under this item is </w:t>
      </w:r>
      <w:r>
        <w:tab/>
      </w:r>
      <w:r>
        <w:rPr>
          <w:szCs w:val="22"/>
        </w:rPr>
        <w:t>$361.76</w:t>
      </w:r>
    </w:p>
    <w:p>
      <w:pPr>
        <w:pStyle w:val="zyHeading5"/>
      </w:pPr>
      <w:bookmarkStart w:id="223" w:name="_Toc169797243"/>
      <w:bookmarkStart w:id="224" w:name="_Toc170213154"/>
      <w:r>
        <w:t>4.</w:t>
      </w:r>
      <w:r>
        <w:tab/>
        <w:t>Metropolitan concessional</w:t>
      </w:r>
      <w:bookmarkEnd w:id="223"/>
      <w:bookmarkEnd w:id="224"/>
    </w:p>
    <w:p>
      <w:pPr>
        <w:pStyle w:val="ySubsection"/>
      </w:pPr>
      <w:r>
        <w:tab/>
        <w:t>(1)</w:t>
      </w:r>
      <w:r>
        <w:tab/>
        <w:t>For land in the metropolitan area that is classified as —</w:t>
      </w:r>
    </w:p>
    <w:p>
      <w:pPr>
        <w:pStyle w:val="yIndenta"/>
      </w:pPr>
      <w:r>
        <w:tab/>
        <w:t>(a)</w:t>
      </w:r>
      <w:r>
        <w:tab/>
        <w:t>aged home; or</w:t>
      </w:r>
    </w:p>
    <w:p>
      <w:pPr>
        <w:pStyle w:val="yIndenta"/>
      </w:pPr>
      <w:r>
        <w:lastRenderedPageBreak/>
        <w:tab/>
        <w:t>(b)</w:t>
      </w:r>
      <w:r>
        <w:tab/>
        <w:t xml:space="preserve">charitable purposes or community </w:t>
      </w:r>
      <w:r>
        <w:br/>
        <w:t>purpose,</w:t>
      </w:r>
    </w:p>
    <w:p>
      <w:pPr>
        <w:pStyle w:val="ySubsection"/>
      </w:pPr>
      <w:r>
        <w:tab/>
      </w:r>
      <w:r>
        <w:tab/>
        <w:t>the charge, according to the classification of the land and the number of major fixtures on the land, is the sum of the discounted charges for each fixture, as set out in the Table to this sub</w:t>
      </w:r>
      <w:r>
        <w:noBreakHyphen/>
        <w:t>item.</w:t>
      </w:r>
    </w:p>
    <w:p>
      <w:pPr>
        <w:pStyle w:val="yTHeadingNAm"/>
      </w:pPr>
      <w:r>
        <w:t>Table of major fixture</w:t>
      </w:r>
      <w:r>
        <w:noBreakHyphen/>
        <w:t>based charges and discounts</w:t>
      </w:r>
    </w:p>
    <w:tbl>
      <w:tblPr>
        <w:tblW w:w="7088" w:type="dxa"/>
        <w:tblLayout w:type="fixed"/>
        <w:tblLook w:val="0000" w:firstRow="0" w:lastRow="0" w:firstColumn="0" w:lastColumn="0" w:noHBand="0" w:noVBand="0"/>
      </w:tblPr>
      <w:tblGrid>
        <w:gridCol w:w="1418"/>
        <w:gridCol w:w="1134"/>
        <w:gridCol w:w="992"/>
        <w:gridCol w:w="1276"/>
        <w:gridCol w:w="992"/>
        <w:gridCol w:w="1276"/>
      </w:tblGrid>
      <w:tr>
        <w:trPr>
          <w:cantSplit/>
          <w:tblHeader/>
        </w:trPr>
        <w:tc>
          <w:tcPr>
            <w:tcW w:w="1418" w:type="dxa"/>
            <w:vMerge w:val="restart"/>
            <w:tcBorders>
              <w:top w:val="single" w:sz="4" w:space="0" w:color="auto"/>
            </w:tcBorders>
            <w:noWrap/>
          </w:tcPr>
          <w:p>
            <w:pPr>
              <w:pStyle w:val="zyTableNAm"/>
              <w:jc w:val="center"/>
              <w:rPr>
                <w:b/>
              </w:rPr>
            </w:pPr>
          </w:p>
        </w:tc>
        <w:tc>
          <w:tcPr>
            <w:tcW w:w="1134" w:type="dxa"/>
            <w:tcBorders>
              <w:top w:val="single" w:sz="4" w:space="0" w:color="auto"/>
              <w:right w:val="single" w:sz="4" w:space="0" w:color="auto"/>
            </w:tcBorders>
            <w:noWrap/>
          </w:tcPr>
          <w:p>
            <w:pPr>
              <w:pStyle w:val="yTableNAmBold"/>
            </w:pPr>
          </w:p>
        </w:tc>
        <w:tc>
          <w:tcPr>
            <w:tcW w:w="2268" w:type="dxa"/>
            <w:gridSpan w:val="2"/>
            <w:tcBorders>
              <w:top w:val="single" w:sz="4" w:space="0" w:color="auto"/>
              <w:left w:val="single" w:sz="4" w:space="0" w:color="auto"/>
              <w:bottom w:val="single" w:sz="4" w:space="0" w:color="auto"/>
              <w:right w:val="single" w:sz="4" w:space="0" w:color="auto"/>
            </w:tcBorders>
            <w:noWrap/>
          </w:tcPr>
          <w:p>
            <w:pPr>
              <w:pStyle w:val="yTableNAm"/>
              <w:jc w:val="center"/>
            </w:pPr>
            <w:r>
              <w:rPr>
                <w:b/>
              </w:rPr>
              <w:t>Aged home</w:t>
            </w:r>
          </w:p>
        </w:tc>
        <w:tc>
          <w:tcPr>
            <w:tcW w:w="2268" w:type="dxa"/>
            <w:gridSpan w:val="2"/>
            <w:tcBorders>
              <w:top w:val="single" w:sz="4" w:space="0" w:color="auto"/>
              <w:left w:val="single" w:sz="4" w:space="0" w:color="auto"/>
              <w:bottom w:val="single" w:sz="4" w:space="0" w:color="auto"/>
            </w:tcBorders>
            <w:noWrap/>
          </w:tcPr>
          <w:p>
            <w:pPr>
              <w:pStyle w:val="yTableNAm"/>
              <w:jc w:val="center"/>
            </w:pPr>
            <w:r>
              <w:rPr>
                <w:b/>
              </w:rPr>
              <w:t>Charitable purposes or community purpose</w:t>
            </w:r>
          </w:p>
        </w:tc>
      </w:tr>
      <w:tr>
        <w:trPr>
          <w:cantSplit/>
          <w:tblHeader/>
        </w:trPr>
        <w:tc>
          <w:tcPr>
            <w:tcW w:w="1418" w:type="dxa"/>
            <w:vMerge/>
            <w:tcBorders>
              <w:bottom w:val="single" w:sz="4" w:space="0" w:color="auto"/>
            </w:tcBorders>
            <w:noWrap/>
            <w:vAlign w:val="center"/>
          </w:tcPr>
          <w:p>
            <w:pPr>
              <w:pStyle w:val="zyTableNAm"/>
              <w:jc w:val="center"/>
              <w:rPr>
                <w:b/>
              </w:rPr>
            </w:pPr>
          </w:p>
        </w:tc>
        <w:tc>
          <w:tcPr>
            <w:tcW w:w="1134" w:type="dxa"/>
            <w:tcBorders>
              <w:bottom w:val="single" w:sz="4" w:space="0" w:color="auto"/>
              <w:right w:val="single" w:sz="4" w:space="0" w:color="auto"/>
            </w:tcBorders>
            <w:noWrap/>
            <w:vAlign w:val="center"/>
          </w:tcPr>
          <w:p>
            <w:pPr>
              <w:pStyle w:val="yTableNAm"/>
              <w:jc w:val="center"/>
            </w:pPr>
            <w:r>
              <w:rPr>
                <w:b/>
                <w:sz w:val="20"/>
              </w:rPr>
              <w:t>Charge</w:t>
            </w:r>
            <w:r>
              <w:rPr>
                <w:b/>
                <w:sz w:val="20"/>
              </w:rPr>
              <w:br/>
            </w:r>
            <w:r>
              <w:rPr>
                <w:b/>
                <w:sz w:val="20"/>
              </w:rPr>
              <w:br/>
              <w:t>$</w:t>
            </w:r>
          </w:p>
        </w:tc>
        <w:tc>
          <w:tcPr>
            <w:tcW w:w="992" w:type="dxa"/>
            <w:tcBorders>
              <w:top w:val="single" w:sz="4" w:space="0" w:color="auto"/>
              <w:left w:val="single" w:sz="4" w:space="0" w:color="auto"/>
              <w:bottom w:val="single" w:sz="4" w:space="0" w:color="auto"/>
            </w:tcBorders>
            <w:noWrap/>
            <w:vAlign w:val="center"/>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right w:val="single" w:sz="4" w:space="0" w:color="auto"/>
            </w:tcBorders>
            <w:noWrap/>
            <w:vAlign w:val="center"/>
          </w:tcPr>
          <w:p>
            <w:pPr>
              <w:pStyle w:val="yTableNAm"/>
              <w:jc w:val="center"/>
            </w:pPr>
            <w:r>
              <w:rPr>
                <w:b/>
                <w:sz w:val="20"/>
              </w:rPr>
              <w:t>Discounted charge</w:t>
            </w:r>
            <w:r>
              <w:rPr>
                <w:b/>
                <w:sz w:val="20"/>
              </w:rPr>
              <w:br/>
              <w:t>$</w:t>
            </w:r>
          </w:p>
        </w:tc>
        <w:tc>
          <w:tcPr>
            <w:tcW w:w="992" w:type="dxa"/>
            <w:tcBorders>
              <w:top w:val="single" w:sz="4" w:space="0" w:color="auto"/>
              <w:left w:val="single" w:sz="4" w:space="0" w:color="auto"/>
              <w:bottom w:val="single" w:sz="4" w:space="0" w:color="auto"/>
            </w:tcBorders>
            <w:noWrap/>
            <w:vAlign w:val="center"/>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tcBorders>
            <w:noWrap/>
            <w:vAlign w:val="center"/>
          </w:tcPr>
          <w:p>
            <w:pPr>
              <w:pStyle w:val="yTableNAm"/>
              <w:jc w:val="center"/>
            </w:pPr>
            <w:r>
              <w:rPr>
                <w:b/>
                <w:sz w:val="20"/>
              </w:rPr>
              <w:t>Discounted charge</w:t>
            </w:r>
            <w:r>
              <w:rPr>
                <w:b/>
                <w:sz w:val="20"/>
              </w:rPr>
              <w:br/>
              <w:t>$</w:t>
            </w:r>
          </w:p>
        </w:tc>
      </w:tr>
      <w:tr>
        <w:trPr>
          <w:cantSplit/>
        </w:trPr>
        <w:tc>
          <w:tcPr>
            <w:tcW w:w="1418" w:type="dxa"/>
            <w:noWrap/>
            <w:tcMar>
              <w:left w:w="62" w:type="dxa"/>
              <w:right w:w="62" w:type="dxa"/>
            </w:tcMar>
          </w:tcPr>
          <w:p>
            <w:pPr>
              <w:pStyle w:val="yTableNAmLeft-005cm"/>
            </w:pPr>
            <w:r>
              <w:t>1</w:t>
            </w:r>
            <w:r>
              <w:rPr>
                <w:vertAlign w:val="superscript"/>
              </w:rPr>
              <w:t>st</w:t>
            </w:r>
            <w:r>
              <w:tab/>
              <w:t>fixture</w:t>
            </w:r>
          </w:p>
        </w:tc>
        <w:tc>
          <w:tcPr>
            <w:tcW w:w="1134" w:type="dxa"/>
            <w:tcBorders>
              <w:right w:val="single" w:sz="4" w:space="0" w:color="auto"/>
            </w:tcBorders>
            <w:noWrap/>
          </w:tcPr>
          <w:p>
            <w:pPr>
              <w:pStyle w:val="yTableNAm"/>
              <w:jc w:val="center"/>
            </w:pPr>
            <w:r>
              <w:t>1 155.37</w:t>
            </w:r>
          </w:p>
        </w:tc>
        <w:tc>
          <w:tcPr>
            <w:tcW w:w="992" w:type="dxa"/>
            <w:tcBorders>
              <w:left w:val="single" w:sz="4" w:space="0" w:color="auto"/>
            </w:tcBorders>
            <w:noWrap/>
          </w:tcPr>
          <w:p>
            <w:pPr>
              <w:pStyle w:val="yTableNAm"/>
              <w:jc w:val="center"/>
            </w:pPr>
            <w:r>
              <w:t>844.95</w:t>
            </w:r>
          </w:p>
        </w:tc>
        <w:tc>
          <w:tcPr>
            <w:tcW w:w="1276" w:type="dxa"/>
            <w:tcBorders>
              <w:right w:val="single" w:sz="4" w:space="0" w:color="auto"/>
            </w:tcBorders>
            <w:noWrap/>
          </w:tcPr>
          <w:p>
            <w:pPr>
              <w:pStyle w:val="yTableNAm"/>
              <w:jc w:val="center"/>
            </w:pPr>
            <w:r>
              <w:t>310.42</w:t>
            </w:r>
          </w:p>
        </w:tc>
        <w:tc>
          <w:tcPr>
            <w:tcW w:w="992" w:type="dxa"/>
            <w:tcBorders>
              <w:left w:val="single" w:sz="4" w:space="0" w:color="auto"/>
            </w:tcBorders>
            <w:noWrap/>
          </w:tcPr>
          <w:p>
            <w:pPr>
              <w:pStyle w:val="yTableNAm"/>
              <w:jc w:val="center"/>
              <w:rPr>
                <w:b/>
                <w:i/>
              </w:rPr>
            </w:pPr>
            <w:r>
              <w:t>844.95</w:t>
            </w:r>
          </w:p>
        </w:tc>
        <w:tc>
          <w:tcPr>
            <w:tcW w:w="1276" w:type="dxa"/>
            <w:noWrap/>
          </w:tcPr>
          <w:p>
            <w:pPr>
              <w:pStyle w:val="yTableNAm"/>
              <w:jc w:val="center"/>
            </w:pPr>
            <w:r>
              <w:t>310.42</w:t>
            </w:r>
          </w:p>
        </w:tc>
      </w:tr>
      <w:tr>
        <w:trPr>
          <w:cantSplit/>
        </w:trPr>
        <w:tc>
          <w:tcPr>
            <w:tcW w:w="1418" w:type="dxa"/>
            <w:noWrap/>
            <w:tcMar>
              <w:left w:w="62" w:type="dxa"/>
              <w:right w:w="62" w:type="dxa"/>
            </w:tcMar>
          </w:tcPr>
          <w:p>
            <w:pPr>
              <w:pStyle w:val="yTableNAmLeft-005cm"/>
            </w:pPr>
            <w:r>
              <w:t>2</w:t>
            </w:r>
            <w:r>
              <w:rPr>
                <w:vertAlign w:val="superscript"/>
              </w:rPr>
              <w:t>nd</w:t>
            </w:r>
            <w:r>
              <w:tab/>
              <w:t>fixture</w:t>
            </w:r>
          </w:p>
        </w:tc>
        <w:tc>
          <w:tcPr>
            <w:tcW w:w="1134" w:type="dxa"/>
            <w:tcBorders>
              <w:right w:val="single" w:sz="4" w:space="0" w:color="auto"/>
            </w:tcBorders>
            <w:noWrap/>
          </w:tcPr>
          <w:p>
            <w:pPr>
              <w:pStyle w:val="yTableNAm"/>
              <w:jc w:val="center"/>
            </w:pPr>
            <w:r>
              <w:t>494.56</w:t>
            </w:r>
          </w:p>
        </w:tc>
        <w:tc>
          <w:tcPr>
            <w:tcW w:w="992" w:type="dxa"/>
            <w:tcBorders>
              <w:left w:val="single" w:sz="4" w:space="0" w:color="auto"/>
            </w:tcBorders>
            <w:noWrap/>
          </w:tcPr>
          <w:p>
            <w:pPr>
              <w:pStyle w:val="yTableNAm"/>
              <w:jc w:val="center"/>
            </w:pPr>
            <w:r>
              <w:t>357.99</w:t>
            </w:r>
          </w:p>
        </w:tc>
        <w:tc>
          <w:tcPr>
            <w:tcW w:w="1276" w:type="dxa"/>
            <w:tcBorders>
              <w:right w:val="single" w:sz="4" w:space="0" w:color="auto"/>
            </w:tcBorders>
            <w:noWrap/>
          </w:tcPr>
          <w:p>
            <w:pPr>
              <w:pStyle w:val="yTableNAm"/>
              <w:jc w:val="center"/>
            </w:pPr>
            <w:r>
              <w:t>136.57</w:t>
            </w:r>
          </w:p>
        </w:tc>
        <w:tc>
          <w:tcPr>
            <w:tcW w:w="992" w:type="dxa"/>
            <w:tcBorders>
              <w:left w:val="single" w:sz="4" w:space="0" w:color="auto"/>
            </w:tcBorders>
            <w:noWrap/>
          </w:tcPr>
          <w:p>
            <w:pPr>
              <w:pStyle w:val="yTableNAm"/>
              <w:jc w:val="center"/>
            </w:pPr>
            <w:r>
              <w:t>184.14</w:t>
            </w:r>
          </w:p>
        </w:tc>
        <w:tc>
          <w:tcPr>
            <w:tcW w:w="1276" w:type="dxa"/>
            <w:noWrap/>
          </w:tcPr>
          <w:p>
            <w:pPr>
              <w:pStyle w:val="yTableNAm"/>
              <w:jc w:val="center"/>
            </w:pPr>
            <w:r>
              <w:t>310.42</w:t>
            </w:r>
          </w:p>
        </w:tc>
      </w:tr>
      <w:tr>
        <w:trPr>
          <w:cantSplit/>
        </w:trPr>
        <w:tc>
          <w:tcPr>
            <w:tcW w:w="1418" w:type="dxa"/>
            <w:noWrap/>
            <w:tcMar>
              <w:left w:w="57" w:type="dxa"/>
              <w:right w:w="57" w:type="dxa"/>
            </w:tcMar>
          </w:tcPr>
          <w:p>
            <w:pPr>
              <w:pStyle w:val="yTableNAmLeft-005cm"/>
            </w:pPr>
            <w:r>
              <w:t>3</w:t>
            </w:r>
            <w:r>
              <w:rPr>
                <w:vertAlign w:val="superscript"/>
              </w:rPr>
              <w:t>rd</w:t>
            </w:r>
            <w:r>
              <w:tab/>
              <w:t>fixture</w:t>
            </w:r>
          </w:p>
        </w:tc>
        <w:tc>
          <w:tcPr>
            <w:tcW w:w="1134" w:type="dxa"/>
            <w:tcBorders>
              <w:right w:val="single" w:sz="4" w:space="0" w:color="auto"/>
            </w:tcBorders>
            <w:noWrap/>
          </w:tcPr>
          <w:p>
            <w:pPr>
              <w:pStyle w:val="yTableNAm"/>
              <w:jc w:val="center"/>
            </w:pPr>
            <w:r>
              <w:t>660.48</w:t>
            </w:r>
          </w:p>
        </w:tc>
        <w:tc>
          <w:tcPr>
            <w:tcW w:w="992" w:type="dxa"/>
            <w:tcBorders>
              <w:left w:val="single" w:sz="4" w:space="0" w:color="auto"/>
            </w:tcBorders>
            <w:noWrap/>
          </w:tcPr>
          <w:p>
            <w:pPr>
              <w:pStyle w:val="yTableNAm"/>
              <w:jc w:val="center"/>
            </w:pPr>
            <w:r>
              <w:t>523.91</w:t>
            </w:r>
          </w:p>
        </w:tc>
        <w:tc>
          <w:tcPr>
            <w:tcW w:w="1276" w:type="dxa"/>
            <w:tcBorders>
              <w:right w:val="single" w:sz="4" w:space="0" w:color="auto"/>
            </w:tcBorders>
            <w:noWrap/>
          </w:tcPr>
          <w:p>
            <w:pPr>
              <w:pStyle w:val="yTableNAm"/>
              <w:jc w:val="center"/>
            </w:pPr>
            <w:r>
              <w:t>136.57</w:t>
            </w:r>
          </w:p>
        </w:tc>
        <w:tc>
          <w:tcPr>
            <w:tcW w:w="992" w:type="dxa"/>
            <w:tcBorders>
              <w:left w:val="single" w:sz="4" w:space="0" w:color="auto"/>
            </w:tcBorders>
            <w:noWrap/>
          </w:tcPr>
          <w:p>
            <w:pPr>
              <w:pStyle w:val="yTableNAm"/>
              <w:jc w:val="center"/>
            </w:pPr>
            <w:r>
              <w:t>350.06</w:t>
            </w:r>
          </w:p>
        </w:tc>
        <w:tc>
          <w:tcPr>
            <w:tcW w:w="1276" w:type="dxa"/>
            <w:noWrap/>
          </w:tcPr>
          <w:p>
            <w:pPr>
              <w:pStyle w:val="yTableNAm"/>
              <w:jc w:val="center"/>
            </w:pPr>
            <w:r>
              <w:t>310.42</w:t>
            </w:r>
          </w:p>
        </w:tc>
      </w:tr>
      <w:tr>
        <w:trPr>
          <w:cantSplit/>
        </w:trPr>
        <w:tc>
          <w:tcPr>
            <w:tcW w:w="1418" w:type="dxa"/>
            <w:tcBorders>
              <w:bottom w:val="single" w:sz="4" w:space="0" w:color="auto"/>
            </w:tcBorders>
            <w:noWrap/>
            <w:tcMar>
              <w:left w:w="28" w:type="dxa"/>
              <w:right w:w="57" w:type="dxa"/>
            </w:tcMar>
          </w:tcPr>
          <w:p>
            <w:pPr>
              <w:pStyle w:val="yTableNAmLeft-005cm"/>
            </w:pPr>
            <w:r>
              <w:t>4</w:t>
            </w:r>
            <w:r>
              <w:rPr>
                <w:vertAlign w:val="superscript"/>
              </w:rPr>
              <w:t>th</w:t>
            </w:r>
            <w:r>
              <w:tab/>
              <w:t>and subsequent fixtures</w:t>
            </w:r>
          </w:p>
        </w:tc>
        <w:tc>
          <w:tcPr>
            <w:tcW w:w="1134" w:type="dxa"/>
            <w:tcBorders>
              <w:bottom w:val="single" w:sz="4" w:space="0" w:color="auto"/>
              <w:right w:val="single" w:sz="4" w:space="0" w:color="auto"/>
            </w:tcBorders>
            <w:noWrap/>
          </w:tcPr>
          <w:p>
            <w:pPr>
              <w:pStyle w:val="yTableNAm"/>
              <w:jc w:val="center"/>
            </w:pPr>
            <w:r>
              <w:t>718.23</w:t>
            </w:r>
          </w:p>
        </w:tc>
        <w:tc>
          <w:tcPr>
            <w:tcW w:w="992" w:type="dxa"/>
            <w:tcBorders>
              <w:left w:val="single" w:sz="4" w:space="0" w:color="auto"/>
              <w:bottom w:val="single" w:sz="4" w:space="0" w:color="auto"/>
            </w:tcBorders>
            <w:noWrap/>
          </w:tcPr>
          <w:p>
            <w:pPr>
              <w:pStyle w:val="yTableNAm"/>
              <w:jc w:val="center"/>
            </w:pPr>
            <w:r>
              <w:t>581.66</w:t>
            </w:r>
          </w:p>
        </w:tc>
        <w:tc>
          <w:tcPr>
            <w:tcW w:w="1276" w:type="dxa"/>
            <w:tcBorders>
              <w:bottom w:val="single" w:sz="4" w:space="0" w:color="auto"/>
              <w:right w:val="single" w:sz="4" w:space="0" w:color="auto"/>
            </w:tcBorders>
            <w:noWrap/>
          </w:tcPr>
          <w:p>
            <w:pPr>
              <w:pStyle w:val="yTableNAm"/>
              <w:jc w:val="center"/>
            </w:pPr>
            <w:r>
              <w:t>136.57</w:t>
            </w:r>
          </w:p>
        </w:tc>
        <w:tc>
          <w:tcPr>
            <w:tcW w:w="992" w:type="dxa"/>
            <w:tcBorders>
              <w:left w:val="single" w:sz="4" w:space="0" w:color="auto"/>
              <w:bottom w:val="single" w:sz="4" w:space="0" w:color="auto"/>
            </w:tcBorders>
            <w:noWrap/>
          </w:tcPr>
          <w:p>
            <w:pPr>
              <w:pStyle w:val="yTableNAm"/>
              <w:jc w:val="center"/>
            </w:pPr>
            <w:r>
              <w:t>407.81</w:t>
            </w:r>
          </w:p>
        </w:tc>
        <w:tc>
          <w:tcPr>
            <w:tcW w:w="1276" w:type="dxa"/>
            <w:tcBorders>
              <w:bottom w:val="single" w:sz="4" w:space="0" w:color="auto"/>
            </w:tcBorders>
            <w:noWrap/>
          </w:tcPr>
          <w:p>
            <w:pPr>
              <w:pStyle w:val="yTableNAm"/>
              <w:jc w:val="center"/>
            </w:pPr>
            <w:r>
              <w:t>310.42</w:t>
            </w:r>
          </w:p>
        </w:tc>
      </w:tr>
    </w:tbl>
    <w:p>
      <w:pPr>
        <w:pStyle w:val="ySubsection"/>
      </w:pPr>
      <w:r>
        <w:tab/>
        <w:t>(2)</w:t>
      </w:r>
      <w:r>
        <w:tab/>
        <w:t>For concessional land in the metropolitan area which, although a sewerage service is provided, is not connected to sewerage works of the Water Corporation, the charge is the discounted charge set out in the Table to this sub</w:t>
      </w:r>
      <w:r>
        <w:noBreakHyphen/>
        <w:t xml:space="preserve">item. </w:t>
      </w:r>
    </w:p>
    <w:p>
      <w:pPr>
        <w:pStyle w:val="yTHeadingNAm"/>
      </w:pPr>
      <w:r>
        <w:t>Table of charge and discount</w:t>
      </w:r>
    </w:p>
    <w:tbl>
      <w:tblPr>
        <w:tblW w:w="3687" w:type="dxa"/>
        <w:tblInd w:w="2127" w:type="dxa"/>
        <w:tblLayout w:type="fixed"/>
        <w:tblLook w:val="0000" w:firstRow="0" w:lastRow="0" w:firstColumn="0" w:lastColumn="0" w:noHBand="0" w:noVBand="0"/>
      </w:tblPr>
      <w:tblGrid>
        <w:gridCol w:w="1135"/>
        <w:gridCol w:w="1135"/>
        <w:gridCol w:w="1417"/>
      </w:tblGrid>
      <w:tr>
        <w:trPr>
          <w:cantSplit/>
          <w:tblHeader/>
        </w:trPr>
        <w:tc>
          <w:tcPr>
            <w:tcW w:w="1135" w:type="dxa"/>
            <w:tcBorders>
              <w:top w:val="single" w:sz="4" w:space="0" w:color="auto"/>
              <w:bottom w:val="single" w:sz="4" w:space="0" w:color="auto"/>
            </w:tcBorders>
            <w:noWrap/>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tcPr>
          <w:p>
            <w:pPr>
              <w:pStyle w:val="yTableNAm"/>
              <w:jc w:val="center"/>
            </w:pPr>
            <w:r>
              <w:rPr>
                <w:b/>
                <w:szCs w:val="22"/>
              </w:rPr>
              <w:t>Discounted charge</w:t>
            </w:r>
            <w:r>
              <w:rPr>
                <w:b/>
                <w:szCs w:val="22"/>
              </w:rPr>
              <w:br/>
              <w:t>$</w:t>
            </w:r>
          </w:p>
        </w:tc>
      </w:tr>
      <w:tr>
        <w:trPr>
          <w:cantSplit/>
        </w:trPr>
        <w:tc>
          <w:tcPr>
            <w:tcW w:w="1135" w:type="dxa"/>
            <w:tcBorders>
              <w:bottom w:val="single" w:sz="4" w:space="0" w:color="auto"/>
            </w:tcBorders>
            <w:noWrap/>
          </w:tcPr>
          <w:p>
            <w:pPr>
              <w:pStyle w:val="yTableNAm"/>
              <w:jc w:val="center"/>
            </w:pPr>
            <w:r>
              <w:t>1 155.37</w:t>
            </w:r>
          </w:p>
        </w:tc>
        <w:tc>
          <w:tcPr>
            <w:tcW w:w="1135" w:type="dxa"/>
            <w:tcBorders>
              <w:bottom w:val="single" w:sz="4" w:space="0" w:color="auto"/>
            </w:tcBorders>
            <w:noWrap/>
          </w:tcPr>
          <w:p>
            <w:pPr>
              <w:pStyle w:val="yTableNAm"/>
              <w:jc w:val="center"/>
            </w:pPr>
            <w:r>
              <w:t>1 155.37</w:t>
            </w:r>
          </w:p>
        </w:tc>
        <w:tc>
          <w:tcPr>
            <w:tcW w:w="1417" w:type="dxa"/>
            <w:tcBorders>
              <w:bottom w:val="single" w:sz="4" w:space="0" w:color="auto"/>
            </w:tcBorders>
            <w:noWrap/>
            <w:vAlign w:val="bottom"/>
          </w:tcPr>
          <w:p>
            <w:pPr>
              <w:pStyle w:val="yTableNAm"/>
              <w:jc w:val="center"/>
            </w:pPr>
            <w:r>
              <w:t>0.00</w:t>
            </w:r>
          </w:p>
        </w:tc>
      </w:tr>
    </w:tbl>
    <w:p>
      <w:pPr>
        <w:pStyle w:val="zyHeading5"/>
      </w:pPr>
      <w:bookmarkStart w:id="225" w:name="_Toc169797244"/>
      <w:bookmarkStart w:id="226" w:name="_Toc170213155"/>
      <w:r>
        <w:lastRenderedPageBreak/>
        <w:t>5.</w:t>
      </w:r>
      <w:r>
        <w:tab/>
        <w:t>Strata</w:t>
      </w:r>
      <w:r>
        <w:noBreakHyphen/>
        <w:t>titled long</w:t>
      </w:r>
      <w:r>
        <w:noBreakHyphen/>
        <w:t>term residential caravan bays and park homes</w:t>
      </w:r>
      <w:bookmarkEnd w:id="225"/>
      <w:bookmarkEnd w:id="226"/>
    </w:p>
    <w:p>
      <w:pPr>
        <w:pStyle w:val="ySubsection"/>
        <w:tabs>
          <w:tab w:val="right" w:leader="dot" w:pos="6804"/>
        </w:tabs>
      </w:pPr>
      <w:r>
        <w:rPr>
          <w:szCs w:val="22"/>
        </w:rPr>
        <w:tab/>
      </w:r>
      <w:r>
        <w:rPr>
          <w:szCs w:val="22"/>
        </w:rPr>
        <w:tab/>
        <w:t xml:space="preserve">For a </w:t>
      </w:r>
      <w:r>
        <w:t>strata</w:t>
      </w:r>
      <w:r>
        <w:rPr>
          <w:szCs w:val="22"/>
        </w:rPr>
        <w:noBreakHyphen/>
        <w:t xml:space="preserve">titled </w:t>
      </w:r>
      <w:r>
        <w:t>caravan</w:t>
      </w:r>
      <w:r>
        <w:rPr>
          <w:szCs w:val="22"/>
        </w:rPr>
        <w:t xml:space="preserve"> bay, a long</w:t>
      </w:r>
      <w:r>
        <w:rPr>
          <w:szCs w:val="22"/>
        </w:rPr>
        <w:noBreakHyphen/>
        <w:t xml:space="preserve">term </w:t>
      </w:r>
      <w:r>
        <w:rPr>
          <w:szCs w:val="22"/>
        </w:rPr>
        <w:br/>
      </w:r>
      <w:r>
        <w:t>residential</w:t>
      </w:r>
      <w:r>
        <w:rPr>
          <w:szCs w:val="22"/>
        </w:rPr>
        <w:t xml:space="preserve"> caravan bay or a park home, </w:t>
      </w:r>
      <w:r>
        <w:rPr>
          <w:szCs w:val="22"/>
        </w:rPr>
        <w:br/>
        <w:t xml:space="preserve">the charge is </w:t>
      </w:r>
      <w:r>
        <w:rPr>
          <w:szCs w:val="22"/>
        </w:rPr>
        <w:tab/>
        <w:t>$369.46</w:t>
      </w:r>
    </w:p>
    <w:p>
      <w:pPr>
        <w:pStyle w:val="zyHeading5"/>
      </w:pPr>
      <w:bookmarkStart w:id="227" w:name="_Toc169797245"/>
      <w:bookmarkStart w:id="228" w:name="_Toc170213156"/>
      <w:r>
        <w:t>6.</w:t>
      </w:r>
      <w:r>
        <w:tab/>
        <w:t>Storage units or parking bays in strata titles scheme or community titles scheme</w:t>
      </w:r>
      <w:bookmarkEnd w:id="227"/>
      <w:bookmarkEnd w:id="228"/>
      <w:r>
        <w:t xml:space="preserve"> </w:t>
      </w:r>
    </w:p>
    <w:p>
      <w:pPr>
        <w:pStyle w:val="ySubsection"/>
        <w:tabs>
          <w:tab w:val="right" w:leader="dot" w:pos="6804"/>
        </w:tabs>
      </w:pPr>
      <w:r>
        <w:rPr>
          <w:szCs w:val="22"/>
        </w:rPr>
        <w:tab/>
      </w:r>
      <w:r>
        <w:rPr>
          <w:szCs w:val="22"/>
        </w:rPr>
        <w:tab/>
        <w:t xml:space="preserve">For a lot that is used for storage purposes or </w:t>
      </w:r>
      <w:r>
        <w:rPr>
          <w:szCs w:val="22"/>
        </w:rPr>
        <w:br/>
        <w:t xml:space="preserve">as a parking </w:t>
      </w:r>
      <w:r>
        <w:t>bay</w:t>
      </w:r>
      <w:r>
        <w:rPr>
          <w:szCs w:val="22"/>
        </w:rPr>
        <w:t>, in a strata titles scheme or a</w:t>
      </w:r>
      <w:r>
        <w:rPr>
          <w:szCs w:val="22"/>
        </w:rPr>
        <w:br/>
        <w:t xml:space="preserve">community titles scheme, the </w:t>
      </w:r>
      <w:r>
        <w:t>charge</w:t>
      </w:r>
      <w:r>
        <w:rPr>
          <w:szCs w:val="22"/>
        </w:rPr>
        <w:t xml:space="preserve"> is </w:t>
      </w:r>
      <w:r>
        <w:rPr>
          <w:szCs w:val="22"/>
        </w:rPr>
        <w:tab/>
        <w:t>$114.50</w:t>
      </w:r>
    </w:p>
    <w:p>
      <w:pPr>
        <w:pStyle w:val="zyHeading5"/>
      </w:pPr>
      <w:bookmarkStart w:id="229" w:name="_Toc169797246"/>
      <w:bookmarkStart w:id="230" w:name="_Toc170213157"/>
      <w:r>
        <w:t>7.</w:t>
      </w:r>
      <w:r>
        <w:tab/>
        <w:t>Land from which trade waste is discharged into sewer</w:t>
      </w:r>
      <w:bookmarkEnd w:id="229"/>
      <w:bookmarkEnd w:id="230"/>
    </w:p>
    <w:p>
      <w:pPr>
        <w:pStyle w:val="ySubsection"/>
        <w:tabs>
          <w:tab w:val="right" w:leader="dot" w:pos="6804"/>
        </w:tabs>
      </w:pPr>
      <w:r>
        <w:tab/>
        <w:t>(1)</w:t>
      </w:r>
      <w:r>
        <w:tab/>
        <w:t xml:space="preserve">For land from which there is a discharge </w:t>
      </w:r>
      <w:r>
        <w:br/>
        <w:t xml:space="preserve">of trade waste into a </w:t>
      </w:r>
      <w:r>
        <w:rPr>
          <w:szCs w:val="22"/>
        </w:rPr>
        <w:t>sewer</w:t>
      </w:r>
      <w:r>
        <w:t xml:space="preserve"> of the Water </w:t>
      </w:r>
      <w:r>
        <w:br/>
        <w:t xml:space="preserve">Corporation under an approval of the Water </w:t>
      </w:r>
      <w:r>
        <w:br/>
        <w:t xml:space="preserve">Corporation, the charge is </w:t>
      </w:r>
      <w:r>
        <w:tab/>
      </w:r>
      <w:r>
        <w:rPr>
          <w:szCs w:val="22"/>
        </w:rPr>
        <w:t>$252.32</w:t>
      </w:r>
    </w:p>
    <w:p>
      <w:pPr>
        <w:pStyle w:val="ySubsection"/>
        <w:tabs>
          <w:tab w:val="right" w:leader="dot" w:pos="6804"/>
        </w:tabs>
      </w:pPr>
      <w:r>
        <w:tab/>
        <w:t>(2)</w:t>
      </w:r>
      <w:r>
        <w:tab/>
        <w:t>The charge under this item is in addition to any other charge applicable to the land under this Schedule.</w:t>
      </w:r>
    </w:p>
    <w:p>
      <w:pPr>
        <w:pStyle w:val="zyHeading5"/>
      </w:pPr>
      <w:bookmarkStart w:id="231" w:name="_Toc169797247"/>
      <w:bookmarkStart w:id="232" w:name="_Toc170213158"/>
      <w:r>
        <w:t>8.</w:t>
      </w:r>
      <w:r>
        <w:tab/>
        <w:t>Land from which trade waste is discharged into sewer through grease arrestor</w:t>
      </w:r>
      <w:bookmarkEnd w:id="231"/>
      <w:bookmarkEnd w:id="232"/>
    </w:p>
    <w:p>
      <w:pPr>
        <w:pStyle w:val="ySubsection"/>
      </w:pPr>
      <w:r>
        <w:tab/>
        <w:t>(1)</w:t>
      </w:r>
      <w:r>
        <w:tab/>
        <w:t xml:space="preserve">For land from which there is a discharge of trade waste into a sewer of the </w:t>
      </w:r>
      <w:r>
        <w:rPr>
          <w:szCs w:val="22"/>
        </w:rPr>
        <w:t>Water</w:t>
      </w:r>
      <w:r>
        <w:t xml:space="preserve"> Corporation through one or more grease arrestors under an approval of the Water Corporation, the charge is $100.81 for each grease arrestor.</w:t>
      </w:r>
    </w:p>
    <w:p>
      <w:pPr>
        <w:pStyle w:val="ySubsection"/>
      </w:pPr>
      <w:r>
        <w:tab/>
        <w:t>(2)</w:t>
      </w:r>
      <w:r>
        <w:tab/>
        <w:t>The charge under this item is in addition to any other charge applicable to the land under this Schedule.</w:t>
      </w:r>
    </w:p>
    <w:p>
      <w:pPr>
        <w:pStyle w:val="zyHeading5"/>
      </w:pPr>
      <w:bookmarkStart w:id="233" w:name="_Toc169797248"/>
      <w:bookmarkStart w:id="234" w:name="_Toc170213159"/>
      <w:r>
        <w:t>9.</w:t>
      </w:r>
      <w:r>
        <w:tab/>
        <w:t>Trade waste discharged from open area</w:t>
      </w:r>
      <w:bookmarkEnd w:id="233"/>
      <w:bookmarkEnd w:id="234"/>
    </w:p>
    <w:p>
      <w:pPr>
        <w:pStyle w:val="ySubsection"/>
        <w:tabs>
          <w:tab w:val="right" w:leader="dot" w:pos="6804"/>
        </w:tabs>
      </w:pPr>
      <w:r>
        <w:tab/>
        <w:t>(1)</w:t>
      </w:r>
      <w:r>
        <w:tab/>
        <w:t xml:space="preserve">For land from which there is a discharge </w:t>
      </w:r>
      <w:r>
        <w:br/>
        <w:t xml:space="preserve">of trade waste from an open area under </w:t>
      </w:r>
      <w:r>
        <w:br/>
        <w:t xml:space="preserve">an approval of </w:t>
      </w:r>
      <w:r>
        <w:rPr>
          <w:szCs w:val="22"/>
        </w:rPr>
        <w:t>the</w:t>
      </w:r>
      <w:r>
        <w:t xml:space="preserve"> Water Corporation, </w:t>
      </w:r>
      <w:r>
        <w:br/>
        <w:t xml:space="preserve">the charge is </w:t>
      </w:r>
      <w:r>
        <w:tab/>
      </w:r>
      <w:r>
        <w:rPr>
          <w:szCs w:val="22"/>
        </w:rPr>
        <w:t>$1.76</w:t>
      </w:r>
      <w:r>
        <w:t>/m</w:t>
      </w:r>
      <w:r>
        <w:rPr>
          <w:vertAlign w:val="superscript"/>
        </w:rPr>
        <w:t>2</w:t>
      </w:r>
    </w:p>
    <w:p>
      <w:pPr>
        <w:pStyle w:val="ySubsectionRight"/>
      </w:pPr>
      <w:r>
        <w:t>of open area</w:t>
      </w:r>
    </w:p>
    <w:p>
      <w:pPr>
        <w:pStyle w:val="ySubsection"/>
      </w:pPr>
      <w:r>
        <w:lastRenderedPageBreak/>
        <w:tab/>
        <w:t>(2)</w:t>
      </w:r>
      <w:r>
        <w:tab/>
        <w:t>The charge under this item is in addition to any other charge applicable to the land under this Schedule.</w:t>
      </w:r>
    </w:p>
    <w:p>
      <w:pPr>
        <w:pStyle w:val="zyHeading5"/>
      </w:pPr>
      <w:bookmarkStart w:id="235" w:name="_Toc169797249"/>
      <w:bookmarkStart w:id="236" w:name="_Toc170213160"/>
      <w:r>
        <w:t>10.</w:t>
      </w:r>
      <w:r>
        <w:tab/>
        <w:t>Non</w:t>
      </w:r>
      <w:r>
        <w:noBreakHyphen/>
        <w:t>metropolitan concessional</w:t>
      </w:r>
      <w:bookmarkEnd w:id="235"/>
      <w:bookmarkEnd w:id="236"/>
    </w:p>
    <w:p>
      <w:pPr>
        <w:pStyle w:val="ySubsection"/>
      </w:pPr>
      <w:r>
        <w:tab/>
        <w:t>(1)</w:t>
      </w:r>
      <w:r>
        <w:tab/>
        <w:t>For land in the non</w:t>
      </w:r>
      <w:r>
        <w:noBreakHyphen/>
        <w:t>metropolitan area that is classified as aged home, charitable purposes, community purpose, institutional public or local government, the charge, according to the number of major fixtures on the land, is the sum of the discounted charges for each fixture, as set out in the Table to this sub</w:t>
      </w:r>
      <w:r>
        <w:noBreakHyphen/>
        <w:t>item.</w:t>
      </w:r>
    </w:p>
    <w:p>
      <w:pPr>
        <w:pStyle w:val="yTHeadingNAmLeft25cm"/>
      </w:pPr>
      <w:r>
        <w:t>Table of charges and discounts</w:t>
      </w:r>
    </w:p>
    <w:tbl>
      <w:tblPr>
        <w:tblW w:w="5245" w:type="dxa"/>
        <w:tblInd w:w="1418" w:type="dxa"/>
        <w:tblLayout w:type="fixed"/>
        <w:tblLook w:val="0000" w:firstRow="0" w:lastRow="0" w:firstColumn="0" w:lastColumn="0" w:noHBand="0" w:noVBand="0"/>
      </w:tblPr>
      <w:tblGrid>
        <w:gridCol w:w="1347"/>
        <w:gridCol w:w="1205"/>
        <w:gridCol w:w="1276"/>
        <w:gridCol w:w="1417"/>
      </w:tblGrid>
      <w:tr>
        <w:trPr>
          <w:cantSplit/>
          <w:tblHeader/>
        </w:trPr>
        <w:tc>
          <w:tcPr>
            <w:tcW w:w="1347" w:type="dxa"/>
            <w:tcBorders>
              <w:top w:val="single" w:sz="4" w:space="0" w:color="auto"/>
              <w:bottom w:val="single" w:sz="4" w:space="0" w:color="auto"/>
            </w:tcBorders>
            <w:noWrap/>
          </w:tcPr>
          <w:p>
            <w:pPr>
              <w:pStyle w:val="yTableNAm"/>
            </w:pPr>
          </w:p>
        </w:tc>
        <w:tc>
          <w:tcPr>
            <w:tcW w:w="1205" w:type="dxa"/>
            <w:tcBorders>
              <w:top w:val="single" w:sz="4" w:space="0" w:color="auto"/>
              <w:bottom w:val="single" w:sz="4" w:space="0" w:color="auto"/>
            </w:tcBorders>
            <w:noWrap/>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tcPr>
          <w:p>
            <w:pPr>
              <w:pStyle w:val="yTableNAm"/>
              <w:jc w:val="center"/>
            </w:pPr>
            <w:r>
              <w:rPr>
                <w:b/>
                <w:szCs w:val="22"/>
              </w:rPr>
              <w:t>Discounted charge</w:t>
            </w:r>
            <w:r>
              <w:rPr>
                <w:b/>
                <w:szCs w:val="22"/>
              </w:rPr>
              <w:br/>
              <w:t>$</w:t>
            </w:r>
          </w:p>
        </w:tc>
      </w:tr>
      <w:tr>
        <w:trPr>
          <w:cantSplit/>
        </w:trPr>
        <w:tc>
          <w:tcPr>
            <w:tcW w:w="1347" w:type="dxa"/>
            <w:noWrap/>
            <w:tcMar>
              <w:left w:w="62" w:type="dxa"/>
              <w:right w:w="62" w:type="dxa"/>
            </w:tcMar>
          </w:tcPr>
          <w:p>
            <w:pPr>
              <w:pStyle w:val="yTableNAmLeft0cm"/>
              <w:rPr>
                <w:highlight w:val="green"/>
              </w:rPr>
            </w:pPr>
            <w:r>
              <w:t>1</w:t>
            </w:r>
            <w:r>
              <w:rPr>
                <w:vertAlign w:val="superscript"/>
              </w:rPr>
              <w:t>st</w:t>
            </w:r>
            <w:r>
              <w:tab/>
              <w:t>fixture</w:t>
            </w:r>
          </w:p>
        </w:tc>
        <w:tc>
          <w:tcPr>
            <w:tcW w:w="1205" w:type="dxa"/>
            <w:noWrap/>
          </w:tcPr>
          <w:p>
            <w:pPr>
              <w:pStyle w:val="yTableNAm"/>
              <w:jc w:val="center"/>
            </w:pPr>
            <w:r>
              <w:t>1 155.37</w:t>
            </w:r>
          </w:p>
        </w:tc>
        <w:tc>
          <w:tcPr>
            <w:tcW w:w="1276" w:type="dxa"/>
            <w:noWrap/>
          </w:tcPr>
          <w:p>
            <w:pPr>
              <w:pStyle w:val="yTableNAm"/>
              <w:jc w:val="center"/>
            </w:pPr>
            <w:r>
              <w:t>844.95</w:t>
            </w:r>
          </w:p>
        </w:tc>
        <w:tc>
          <w:tcPr>
            <w:tcW w:w="1417" w:type="dxa"/>
            <w:noWrap/>
          </w:tcPr>
          <w:p>
            <w:pPr>
              <w:pStyle w:val="yTableNAm"/>
              <w:jc w:val="center"/>
            </w:pPr>
            <w:r>
              <w:t>310.42</w:t>
            </w:r>
          </w:p>
        </w:tc>
      </w:tr>
      <w:tr>
        <w:trPr>
          <w:cantSplit/>
        </w:trPr>
        <w:tc>
          <w:tcPr>
            <w:tcW w:w="1347" w:type="dxa"/>
            <w:noWrap/>
            <w:tcMar>
              <w:left w:w="62" w:type="dxa"/>
              <w:right w:w="62" w:type="dxa"/>
            </w:tcMar>
          </w:tcPr>
          <w:p>
            <w:pPr>
              <w:pStyle w:val="yTableNAmLeft0cm"/>
            </w:pPr>
            <w:r>
              <w:t>2</w:t>
            </w:r>
            <w:r>
              <w:rPr>
                <w:vertAlign w:val="superscript"/>
              </w:rPr>
              <w:t>nd</w:t>
            </w:r>
            <w:r>
              <w:tab/>
              <w:t>fixture</w:t>
            </w:r>
          </w:p>
        </w:tc>
        <w:tc>
          <w:tcPr>
            <w:tcW w:w="1205" w:type="dxa"/>
            <w:noWrap/>
          </w:tcPr>
          <w:p>
            <w:pPr>
              <w:pStyle w:val="yTableNAm"/>
              <w:jc w:val="center"/>
            </w:pPr>
            <w:r>
              <w:t>494.56</w:t>
            </w:r>
          </w:p>
        </w:tc>
        <w:tc>
          <w:tcPr>
            <w:tcW w:w="1276" w:type="dxa"/>
            <w:noWrap/>
          </w:tcPr>
          <w:p>
            <w:pPr>
              <w:pStyle w:val="yTableNAm"/>
              <w:jc w:val="center"/>
            </w:pPr>
            <w:r>
              <w:t>357.99</w:t>
            </w:r>
          </w:p>
        </w:tc>
        <w:tc>
          <w:tcPr>
            <w:tcW w:w="1417" w:type="dxa"/>
            <w:noWrap/>
          </w:tcPr>
          <w:p>
            <w:pPr>
              <w:pStyle w:val="yTableNAm"/>
              <w:jc w:val="center"/>
            </w:pPr>
            <w:r>
              <w:t>136.57</w:t>
            </w:r>
          </w:p>
        </w:tc>
      </w:tr>
      <w:tr>
        <w:trPr>
          <w:cantSplit/>
        </w:trPr>
        <w:tc>
          <w:tcPr>
            <w:tcW w:w="1347" w:type="dxa"/>
            <w:noWrap/>
            <w:tcMar>
              <w:left w:w="57" w:type="dxa"/>
              <w:right w:w="57" w:type="dxa"/>
            </w:tcMar>
          </w:tcPr>
          <w:p>
            <w:pPr>
              <w:pStyle w:val="yTableNAmLeft0cm"/>
            </w:pPr>
            <w:r>
              <w:t>3</w:t>
            </w:r>
            <w:r>
              <w:rPr>
                <w:vertAlign w:val="superscript"/>
              </w:rPr>
              <w:t>rd</w:t>
            </w:r>
            <w:r>
              <w:rPr>
                <w:vertAlign w:val="superscript"/>
              </w:rPr>
              <w:tab/>
            </w:r>
            <w:r>
              <w:t>fixture</w:t>
            </w:r>
          </w:p>
        </w:tc>
        <w:tc>
          <w:tcPr>
            <w:tcW w:w="1205" w:type="dxa"/>
            <w:noWrap/>
          </w:tcPr>
          <w:p>
            <w:pPr>
              <w:pStyle w:val="yTableNAm"/>
              <w:jc w:val="center"/>
            </w:pPr>
            <w:r>
              <w:t>660.48</w:t>
            </w:r>
          </w:p>
        </w:tc>
        <w:tc>
          <w:tcPr>
            <w:tcW w:w="1276" w:type="dxa"/>
            <w:noWrap/>
          </w:tcPr>
          <w:p>
            <w:pPr>
              <w:pStyle w:val="yTableNAm"/>
              <w:jc w:val="center"/>
            </w:pPr>
            <w:r>
              <w:t>523.91</w:t>
            </w:r>
          </w:p>
        </w:tc>
        <w:tc>
          <w:tcPr>
            <w:tcW w:w="1417" w:type="dxa"/>
            <w:noWrap/>
          </w:tcPr>
          <w:p>
            <w:pPr>
              <w:pStyle w:val="yTableNAm"/>
              <w:jc w:val="center"/>
            </w:pPr>
            <w:r>
              <w:t>136.57</w:t>
            </w:r>
          </w:p>
        </w:tc>
      </w:tr>
      <w:tr>
        <w:trPr>
          <w:cantSplit/>
        </w:trPr>
        <w:tc>
          <w:tcPr>
            <w:tcW w:w="1347" w:type="dxa"/>
            <w:tcBorders>
              <w:bottom w:val="single" w:sz="4" w:space="0" w:color="auto"/>
            </w:tcBorders>
            <w:noWrap/>
            <w:tcMar>
              <w:left w:w="57" w:type="dxa"/>
              <w:right w:w="57" w:type="dxa"/>
            </w:tcMar>
          </w:tcPr>
          <w:p>
            <w:pPr>
              <w:pStyle w:val="yTableNAmLeft0cm"/>
              <w:rPr>
                <w:highlight w:val="green"/>
              </w:rPr>
            </w:pPr>
            <w:r>
              <w:t>4</w:t>
            </w:r>
            <w:r>
              <w:rPr>
                <w:vertAlign w:val="superscript"/>
              </w:rPr>
              <w:t>th</w:t>
            </w:r>
            <w:r>
              <w:tab/>
              <w:t>and</w:t>
            </w:r>
            <w:r>
              <w:rPr>
                <w:vertAlign w:val="superscript"/>
              </w:rPr>
              <w:t xml:space="preserve"> </w:t>
            </w:r>
            <w:r>
              <w:rPr>
                <w:spacing w:val="-8"/>
              </w:rPr>
              <w:t>subsequent</w:t>
            </w:r>
            <w:r>
              <w:t xml:space="preserve"> fixtures</w:t>
            </w:r>
          </w:p>
        </w:tc>
        <w:tc>
          <w:tcPr>
            <w:tcW w:w="1205" w:type="dxa"/>
            <w:tcBorders>
              <w:bottom w:val="single" w:sz="4" w:space="0" w:color="auto"/>
            </w:tcBorders>
            <w:noWrap/>
          </w:tcPr>
          <w:p>
            <w:pPr>
              <w:pStyle w:val="yTableNAm"/>
              <w:jc w:val="center"/>
            </w:pPr>
            <w:r>
              <w:t>718.23</w:t>
            </w:r>
          </w:p>
        </w:tc>
        <w:tc>
          <w:tcPr>
            <w:tcW w:w="1276" w:type="dxa"/>
            <w:tcBorders>
              <w:bottom w:val="single" w:sz="4" w:space="0" w:color="auto"/>
            </w:tcBorders>
            <w:noWrap/>
          </w:tcPr>
          <w:p>
            <w:pPr>
              <w:pStyle w:val="yTableNAm"/>
              <w:jc w:val="center"/>
            </w:pPr>
            <w:r>
              <w:t>581.66</w:t>
            </w:r>
          </w:p>
        </w:tc>
        <w:tc>
          <w:tcPr>
            <w:tcW w:w="1417" w:type="dxa"/>
            <w:tcBorders>
              <w:bottom w:val="single" w:sz="4" w:space="0" w:color="auto"/>
            </w:tcBorders>
            <w:noWrap/>
          </w:tcPr>
          <w:p>
            <w:pPr>
              <w:pStyle w:val="yTableNAm"/>
              <w:jc w:val="center"/>
            </w:pPr>
            <w:r>
              <w:t>136.57</w:t>
            </w:r>
          </w:p>
        </w:tc>
      </w:tr>
    </w:tbl>
    <w:p>
      <w:pPr>
        <w:pStyle w:val="ySubsection"/>
      </w:pPr>
      <w:r>
        <w:tab/>
        <w:t>(2)</w:t>
      </w:r>
      <w:r>
        <w:tab/>
        <w:t>For concessional land in the non</w:t>
      </w:r>
      <w:r>
        <w:noBreakHyphen/>
        <w:t>metropolitan area which, although a sewerage service is provided, is not connected to sewerage works of the Water Corporation, the charge is the discounted charge set out in the Table to this sub</w:t>
      </w:r>
      <w:r>
        <w:noBreakHyphen/>
        <w:t xml:space="preserve">item. </w:t>
      </w:r>
    </w:p>
    <w:p>
      <w:pPr>
        <w:pStyle w:val="yTHeadingNAmLeft175cm"/>
      </w:pPr>
      <w:r>
        <w:t>Table of charge and discount</w:t>
      </w:r>
    </w:p>
    <w:tbl>
      <w:tblPr>
        <w:tblW w:w="3947" w:type="dxa"/>
        <w:tblInd w:w="2127" w:type="dxa"/>
        <w:tblLayout w:type="fixed"/>
        <w:tblLook w:val="0000" w:firstRow="0" w:lastRow="0" w:firstColumn="0" w:lastColumn="0" w:noHBand="0" w:noVBand="0"/>
      </w:tblPr>
      <w:tblGrid>
        <w:gridCol w:w="1265"/>
        <w:gridCol w:w="1265"/>
        <w:gridCol w:w="1417"/>
      </w:tblGrid>
      <w:tr>
        <w:trPr>
          <w:cantSplit/>
          <w:tblHeader/>
        </w:trPr>
        <w:tc>
          <w:tcPr>
            <w:tcW w:w="1265" w:type="dxa"/>
            <w:tcBorders>
              <w:top w:val="single" w:sz="4" w:space="0" w:color="auto"/>
              <w:bottom w:val="single" w:sz="4" w:space="0" w:color="auto"/>
            </w:tcBorders>
            <w:noWrap/>
            <w:vAlign w:val="center"/>
          </w:tcPr>
          <w:p>
            <w:pPr>
              <w:pStyle w:val="yTableNAm"/>
              <w:jc w:val="center"/>
            </w:pPr>
            <w:r>
              <w:rPr>
                <w:b/>
                <w:szCs w:val="22"/>
              </w:rPr>
              <w:t>Charge</w:t>
            </w:r>
            <w:r>
              <w:rPr>
                <w:b/>
                <w:szCs w:val="22"/>
              </w:rPr>
              <w:br/>
            </w:r>
            <w:r>
              <w:rPr>
                <w:b/>
                <w:szCs w:val="22"/>
              </w:rPr>
              <w:br/>
              <w:t>$</w:t>
            </w:r>
          </w:p>
        </w:tc>
        <w:tc>
          <w:tcPr>
            <w:tcW w:w="126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265" w:type="dxa"/>
            <w:tcBorders>
              <w:bottom w:val="single" w:sz="4" w:space="0" w:color="auto"/>
            </w:tcBorders>
            <w:noWrap/>
          </w:tcPr>
          <w:p>
            <w:pPr>
              <w:pStyle w:val="yTableNAm"/>
              <w:jc w:val="center"/>
            </w:pPr>
            <w:r>
              <w:t>1 155.37</w:t>
            </w:r>
          </w:p>
        </w:tc>
        <w:tc>
          <w:tcPr>
            <w:tcW w:w="1265" w:type="dxa"/>
            <w:tcBorders>
              <w:bottom w:val="single" w:sz="4" w:space="0" w:color="auto"/>
            </w:tcBorders>
            <w:noWrap/>
          </w:tcPr>
          <w:p>
            <w:pPr>
              <w:pStyle w:val="yTableNAm"/>
              <w:jc w:val="center"/>
            </w:pPr>
            <w:r>
              <w:t>1 155.37</w:t>
            </w:r>
          </w:p>
        </w:tc>
        <w:tc>
          <w:tcPr>
            <w:tcW w:w="1417" w:type="dxa"/>
            <w:tcBorders>
              <w:bottom w:val="single" w:sz="4" w:space="0" w:color="auto"/>
            </w:tcBorders>
            <w:noWrap/>
          </w:tcPr>
          <w:p>
            <w:pPr>
              <w:pStyle w:val="yTableNAm"/>
              <w:jc w:val="center"/>
            </w:pPr>
            <w:r>
              <w:t>0.00</w:t>
            </w:r>
          </w:p>
        </w:tc>
      </w:tr>
    </w:tbl>
    <w:p>
      <w:pPr>
        <w:pStyle w:val="zyHeading5"/>
      </w:pPr>
      <w:bookmarkStart w:id="237" w:name="_Toc169797250"/>
      <w:bookmarkStart w:id="238" w:name="_Toc170213161"/>
      <w:r>
        <w:t>11.</w:t>
      </w:r>
      <w:r>
        <w:tab/>
        <w:t>Community residential</w:t>
      </w:r>
      <w:bookmarkEnd w:id="237"/>
      <w:bookmarkEnd w:id="238"/>
    </w:p>
    <w:p>
      <w:pPr>
        <w:pStyle w:val="ySubsection"/>
      </w:pPr>
      <w:r>
        <w:tab/>
      </w:r>
      <w:r>
        <w:tab/>
        <w:t xml:space="preserve">For land that is classified as community residential, the charge, according to the number of major fixtures on the land, is the sum of the discounted charges for each fixture, as set out in the Table, </w:t>
      </w:r>
      <w:r>
        <w:lastRenderedPageBreak/>
        <w:t xml:space="preserve">according to whether the Housing Authority agrees to be responsible for payment of the charge. </w:t>
      </w:r>
    </w:p>
    <w:p>
      <w:pPr>
        <w:pStyle w:val="yTHeadingNAm"/>
      </w:pPr>
      <w:r>
        <w:t>Table of charges and discounts</w:t>
      </w:r>
    </w:p>
    <w:tbl>
      <w:tblPr>
        <w:tblW w:w="7088" w:type="dxa"/>
        <w:tblLayout w:type="fixed"/>
        <w:tblLook w:val="0000" w:firstRow="0" w:lastRow="0" w:firstColumn="0" w:lastColumn="0" w:noHBand="0" w:noVBand="0"/>
      </w:tblPr>
      <w:tblGrid>
        <w:gridCol w:w="1418"/>
        <w:gridCol w:w="1134"/>
        <w:gridCol w:w="992"/>
        <w:gridCol w:w="1276"/>
        <w:gridCol w:w="992"/>
        <w:gridCol w:w="1276"/>
      </w:tblGrid>
      <w:tr>
        <w:trPr>
          <w:cantSplit/>
          <w:tblHeader/>
        </w:trPr>
        <w:tc>
          <w:tcPr>
            <w:tcW w:w="1418" w:type="dxa"/>
            <w:vMerge w:val="restart"/>
            <w:tcBorders>
              <w:top w:val="single" w:sz="4" w:space="0" w:color="auto"/>
            </w:tcBorders>
            <w:noWrap/>
            <w:vAlign w:val="center"/>
          </w:tcPr>
          <w:p>
            <w:pPr>
              <w:pStyle w:val="zyTableNAm"/>
              <w:jc w:val="center"/>
            </w:pPr>
          </w:p>
        </w:tc>
        <w:tc>
          <w:tcPr>
            <w:tcW w:w="1134" w:type="dxa"/>
            <w:tcBorders>
              <w:top w:val="single" w:sz="4" w:space="0" w:color="auto"/>
              <w:right w:val="single" w:sz="4" w:space="0" w:color="auto"/>
            </w:tcBorders>
            <w:noWrap/>
            <w:vAlign w:val="center"/>
          </w:tcPr>
          <w:p>
            <w:pPr>
              <w:pStyle w:val="zyTableNAm"/>
              <w:jc w:val="center"/>
            </w:pPr>
          </w:p>
        </w:tc>
        <w:tc>
          <w:tcPr>
            <w:tcW w:w="2268" w:type="dxa"/>
            <w:gridSpan w:val="2"/>
            <w:tcBorders>
              <w:top w:val="single" w:sz="4" w:space="0" w:color="auto"/>
              <w:left w:val="single" w:sz="4" w:space="0" w:color="auto"/>
              <w:bottom w:val="single" w:sz="4" w:space="0" w:color="auto"/>
              <w:right w:val="single" w:sz="4" w:space="0" w:color="auto"/>
            </w:tcBorders>
            <w:noWrap/>
          </w:tcPr>
          <w:p>
            <w:pPr>
              <w:pStyle w:val="yTableNAm"/>
              <w:jc w:val="center"/>
            </w:pPr>
            <w:r>
              <w:rPr>
                <w:b/>
              </w:rPr>
              <w:t>If Housing Authority responsible for payment of charge</w:t>
            </w:r>
          </w:p>
        </w:tc>
        <w:tc>
          <w:tcPr>
            <w:tcW w:w="2268" w:type="dxa"/>
            <w:gridSpan w:val="2"/>
            <w:tcBorders>
              <w:top w:val="single" w:sz="4" w:space="0" w:color="auto"/>
              <w:left w:val="single" w:sz="4" w:space="0" w:color="auto"/>
              <w:bottom w:val="single" w:sz="4" w:space="0" w:color="auto"/>
            </w:tcBorders>
            <w:noWrap/>
          </w:tcPr>
          <w:p>
            <w:pPr>
              <w:pStyle w:val="yTableNAm"/>
              <w:jc w:val="center"/>
            </w:pPr>
            <w:r>
              <w:rPr>
                <w:b/>
              </w:rPr>
              <w:t>In any other case</w:t>
            </w:r>
          </w:p>
        </w:tc>
      </w:tr>
      <w:tr>
        <w:trPr>
          <w:cantSplit/>
          <w:tblHeader/>
        </w:trPr>
        <w:tc>
          <w:tcPr>
            <w:tcW w:w="1418" w:type="dxa"/>
            <w:vMerge/>
            <w:tcBorders>
              <w:bottom w:val="single" w:sz="4" w:space="0" w:color="auto"/>
            </w:tcBorders>
            <w:noWrap/>
            <w:vAlign w:val="center"/>
          </w:tcPr>
          <w:p>
            <w:pPr>
              <w:pStyle w:val="zyTableNAm"/>
            </w:pPr>
          </w:p>
        </w:tc>
        <w:tc>
          <w:tcPr>
            <w:tcW w:w="1134" w:type="dxa"/>
            <w:tcBorders>
              <w:bottom w:val="single" w:sz="4" w:space="0" w:color="auto"/>
              <w:right w:val="single" w:sz="4" w:space="0" w:color="auto"/>
            </w:tcBorders>
            <w:noWrap/>
          </w:tcPr>
          <w:p>
            <w:pPr>
              <w:pStyle w:val="yTableNAm"/>
              <w:jc w:val="center"/>
            </w:pPr>
            <w:r>
              <w:rPr>
                <w:b/>
                <w:sz w:val="20"/>
              </w:rPr>
              <w:t>Charge</w:t>
            </w:r>
            <w:r>
              <w:rPr>
                <w:b/>
                <w:sz w:val="20"/>
              </w:rPr>
              <w:br/>
            </w:r>
            <w:r>
              <w:rPr>
                <w:b/>
                <w:sz w:val="20"/>
              </w:rPr>
              <w:br/>
              <w:t>$</w:t>
            </w:r>
          </w:p>
        </w:tc>
        <w:tc>
          <w:tcPr>
            <w:tcW w:w="992" w:type="dxa"/>
            <w:tcBorders>
              <w:top w:val="single" w:sz="4" w:space="0" w:color="auto"/>
              <w:left w:val="single" w:sz="4" w:space="0" w:color="auto"/>
              <w:bottom w:val="single" w:sz="4" w:space="0" w:color="auto"/>
            </w:tcBorders>
            <w:noWrap/>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right w:val="single" w:sz="4" w:space="0" w:color="auto"/>
            </w:tcBorders>
            <w:noWrap/>
          </w:tcPr>
          <w:p>
            <w:pPr>
              <w:pStyle w:val="yTableNAm"/>
              <w:jc w:val="center"/>
            </w:pPr>
            <w:r>
              <w:rPr>
                <w:b/>
                <w:sz w:val="20"/>
              </w:rPr>
              <w:t>Discounted charge</w:t>
            </w:r>
            <w:r>
              <w:rPr>
                <w:b/>
                <w:sz w:val="20"/>
              </w:rPr>
              <w:br/>
              <w:t>$</w:t>
            </w:r>
          </w:p>
        </w:tc>
        <w:tc>
          <w:tcPr>
            <w:tcW w:w="992" w:type="dxa"/>
            <w:tcBorders>
              <w:top w:val="single" w:sz="4" w:space="0" w:color="auto"/>
              <w:left w:val="single" w:sz="4" w:space="0" w:color="auto"/>
              <w:bottom w:val="single" w:sz="4" w:space="0" w:color="auto"/>
            </w:tcBorders>
            <w:noWrap/>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tcBorders>
            <w:noWrap/>
          </w:tcPr>
          <w:p>
            <w:pPr>
              <w:pStyle w:val="yTableNAm"/>
              <w:jc w:val="center"/>
            </w:pPr>
            <w:r>
              <w:rPr>
                <w:b/>
                <w:sz w:val="20"/>
              </w:rPr>
              <w:t>Discounted charge</w:t>
            </w:r>
            <w:r>
              <w:rPr>
                <w:b/>
                <w:sz w:val="20"/>
              </w:rPr>
              <w:br/>
              <w:t>$</w:t>
            </w:r>
          </w:p>
        </w:tc>
      </w:tr>
      <w:tr>
        <w:trPr>
          <w:cantSplit/>
        </w:trPr>
        <w:tc>
          <w:tcPr>
            <w:tcW w:w="1418" w:type="dxa"/>
            <w:noWrap/>
            <w:tcMar>
              <w:left w:w="62" w:type="dxa"/>
              <w:right w:w="62" w:type="dxa"/>
            </w:tcMar>
          </w:tcPr>
          <w:p>
            <w:pPr>
              <w:pStyle w:val="yTableNAmLeft-005cm"/>
              <w:rPr>
                <w:highlight w:val="green"/>
              </w:rPr>
            </w:pPr>
            <w:r>
              <w:t>1</w:t>
            </w:r>
            <w:r>
              <w:rPr>
                <w:vertAlign w:val="superscript"/>
              </w:rPr>
              <w:t>st</w:t>
            </w:r>
            <w:r>
              <w:tab/>
              <w:t>fixture</w:t>
            </w:r>
          </w:p>
        </w:tc>
        <w:tc>
          <w:tcPr>
            <w:tcW w:w="1134" w:type="dxa"/>
            <w:tcBorders>
              <w:right w:val="single" w:sz="4" w:space="0" w:color="auto"/>
            </w:tcBorders>
            <w:noWrap/>
          </w:tcPr>
          <w:p>
            <w:pPr>
              <w:pStyle w:val="yTableNAm"/>
              <w:jc w:val="center"/>
            </w:pPr>
            <w:r>
              <w:t>1 155.37</w:t>
            </w:r>
          </w:p>
        </w:tc>
        <w:tc>
          <w:tcPr>
            <w:tcW w:w="992" w:type="dxa"/>
            <w:tcBorders>
              <w:left w:val="single" w:sz="4" w:space="0" w:color="auto"/>
            </w:tcBorders>
            <w:noWrap/>
          </w:tcPr>
          <w:p>
            <w:pPr>
              <w:pStyle w:val="yTableNAm"/>
              <w:jc w:val="center"/>
            </w:pPr>
            <w:r>
              <w:t>1 023.10</w:t>
            </w:r>
          </w:p>
        </w:tc>
        <w:tc>
          <w:tcPr>
            <w:tcW w:w="1276" w:type="dxa"/>
            <w:tcBorders>
              <w:right w:val="single" w:sz="4" w:space="0" w:color="auto"/>
            </w:tcBorders>
            <w:noWrap/>
          </w:tcPr>
          <w:p>
            <w:pPr>
              <w:pStyle w:val="yTableNAm"/>
              <w:jc w:val="center"/>
            </w:pPr>
            <w:r>
              <w:t>132.27</w:t>
            </w:r>
          </w:p>
        </w:tc>
        <w:tc>
          <w:tcPr>
            <w:tcW w:w="992" w:type="dxa"/>
            <w:tcBorders>
              <w:left w:val="single" w:sz="4" w:space="0" w:color="auto"/>
            </w:tcBorders>
            <w:noWrap/>
          </w:tcPr>
          <w:p>
            <w:pPr>
              <w:pStyle w:val="yTableNAm"/>
              <w:jc w:val="center"/>
            </w:pPr>
            <w:r>
              <w:t>1 155.37</w:t>
            </w:r>
          </w:p>
        </w:tc>
        <w:tc>
          <w:tcPr>
            <w:tcW w:w="1276" w:type="dxa"/>
            <w:noWrap/>
            <w:vAlign w:val="bottom"/>
          </w:tcPr>
          <w:p>
            <w:pPr>
              <w:pStyle w:val="yTableNAm"/>
              <w:jc w:val="center"/>
            </w:pPr>
            <w:r>
              <w:t>0.00</w:t>
            </w:r>
          </w:p>
        </w:tc>
      </w:tr>
      <w:tr>
        <w:trPr>
          <w:cantSplit/>
        </w:trPr>
        <w:tc>
          <w:tcPr>
            <w:tcW w:w="1418" w:type="dxa"/>
            <w:noWrap/>
            <w:tcMar>
              <w:left w:w="62" w:type="dxa"/>
              <w:right w:w="62" w:type="dxa"/>
            </w:tcMar>
          </w:tcPr>
          <w:p>
            <w:pPr>
              <w:pStyle w:val="yTableNAmLeft-005cm"/>
            </w:pPr>
            <w:r>
              <w:t>2</w:t>
            </w:r>
            <w:r>
              <w:rPr>
                <w:vertAlign w:val="superscript"/>
              </w:rPr>
              <w:t>nd</w:t>
            </w:r>
            <w:r>
              <w:tab/>
              <w:t>fixture</w:t>
            </w:r>
          </w:p>
        </w:tc>
        <w:tc>
          <w:tcPr>
            <w:tcW w:w="1134" w:type="dxa"/>
            <w:tcBorders>
              <w:right w:val="single" w:sz="4" w:space="0" w:color="auto"/>
            </w:tcBorders>
            <w:noWrap/>
          </w:tcPr>
          <w:p>
            <w:pPr>
              <w:pStyle w:val="yTableNAm"/>
              <w:jc w:val="center"/>
            </w:pPr>
            <w:r>
              <w:t>494.56</w:t>
            </w:r>
          </w:p>
        </w:tc>
        <w:tc>
          <w:tcPr>
            <w:tcW w:w="992" w:type="dxa"/>
            <w:tcBorders>
              <w:left w:val="single" w:sz="4" w:space="0" w:color="auto"/>
            </w:tcBorders>
            <w:noWrap/>
          </w:tcPr>
          <w:p>
            <w:pPr>
              <w:pStyle w:val="yTableNAm"/>
              <w:jc w:val="center"/>
            </w:pPr>
            <w:r>
              <w:t>362.29</w:t>
            </w:r>
          </w:p>
        </w:tc>
        <w:tc>
          <w:tcPr>
            <w:tcW w:w="1276" w:type="dxa"/>
            <w:tcBorders>
              <w:right w:val="single" w:sz="4" w:space="0" w:color="auto"/>
            </w:tcBorders>
            <w:noWrap/>
          </w:tcPr>
          <w:p>
            <w:pPr>
              <w:pStyle w:val="yTableNAm"/>
              <w:jc w:val="center"/>
            </w:pPr>
            <w:r>
              <w:t>132.27</w:t>
            </w:r>
          </w:p>
        </w:tc>
        <w:tc>
          <w:tcPr>
            <w:tcW w:w="992" w:type="dxa"/>
            <w:tcBorders>
              <w:left w:val="single" w:sz="4" w:space="0" w:color="auto"/>
            </w:tcBorders>
            <w:noWrap/>
          </w:tcPr>
          <w:p>
            <w:pPr>
              <w:pStyle w:val="yTableNAm"/>
              <w:jc w:val="center"/>
            </w:pPr>
            <w:r>
              <w:t>494.56</w:t>
            </w:r>
          </w:p>
        </w:tc>
        <w:tc>
          <w:tcPr>
            <w:tcW w:w="1276" w:type="dxa"/>
            <w:noWrap/>
            <w:vAlign w:val="bottom"/>
          </w:tcPr>
          <w:p>
            <w:pPr>
              <w:pStyle w:val="yTableNAm"/>
              <w:jc w:val="center"/>
            </w:pPr>
            <w:r>
              <w:t>0.00</w:t>
            </w:r>
          </w:p>
        </w:tc>
      </w:tr>
      <w:tr>
        <w:trPr>
          <w:cantSplit/>
        </w:trPr>
        <w:tc>
          <w:tcPr>
            <w:tcW w:w="1418" w:type="dxa"/>
            <w:noWrap/>
            <w:tcMar>
              <w:left w:w="57" w:type="dxa"/>
              <w:right w:w="57" w:type="dxa"/>
            </w:tcMar>
          </w:tcPr>
          <w:p>
            <w:pPr>
              <w:pStyle w:val="yTableNAmLeft-005cm"/>
            </w:pPr>
            <w:r>
              <w:t>3</w:t>
            </w:r>
            <w:r>
              <w:rPr>
                <w:vertAlign w:val="superscript"/>
              </w:rPr>
              <w:t>rd</w:t>
            </w:r>
            <w:r>
              <w:tab/>
              <w:t>fixture</w:t>
            </w:r>
          </w:p>
        </w:tc>
        <w:tc>
          <w:tcPr>
            <w:tcW w:w="1134" w:type="dxa"/>
            <w:tcBorders>
              <w:right w:val="single" w:sz="4" w:space="0" w:color="auto"/>
            </w:tcBorders>
            <w:noWrap/>
          </w:tcPr>
          <w:p>
            <w:pPr>
              <w:pStyle w:val="yTableNAm"/>
              <w:jc w:val="center"/>
            </w:pPr>
            <w:r>
              <w:t>660.48</w:t>
            </w:r>
          </w:p>
        </w:tc>
        <w:tc>
          <w:tcPr>
            <w:tcW w:w="992" w:type="dxa"/>
            <w:tcBorders>
              <w:left w:val="single" w:sz="4" w:space="0" w:color="auto"/>
            </w:tcBorders>
            <w:noWrap/>
          </w:tcPr>
          <w:p>
            <w:pPr>
              <w:pStyle w:val="yTableNAm"/>
              <w:jc w:val="center"/>
            </w:pPr>
            <w:r>
              <w:t>528.21</w:t>
            </w:r>
          </w:p>
        </w:tc>
        <w:tc>
          <w:tcPr>
            <w:tcW w:w="1276" w:type="dxa"/>
            <w:tcBorders>
              <w:right w:val="single" w:sz="4" w:space="0" w:color="auto"/>
            </w:tcBorders>
            <w:noWrap/>
          </w:tcPr>
          <w:p>
            <w:pPr>
              <w:pStyle w:val="yTableNAm"/>
              <w:jc w:val="center"/>
            </w:pPr>
            <w:r>
              <w:t>132.27</w:t>
            </w:r>
          </w:p>
        </w:tc>
        <w:tc>
          <w:tcPr>
            <w:tcW w:w="992" w:type="dxa"/>
            <w:tcBorders>
              <w:left w:val="single" w:sz="4" w:space="0" w:color="auto"/>
            </w:tcBorders>
            <w:noWrap/>
          </w:tcPr>
          <w:p>
            <w:pPr>
              <w:pStyle w:val="yTableNAm"/>
              <w:jc w:val="center"/>
            </w:pPr>
            <w:r>
              <w:t>660.48</w:t>
            </w:r>
          </w:p>
        </w:tc>
        <w:tc>
          <w:tcPr>
            <w:tcW w:w="1276" w:type="dxa"/>
            <w:noWrap/>
            <w:vAlign w:val="bottom"/>
          </w:tcPr>
          <w:p>
            <w:pPr>
              <w:pStyle w:val="yTableNAm"/>
              <w:jc w:val="center"/>
            </w:pPr>
            <w:r>
              <w:t>0.00</w:t>
            </w:r>
          </w:p>
        </w:tc>
      </w:tr>
      <w:tr>
        <w:trPr>
          <w:cantSplit/>
        </w:trPr>
        <w:tc>
          <w:tcPr>
            <w:tcW w:w="1418" w:type="dxa"/>
            <w:tcBorders>
              <w:bottom w:val="single" w:sz="4" w:space="0" w:color="auto"/>
            </w:tcBorders>
            <w:noWrap/>
            <w:tcMar>
              <w:left w:w="57" w:type="dxa"/>
              <w:right w:w="57" w:type="dxa"/>
            </w:tcMar>
          </w:tcPr>
          <w:p>
            <w:pPr>
              <w:pStyle w:val="yTableNAmLeft-005cm"/>
              <w:ind w:left="265" w:hanging="293"/>
              <w:rPr>
                <w:highlight w:val="green"/>
              </w:rPr>
            </w:pPr>
            <w:r>
              <w:t>4</w:t>
            </w:r>
            <w:r>
              <w:rPr>
                <w:vertAlign w:val="superscript"/>
              </w:rPr>
              <w:t>th</w:t>
            </w:r>
            <w:r>
              <w:tab/>
              <w:t>and subsequent fixtures</w:t>
            </w:r>
          </w:p>
        </w:tc>
        <w:tc>
          <w:tcPr>
            <w:tcW w:w="1134" w:type="dxa"/>
            <w:tcBorders>
              <w:bottom w:val="single" w:sz="4" w:space="0" w:color="auto"/>
              <w:right w:val="single" w:sz="4" w:space="0" w:color="auto"/>
            </w:tcBorders>
            <w:noWrap/>
          </w:tcPr>
          <w:p>
            <w:pPr>
              <w:pStyle w:val="yTableNAm"/>
              <w:jc w:val="center"/>
            </w:pPr>
            <w:r>
              <w:t>718.23</w:t>
            </w:r>
          </w:p>
        </w:tc>
        <w:tc>
          <w:tcPr>
            <w:tcW w:w="992" w:type="dxa"/>
            <w:tcBorders>
              <w:left w:val="single" w:sz="4" w:space="0" w:color="auto"/>
              <w:bottom w:val="single" w:sz="4" w:space="0" w:color="auto"/>
            </w:tcBorders>
            <w:noWrap/>
          </w:tcPr>
          <w:p>
            <w:pPr>
              <w:pStyle w:val="yTableNAm"/>
              <w:jc w:val="center"/>
            </w:pPr>
            <w:r>
              <w:t>585.96</w:t>
            </w:r>
          </w:p>
        </w:tc>
        <w:tc>
          <w:tcPr>
            <w:tcW w:w="1276" w:type="dxa"/>
            <w:tcBorders>
              <w:bottom w:val="single" w:sz="4" w:space="0" w:color="auto"/>
              <w:right w:val="single" w:sz="4" w:space="0" w:color="auto"/>
            </w:tcBorders>
            <w:noWrap/>
          </w:tcPr>
          <w:p>
            <w:pPr>
              <w:pStyle w:val="yTableNAm"/>
              <w:jc w:val="center"/>
            </w:pPr>
            <w:r>
              <w:t>132.27</w:t>
            </w:r>
          </w:p>
        </w:tc>
        <w:tc>
          <w:tcPr>
            <w:tcW w:w="992" w:type="dxa"/>
            <w:tcBorders>
              <w:left w:val="single" w:sz="4" w:space="0" w:color="auto"/>
              <w:bottom w:val="single" w:sz="4" w:space="0" w:color="auto"/>
            </w:tcBorders>
            <w:noWrap/>
          </w:tcPr>
          <w:p>
            <w:pPr>
              <w:pStyle w:val="yTableNAm"/>
              <w:jc w:val="center"/>
            </w:pPr>
            <w:r>
              <w:t>718.23</w:t>
            </w:r>
          </w:p>
        </w:tc>
        <w:tc>
          <w:tcPr>
            <w:tcW w:w="1276" w:type="dxa"/>
            <w:tcBorders>
              <w:bottom w:val="single" w:sz="4" w:space="0" w:color="auto"/>
            </w:tcBorders>
            <w:noWrap/>
          </w:tcPr>
          <w:p>
            <w:pPr>
              <w:pStyle w:val="yTableNAm"/>
              <w:jc w:val="center"/>
            </w:pPr>
            <w:r>
              <w:t>0.00</w:t>
            </w:r>
          </w:p>
        </w:tc>
      </w:tr>
    </w:tbl>
    <w:p>
      <w:pPr>
        <w:pStyle w:val="zyHeading5"/>
      </w:pPr>
      <w:bookmarkStart w:id="239" w:name="_Toc169797251"/>
      <w:bookmarkStart w:id="240" w:name="_Toc170213162"/>
      <w:r>
        <w:t>12.</w:t>
      </w:r>
      <w:r>
        <w:tab/>
        <w:t>Non</w:t>
      </w:r>
      <w:r>
        <w:noBreakHyphen/>
        <w:t>metropolitan residential or vacant land</w:t>
      </w:r>
      <w:bookmarkEnd w:id="239"/>
      <w:bookmarkEnd w:id="240"/>
    </w:p>
    <w:p>
      <w:pPr>
        <w:pStyle w:val="ySubsection"/>
      </w:pPr>
      <w:r>
        <w:tab/>
        <w:t>(1)</w:t>
      </w:r>
      <w:r>
        <w:tab/>
        <w:t>This item does not apply to land to which any other item in this Schedule applies.</w:t>
      </w:r>
    </w:p>
    <w:p>
      <w:pPr>
        <w:pStyle w:val="ySubsection"/>
      </w:pPr>
      <w:r>
        <w:tab/>
        <w:t>(2)</w:t>
      </w:r>
      <w:r>
        <w:tab/>
        <w:t>For residential land in the non</w:t>
      </w:r>
      <w:r>
        <w:noBreakHyphen/>
        <w:t>metropolitan area that is in a sewerage area referred to in the Table, the charge, per dwelling on the land, is, subject to sub</w:t>
      </w:r>
      <w:r>
        <w:noBreakHyphen/>
        <w:t>items (3) and (4), the amount worked out by multiplying the GRV of the dwelling by the relevant rate for the sewerage area set out in the Table for residential land.</w:t>
      </w:r>
    </w:p>
    <w:p>
      <w:pPr>
        <w:pStyle w:val="ySubsection"/>
        <w:tabs>
          <w:tab w:val="right" w:leader="dot" w:pos="6804"/>
        </w:tabs>
      </w:pPr>
      <w:r>
        <w:tab/>
        <w:t>(3)</w:t>
      </w:r>
      <w:r>
        <w:tab/>
        <w:t xml:space="preserve">The minimum charge per dwelling </w:t>
      </w:r>
      <w:r>
        <w:br/>
        <w:t>under sub</w:t>
      </w:r>
      <w:r>
        <w:noBreakHyphen/>
        <w:t xml:space="preserve">item (2) is </w:t>
      </w:r>
      <w:r>
        <w:tab/>
      </w:r>
      <w:r>
        <w:rPr>
          <w:szCs w:val="22"/>
        </w:rPr>
        <w:t>$481.14</w:t>
      </w:r>
    </w:p>
    <w:p>
      <w:pPr>
        <w:pStyle w:val="ySubsection"/>
        <w:tabs>
          <w:tab w:val="right" w:leader="dot" w:pos="6804"/>
        </w:tabs>
      </w:pPr>
      <w:r>
        <w:tab/>
        <w:t>(4)</w:t>
      </w:r>
      <w:r>
        <w:tab/>
        <w:t xml:space="preserve">The maximum charge per dwelling </w:t>
      </w:r>
      <w:r>
        <w:br/>
        <w:t>under sub</w:t>
      </w:r>
      <w:r>
        <w:noBreakHyphen/>
        <w:t xml:space="preserve">item (2) is </w:t>
      </w:r>
      <w:r>
        <w:tab/>
      </w:r>
      <w:r>
        <w:rPr>
          <w:szCs w:val="22"/>
        </w:rPr>
        <w:t>$1 313.55</w:t>
      </w:r>
    </w:p>
    <w:p>
      <w:pPr>
        <w:pStyle w:val="ySubsection"/>
      </w:pPr>
      <w:r>
        <w:tab/>
        <w:t>(5)</w:t>
      </w:r>
      <w:r>
        <w:tab/>
        <w:t>For vacant land in the non</w:t>
      </w:r>
      <w:r>
        <w:noBreakHyphen/>
        <w:t>metropolitan area that is in a sewerage area referred to in the Table, the charge is, subject to sub</w:t>
      </w:r>
      <w:r>
        <w:noBreakHyphen/>
        <w:t>items (6) and (7), the amount worked out by multiplying the GRV of the land by the relevant rate for the sewerage area set out in the Table for vacant land.</w:t>
      </w:r>
    </w:p>
    <w:p>
      <w:pPr>
        <w:pStyle w:val="ySubsection"/>
        <w:tabs>
          <w:tab w:val="right" w:leader="dot" w:pos="6804"/>
        </w:tabs>
      </w:pPr>
      <w:r>
        <w:lastRenderedPageBreak/>
        <w:tab/>
        <w:t>(6)</w:t>
      </w:r>
      <w:r>
        <w:tab/>
        <w:t>The minimum charge under sub</w:t>
      </w:r>
      <w:r>
        <w:noBreakHyphen/>
        <w:t xml:space="preserve">item (5) is </w:t>
      </w:r>
      <w:r>
        <w:tab/>
      </w:r>
      <w:r>
        <w:rPr>
          <w:szCs w:val="22"/>
        </w:rPr>
        <w:t>$316.60</w:t>
      </w:r>
    </w:p>
    <w:p>
      <w:pPr>
        <w:pStyle w:val="ySubsection"/>
        <w:tabs>
          <w:tab w:val="right" w:leader="dot" w:pos="6804"/>
        </w:tabs>
      </w:pPr>
      <w:r>
        <w:tab/>
        <w:t>(7)</w:t>
      </w:r>
      <w:r>
        <w:tab/>
        <w:t xml:space="preserve">The maximum charge under </w:t>
      </w:r>
      <w:r>
        <w:br/>
        <w:t>sub</w:t>
      </w:r>
      <w:r>
        <w:noBreakHyphen/>
        <w:t xml:space="preserve">item (5) for vacant land that is </w:t>
      </w:r>
      <w:r>
        <w:br/>
        <w:t xml:space="preserve">held for residential purposes is </w:t>
      </w:r>
      <w:r>
        <w:tab/>
      </w:r>
      <w:r>
        <w:rPr>
          <w:szCs w:val="22"/>
        </w:rPr>
        <w:t>$1 313.55</w:t>
      </w:r>
    </w:p>
    <w:p>
      <w:pPr>
        <w:pStyle w:val="yTHeadingNAm"/>
      </w:pPr>
      <w:r>
        <w:t>Table of rates for sewerage areas</w:t>
      </w:r>
    </w:p>
    <w:tbl>
      <w:tblPr>
        <w:tblW w:w="612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59"/>
        <w:gridCol w:w="1985"/>
        <w:gridCol w:w="1985"/>
      </w:tblGrid>
      <w:tr>
        <w:trPr>
          <w:cantSplit/>
          <w:tblHeader/>
        </w:trPr>
        <w:tc>
          <w:tcPr>
            <w:tcW w:w="2159" w:type="dxa"/>
            <w:tcBorders>
              <w:left w:val="nil"/>
              <w:bottom w:val="single" w:sz="4" w:space="0" w:color="auto"/>
              <w:right w:val="nil"/>
            </w:tcBorders>
            <w:noWrap/>
            <w:vAlign w:val="center"/>
          </w:tcPr>
          <w:p>
            <w:pPr>
              <w:pStyle w:val="yTableNAm"/>
            </w:pPr>
            <w:r>
              <w:rPr>
                <w:b/>
              </w:rPr>
              <w:t>Sewerage area</w:t>
            </w:r>
          </w:p>
        </w:tc>
        <w:tc>
          <w:tcPr>
            <w:tcW w:w="1985" w:type="dxa"/>
            <w:tcBorders>
              <w:left w:val="nil"/>
              <w:bottom w:val="single" w:sz="4" w:space="0" w:color="auto"/>
              <w:right w:val="nil"/>
            </w:tcBorders>
            <w:noWrap/>
            <w:vAlign w:val="center"/>
          </w:tcPr>
          <w:p>
            <w:pPr>
              <w:pStyle w:val="yTableNAm"/>
              <w:jc w:val="center"/>
            </w:pPr>
            <w:r>
              <w:rPr>
                <w:b/>
              </w:rPr>
              <w:t xml:space="preserve">Residential rate </w:t>
            </w:r>
            <w:r>
              <w:rPr>
                <w:b/>
              </w:rPr>
              <w:br/>
              <w:t>cents/$ of GRV</w:t>
            </w:r>
          </w:p>
        </w:tc>
        <w:tc>
          <w:tcPr>
            <w:tcW w:w="1985" w:type="dxa"/>
            <w:tcBorders>
              <w:left w:val="nil"/>
              <w:bottom w:val="single" w:sz="4" w:space="0" w:color="auto"/>
              <w:right w:val="nil"/>
            </w:tcBorders>
            <w:noWrap/>
            <w:vAlign w:val="center"/>
          </w:tcPr>
          <w:p>
            <w:pPr>
              <w:pStyle w:val="yTableNAm"/>
              <w:jc w:val="center"/>
            </w:pPr>
            <w:r>
              <w:rPr>
                <w:b/>
              </w:rPr>
              <w:t xml:space="preserve">Vacant land rate </w:t>
            </w:r>
            <w:r>
              <w:rPr>
                <w:b/>
              </w:rPr>
              <w:br/>
              <w:t>cents/$ of GRV</w:t>
            </w:r>
          </w:p>
        </w:tc>
      </w:tr>
      <w:tr>
        <w:trPr>
          <w:cantSplit/>
        </w:trPr>
        <w:tc>
          <w:tcPr>
            <w:tcW w:w="2159" w:type="dxa"/>
            <w:tcBorders>
              <w:top w:val="single" w:sz="4" w:space="0" w:color="auto"/>
              <w:left w:val="nil"/>
              <w:bottom w:val="nil"/>
              <w:right w:val="nil"/>
            </w:tcBorders>
            <w:noWrap/>
          </w:tcPr>
          <w:p>
            <w:pPr>
              <w:pStyle w:val="yTableNAm"/>
            </w:pPr>
            <w:r>
              <w:t>Albany</w:t>
            </w:r>
          </w:p>
        </w:tc>
        <w:tc>
          <w:tcPr>
            <w:tcW w:w="1985" w:type="dxa"/>
            <w:tcBorders>
              <w:top w:val="single" w:sz="4" w:space="0" w:color="auto"/>
              <w:left w:val="nil"/>
              <w:bottom w:val="nil"/>
              <w:right w:val="nil"/>
            </w:tcBorders>
            <w:noWrap/>
            <w:vAlign w:val="bottom"/>
          </w:tcPr>
          <w:p>
            <w:pPr>
              <w:pStyle w:val="yTableNAm"/>
              <w:ind w:right="600"/>
              <w:jc w:val="right"/>
            </w:pPr>
            <w:r>
              <w:rPr>
                <w:szCs w:val="22"/>
              </w:rPr>
              <w:t>12.774</w:t>
            </w:r>
          </w:p>
        </w:tc>
        <w:tc>
          <w:tcPr>
            <w:tcW w:w="1985" w:type="dxa"/>
            <w:tcBorders>
              <w:top w:val="single" w:sz="4" w:space="0" w:color="auto"/>
              <w:left w:val="nil"/>
              <w:bottom w:val="nil"/>
              <w:right w:val="nil"/>
            </w:tcBorders>
            <w:noWrap/>
            <w:vAlign w:val="bottom"/>
          </w:tcPr>
          <w:p>
            <w:pPr>
              <w:pStyle w:val="yTableNAm"/>
              <w:ind w:right="600"/>
              <w:jc w:val="right"/>
            </w:pPr>
            <w:r>
              <w:rPr>
                <w:szCs w:val="22"/>
              </w:rPr>
              <w:t>29.003</w:t>
            </w:r>
          </w:p>
        </w:tc>
      </w:tr>
      <w:tr>
        <w:trPr>
          <w:cantSplit/>
        </w:trPr>
        <w:tc>
          <w:tcPr>
            <w:tcW w:w="2159" w:type="dxa"/>
            <w:tcBorders>
              <w:top w:val="nil"/>
              <w:left w:val="nil"/>
              <w:bottom w:val="nil"/>
              <w:right w:val="nil"/>
            </w:tcBorders>
            <w:noWrap/>
          </w:tcPr>
          <w:p>
            <w:pPr>
              <w:pStyle w:val="yTableNAm"/>
            </w:pPr>
            <w:r>
              <w:t>Augusta</w:t>
            </w:r>
          </w:p>
        </w:tc>
        <w:tc>
          <w:tcPr>
            <w:tcW w:w="1985" w:type="dxa"/>
            <w:tcBorders>
              <w:top w:val="nil"/>
              <w:left w:val="nil"/>
              <w:bottom w:val="nil"/>
              <w:right w:val="nil"/>
            </w:tcBorders>
            <w:noWrap/>
            <w:vAlign w:val="bottom"/>
          </w:tcPr>
          <w:p>
            <w:pPr>
              <w:pStyle w:val="yTableNAm"/>
              <w:ind w:right="600"/>
              <w:jc w:val="right"/>
            </w:pPr>
            <w:r>
              <w:rPr>
                <w:szCs w:val="22"/>
              </w:rPr>
              <w:t>7.405</w:t>
            </w:r>
          </w:p>
        </w:tc>
        <w:tc>
          <w:tcPr>
            <w:tcW w:w="1985" w:type="dxa"/>
            <w:tcBorders>
              <w:top w:val="nil"/>
              <w:left w:val="nil"/>
              <w:bottom w:val="nil"/>
              <w:right w:val="nil"/>
            </w:tcBorders>
            <w:noWrap/>
            <w:vAlign w:val="bottom"/>
          </w:tcPr>
          <w:p>
            <w:pPr>
              <w:pStyle w:val="yTableNAm"/>
              <w:ind w:right="600"/>
              <w:jc w:val="right"/>
            </w:pPr>
            <w:r>
              <w:rPr>
                <w:szCs w:val="22"/>
              </w:rPr>
              <w:t>11.591</w:t>
            </w:r>
          </w:p>
        </w:tc>
      </w:tr>
      <w:tr>
        <w:trPr>
          <w:cantSplit/>
        </w:trPr>
        <w:tc>
          <w:tcPr>
            <w:tcW w:w="2159" w:type="dxa"/>
            <w:tcBorders>
              <w:top w:val="nil"/>
              <w:left w:val="nil"/>
              <w:bottom w:val="nil"/>
              <w:right w:val="nil"/>
            </w:tcBorders>
            <w:noWrap/>
          </w:tcPr>
          <w:p>
            <w:pPr>
              <w:pStyle w:val="yTableNAm"/>
            </w:pPr>
            <w:r>
              <w:t>Australind</w:t>
            </w:r>
          </w:p>
        </w:tc>
        <w:tc>
          <w:tcPr>
            <w:tcW w:w="1985" w:type="dxa"/>
            <w:tcBorders>
              <w:top w:val="nil"/>
              <w:left w:val="nil"/>
              <w:bottom w:val="nil"/>
              <w:right w:val="nil"/>
            </w:tcBorders>
            <w:noWrap/>
            <w:vAlign w:val="bottom"/>
          </w:tcPr>
          <w:p>
            <w:pPr>
              <w:pStyle w:val="yTableNAm"/>
              <w:ind w:right="600"/>
              <w:jc w:val="right"/>
            </w:pPr>
            <w:r>
              <w:rPr>
                <w:szCs w:val="22"/>
              </w:rPr>
              <w:t>5.497</w:t>
            </w:r>
          </w:p>
        </w:tc>
        <w:tc>
          <w:tcPr>
            <w:tcW w:w="1985" w:type="dxa"/>
            <w:tcBorders>
              <w:top w:val="nil"/>
              <w:left w:val="nil"/>
              <w:bottom w:val="nil"/>
              <w:right w:val="nil"/>
            </w:tcBorders>
            <w:noWrap/>
            <w:vAlign w:val="bottom"/>
          </w:tcPr>
          <w:p>
            <w:pPr>
              <w:pStyle w:val="yTableNAm"/>
              <w:ind w:right="600"/>
              <w:jc w:val="right"/>
            </w:pPr>
            <w:r>
              <w:rPr>
                <w:szCs w:val="22"/>
              </w:rPr>
              <w:t>5.550</w:t>
            </w:r>
          </w:p>
        </w:tc>
      </w:tr>
      <w:tr>
        <w:trPr>
          <w:cantSplit/>
        </w:trPr>
        <w:tc>
          <w:tcPr>
            <w:tcW w:w="2159" w:type="dxa"/>
            <w:tcBorders>
              <w:top w:val="nil"/>
              <w:left w:val="nil"/>
              <w:bottom w:val="nil"/>
              <w:right w:val="nil"/>
            </w:tcBorders>
            <w:noWrap/>
          </w:tcPr>
          <w:p>
            <w:pPr>
              <w:pStyle w:val="yTableNAm"/>
            </w:pPr>
            <w:r>
              <w:t>Beverley</w:t>
            </w:r>
          </w:p>
        </w:tc>
        <w:tc>
          <w:tcPr>
            <w:tcW w:w="1985" w:type="dxa"/>
            <w:tcBorders>
              <w:top w:val="nil"/>
              <w:left w:val="nil"/>
              <w:bottom w:val="nil"/>
              <w:right w:val="nil"/>
            </w:tcBorders>
            <w:noWrap/>
            <w:vAlign w:val="bottom"/>
          </w:tcPr>
          <w:p>
            <w:pPr>
              <w:pStyle w:val="yTableNAm"/>
              <w:ind w:right="600"/>
              <w:jc w:val="right"/>
            </w:pPr>
            <w:r>
              <w:rPr>
                <w:szCs w:val="22"/>
              </w:rPr>
              <w:t>14.319</w:t>
            </w:r>
          </w:p>
        </w:tc>
        <w:tc>
          <w:tcPr>
            <w:tcW w:w="1985" w:type="dxa"/>
            <w:tcBorders>
              <w:top w:val="nil"/>
              <w:left w:val="nil"/>
              <w:bottom w:val="nil"/>
              <w:right w:val="nil"/>
            </w:tcBorders>
            <w:noWrap/>
            <w:vAlign w:val="bottom"/>
          </w:tcPr>
          <w:p>
            <w:pPr>
              <w:pStyle w:val="yTableNAm"/>
              <w:ind w:right="600"/>
              <w:jc w:val="right"/>
            </w:pPr>
            <w:r>
              <w:rPr>
                <w:szCs w:val="22"/>
              </w:rPr>
              <w:t>51.525</w:t>
            </w:r>
          </w:p>
        </w:tc>
      </w:tr>
      <w:tr>
        <w:trPr>
          <w:cantSplit/>
        </w:trPr>
        <w:tc>
          <w:tcPr>
            <w:tcW w:w="2159" w:type="dxa"/>
            <w:tcBorders>
              <w:top w:val="nil"/>
              <w:left w:val="nil"/>
              <w:bottom w:val="nil"/>
              <w:right w:val="nil"/>
            </w:tcBorders>
            <w:noWrap/>
          </w:tcPr>
          <w:p>
            <w:pPr>
              <w:pStyle w:val="yTableNAm"/>
            </w:pPr>
            <w:r>
              <w:t>Binningup</w:t>
            </w:r>
          </w:p>
        </w:tc>
        <w:tc>
          <w:tcPr>
            <w:tcW w:w="1985" w:type="dxa"/>
            <w:tcBorders>
              <w:top w:val="nil"/>
              <w:left w:val="nil"/>
              <w:bottom w:val="nil"/>
              <w:right w:val="nil"/>
            </w:tcBorders>
            <w:noWrap/>
            <w:vAlign w:val="bottom"/>
          </w:tcPr>
          <w:p>
            <w:pPr>
              <w:pStyle w:val="yTableNAm"/>
              <w:ind w:right="600"/>
              <w:jc w:val="right"/>
            </w:pPr>
            <w:r>
              <w:rPr>
                <w:szCs w:val="22"/>
              </w:rPr>
              <w:t>10.356</w:t>
            </w:r>
          </w:p>
        </w:tc>
        <w:tc>
          <w:tcPr>
            <w:tcW w:w="1985" w:type="dxa"/>
            <w:tcBorders>
              <w:top w:val="nil"/>
              <w:left w:val="nil"/>
              <w:bottom w:val="nil"/>
              <w:right w:val="nil"/>
            </w:tcBorders>
            <w:noWrap/>
            <w:vAlign w:val="bottom"/>
          </w:tcPr>
          <w:p>
            <w:pPr>
              <w:pStyle w:val="yTableNAm"/>
              <w:ind w:right="600"/>
              <w:jc w:val="right"/>
            </w:pPr>
            <w:r>
              <w:rPr>
                <w:szCs w:val="22"/>
              </w:rPr>
              <w:t>32.303</w:t>
            </w:r>
          </w:p>
        </w:tc>
      </w:tr>
      <w:tr>
        <w:trPr>
          <w:cantSplit/>
        </w:trPr>
        <w:tc>
          <w:tcPr>
            <w:tcW w:w="2159" w:type="dxa"/>
            <w:tcBorders>
              <w:top w:val="nil"/>
              <w:left w:val="nil"/>
              <w:bottom w:val="nil"/>
              <w:right w:val="nil"/>
            </w:tcBorders>
            <w:noWrap/>
          </w:tcPr>
          <w:p>
            <w:pPr>
              <w:pStyle w:val="yTableNAm"/>
            </w:pPr>
            <w:r>
              <w:t>Boddington</w:t>
            </w:r>
          </w:p>
        </w:tc>
        <w:tc>
          <w:tcPr>
            <w:tcW w:w="1985" w:type="dxa"/>
            <w:tcBorders>
              <w:top w:val="nil"/>
              <w:left w:val="nil"/>
              <w:bottom w:val="nil"/>
              <w:right w:val="nil"/>
            </w:tcBorders>
            <w:noWrap/>
            <w:vAlign w:val="bottom"/>
          </w:tcPr>
          <w:p>
            <w:pPr>
              <w:pStyle w:val="yTableNAm"/>
              <w:ind w:right="600"/>
              <w:jc w:val="right"/>
            </w:pPr>
            <w:r>
              <w:rPr>
                <w:szCs w:val="22"/>
              </w:rPr>
              <w:t>34.379</w:t>
            </w:r>
          </w:p>
        </w:tc>
        <w:tc>
          <w:tcPr>
            <w:tcW w:w="1985" w:type="dxa"/>
            <w:tcBorders>
              <w:top w:val="nil"/>
              <w:left w:val="nil"/>
              <w:bottom w:val="nil"/>
              <w:right w:val="nil"/>
            </w:tcBorders>
            <w:noWrap/>
            <w:vAlign w:val="bottom"/>
          </w:tcPr>
          <w:p>
            <w:pPr>
              <w:pStyle w:val="yTableNAm"/>
              <w:ind w:right="600"/>
              <w:jc w:val="right"/>
            </w:pPr>
            <w:r>
              <w:rPr>
                <w:szCs w:val="22"/>
              </w:rPr>
              <w:t>250.758</w:t>
            </w:r>
          </w:p>
        </w:tc>
      </w:tr>
      <w:tr>
        <w:trPr>
          <w:cantSplit/>
        </w:trPr>
        <w:tc>
          <w:tcPr>
            <w:tcW w:w="2159" w:type="dxa"/>
            <w:tcBorders>
              <w:top w:val="nil"/>
              <w:left w:val="nil"/>
              <w:bottom w:val="nil"/>
              <w:right w:val="nil"/>
            </w:tcBorders>
            <w:noWrap/>
          </w:tcPr>
          <w:p>
            <w:pPr>
              <w:pStyle w:val="yTableNAm"/>
            </w:pPr>
            <w:r>
              <w:t>Boyanup</w:t>
            </w:r>
          </w:p>
        </w:tc>
        <w:tc>
          <w:tcPr>
            <w:tcW w:w="1985" w:type="dxa"/>
            <w:tcBorders>
              <w:top w:val="nil"/>
              <w:left w:val="nil"/>
              <w:bottom w:val="nil"/>
              <w:right w:val="nil"/>
            </w:tcBorders>
            <w:noWrap/>
            <w:vAlign w:val="bottom"/>
          </w:tcPr>
          <w:p>
            <w:pPr>
              <w:pStyle w:val="yTableNAm"/>
              <w:ind w:right="600"/>
              <w:jc w:val="right"/>
            </w:pPr>
            <w:r>
              <w:rPr>
                <w:szCs w:val="22"/>
              </w:rPr>
              <w:t>10.134</w:t>
            </w:r>
          </w:p>
        </w:tc>
        <w:tc>
          <w:tcPr>
            <w:tcW w:w="1985" w:type="dxa"/>
            <w:tcBorders>
              <w:top w:val="nil"/>
              <w:left w:val="nil"/>
              <w:bottom w:val="nil"/>
              <w:right w:val="nil"/>
            </w:tcBorders>
            <w:noWrap/>
            <w:vAlign w:val="bottom"/>
          </w:tcPr>
          <w:p>
            <w:pPr>
              <w:pStyle w:val="yTableNAm"/>
              <w:ind w:right="600"/>
              <w:jc w:val="right"/>
            </w:pPr>
            <w:r>
              <w:rPr>
                <w:szCs w:val="22"/>
              </w:rPr>
              <w:t>26.070</w:t>
            </w:r>
          </w:p>
        </w:tc>
      </w:tr>
      <w:tr>
        <w:trPr>
          <w:cantSplit/>
        </w:trPr>
        <w:tc>
          <w:tcPr>
            <w:tcW w:w="2159" w:type="dxa"/>
            <w:tcBorders>
              <w:top w:val="nil"/>
              <w:left w:val="nil"/>
              <w:bottom w:val="nil"/>
              <w:right w:val="nil"/>
            </w:tcBorders>
            <w:noWrap/>
          </w:tcPr>
          <w:p>
            <w:pPr>
              <w:pStyle w:val="yTableNAm"/>
            </w:pPr>
            <w:r>
              <w:t>Bremer Bay</w:t>
            </w:r>
          </w:p>
        </w:tc>
        <w:tc>
          <w:tcPr>
            <w:tcW w:w="1985" w:type="dxa"/>
            <w:tcBorders>
              <w:top w:val="nil"/>
              <w:left w:val="nil"/>
              <w:bottom w:val="nil"/>
              <w:right w:val="nil"/>
            </w:tcBorders>
            <w:noWrap/>
            <w:vAlign w:val="bottom"/>
          </w:tcPr>
          <w:p>
            <w:pPr>
              <w:pStyle w:val="yTableNAm"/>
              <w:ind w:right="600"/>
              <w:jc w:val="right"/>
            </w:pPr>
            <w:r>
              <w:rPr>
                <w:szCs w:val="22"/>
              </w:rPr>
              <w:t>13.525</w:t>
            </w:r>
          </w:p>
        </w:tc>
        <w:tc>
          <w:tcPr>
            <w:tcW w:w="1985" w:type="dxa"/>
            <w:tcBorders>
              <w:top w:val="nil"/>
              <w:left w:val="nil"/>
              <w:bottom w:val="nil"/>
              <w:right w:val="nil"/>
            </w:tcBorders>
            <w:noWrap/>
            <w:vAlign w:val="bottom"/>
          </w:tcPr>
          <w:p>
            <w:pPr>
              <w:pStyle w:val="yTableNAm"/>
              <w:ind w:right="600"/>
              <w:jc w:val="right"/>
            </w:pPr>
            <w:r>
              <w:rPr>
                <w:szCs w:val="22"/>
              </w:rPr>
              <w:t>19.528</w:t>
            </w:r>
          </w:p>
        </w:tc>
      </w:tr>
      <w:tr>
        <w:trPr>
          <w:cantSplit/>
        </w:trPr>
        <w:tc>
          <w:tcPr>
            <w:tcW w:w="2159" w:type="dxa"/>
            <w:tcBorders>
              <w:top w:val="nil"/>
              <w:left w:val="nil"/>
              <w:bottom w:val="nil"/>
              <w:right w:val="nil"/>
            </w:tcBorders>
            <w:noWrap/>
          </w:tcPr>
          <w:p>
            <w:pPr>
              <w:pStyle w:val="yTableNAm"/>
            </w:pPr>
            <w:r>
              <w:t>Bridgetown</w:t>
            </w:r>
          </w:p>
        </w:tc>
        <w:tc>
          <w:tcPr>
            <w:tcW w:w="1985" w:type="dxa"/>
            <w:tcBorders>
              <w:top w:val="nil"/>
              <w:left w:val="nil"/>
              <w:bottom w:val="nil"/>
              <w:right w:val="nil"/>
            </w:tcBorders>
            <w:noWrap/>
            <w:vAlign w:val="bottom"/>
          </w:tcPr>
          <w:p>
            <w:pPr>
              <w:pStyle w:val="yTableNAm"/>
              <w:ind w:right="600"/>
              <w:jc w:val="right"/>
            </w:pPr>
            <w:r>
              <w:rPr>
                <w:szCs w:val="22"/>
              </w:rPr>
              <w:t>36.596</w:t>
            </w:r>
          </w:p>
        </w:tc>
        <w:tc>
          <w:tcPr>
            <w:tcW w:w="1985" w:type="dxa"/>
            <w:tcBorders>
              <w:top w:val="nil"/>
              <w:left w:val="nil"/>
              <w:bottom w:val="nil"/>
              <w:right w:val="nil"/>
            </w:tcBorders>
            <w:noWrap/>
            <w:vAlign w:val="bottom"/>
          </w:tcPr>
          <w:p>
            <w:pPr>
              <w:pStyle w:val="yTableNAm"/>
              <w:ind w:right="600"/>
              <w:jc w:val="right"/>
            </w:pPr>
            <w:r>
              <w:rPr>
                <w:szCs w:val="22"/>
              </w:rPr>
              <w:t>166.986</w:t>
            </w:r>
          </w:p>
        </w:tc>
      </w:tr>
      <w:tr>
        <w:trPr>
          <w:cantSplit/>
        </w:trPr>
        <w:tc>
          <w:tcPr>
            <w:tcW w:w="2159" w:type="dxa"/>
            <w:tcBorders>
              <w:top w:val="nil"/>
              <w:left w:val="nil"/>
              <w:bottom w:val="nil"/>
              <w:right w:val="nil"/>
            </w:tcBorders>
            <w:noWrap/>
          </w:tcPr>
          <w:p>
            <w:pPr>
              <w:pStyle w:val="yTableNAm"/>
            </w:pPr>
            <w:r>
              <w:t>Broome</w:t>
            </w:r>
          </w:p>
        </w:tc>
        <w:tc>
          <w:tcPr>
            <w:tcW w:w="1985" w:type="dxa"/>
            <w:tcBorders>
              <w:top w:val="nil"/>
              <w:left w:val="nil"/>
              <w:bottom w:val="nil"/>
              <w:right w:val="nil"/>
            </w:tcBorders>
            <w:noWrap/>
            <w:vAlign w:val="bottom"/>
          </w:tcPr>
          <w:p>
            <w:pPr>
              <w:pStyle w:val="yTableNAm"/>
              <w:ind w:right="600"/>
              <w:jc w:val="right"/>
            </w:pPr>
            <w:r>
              <w:rPr>
                <w:szCs w:val="22"/>
              </w:rPr>
              <w:t>9.172</w:t>
            </w:r>
          </w:p>
        </w:tc>
        <w:tc>
          <w:tcPr>
            <w:tcW w:w="1985" w:type="dxa"/>
            <w:tcBorders>
              <w:top w:val="nil"/>
              <w:left w:val="nil"/>
              <w:bottom w:val="nil"/>
              <w:right w:val="nil"/>
            </w:tcBorders>
            <w:noWrap/>
            <w:vAlign w:val="bottom"/>
          </w:tcPr>
          <w:p>
            <w:pPr>
              <w:pStyle w:val="yTableNAm"/>
              <w:ind w:right="600"/>
              <w:jc w:val="right"/>
            </w:pPr>
            <w:r>
              <w:rPr>
                <w:szCs w:val="22"/>
              </w:rPr>
              <w:t>20.798</w:t>
            </w:r>
          </w:p>
        </w:tc>
      </w:tr>
      <w:tr>
        <w:trPr>
          <w:cantSplit/>
        </w:trPr>
        <w:tc>
          <w:tcPr>
            <w:tcW w:w="2159" w:type="dxa"/>
            <w:tcBorders>
              <w:top w:val="nil"/>
              <w:left w:val="nil"/>
              <w:bottom w:val="nil"/>
              <w:right w:val="nil"/>
            </w:tcBorders>
            <w:noWrap/>
          </w:tcPr>
          <w:p>
            <w:pPr>
              <w:pStyle w:val="yTableNAm"/>
            </w:pPr>
            <w:r>
              <w:t>Brunswick</w:t>
            </w:r>
          </w:p>
        </w:tc>
        <w:tc>
          <w:tcPr>
            <w:tcW w:w="1985" w:type="dxa"/>
            <w:tcBorders>
              <w:top w:val="nil"/>
              <w:left w:val="nil"/>
              <w:bottom w:val="nil"/>
              <w:right w:val="nil"/>
            </w:tcBorders>
            <w:noWrap/>
            <w:vAlign w:val="bottom"/>
          </w:tcPr>
          <w:p>
            <w:pPr>
              <w:pStyle w:val="yTableNAm"/>
              <w:ind w:right="600"/>
              <w:jc w:val="right"/>
            </w:pPr>
            <w:r>
              <w:rPr>
                <w:szCs w:val="22"/>
              </w:rPr>
              <w:t>11.875</w:t>
            </w:r>
          </w:p>
        </w:tc>
        <w:tc>
          <w:tcPr>
            <w:tcW w:w="1985" w:type="dxa"/>
            <w:tcBorders>
              <w:top w:val="nil"/>
              <w:left w:val="nil"/>
              <w:bottom w:val="nil"/>
              <w:right w:val="nil"/>
            </w:tcBorders>
            <w:noWrap/>
            <w:vAlign w:val="bottom"/>
          </w:tcPr>
          <w:p>
            <w:pPr>
              <w:pStyle w:val="yTableNAm"/>
              <w:ind w:right="600"/>
              <w:jc w:val="right"/>
            </w:pPr>
            <w:r>
              <w:rPr>
                <w:szCs w:val="22"/>
              </w:rPr>
              <w:t>27.181</w:t>
            </w:r>
          </w:p>
        </w:tc>
      </w:tr>
      <w:tr>
        <w:trPr>
          <w:cantSplit/>
        </w:trPr>
        <w:tc>
          <w:tcPr>
            <w:tcW w:w="2159" w:type="dxa"/>
            <w:tcBorders>
              <w:top w:val="nil"/>
              <w:left w:val="nil"/>
              <w:bottom w:val="nil"/>
              <w:right w:val="nil"/>
            </w:tcBorders>
            <w:noWrap/>
          </w:tcPr>
          <w:p>
            <w:pPr>
              <w:pStyle w:val="yTableNAm"/>
            </w:pPr>
            <w:r>
              <w:t>Bruce Rock</w:t>
            </w:r>
          </w:p>
        </w:tc>
        <w:tc>
          <w:tcPr>
            <w:tcW w:w="1985" w:type="dxa"/>
            <w:tcBorders>
              <w:top w:val="nil"/>
              <w:left w:val="nil"/>
              <w:bottom w:val="nil"/>
              <w:right w:val="nil"/>
            </w:tcBorders>
            <w:noWrap/>
            <w:vAlign w:val="bottom"/>
          </w:tcPr>
          <w:p>
            <w:pPr>
              <w:pStyle w:val="yTableNAm"/>
              <w:ind w:right="600"/>
              <w:jc w:val="right"/>
            </w:pPr>
            <w:r>
              <w:rPr>
                <w:szCs w:val="22"/>
              </w:rPr>
              <w:t>67.700</w:t>
            </w:r>
          </w:p>
        </w:tc>
        <w:tc>
          <w:tcPr>
            <w:tcW w:w="1985" w:type="dxa"/>
            <w:tcBorders>
              <w:top w:val="nil"/>
              <w:left w:val="nil"/>
              <w:bottom w:val="nil"/>
              <w:right w:val="nil"/>
            </w:tcBorders>
            <w:noWrap/>
            <w:vAlign w:val="bottom"/>
          </w:tcPr>
          <w:p>
            <w:pPr>
              <w:pStyle w:val="yTableNAm"/>
              <w:ind w:right="600"/>
              <w:jc w:val="right"/>
            </w:pPr>
            <w:r>
              <w:rPr>
                <w:szCs w:val="22"/>
              </w:rPr>
              <w:t>448.389</w:t>
            </w:r>
          </w:p>
        </w:tc>
      </w:tr>
      <w:tr>
        <w:trPr>
          <w:cantSplit/>
        </w:trPr>
        <w:tc>
          <w:tcPr>
            <w:tcW w:w="2159" w:type="dxa"/>
            <w:tcBorders>
              <w:top w:val="nil"/>
              <w:left w:val="nil"/>
              <w:bottom w:val="nil"/>
              <w:right w:val="nil"/>
            </w:tcBorders>
            <w:noWrap/>
          </w:tcPr>
          <w:p>
            <w:pPr>
              <w:pStyle w:val="yTableNAm"/>
            </w:pPr>
            <w:r>
              <w:t>Bunbury</w:t>
            </w:r>
          </w:p>
        </w:tc>
        <w:tc>
          <w:tcPr>
            <w:tcW w:w="1985" w:type="dxa"/>
            <w:tcBorders>
              <w:top w:val="nil"/>
              <w:left w:val="nil"/>
              <w:bottom w:val="nil"/>
              <w:right w:val="nil"/>
            </w:tcBorders>
            <w:noWrap/>
            <w:vAlign w:val="bottom"/>
          </w:tcPr>
          <w:p>
            <w:pPr>
              <w:pStyle w:val="yTableNAm"/>
              <w:ind w:right="600"/>
              <w:jc w:val="right"/>
            </w:pPr>
            <w:r>
              <w:rPr>
                <w:szCs w:val="22"/>
              </w:rPr>
              <w:t>10.531</w:t>
            </w:r>
          </w:p>
        </w:tc>
        <w:tc>
          <w:tcPr>
            <w:tcW w:w="1985" w:type="dxa"/>
            <w:tcBorders>
              <w:top w:val="nil"/>
              <w:left w:val="nil"/>
              <w:bottom w:val="nil"/>
              <w:right w:val="nil"/>
            </w:tcBorders>
            <w:noWrap/>
            <w:vAlign w:val="bottom"/>
          </w:tcPr>
          <w:p>
            <w:pPr>
              <w:pStyle w:val="yTableNAm"/>
              <w:ind w:right="600"/>
              <w:jc w:val="right"/>
            </w:pPr>
            <w:r>
              <w:rPr>
                <w:szCs w:val="22"/>
              </w:rPr>
              <w:t>14.003</w:t>
            </w:r>
          </w:p>
        </w:tc>
      </w:tr>
      <w:tr>
        <w:trPr>
          <w:cantSplit/>
        </w:trPr>
        <w:tc>
          <w:tcPr>
            <w:tcW w:w="2159" w:type="dxa"/>
            <w:tcBorders>
              <w:top w:val="nil"/>
              <w:left w:val="nil"/>
              <w:bottom w:val="nil"/>
              <w:right w:val="nil"/>
            </w:tcBorders>
            <w:noWrap/>
          </w:tcPr>
          <w:p>
            <w:pPr>
              <w:pStyle w:val="yTableNAm"/>
            </w:pPr>
            <w:r>
              <w:t>Burekup</w:t>
            </w:r>
          </w:p>
        </w:tc>
        <w:tc>
          <w:tcPr>
            <w:tcW w:w="1985" w:type="dxa"/>
            <w:tcBorders>
              <w:top w:val="nil"/>
              <w:left w:val="nil"/>
              <w:bottom w:val="nil"/>
              <w:right w:val="nil"/>
            </w:tcBorders>
            <w:noWrap/>
            <w:vAlign w:val="bottom"/>
          </w:tcPr>
          <w:p>
            <w:pPr>
              <w:pStyle w:val="yTableNAm"/>
              <w:ind w:right="600"/>
              <w:jc w:val="right"/>
            </w:pPr>
            <w:r>
              <w:rPr>
                <w:szCs w:val="22"/>
              </w:rPr>
              <w:t>9.125</w:t>
            </w:r>
          </w:p>
        </w:tc>
        <w:tc>
          <w:tcPr>
            <w:tcW w:w="1985" w:type="dxa"/>
            <w:tcBorders>
              <w:top w:val="nil"/>
              <w:left w:val="nil"/>
              <w:bottom w:val="nil"/>
              <w:right w:val="nil"/>
            </w:tcBorders>
            <w:noWrap/>
            <w:vAlign w:val="bottom"/>
          </w:tcPr>
          <w:p>
            <w:pPr>
              <w:pStyle w:val="yTableNAm"/>
              <w:ind w:right="600"/>
              <w:jc w:val="right"/>
            </w:pPr>
            <w:r>
              <w:rPr>
                <w:szCs w:val="22"/>
              </w:rPr>
              <w:t>8.774</w:t>
            </w:r>
          </w:p>
        </w:tc>
      </w:tr>
      <w:tr>
        <w:trPr>
          <w:cantSplit/>
        </w:trPr>
        <w:tc>
          <w:tcPr>
            <w:tcW w:w="2159" w:type="dxa"/>
            <w:tcBorders>
              <w:top w:val="nil"/>
              <w:left w:val="nil"/>
              <w:bottom w:val="nil"/>
              <w:right w:val="nil"/>
            </w:tcBorders>
            <w:noWrap/>
          </w:tcPr>
          <w:p>
            <w:pPr>
              <w:pStyle w:val="yTableNAm"/>
            </w:pPr>
            <w:r>
              <w:t>Busselton</w:t>
            </w:r>
          </w:p>
        </w:tc>
        <w:tc>
          <w:tcPr>
            <w:tcW w:w="1985" w:type="dxa"/>
            <w:tcBorders>
              <w:top w:val="nil"/>
              <w:left w:val="nil"/>
              <w:bottom w:val="nil"/>
              <w:right w:val="nil"/>
            </w:tcBorders>
            <w:noWrap/>
            <w:vAlign w:val="bottom"/>
          </w:tcPr>
          <w:p>
            <w:pPr>
              <w:pStyle w:val="yTableNAm"/>
              <w:ind w:right="600"/>
              <w:jc w:val="right"/>
            </w:pPr>
            <w:r>
              <w:rPr>
                <w:szCs w:val="22"/>
              </w:rPr>
              <w:t>5.532</w:t>
            </w:r>
          </w:p>
        </w:tc>
        <w:tc>
          <w:tcPr>
            <w:tcW w:w="1985" w:type="dxa"/>
            <w:tcBorders>
              <w:top w:val="nil"/>
              <w:left w:val="nil"/>
              <w:bottom w:val="nil"/>
              <w:right w:val="nil"/>
            </w:tcBorders>
            <w:noWrap/>
            <w:vAlign w:val="bottom"/>
          </w:tcPr>
          <w:p>
            <w:pPr>
              <w:pStyle w:val="yTableNAm"/>
              <w:ind w:right="600"/>
              <w:jc w:val="right"/>
            </w:pPr>
            <w:r>
              <w:rPr>
                <w:szCs w:val="22"/>
              </w:rPr>
              <w:t>5.160</w:t>
            </w:r>
          </w:p>
        </w:tc>
      </w:tr>
      <w:tr>
        <w:trPr>
          <w:cantSplit/>
        </w:trPr>
        <w:tc>
          <w:tcPr>
            <w:tcW w:w="2159" w:type="dxa"/>
            <w:tcBorders>
              <w:top w:val="nil"/>
              <w:left w:val="nil"/>
              <w:bottom w:val="nil"/>
              <w:right w:val="nil"/>
            </w:tcBorders>
            <w:noWrap/>
          </w:tcPr>
          <w:p>
            <w:pPr>
              <w:pStyle w:val="yTableNAm"/>
            </w:pPr>
            <w:r>
              <w:lastRenderedPageBreak/>
              <w:t>Capel</w:t>
            </w:r>
          </w:p>
        </w:tc>
        <w:tc>
          <w:tcPr>
            <w:tcW w:w="1985" w:type="dxa"/>
            <w:tcBorders>
              <w:top w:val="nil"/>
              <w:left w:val="nil"/>
              <w:bottom w:val="nil"/>
              <w:right w:val="nil"/>
            </w:tcBorders>
            <w:noWrap/>
            <w:vAlign w:val="bottom"/>
          </w:tcPr>
          <w:p>
            <w:pPr>
              <w:pStyle w:val="yTableNAm"/>
              <w:ind w:right="600"/>
              <w:jc w:val="right"/>
            </w:pPr>
            <w:r>
              <w:rPr>
                <w:szCs w:val="22"/>
              </w:rPr>
              <w:t>7.164</w:t>
            </w:r>
          </w:p>
        </w:tc>
        <w:tc>
          <w:tcPr>
            <w:tcW w:w="1985" w:type="dxa"/>
            <w:tcBorders>
              <w:top w:val="nil"/>
              <w:left w:val="nil"/>
              <w:bottom w:val="nil"/>
              <w:right w:val="nil"/>
            </w:tcBorders>
            <w:noWrap/>
            <w:vAlign w:val="bottom"/>
          </w:tcPr>
          <w:p>
            <w:pPr>
              <w:pStyle w:val="yTableNAm"/>
              <w:ind w:right="600"/>
              <w:jc w:val="right"/>
            </w:pPr>
            <w:r>
              <w:rPr>
                <w:szCs w:val="22"/>
              </w:rPr>
              <w:t>12.055</w:t>
            </w:r>
          </w:p>
        </w:tc>
      </w:tr>
      <w:tr>
        <w:trPr>
          <w:cantSplit/>
        </w:trPr>
        <w:tc>
          <w:tcPr>
            <w:tcW w:w="2159" w:type="dxa"/>
            <w:tcBorders>
              <w:top w:val="nil"/>
              <w:left w:val="nil"/>
              <w:bottom w:val="nil"/>
              <w:right w:val="nil"/>
            </w:tcBorders>
            <w:noWrap/>
          </w:tcPr>
          <w:p>
            <w:pPr>
              <w:pStyle w:val="yTableNAm"/>
            </w:pPr>
            <w:r>
              <w:t>Carnarvon</w:t>
            </w:r>
          </w:p>
        </w:tc>
        <w:tc>
          <w:tcPr>
            <w:tcW w:w="1985" w:type="dxa"/>
            <w:tcBorders>
              <w:top w:val="nil"/>
              <w:left w:val="nil"/>
              <w:bottom w:val="nil"/>
              <w:right w:val="nil"/>
            </w:tcBorders>
            <w:noWrap/>
            <w:vAlign w:val="bottom"/>
          </w:tcPr>
          <w:p>
            <w:pPr>
              <w:pStyle w:val="yTableNAm"/>
              <w:ind w:right="600"/>
              <w:jc w:val="right"/>
            </w:pPr>
            <w:r>
              <w:rPr>
                <w:szCs w:val="22"/>
              </w:rPr>
              <w:t>10.388</w:t>
            </w:r>
          </w:p>
        </w:tc>
        <w:tc>
          <w:tcPr>
            <w:tcW w:w="1985" w:type="dxa"/>
            <w:tcBorders>
              <w:top w:val="nil"/>
              <w:left w:val="nil"/>
              <w:bottom w:val="nil"/>
              <w:right w:val="nil"/>
            </w:tcBorders>
            <w:noWrap/>
            <w:vAlign w:val="bottom"/>
          </w:tcPr>
          <w:p>
            <w:pPr>
              <w:pStyle w:val="yTableNAm"/>
              <w:ind w:right="600"/>
              <w:jc w:val="right"/>
            </w:pPr>
            <w:r>
              <w:rPr>
                <w:szCs w:val="22"/>
              </w:rPr>
              <w:t>24.933</w:t>
            </w:r>
          </w:p>
        </w:tc>
      </w:tr>
      <w:tr>
        <w:trPr>
          <w:cantSplit/>
        </w:trPr>
        <w:tc>
          <w:tcPr>
            <w:tcW w:w="2159" w:type="dxa"/>
            <w:tcBorders>
              <w:top w:val="nil"/>
              <w:left w:val="nil"/>
              <w:bottom w:val="nil"/>
              <w:right w:val="nil"/>
            </w:tcBorders>
            <w:noWrap/>
          </w:tcPr>
          <w:p>
            <w:pPr>
              <w:pStyle w:val="yTableNAm"/>
            </w:pPr>
            <w:r>
              <w:t>Cervantes</w:t>
            </w:r>
          </w:p>
        </w:tc>
        <w:tc>
          <w:tcPr>
            <w:tcW w:w="1985" w:type="dxa"/>
            <w:tcBorders>
              <w:top w:val="nil"/>
              <w:left w:val="nil"/>
              <w:bottom w:val="nil"/>
              <w:right w:val="nil"/>
            </w:tcBorders>
            <w:noWrap/>
            <w:vAlign w:val="bottom"/>
          </w:tcPr>
          <w:p>
            <w:pPr>
              <w:pStyle w:val="yTableNAm"/>
              <w:ind w:right="600"/>
              <w:jc w:val="right"/>
            </w:pPr>
            <w:r>
              <w:rPr>
                <w:szCs w:val="22"/>
              </w:rPr>
              <w:t>9.839</w:t>
            </w:r>
          </w:p>
        </w:tc>
        <w:tc>
          <w:tcPr>
            <w:tcW w:w="1985" w:type="dxa"/>
            <w:tcBorders>
              <w:top w:val="nil"/>
              <w:left w:val="nil"/>
              <w:bottom w:val="nil"/>
              <w:right w:val="nil"/>
            </w:tcBorders>
            <w:noWrap/>
            <w:vAlign w:val="bottom"/>
          </w:tcPr>
          <w:p>
            <w:pPr>
              <w:pStyle w:val="yTableNAm"/>
              <w:ind w:right="600"/>
              <w:jc w:val="right"/>
            </w:pPr>
            <w:r>
              <w:rPr>
                <w:szCs w:val="22"/>
              </w:rPr>
              <w:t>17.490</w:t>
            </w:r>
          </w:p>
        </w:tc>
      </w:tr>
      <w:tr>
        <w:trPr>
          <w:cantSplit/>
        </w:trPr>
        <w:tc>
          <w:tcPr>
            <w:tcW w:w="2159" w:type="dxa"/>
            <w:tcBorders>
              <w:top w:val="nil"/>
              <w:left w:val="nil"/>
              <w:bottom w:val="nil"/>
              <w:right w:val="nil"/>
            </w:tcBorders>
            <w:noWrap/>
          </w:tcPr>
          <w:p>
            <w:pPr>
              <w:pStyle w:val="yTableNAm"/>
            </w:pPr>
            <w:r>
              <w:t>Collie</w:t>
            </w:r>
          </w:p>
        </w:tc>
        <w:tc>
          <w:tcPr>
            <w:tcW w:w="1985" w:type="dxa"/>
            <w:tcBorders>
              <w:top w:val="nil"/>
              <w:left w:val="nil"/>
              <w:bottom w:val="nil"/>
              <w:right w:val="nil"/>
            </w:tcBorders>
            <w:noWrap/>
            <w:vAlign w:val="bottom"/>
          </w:tcPr>
          <w:p>
            <w:pPr>
              <w:pStyle w:val="yTableNAm"/>
              <w:ind w:right="600"/>
              <w:jc w:val="right"/>
            </w:pPr>
            <w:r>
              <w:rPr>
                <w:szCs w:val="22"/>
              </w:rPr>
              <w:t>13.881</w:t>
            </w:r>
          </w:p>
        </w:tc>
        <w:tc>
          <w:tcPr>
            <w:tcW w:w="1985" w:type="dxa"/>
            <w:tcBorders>
              <w:top w:val="nil"/>
              <w:left w:val="nil"/>
              <w:bottom w:val="nil"/>
              <w:right w:val="nil"/>
            </w:tcBorders>
            <w:noWrap/>
            <w:vAlign w:val="bottom"/>
          </w:tcPr>
          <w:p>
            <w:pPr>
              <w:pStyle w:val="yTableNAm"/>
              <w:ind w:right="600"/>
              <w:jc w:val="right"/>
            </w:pPr>
            <w:r>
              <w:rPr>
                <w:szCs w:val="22"/>
              </w:rPr>
              <w:t>43.622</w:t>
            </w:r>
          </w:p>
        </w:tc>
      </w:tr>
      <w:tr>
        <w:trPr>
          <w:cantSplit/>
        </w:trPr>
        <w:tc>
          <w:tcPr>
            <w:tcW w:w="2159" w:type="dxa"/>
            <w:tcBorders>
              <w:top w:val="nil"/>
              <w:left w:val="nil"/>
              <w:bottom w:val="nil"/>
              <w:right w:val="nil"/>
            </w:tcBorders>
            <w:noWrap/>
          </w:tcPr>
          <w:p>
            <w:pPr>
              <w:pStyle w:val="yTableNAm"/>
            </w:pPr>
            <w:r>
              <w:t>Coral Bay</w:t>
            </w:r>
          </w:p>
        </w:tc>
        <w:tc>
          <w:tcPr>
            <w:tcW w:w="1985" w:type="dxa"/>
            <w:tcBorders>
              <w:top w:val="nil"/>
              <w:left w:val="nil"/>
              <w:bottom w:val="nil"/>
              <w:right w:val="nil"/>
            </w:tcBorders>
            <w:noWrap/>
            <w:vAlign w:val="bottom"/>
          </w:tcPr>
          <w:p>
            <w:pPr>
              <w:pStyle w:val="yTableNAm"/>
              <w:ind w:right="600"/>
              <w:jc w:val="right"/>
            </w:pPr>
            <w:r>
              <w:rPr>
                <w:szCs w:val="22"/>
              </w:rPr>
              <w:t>228.052</w:t>
            </w:r>
          </w:p>
        </w:tc>
        <w:tc>
          <w:tcPr>
            <w:tcW w:w="1985" w:type="dxa"/>
            <w:tcBorders>
              <w:top w:val="nil"/>
              <w:left w:val="nil"/>
              <w:bottom w:val="nil"/>
              <w:right w:val="nil"/>
            </w:tcBorders>
            <w:noWrap/>
            <w:vAlign w:val="bottom"/>
          </w:tcPr>
          <w:p>
            <w:pPr>
              <w:pStyle w:val="yTableNAm"/>
              <w:ind w:right="600"/>
              <w:jc w:val="right"/>
            </w:pPr>
            <w:r>
              <w:rPr>
                <w:szCs w:val="22"/>
              </w:rPr>
              <w:t>1 145.013</w:t>
            </w:r>
          </w:p>
        </w:tc>
      </w:tr>
      <w:tr>
        <w:trPr>
          <w:cantSplit/>
        </w:trPr>
        <w:tc>
          <w:tcPr>
            <w:tcW w:w="2159" w:type="dxa"/>
            <w:tcBorders>
              <w:top w:val="nil"/>
              <w:left w:val="nil"/>
              <w:bottom w:val="nil"/>
              <w:right w:val="nil"/>
            </w:tcBorders>
            <w:noWrap/>
          </w:tcPr>
          <w:p>
            <w:pPr>
              <w:pStyle w:val="yTableNAm"/>
            </w:pPr>
            <w:r>
              <w:t>Corrigin</w:t>
            </w:r>
          </w:p>
        </w:tc>
        <w:tc>
          <w:tcPr>
            <w:tcW w:w="1985" w:type="dxa"/>
            <w:tcBorders>
              <w:top w:val="nil"/>
              <w:left w:val="nil"/>
              <w:bottom w:val="nil"/>
              <w:right w:val="nil"/>
            </w:tcBorders>
            <w:noWrap/>
            <w:vAlign w:val="bottom"/>
          </w:tcPr>
          <w:p>
            <w:pPr>
              <w:pStyle w:val="yTableNAm"/>
              <w:ind w:right="600"/>
              <w:jc w:val="right"/>
            </w:pPr>
            <w:r>
              <w:rPr>
                <w:szCs w:val="22"/>
              </w:rPr>
              <w:t>26.950</w:t>
            </w:r>
          </w:p>
        </w:tc>
        <w:tc>
          <w:tcPr>
            <w:tcW w:w="1985" w:type="dxa"/>
            <w:tcBorders>
              <w:top w:val="nil"/>
              <w:left w:val="nil"/>
              <w:bottom w:val="nil"/>
              <w:right w:val="nil"/>
            </w:tcBorders>
            <w:noWrap/>
            <w:vAlign w:val="bottom"/>
          </w:tcPr>
          <w:p>
            <w:pPr>
              <w:pStyle w:val="yTableNAm"/>
              <w:ind w:right="600"/>
              <w:jc w:val="right"/>
            </w:pPr>
            <w:r>
              <w:rPr>
                <w:szCs w:val="22"/>
              </w:rPr>
              <w:t>181.208</w:t>
            </w:r>
          </w:p>
        </w:tc>
      </w:tr>
      <w:tr>
        <w:trPr>
          <w:cantSplit/>
        </w:trPr>
        <w:tc>
          <w:tcPr>
            <w:tcW w:w="2159" w:type="dxa"/>
            <w:tcBorders>
              <w:top w:val="nil"/>
              <w:left w:val="nil"/>
              <w:bottom w:val="nil"/>
              <w:right w:val="nil"/>
            </w:tcBorders>
            <w:noWrap/>
          </w:tcPr>
          <w:p>
            <w:pPr>
              <w:pStyle w:val="yTableNAm"/>
            </w:pPr>
            <w:r>
              <w:t>Cowaramup</w:t>
            </w:r>
          </w:p>
        </w:tc>
        <w:tc>
          <w:tcPr>
            <w:tcW w:w="1985" w:type="dxa"/>
            <w:tcBorders>
              <w:top w:val="nil"/>
              <w:left w:val="nil"/>
              <w:bottom w:val="nil"/>
              <w:right w:val="nil"/>
            </w:tcBorders>
            <w:noWrap/>
            <w:vAlign w:val="bottom"/>
          </w:tcPr>
          <w:p>
            <w:pPr>
              <w:pStyle w:val="yTableNAm"/>
              <w:ind w:right="600"/>
              <w:jc w:val="right"/>
            </w:pPr>
            <w:r>
              <w:rPr>
                <w:szCs w:val="22"/>
              </w:rPr>
              <w:t>4.559</w:t>
            </w:r>
          </w:p>
        </w:tc>
        <w:tc>
          <w:tcPr>
            <w:tcW w:w="1985" w:type="dxa"/>
            <w:tcBorders>
              <w:top w:val="nil"/>
              <w:left w:val="nil"/>
              <w:bottom w:val="nil"/>
              <w:right w:val="nil"/>
            </w:tcBorders>
            <w:noWrap/>
            <w:vAlign w:val="bottom"/>
          </w:tcPr>
          <w:p>
            <w:pPr>
              <w:pStyle w:val="yTableNAm"/>
              <w:ind w:right="600"/>
              <w:jc w:val="right"/>
            </w:pPr>
            <w:r>
              <w:rPr>
                <w:szCs w:val="22"/>
              </w:rPr>
              <w:t>3.863</w:t>
            </w:r>
          </w:p>
        </w:tc>
      </w:tr>
      <w:tr>
        <w:trPr>
          <w:cantSplit/>
        </w:trPr>
        <w:tc>
          <w:tcPr>
            <w:tcW w:w="2159" w:type="dxa"/>
            <w:tcBorders>
              <w:top w:val="nil"/>
              <w:left w:val="nil"/>
              <w:bottom w:val="nil"/>
              <w:right w:val="nil"/>
            </w:tcBorders>
            <w:noWrap/>
          </w:tcPr>
          <w:p>
            <w:pPr>
              <w:pStyle w:val="yTableNAm"/>
            </w:pPr>
            <w:r>
              <w:t>Cranbrook</w:t>
            </w:r>
          </w:p>
        </w:tc>
        <w:tc>
          <w:tcPr>
            <w:tcW w:w="1985" w:type="dxa"/>
            <w:tcBorders>
              <w:top w:val="nil"/>
              <w:left w:val="nil"/>
              <w:bottom w:val="nil"/>
              <w:right w:val="nil"/>
            </w:tcBorders>
            <w:noWrap/>
            <w:vAlign w:val="bottom"/>
          </w:tcPr>
          <w:p>
            <w:pPr>
              <w:pStyle w:val="yTableNAm"/>
              <w:ind w:right="600"/>
              <w:jc w:val="right"/>
            </w:pPr>
            <w:r>
              <w:rPr>
                <w:szCs w:val="22"/>
              </w:rPr>
              <w:t>13.739</w:t>
            </w:r>
          </w:p>
        </w:tc>
        <w:tc>
          <w:tcPr>
            <w:tcW w:w="1985" w:type="dxa"/>
            <w:tcBorders>
              <w:top w:val="nil"/>
              <w:left w:val="nil"/>
              <w:bottom w:val="nil"/>
              <w:right w:val="nil"/>
            </w:tcBorders>
            <w:noWrap/>
            <w:vAlign w:val="bottom"/>
          </w:tcPr>
          <w:p>
            <w:pPr>
              <w:pStyle w:val="yTableNAm"/>
              <w:ind w:right="600"/>
              <w:jc w:val="right"/>
            </w:pPr>
            <w:r>
              <w:rPr>
                <w:szCs w:val="22"/>
              </w:rPr>
              <w:t>87.051</w:t>
            </w:r>
          </w:p>
        </w:tc>
      </w:tr>
      <w:tr>
        <w:trPr>
          <w:cantSplit/>
        </w:trPr>
        <w:tc>
          <w:tcPr>
            <w:tcW w:w="2159" w:type="dxa"/>
            <w:tcBorders>
              <w:top w:val="nil"/>
              <w:left w:val="nil"/>
              <w:bottom w:val="nil"/>
              <w:right w:val="nil"/>
            </w:tcBorders>
            <w:noWrap/>
          </w:tcPr>
          <w:p>
            <w:pPr>
              <w:pStyle w:val="yTableNAm"/>
            </w:pPr>
            <w:r>
              <w:t>Cunderdin</w:t>
            </w:r>
          </w:p>
        </w:tc>
        <w:tc>
          <w:tcPr>
            <w:tcW w:w="1985" w:type="dxa"/>
            <w:tcBorders>
              <w:top w:val="nil"/>
              <w:left w:val="nil"/>
              <w:bottom w:val="nil"/>
              <w:right w:val="nil"/>
            </w:tcBorders>
            <w:noWrap/>
            <w:vAlign w:val="bottom"/>
          </w:tcPr>
          <w:p>
            <w:pPr>
              <w:pStyle w:val="yTableNAm"/>
              <w:ind w:right="600"/>
              <w:jc w:val="right"/>
            </w:pPr>
            <w:r>
              <w:rPr>
                <w:szCs w:val="22"/>
              </w:rPr>
              <w:t>25.155</w:t>
            </w:r>
          </w:p>
        </w:tc>
        <w:tc>
          <w:tcPr>
            <w:tcW w:w="1985" w:type="dxa"/>
            <w:tcBorders>
              <w:top w:val="nil"/>
              <w:left w:val="nil"/>
              <w:bottom w:val="nil"/>
              <w:right w:val="nil"/>
            </w:tcBorders>
            <w:noWrap/>
            <w:vAlign w:val="bottom"/>
          </w:tcPr>
          <w:p>
            <w:pPr>
              <w:pStyle w:val="yTableNAm"/>
              <w:ind w:right="600"/>
              <w:jc w:val="right"/>
            </w:pPr>
            <w:r>
              <w:rPr>
                <w:szCs w:val="22"/>
              </w:rPr>
              <w:t>87.003</w:t>
            </w:r>
          </w:p>
        </w:tc>
      </w:tr>
      <w:tr>
        <w:trPr>
          <w:cantSplit/>
        </w:trPr>
        <w:tc>
          <w:tcPr>
            <w:tcW w:w="2159" w:type="dxa"/>
            <w:tcBorders>
              <w:top w:val="nil"/>
              <w:left w:val="nil"/>
              <w:bottom w:val="nil"/>
              <w:right w:val="nil"/>
            </w:tcBorders>
            <w:noWrap/>
          </w:tcPr>
          <w:p>
            <w:pPr>
              <w:pStyle w:val="yTableNAm"/>
            </w:pPr>
            <w:r>
              <w:t>Dalyellup</w:t>
            </w:r>
          </w:p>
        </w:tc>
        <w:tc>
          <w:tcPr>
            <w:tcW w:w="1985" w:type="dxa"/>
            <w:tcBorders>
              <w:top w:val="nil"/>
              <w:left w:val="nil"/>
              <w:bottom w:val="nil"/>
              <w:right w:val="nil"/>
            </w:tcBorders>
            <w:noWrap/>
            <w:vAlign w:val="bottom"/>
          </w:tcPr>
          <w:p>
            <w:pPr>
              <w:pStyle w:val="yTableNAm"/>
              <w:ind w:right="600"/>
              <w:jc w:val="right"/>
            </w:pPr>
            <w:r>
              <w:rPr>
                <w:szCs w:val="22"/>
              </w:rPr>
              <w:t>3.314</w:t>
            </w:r>
          </w:p>
        </w:tc>
        <w:tc>
          <w:tcPr>
            <w:tcW w:w="1985" w:type="dxa"/>
            <w:tcBorders>
              <w:top w:val="nil"/>
              <w:left w:val="nil"/>
              <w:bottom w:val="nil"/>
              <w:right w:val="nil"/>
            </w:tcBorders>
            <w:noWrap/>
            <w:vAlign w:val="bottom"/>
          </w:tcPr>
          <w:p>
            <w:pPr>
              <w:pStyle w:val="yTableNAm"/>
              <w:ind w:right="600"/>
              <w:jc w:val="right"/>
            </w:pPr>
            <w:r>
              <w:rPr>
                <w:szCs w:val="22"/>
              </w:rPr>
              <w:t>6.917</w:t>
            </w:r>
          </w:p>
        </w:tc>
      </w:tr>
      <w:tr>
        <w:trPr>
          <w:cantSplit/>
        </w:trPr>
        <w:tc>
          <w:tcPr>
            <w:tcW w:w="2159" w:type="dxa"/>
            <w:tcBorders>
              <w:top w:val="nil"/>
              <w:left w:val="nil"/>
              <w:bottom w:val="nil"/>
              <w:right w:val="nil"/>
            </w:tcBorders>
            <w:noWrap/>
          </w:tcPr>
          <w:p>
            <w:pPr>
              <w:pStyle w:val="yTableNAm"/>
            </w:pPr>
            <w:r>
              <w:t>Dardanup</w:t>
            </w:r>
          </w:p>
        </w:tc>
        <w:tc>
          <w:tcPr>
            <w:tcW w:w="1985" w:type="dxa"/>
            <w:tcBorders>
              <w:top w:val="nil"/>
              <w:left w:val="nil"/>
              <w:bottom w:val="nil"/>
              <w:right w:val="nil"/>
            </w:tcBorders>
            <w:noWrap/>
            <w:vAlign w:val="bottom"/>
          </w:tcPr>
          <w:p>
            <w:pPr>
              <w:pStyle w:val="yTableNAm"/>
              <w:ind w:right="600"/>
              <w:jc w:val="right"/>
            </w:pPr>
            <w:r>
              <w:rPr>
                <w:szCs w:val="22"/>
              </w:rPr>
              <w:t>21.193</w:t>
            </w:r>
          </w:p>
        </w:tc>
        <w:tc>
          <w:tcPr>
            <w:tcW w:w="1985" w:type="dxa"/>
            <w:tcBorders>
              <w:top w:val="nil"/>
              <w:left w:val="nil"/>
              <w:bottom w:val="nil"/>
              <w:right w:val="nil"/>
            </w:tcBorders>
            <w:noWrap/>
            <w:vAlign w:val="bottom"/>
          </w:tcPr>
          <w:p>
            <w:pPr>
              <w:pStyle w:val="yTableNAm"/>
              <w:ind w:right="600"/>
              <w:jc w:val="right"/>
            </w:pPr>
            <w:r>
              <w:rPr>
                <w:szCs w:val="22"/>
              </w:rPr>
              <w:t>66.533</w:t>
            </w:r>
          </w:p>
        </w:tc>
      </w:tr>
      <w:tr>
        <w:trPr>
          <w:cantSplit/>
        </w:trPr>
        <w:tc>
          <w:tcPr>
            <w:tcW w:w="2159" w:type="dxa"/>
            <w:tcBorders>
              <w:top w:val="nil"/>
              <w:left w:val="nil"/>
              <w:bottom w:val="nil"/>
              <w:right w:val="nil"/>
            </w:tcBorders>
            <w:noWrap/>
          </w:tcPr>
          <w:p>
            <w:pPr>
              <w:pStyle w:val="yTableNAm"/>
            </w:pPr>
            <w:r>
              <w:t>Denham</w:t>
            </w:r>
          </w:p>
        </w:tc>
        <w:tc>
          <w:tcPr>
            <w:tcW w:w="1985" w:type="dxa"/>
            <w:tcBorders>
              <w:top w:val="nil"/>
              <w:left w:val="nil"/>
              <w:bottom w:val="nil"/>
              <w:right w:val="nil"/>
            </w:tcBorders>
            <w:noWrap/>
            <w:vAlign w:val="bottom"/>
          </w:tcPr>
          <w:p>
            <w:pPr>
              <w:pStyle w:val="yTableNAm"/>
              <w:ind w:right="600"/>
              <w:jc w:val="right"/>
            </w:pPr>
            <w:r>
              <w:rPr>
                <w:szCs w:val="22"/>
              </w:rPr>
              <w:t>11.059</w:t>
            </w:r>
          </w:p>
        </w:tc>
        <w:tc>
          <w:tcPr>
            <w:tcW w:w="1985" w:type="dxa"/>
            <w:tcBorders>
              <w:top w:val="nil"/>
              <w:left w:val="nil"/>
              <w:bottom w:val="nil"/>
              <w:right w:val="nil"/>
            </w:tcBorders>
            <w:noWrap/>
            <w:vAlign w:val="bottom"/>
          </w:tcPr>
          <w:p>
            <w:pPr>
              <w:pStyle w:val="yTableNAm"/>
              <w:ind w:right="600"/>
              <w:jc w:val="right"/>
            </w:pPr>
            <w:r>
              <w:rPr>
                <w:szCs w:val="22"/>
              </w:rPr>
              <w:t>21.529</w:t>
            </w:r>
          </w:p>
        </w:tc>
      </w:tr>
      <w:tr>
        <w:trPr>
          <w:cantSplit/>
        </w:trPr>
        <w:tc>
          <w:tcPr>
            <w:tcW w:w="2159" w:type="dxa"/>
            <w:tcBorders>
              <w:top w:val="nil"/>
              <w:left w:val="nil"/>
              <w:bottom w:val="nil"/>
              <w:right w:val="nil"/>
            </w:tcBorders>
            <w:noWrap/>
          </w:tcPr>
          <w:p>
            <w:pPr>
              <w:pStyle w:val="yTableNAm"/>
            </w:pPr>
            <w:r>
              <w:t>Denmark</w:t>
            </w:r>
          </w:p>
        </w:tc>
        <w:tc>
          <w:tcPr>
            <w:tcW w:w="1985" w:type="dxa"/>
            <w:tcBorders>
              <w:top w:val="nil"/>
              <w:left w:val="nil"/>
              <w:bottom w:val="nil"/>
              <w:right w:val="nil"/>
            </w:tcBorders>
            <w:noWrap/>
            <w:vAlign w:val="bottom"/>
          </w:tcPr>
          <w:p>
            <w:pPr>
              <w:pStyle w:val="yTableNAm"/>
              <w:ind w:right="600"/>
              <w:jc w:val="right"/>
            </w:pPr>
            <w:r>
              <w:rPr>
                <w:szCs w:val="22"/>
              </w:rPr>
              <w:t>25.492</w:t>
            </w:r>
          </w:p>
        </w:tc>
        <w:tc>
          <w:tcPr>
            <w:tcW w:w="1985" w:type="dxa"/>
            <w:tcBorders>
              <w:top w:val="nil"/>
              <w:left w:val="nil"/>
              <w:bottom w:val="nil"/>
              <w:right w:val="nil"/>
            </w:tcBorders>
            <w:noWrap/>
            <w:vAlign w:val="bottom"/>
          </w:tcPr>
          <w:p>
            <w:pPr>
              <w:pStyle w:val="yTableNAm"/>
              <w:ind w:right="600"/>
              <w:jc w:val="right"/>
            </w:pPr>
            <w:r>
              <w:rPr>
                <w:szCs w:val="22"/>
              </w:rPr>
              <w:t>66.251</w:t>
            </w:r>
          </w:p>
        </w:tc>
      </w:tr>
      <w:tr>
        <w:trPr>
          <w:cantSplit/>
        </w:trPr>
        <w:tc>
          <w:tcPr>
            <w:tcW w:w="2159" w:type="dxa"/>
            <w:tcBorders>
              <w:top w:val="nil"/>
              <w:left w:val="nil"/>
              <w:bottom w:val="nil"/>
              <w:right w:val="nil"/>
            </w:tcBorders>
            <w:noWrap/>
          </w:tcPr>
          <w:p>
            <w:pPr>
              <w:pStyle w:val="yTableNAm"/>
            </w:pPr>
            <w:r>
              <w:t>Derby</w:t>
            </w:r>
          </w:p>
        </w:tc>
        <w:tc>
          <w:tcPr>
            <w:tcW w:w="1985" w:type="dxa"/>
            <w:tcBorders>
              <w:top w:val="nil"/>
              <w:left w:val="nil"/>
              <w:bottom w:val="nil"/>
              <w:right w:val="nil"/>
            </w:tcBorders>
            <w:noWrap/>
            <w:vAlign w:val="bottom"/>
          </w:tcPr>
          <w:p>
            <w:pPr>
              <w:pStyle w:val="yTableNAm"/>
              <w:ind w:right="600"/>
              <w:jc w:val="right"/>
            </w:pPr>
            <w:r>
              <w:rPr>
                <w:szCs w:val="22"/>
              </w:rPr>
              <w:t>12.445</w:t>
            </w:r>
          </w:p>
        </w:tc>
        <w:tc>
          <w:tcPr>
            <w:tcW w:w="1985" w:type="dxa"/>
            <w:tcBorders>
              <w:top w:val="nil"/>
              <w:left w:val="nil"/>
              <w:bottom w:val="nil"/>
              <w:right w:val="nil"/>
            </w:tcBorders>
            <w:noWrap/>
            <w:vAlign w:val="bottom"/>
          </w:tcPr>
          <w:p>
            <w:pPr>
              <w:pStyle w:val="yTableNAm"/>
              <w:ind w:right="600"/>
              <w:jc w:val="right"/>
            </w:pPr>
            <w:r>
              <w:rPr>
                <w:szCs w:val="22"/>
              </w:rPr>
              <w:t>66.124</w:t>
            </w:r>
          </w:p>
        </w:tc>
      </w:tr>
      <w:tr>
        <w:trPr>
          <w:cantSplit/>
        </w:trPr>
        <w:tc>
          <w:tcPr>
            <w:tcW w:w="2159" w:type="dxa"/>
            <w:tcBorders>
              <w:top w:val="nil"/>
              <w:left w:val="nil"/>
              <w:bottom w:val="nil"/>
              <w:right w:val="nil"/>
            </w:tcBorders>
            <w:noWrap/>
          </w:tcPr>
          <w:p>
            <w:pPr>
              <w:pStyle w:val="yTableNAm"/>
            </w:pPr>
            <w:r>
              <w:t>Dongara/Denison</w:t>
            </w:r>
          </w:p>
        </w:tc>
        <w:tc>
          <w:tcPr>
            <w:tcW w:w="1985" w:type="dxa"/>
            <w:tcBorders>
              <w:top w:val="nil"/>
              <w:left w:val="nil"/>
              <w:bottom w:val="nil"/>
              <w:right w:val="nil"/>
            </w:tcBorders>
            <w:noWrap/>
            <w:vAlign w:val="bottom"/>
          </w:tcPr>
          <w:p>
            <w:pPr>
              <w:pStyle w:val="yTableNAm"/>
              <w:ind w:right="600"/>
              <w:jc w:val="right"/>
            </w:pPr>
            <w:r>
              <w:rPr>
                <w:szCs w:val="22"/>
              </w:rPr>
              <w:t>13.069</w:t>
            </w:r>
          </w:p>
        </w:tc>
        <w:tc>
          <w:tcPr>
            <w:tcW w:w="1985" w:type="dxa"/>
            <w:tcBorders>
              <w:top w:val="nil"/>
              <w:left w:val="nil"/>
              <w:bottom w:val="nil"/>
              <w:right w:val="nil"/>
            </w:tcBorders>
            <w:noWrap/>
            <w:vAlign w:val="bottom"/>
          </w:tcPr>
          <w:p>
            <w:pPr>
              <w:pStyle w:val="yTableNAm"/>
              <w:ind w:right="600"/>
              <w:jc w:val="right"/>
            </w:pPr>
            <w:r>
              <w:rPr>
                <w:szCs w:val="22"/>
              </w:rPr>
              <w:t>34.145</w:t>
            </w:r>
          </w:p>
        </w:tc>
      </w:tr>
      <w:tr>
        <w:trPr>
          <w:cantSplit/>
        </w:trPr>
        <w:tc>
          <w:tcPr>
            <w:tcW w:w="2159" w:type="dxa"/>
            <w:tcBorders>
              <w:top w:val="nil"/>
              <w:left w:val="nil"/>
              <w:bottom w:val="nil"/>
              <w:right w:val="nil"/>
            </w:tcBorders>
            <w:noWrap/>
          </w:tcPr>
          <w:p>
            <w:pPr>
              <w:pStyle w:val="yTableNAm"/>
            </w:pPr>
            <w:r>
              <w:t>Donnybrook</w:t>
            </w:r>
          </w:p>
        </w:tc>
        <w:tc>
          <w:tcPr>
            <w:tcW w:w="1985" w:type="dxa"/>
            <w:tcBorders>
              <w:top w:val="nil"/>
              <w:left w:val="nil"/>
              <w:bottom w:val="nil"/>
              <w:right w:val="nil"/>
            </w:tcBorders>
            <w:noWrap/>
            <w:vAlign w:val="bottom"/>
          </w:tcPr>
          <w:p>
            <w:pPr>
              <w:pStyle w:val="yTableNAm"/>
              <w:ind w:right="600"/>
              <w:jc w:val="right"/>
            </w:pPr>
            <w:r>
              <w:rPr>
                <w:szCs w:val="22"/>
              </w:rPr>
              <w:t>27.767</w:t>
            </w:r>
          </w:p>
        </w:tc>
        <w:tc>
          <w:tcPr>
            <w:tcW w:w="1985" w:type="dxa"/>
            <w:tcBorders>
              <w:top w:val="nil"/>
              <w:left w:val="nil"/>
              <w:bottom w:val="nil"/>
              <w:right w:val="nil"/>
            </w:tcBorders>
            <w:noWrap/>
            <w:vAlign w:val="bottom"/>
          </w:tcPr>
          <w:p>
            <w:pPr>
              <w:pStyle w:val="yTableNAm"/>
              <w:ind w:right="600"/>
              <w:jc w:val="right"/>
            </w:pPr>
            <w:r>
              <w:rPr>
                <w:szCs w:val="22"/>
              </w:rPr>
              <w:t>95.169</w:t>
            </w:r>
          </w:p>
        </w:tc>
      </w:tr>
      <w:tr>
        <w:trPr>
          <w:cantSplit/>
        </w:trPr>
        <w:tc>
          <w:tcPr>
            <w:tcW w:w="2159" w:type="dxa"/>
            <w:tcBorders>
              <w:top w:val="nil"/>
              <w:left w:val="nil"/>
              <w:bottom w:val="nil"/>
              <w:right w:val="nil"/>
            </w:tcBorders>
            <w:noWrap/>
          </w:tcPr>
          <w:p>
            <w:pPr>
              <w:pStyle w:val="yTableNAm"/>
            </w:pPr>
            <w:r>
              <w:t>Dunsborough</w:t>
            </w:r>
          </w:p>
        </w:tc>
        <w:tc>
          <w:tcPr>
            <w:tcW w:w="1985" w:type="dxa"/>
            <w:tcBorders>
              <w:top w:val="nil"/>
              <w:left w:val="nil"/>
              <w:bottom w:val="nil"/>
              <w:right w:val="nil"/>
            </w:tcBorders>
            <w:noWrap/>
            <w:vAlign w:val="bottom"/>
          </w:tcPr>
          <w:p>
            <w:pPr>
              <w:pStyle w:val="yTableNAm"/>
              <w:ind w:right="600"/>
              <w:jc w:val="right"/>
            </w:pPr>
            <w:r>
              <w:rPr>
                <w:szCs w:val="22"/>
              </w:rPr>
              <w:t>5.459</w:t>
            </w:r>
          </w:p>
        </w:tc>
        <w:tc>
          <w:tcPr>
            <w:tcW w:w="1985" w:type="dxa"/>
            <w:tcBorders>
              <w:top w:val="nil"/>
              <w:left w:val="nil"/>
              <w:bottom w:val="nil"/>
              <w:right w:val="nil"/>
            </w:tcBorders>
            <w:noWrap/>
            <w:vAlign w:val="bottom"/>
          </w:tcPr>
          <w:p>
            <w:pPr>
              <w:pStyle w:val="yTableNAm"/>
              <w:ind w:right="600"/>
              <w:jc w:val="right"/>
            </w:pPr>
            <w:r>
              <w:rPr>
                <w:szCs w:val="22"/>
              </w:rPr>
              <w:t>3.998</w:t>
            </w:r>
          </w:p>
        </w:tc>
      </w:tr>
      <w:tr>
        <w:trPr>
          <w:cantSplit/>
        </w:trPr>
        <w:tc>
          <w:tcPr>
            <w:tcW w:w="2159" w:type="dxa"/>
            <w:tcBorders>
              <w:top w:val="nil"/>
              <w:left w:val="nil"/>
              <w:bottom w:val="nil"/>
              <w:right w:val="nil"/>
            </w:tcBorders>
            <w:noWrap/>
          </w:tcPr>
          <w:p>
            <w:pPr>
              <w:pStyle w:val="yTableNAm"/>
            </w:pPr>
            <w:r>
              <w:t>Eaton</w:t>
            </w:r>
          </w:p>
        </w:tc>
        <w:tc>
          <w:tcPr>
            <w:tcW w:w="1985" w:type="dxa"/>
            <w:tcBorders>
              <w:top w:val="nil"/>
              <w:left w:val="nil"/>
              <w:bottom w:val="nil"/>
              <w:right w:val="nil"/>
            </w:tcBorders>
            <w:noWrap/>
            <w:vAlign w:val="bottom"/>
          </w:tcPr>
          <w:p>
            <w:pPr>
              <w:pStyle w:val="yTableNAm"/>
              <w:ind w:right="600"/>
              <w:jc w:val="right"/>
            </w:pPr>
            <w:r>
              <w:rPr>
                <w:szCs w:val="22"/>
              </w:rPr>
              <w:t>8.333</w:t>
            </w:r>
          </w:p>
        </w:tc>
        <w:tc>
          <w:tcPr>
            <w:tcW w:w="1985" w:type="dxa"/>
            <w:tcBorders>
              <w:top w:val="nil"/>
              <w:left w:val="nil"/>
              <w:bottom w:val="nil"/>
              <w:right w:val="nil"/>
            </w:tcBorders>
            <w:noWrap/>
            <w:vAlign w:val="bottom"/>
          </w:tcPr>
          <w:p>
            <w:pPr>
              <w:pStyle w:val="yTableNAm"/>
              <w:ind w:right="600"/>
              <w:jc w:val="right"/>
            </w:pPr>
            <w:r>
              <w:rPr>
                <w:szCs w:val="22"/>
              </w:rPr>
              <w:t>10.324</w:t>
            </w:r>
          </w:p>
        </w:tc>
      </w:tr>
      <w:tr>
        <w:trPr>
          <w:cantSplit/>
        </w:trPr>
        <w:tc>
          <w:tcPr>
            <w:tcW w:w="2159" w:type="dxa"/>
            <w:tcBorders>
              <w:top w:val="nil"/>
              <w:left w:val="nil"/>
              <w:bottom w:val="nil"/>
              <w:right w:val="nil"/>
            </w:tcBorders>
            <w:noWrap/>
          </w:tcPr>
          <w:p>
            <w:pPr>
              <w:pStyle w:val="yTableNAm"/>
            </w:pPr>
            <w:r>
              <w:t>Eneabba</w:t>
            </w:r>
          </w:p>
        </w:tc>
        <w:tc>
          <w:tcPr>
            <w:tcW w:w="1985" w:type="dxa"/>
            <w:tcBorders>
              <w:top w:val="nil"/>
              <w:left w:val="nil"/>
              <w:bottom w:val="nil"/>
              <w:right w:val="nil"/>
            </w:tcBorders>
            <w:noWrap/>
            <w:vAlign w:val="bottom"/>
          </w:tcPr>
          <w:p>
            <w:pPr>
              <w:pStyle w:val="yTableNAm"/>
              <w:ind w:right="600"/>
              <w:jc w:val="right"/>
            </w:pPr>
            <w:r>
              <w:rPr>
                <w:szCs w:val="22"/>
              </w:rPr>
              <w:t>24.170</w:t>
            </w:r>
          </w:p>
        </w:tc>
        <w:tc>
          <w:tcPr>
            <w:tcW w:w="1985" w:type="dxa"/>
            <w:tcBorders>
              <w:top w:val="nil"/>
              <w:left w:val="nil"/>
              <w:bottom w:val="nil"/>
              <w:right w:val="nil"/>
            </w:tcBorders>
            <w:noWrap/>
            <w:vAlign w:val="bottom"/>
          </w:tcPr>
          <w:p>
            <w:pPr>
              <w:pStyle w:val="yTableNAm"/>
              <w:ind w:right="600"/>
              <w:jc w:val="right"/>
            </w:pPr>
            <w:r>
              <w:rPr>
                <w:szCs w:val="22"/>
              </w:rPr>
              <w:t>186.339</w:t>
            </w:r>
          </w:p>
        </w:tc>
      </w:tr>
      <w:tr>
        <w:trPr>
          <w:cantSplit/>
        </w:trPr>
        <w:tc>
          <w:tcPr>
            <w:tcW w:w="2159" w:type="dxa"/>
            <w:tcBorders>
              <w:top w:val="nil"/>
              <w:left w:val="nil"/>
              <w:bottom w:val="nil"/>
              <w:right w:val="nil"/>
            </w:tcBorders>
            <w:noWrap/>
          </w:tcPr>
          <w:p>
            <w:pPr>
              <w:pStyle w:val="yTableNAm"/>
            </w:pPr>
            <w:r>
              <w:lastRenderedPageBreak/>
              <w:t>Esperance</w:t>
            </w:r>
          </w:p>
        </w:tc>
        <w:tc>
          <w:tcPr>
            <w:tcW w:w="1985" w:type="dxa"/>
            <w:tcBorders>
              <w:top w:val="nil"/>
              <w:left w:val="nil"/>
              <w:bottom w:val="nil"/>
              <w:right w:val="nil"/>
            </w:tcBorders>
            <w:noWrap/>
            <w:vAlign w:val="bottom"/>
          </w:tcPr>
          <w:p>
            <w:pPr>
              <w:pStyle w:val="yTableNAm"/>
              <w:ind w:right="600"/>
              <w:jc w:val="right"/>
            </w:pPr>
            <w:r>
              <w:rPr>
                <w:szCs w:val="22"/>
              </w:rPr>
              <w:t>7.787</w:t>
            </w:r>
          </w:p>
        </w:tc>
        <w:tc>
          <w:tcPr>
            <w:tcW w:w="1985" w:type="dxa"/>
            <w:tcBorders>
              <w:top w:val="nil"/>
              <w:left w:val="nil"/>
              <w:bottom w:val="nil"/>
              <w:right w:val="nil"/>
            </w:tcBorders>
            <w:noWrap/>
            <w:vAlign w:val="bottom"/>
          </w:tcPr>
          <w:p>
            <w:pPr>
              <w:pStyle w:val="yTableNAm"/>
              <w:ind w:right="600"/>
              <w:jc w:val="right"/>
            </w:pPr>
            <w:r>
              <w:rPr>
                <w:szCs w:val="22"/>
              </w:rPr>
              <w:t>16.019</w:t>
            </w:r>
          </w:p>
        </w:tc>
      </w:tr>
      <w:tr>
        <w:trPr>
          <w:cantSplit/>
        </w:trPr>
        <w:tc>
          <w:tcPr>
            <w:tcW w:w="2159" w:type="dxa"/>
            <w:tcBorders>
              <w:top w:val="nil"/>
              <w:left w:val="nil"/>
              <w:bottom w:val="nil"/>
              <w:right w:val="nil"/>
            </w:tcBorders>
            <w:noWrap/>
          </w:tcPr>
          <w:p>
            <w:pPr>
              <w:pStyle w:val="yTableNAm"/>
            </w:pPr>
            <w:r>
              <w:t>Exmouth</w:t>
            </w:r>
          </w:p>
        </w:tc>
        <w:tc>
          <w:tcPr>
            <w:tcW w:w="1985" w:type="dxa"/>
            <w:tcBorders>
              <w:top w:val="nil"/>
              <w:left w:val="nil"/>
              <w:bottom w:val="nil"/>
              <w:right w:val="nil"/>
            </w:tcBorders>
            <w:noWrap/>
            <w:vAlign w:val="bottom"/>
          </w:tcPr>
          <w:p>
            <w:pPr>
              <w:pStyle w:val="yTableNAm"/>
              <w:ind w:right="600"/>
              <w:jc w:val="right"/>
            </w:pPr>
            <w:r>
              <w:rPr>
                <w:szCs w:val="22"/>
              </w:rPr>
              <w:t>2.102</w:t>
            </w:r>
          </w:p>
        </w:tc>
        <w:tc>
          <w:tcPr>
            <w:tcW w:w="1985" w:type="dxa"/>
            <w:tcBorders>
              <w:top w:val="nil"/>
              <w:left w:val="nil"/>
              <w:bottom w:val="nil"/>
              <w:right w:val="nil"/>
            </w:tcBorders>
            <w:noWrap/>
            <w:vAlign w:val="bottom"/>
          </w:tcPr>
          <w:p>
            <w:pPr>
              <w:pStyle w:val="yTableNAm"/>
              <w:ind w:right="600"/>
              <w:jc w:val="right"/>
            </w:pPr>
            <w:r>
              <w:rPr>
                <w:szCs w:val="22"/>
              </w:rPr>
              <w:t>3.895</w:t>
            </w:r>
          </w:p>
        </w:tc>
      </w:tr>
      <w:tr>
        <w:trPr>
          <w:cantSplit/>
        </w:trPr>
        <w:tc>
          <w:tcPr>
            <w:tcW w:w="2159" w:type="dxa"/>
            <w:tcBorders>
              <w:top w:val="nil"/>
              <w:left w:val="nil"/>
              <w:bottom w:val="nil"/>
              <w:right w:val="nil"/>
            </w:tcBorders>
            <w:noWrap/>
          </w:tcPr>
          <w:p>
            <w:pPr>
              <w:pStyle w:val="yTableNAm"/>
            </w:pPr>
            <w:r>
              <w:t>Fitzroy Crossing</w:t>
            </w:r>
          </w:p>
        </w:tc>
        <w:tc>
          <w:tcPr>
            <w:tcW w:w="1985" w:type="dxa"/>
            <w:tcBorders>
              <w:top w:val="nil"/>
              <w:left w:val="nil"/>
              <w:bottom w:val="nil"/>
              <w:right w:val="nil"/>
            </w:tcBorders>
            <w:noWrap/>
            <w:vAlign w:val="bottom"/>
          </w:tcPr>
          <w:p>
            <w:pPr>
              <w:pStyle w:val="yTableNAm"/>
              <w:ind w:right="600"/>
              <w:jc w:val="right"/>
            </w:pPr>
            <w:r>
              <w:rPr>
                <w:szCs w:val="22"/>
              </w:rPr>
              <w:t>9.218</w:t>
            </w:r>
          </w:p>
        </w:tc>
        <w:tc>
          <w:tcPr>
            <w:tcW w:w="1985" w:type="dxa"/>
            <w:tcBorders>
              <w:top w:val="nil"/>
              <w:left w:val="nil"/>
              <w:bottom w:val="nil"/>
              <w:right w:val="nil"/>
            </w:tcBorders>
            <w:noWrap/>
            <w:vAlign w:val="bottom"/>
          </w:tcPr>
          <w:p>
            <w:pPr>
              <w:pStyle w:val="yTableNAm"/>
              <w:ind w:right="600"/>
              <w:jc w:val="right"/>
            </w:pPr>
            <w:r>
              <w:rPr>
                <w:szCs w:val="22"/>
              </w:rPr>
              <w:t>16.503</w:t>
            </w:r>
          </w:p>
        </w:tc>
      </w:tr>
      <w:tr>
        <w:trPr>
          <w:cantSplit/>
        </w:trPr>
        <w:tc>
          <w:tcPr>
            <w:tcW w:w="2159" w:type="dxa"/>
            <w:tcBorders>
              <w:top w:val="nil"/>
              <w:left w:val="nil"/>
              <w:bottom w:val="nil"/>
              <w:right w:val="nil"/>
            </w:tcBorders>
            <w:noWrap/>
          </w:tcPr>
          <w:p>
            <w:pPr>
              <w:pStyle w:val="yTableNAm"/>
            </w:pPr>
            <w:r>
              <w:t>Geraldton</w:t>
            </w:r>
          </w:p>
        </w:tc>
        <w:tc>
          <w:tcPr>
            <w:tcW w:w="1985" w:type="dxa"/>
            <w:tcBorders>
              <w:top w:val="nil"/>
              <w:left w:val="nil"/>
              <w:bottom w:val="nil"/>
              <w:right w:val="nil"/>
            </w:tcBorders>
            <w:noWrap/>
            <w:vAlign w:val="bottom"/>
          </w:tcPr>
          <w:p>
            <w:pPr>
              <w:pStyle w:val="yTableNAm"/>
              <w:ind w:right="600"/>
              <w:jc w:val="right"/>
            </w:pPr>
            <w:r>
              <w:rPr>
                <w:szCs w:val="22"/>
              </w:rPr>
              <w:t>9.663</w:t>
            </w:r>
          </w:p>
        </w:tc>
        <w:tc>
          <w:tcPr>
            <w:tcW w:w="1985" w:type="dxa"/>
            <w:tcBorders>
              <w:top w:val="nil"/>
              <w:left w:val="nil"/>
              <w:bottom w:val="nil"/>
              <w:right w:val="nil"/>
            </w:tcBorders>
            <w:noWrap/>
            <w:vAlign w:val="bottom"/>
          </w:tcPr>
          <w:p>
            <w:pPr>
              <w:pStyle w:val="yTableNAm"/>
              <w:ind w:right="600"/>
              <w:jc w:val="right"/>
            </w:pPr>
            <w:r>
              <w:rPr>
                <w:szCs w:val="22"/>
              </w:rPr>
              <w:t>19.997</w:t>
            </w:r>
          </w:p>
        </w:tc>
      </w:tr>
      <w:tr>
        <w:trPr>
          <w:cantSplit/>
        </w:trPr>
        <w:tc>
          <w:tcPr>
            <w:tcW w:w="2159" w:type="dxa"/>
            <w:tcBorders>
              <w:top w:val="nil"/>
              <w:left w:val="nil"/>
              <w:bottom w:val="nil"/>
              <w:right w:val="nil"/>
            </w:tcBorders>
            <w:noWrap/>
          </w:tcPr>
          <w:p>
            <w:pPr>
              <w:pStyle w:val="yTableNAm"/>
            </w:pPr>
            <w:r>
              <w:t>Gnowangerup</w:t>
            </w:r>
          </w:p>
        </w:tc>
        <w:tc>
          <w:tcPr>
            <w:tcW w:w="1985" w:type="dxa"/>
            <w:tcBorders>
              <w:top w:val="nil"/>
              <w:left w:val="nil"/>
              <w:bottom w:val="nil"/>
              <w:right w:val="nil"/>
            </w:tcBorders>
            <w:noWrap/>
            <w:vAlign w:val="bottom"/>
          </w:tcPr>
          <w:p>
            <w:pPr>
              <w:pStyle w:val="yTableNAm"/>
              <w:ind w:right="600"/>
              <w:jc w:val="right"/>
            </w:pPr>
            <w:r>
              <w:rPr>
                <w:szCs w:val="22"/>
              </w:rPr>
              <w:t>14.753</w:t>
            </w:r>
          </w:p>
        </w:tc>
        <w:tc>
          <w:tcPr>
            <w:tcW w:w="1985" w:type="dxa"/>
            <w:tcBorders>
              <w:top w:val="nil"/>
              <w:left w:val="nil"/>
              <w:bottom w:val="nil"/>
              <w:right w:val="nil"/>
            </w:tcBorders>
            <w:noWrap/>
            <w:vAlign w:val="bottom"/>
          </w:tcPr>
          <w:p>
            <w:pPr>
              <w:pStyle w:val="yTableNAm"/>
              <w:ind w:right="600"/>
              <w:jc w:val="right"/>
            </w:pPr>
            <w:r>
              <w:rPr>
                <w:szCs w:val="22"/>
              </w:rPr>
              <w:t>71.613</w:t>
            </w:r>
          </w:p>
        </w:tc>
      </w:tr>
      <w:tr>
        <w:trPr>
          <w:cantSplit/>
        </w:trPr>
        <w:tc>
          <w:tcPr>
            <w:tcW w:w="2159" w:type="dxa"/>
            <w:tcBorders>
              <w:top w:val="nil"/>
              <w:left w:val="nil"/>
              <w:bottom w:val="nil"/>
              <w:right w:val="nil"/>
            </w:tcBorders>
            <w:noWrap/>
          </w:tcPr>
          <w:p>
            <w:pPr>
              <w:pStyle w:val="yTableNAm"/>
            </w:pPr>
            <w:r>
              <w:t>Greenhead</w:t>
            </w:r>
          </w:p>
        </w:tc>
        <w:tc>
          <w:tcPr>
            <w:tcW w:w="1985" w:type="dxa"/>
            <w:tcBorders>
              <w:top w:val="nil"/>
              <w:left w:val="nil"/>
              <w:bottom w:val="nil"/>
              <w:right w:val="nil"/>
            </w:tcBorders>
            <w:noWrap/>
            <w:vAlign w:val="bottom"/>
          </w:tcPr>
          <w:p>
            <w:pPr>
              <w:pStyle w:val="yTableNAm"/>
              <w:ind w:right="600"/>
              <w:jc w:val="right"/>
            </w:pPr>
            <w:r>
              <w:rPr>
                <w:szCs w:val="22"/>
              </w:rPr>
              <w:t>7.488</w:t>
            </w:r>
          </w:p>
        </w:tc>
        <w:tc>
          <w:tcPr>
            <w:tcW w:w="1985" w:type="dxa"/>
            <w:tcBorders>
              <w:top w:val="nil"/>
              <w:left w:val="nil"/>
              <w:bottom w:val="nil"/>
              <w:right w:val="nil"/>
            </w:tcBorders>
            <w:noWrap/>
            <w:vAlign w:val="bottom"/>
          </w:tcPr>
          <w:p>
            <w:pPr>
              <w:pStyle w:val="yTableNAm"/>
              <w:ind w:right="600"/>
              <w:jc w:val="right"/>
            </w:pPr>
            <w:r>
              <w:rPr>
                <w:szCs w:val="22"/>
              </w:rPr>
              <w:t>22.030</w:t>
            </w:r>
          </w:p>
        </w:tc>
      </w:tr>
      <w:tr>
        <w:trPr>
          <w:cantSplit/>
        </w:trPr>
        <w:tc>
          <w:tcPr>
            <w:tcW w:w="2159" w:type="dxa"/>
            <w:tcBorders>
              <w:top w:val="nil"/>
              <w:left w:val="nil"/>
              <w:bottom w:val="nil"/>
              <w:right w:val="nil"/>
            </w:tcBorders>
            <w:noWrap/>
          </w:tcPr>
          <w:p>
            <w:pPr>
              <w:pStyle w:val="yTableNAm"/>
            </w:pPr>
            <w:r>
              <w:t>Halls Creek</w:t>
            </w:r>
          </w:p>
        </w:tc>
        <w:tc>
          <w:tcPr>
            <w:tcW w:w="1985" w:type="dxa"/>
            <w:tcBorders>
              <w:top w:val="nil"/>
              <w:left w:val="nil"/>
              <w:bottom w:val="nil"/>
              <w:right w:val="nil"/>
            </w:tcBorders>
            <w:noWrap/>
            <w:vAlign w:val="bottom"/>
          </w:tcPr>
          <w:p>
            <w:pPr>
              <w:pStyle w:val="yTableNAm"/>
              <w:ind w:right="600"/>
              <w:jc w:val="right"/>
            </w:pPr>
            <w:r>
              <w:rPr>
                <w:szCs w:val="22"/>
              </w:rPr>
              <w:t>16.222</w:t>
            </w:r>
          </w:p>
        </w:tc>
        <w:tc>
          <w:tcPr>
            <w:tcW w:w="1985" w:type="dxa"/>
            <w:tcBorders>
              <w:top w:val="nil"/>
              <w:left w:val="nil"/>
              <w:bottom w:val="nil"/>
              <w:right w:val="nil"/>
            </w:tcBorders>
            <w:noWrap/>
            <w:vAlign w:val="bottom"/>
          </w:tcPr>
          <w:p>
            <w:pPr>
              <w:pStyle w:val="yTableNAm"/>
              <w:ind w:right="600"/>
              <w:jc w:val="right"/>
            </w:pPr>
            <w:r>
              <w:rPr>
                <w:szCs w:val="22"/>
              </w:rPr>
              <w:t>137.501</w:t>
            </w:r>
          </w:p>
        </w:tc>
      </w:tr>
      <w:tr>
        <w:trPr>
          <w:cantSplit/>
        </w:trPr>
        <w:tc>
          <w:tcPr>
            <w:tcW w:w="2159" w:type="dxa"/>
            <w:tcBorders>
              <w:top w:val="nil"/>
              <w:left w:val="nil"/>
              <w:bottom w:val="nil"/>
              <w:right w:val="nil"/>
            </w:tcBorders>
            <w:noWrap/>
          </w:tcPr>
          <w:p>
            <w:pPr>
              <w:pStyle w:val="yTableNAm"/>
            </w:pPr>
            <w:r>
              <w:t>Harvey</w:t>
            </w:r>
          </w:p>
        </w:tc>
        <w:tc>
          <w:tcPr>
            <w:tcW w:w="1985" w:type="dxa"/>
            <w:tcBorders>
              <w:top w:val="nil"/>
              <w:left w:val="nil"/>
              <w:bottom w:val="nil"/>
              <w:right w:val="nil"/>
            </w:tcBorders>
            <w:noWrap/>
            <w:vAlign w:val="bottom"/>
          </w:tcPr>
          <w:p>
            <w:pPr>
              <w:pStyle w:val="yTableNAm"/>
              <w:ind w:right="600"/>
              <w:jc w:val="right"/>
            </w:pPr>
            <w:r>
              <w:rPr>
                <w:szCs w:val="22"/>
              </w:rPr>
              <w:t>11.201</w:t>
            </w:r>
          </w:p>
        </w:tc>
        <w:tc>
          <w:tcPr>
            <w:tcW w:w="1985" w:type="dxa"/>
            <w:tcBorders>
              <w:top w:val="nil"/>
              <w:left w:val="nil"/>
              <w:bottom w:val="nil"/>
              <w:right w:val="nil"/>
            </w:tcBorders>
            <w:noWrap/>
            <w:vAlign w:val="bottom"/>
          </w:tcPr>
          <w:p>
            <w:pPr>
              <w:pStyle w:val="yTableNAm"/>
              <w:ind w:right="600"/>
              <w:jc w:val="right"/>
            </w:pPr>
            <w:r>
              <w:rPr>
                <w:szCs w:val="22"/>
              </w:rPr>
              <w:t>21.247</w:t>
            </w:r>
          </w:p>
        </w:tc>
      </w:tr>
      <w:tr>
        <w:trPr>
          <w:cantSplit/>
        </w:trPr>
        <w:tc>
          <w:tcPr>
            <w:tcW w:w="2159" w:type="dxa"/>
            <w:tcBorders>
              <w:top w:val="nil"/>
              <w:left w:val="nil"/>
              <w:bottom w:val="nil"/>
              <w:right w:val="nil"/>
            </w:tcBorders>
            <w:noWrap/>
          </w:tcPr>
          <w:p>
            <w:pPr>
              <w:pStyle w:val="yTableNAm"/>
            </w:pPr>
            <w:r>
              <w:t>Hopetoun</w:t>
            </w:r>
          </w:p>
        </w:tc>
        <w:tc>
          <w:tcPr>
            <w:tcW w:w="1985" w:type="dxa"/>
            <w:tcBorders>
              <w:top w:val="nil"/>
              <w:left w:val="nil"/>
              <w:bottom w:val="nil"/>
              <w:right w:val="nil"/>
            </w:tcBorders>
            <w:noWrap/>
            <w:vAlign w:val="bottom"/>
          </w:tcPr>
          <w:p>
            <w:pPr>
              <w:pStyle w:val="yTableNAm"/>
              <w:ind w:right="600"/>
              <w:jc w:val="right"/>
            </w:pPr>
            <w:r>
              <w:rPr>
                <w:szCs w:val="22"/>
              </w:rPr>
              <w:t>52.627</w:t>
            </w:r>
          </w:p>
        </w:tc>
        <w:tc>
          <w:tcPr>
            <w:tcW w:w="1985" w:type="dxa"/>
            <w:tcBorders>
              <w:top w:val="nil"/>
              <w:left w:val="nil"/>
              <w:bottom w:val="nil"/>
              <w:right w:val="nil"/>
            </w:tcBorders>
            <w:noWrap/>
            <w:vAlign w:val="bottom"/>
          </w:tcPr>
          <w:p>
            <w:pPr>
              <w:pStyle w:val="yTableNAm"/>
              <w:ind w:right="600"/>
              <w:jc w:val="right"/>
            </w:pPr>
            <w:r>
              <w:rPr>
                <w:szCs w:val="22"/>
              </w:rPr>
              <w:t>175.252</w:t>
            </w:r>
          </w:p>
        </w:tc>
      </w:tr>
      <w:tr>
        <w:trPr>
          <w:cantSplit/>
        </w:trPr>
        <w:tc>
          <w:tcPr>
            <w:tcW w:w="2159" w:type="dxa"/>
            <w:tcBorders>
              <w:top w:val="nil"/>
              <w:left w:val="nil"/>
              <w:bottom w:val="nil"/>
              <w:right w:val="nil"/>
            </w:tcBorders>
            <w:noWrap/>
          </w:tcPr>
          <w:p>
            <w:pPr>
              <w:pStyle w:val="yTableNAm"/>
            </w:pPr>
            <w:r>
              <w:t>Horrocks</w:t>
            </w:r>
          </w:p>
        </w:tc>
        <w:tc>
          <w:tcPr>
            <w:tcW w:w="1985" w:type="dxa"/>
            <w:tcBorders>
              <w:top w:val="nil"/>
              <w:left w:val="nil"/>
              <w:bottom w:val="nil"/>
              <w:right w:val="nil"/>
            </w:tcBorders>
            <w:noWrap/>
            <w:vAlign w:val="bottom"/>
          </w:tcPr>
          <w:p>
            <w:pPr>
              <w:pStyle w:val="yTableNAm"/>
              <w:ind w:right="600"/>
              <w:jc w:val="right"/>
            </w:pPr>
            <w:r>
              <w:rPr>
                <w:szCs w:val="22"/>
              </w:rPr>
              <w:t>23.529</w:t>
            </w:r>
          </w:p>
        </w:tc>
        <w:tc>
          <w:tcPr>
            <w:tcW w:w="1985" w:type="dxa"/>
            <w:tcBorders>
              <w:top w:val="nil"/>
              <w:left w:val="nil"/>
              <w:bottom w:val="nil"/>
              <w:right w:val="nil"/>
            </w:tcBorders>
            <w:noWrap/>
            <w:vAlign w:val="bottom"/>
          </w:tcPr>
          <w:p>
            <w:pPr>
              <w:pStyle w:val="yTableNAm"/>
              <w:ind w:right="600"/>
              <w:jc w:val="right"/>
            </w:pPr>
            <w:r>
              <w:rPr>
                <w:szCs w:val="22"/>
              </w:rPr>
              <w:t>29.916</w:t>
            </w:r>
          </w:p>
        </w:tc>
      </w:tr>
      <w:tr>
        <w:trPr>
          <w:cantSplit/>
        </w:trPr>
        <w:tc>
          <w:tcPr>
            <w:tcW w:w="2159" w:type="dxa"/>
            <w:tcBorders>
              <w:top w:val="nil"/>
              <w:left w:val="nil"/>
              <w:bottom w:val="nil"/>
              <w:right w:val="nil"/>
            </w:tcBorders>
            <w:noWrap/>
          </w:tcPr>
          <w:p>
            <w:pPr>
              <w:pStyle w:val="yTableNAm"/>
            </w:pPr>
            <w:r>
              <w:t>Hyden</w:t>
            </w:r>
          </w:p>
        </w:tc>
        <w:tc>
          <w:tcPr>
            <w:tcW w:w="1985" w:type="dxa"/>
            <w:tcBorders>
              <w:top w:val="nil"/>
              <w:left w:val="nil"/>
              <w:bottom w:val="nil"/>
              <w:right w:val="nil"/>
            </w:tcBorders>
            <w:noWrap/>
            <w:vAlign w:val="bottom"/>
          </w:tcPr>
          <w:p>
            <w:pPr>
              <w:pStyle w:val="yTableNAm"/>
              <w:ind w:right="600"/>
              <w:jc w:val="right"/>
            </w:pPr>
            <w:r>
              <w:rPr>
                <w:szCs w:val="22"/>
              </w:rPr>
              <w:t>89.822</w:t>
            </w:r>
          </w:p>
        </w:tc>
        <w:tc>
          <w:tcPr>
            <w:tcW w:w="1985" w:type="dxa"/>
            <w:tcBorders>
              <w:top w:val="nil"/>
              <w:left w:val="nil"/>
              <w:bottom w:val="nil"/>
              <w:right w:val="nil"/>
            </w:tcBorders>
            <w:noWrap/>
            <w:vAlign w:val="bottom"/>
          </w:tcPr>
          <w:p>
            <w:pPr>
              <w:pStyle w:val="yTableNAm"/>
              <w:ind w:right="600"/>
              <w:jc w:val="right"/>
            </w:pPr>
            <w:r>
              <w:rPr>
                <w:szCs w:val="22"/>
              </w:rPr>
              <w:t>510.423</w:t>
            </w:r>
          </w:p>
        </w:tc>
      </w:tr>
      <w:tr>
        <w:trPr>
          <w:cantSplit/>
        </w:trPr>
        <w:tc>
          <w:tcPr>
            <w:tcW w:w="2159" w:type="dxa"/>
            <w:tcBorders>
              <w:top w:val="nil"/>
              <w:left w:val="nil"/>
              <w:bottom w:val="nil"/>
              <w:right w:val="nil"/>
            </w:tcBorders>
            <w:noWrap/>
          </w:tcPr>
          <w:p>
            <w:pPr>
              <w:pStyle w:val="yTableNAm"/>
            </w:pPr>
            <w:r>
              <w:t>Jurien</w:t>
            </w:r>
          </w:p>
        </w:tc>
        <w:tc>
          <w:tcPr>
            <w:tcW w:w="1985" w:type="dxa"/>
            <w:tcBorders>
              <w:top w:val="nil"/>
              <w:left w:val="nil"/>
              <w:bottom w:val="nil"/>
              <w:right w:val="nil"/>
            </w:tcBorders>
            <w:noWrap/>
            <w:vAlign w:val="bottom"/>
          </w:tcPr>
          <w:p>
            <w:pPr>
              <w:pStyle w:val="yTableNAm"/>
              <w:ind w:right="600"/>
              <w:jc w:val="right"/>
            </w:pPr>
            <w:r>
              <w:rPr>
                <w:szCs w:val="22"/>
              </w:rPr>
              <w:t>3.915</w:t>
            </w:r>
          </w:p>
        </w:tc>
        <w:tc>
          <w:tcPr>
            <w:tcW w:w="1985" w:type="dxa"/>
            <w:tcBorders>
              <w:top w:val="nil"/>
              <w:left w:val="nil"/>
              <w:bottom w:val="nil"/>
              <w:right w:val="nil"/>
            </w:tcBorders>
            <w:noWrap/>
            <w:vAlign w:val="bottom"/>
          </w:tcPr>
          <w:p>
            <w:pPr>
              <w:pStyle w:val="yTableNAm"/>
              <w:ind w:right="600"/>
              <w:jc w:val="right"/>
            </w:pPr>
            <w:r>
              <w:rPr>
                <w:szCs w:val="22"/>
              </w:rPr>
              <w:t>8.362</w:t>
            </w:r>
          </w:p>
        </w:tc>
      </w:tr>
      <w:tr>
        <w:trPr>
          <w:cantSplit/>
        </w:trPr>
        <w:tc>
          <w:tcPr>
            <w:tcW w:w="2159" w:type="dxa"/>
            <w:tcBorders>
              <w:top w:val="nil"/>
              <w:left w:val="nil"/>
              <w:bottom w:val="nil"/>
              <w:right w:val="nil"/>
            </w:tcBorders>
            <w:noWrap/>
          </w:tcPr>
          <w:p>
            <w:pPr>
              <w:pStyle w:val="yTableNAm"/>
            </w:pPr>
            <w:r>
              <w:t>Kalbarri</w:t>
            </w:r>
          </w:p>
        </w:tc>
        <w:tc>
          <w:tcPr>
            <w:tcW w:w="1985" w:type="dxa"/>
            <w:tcBorders>
              <w:top w:val="nil"/>
              <w:left w:val="nil"/>
              <w:bottom w:val="nil"/>
              <w:right w:val="nil"/>
            </w:tcBorders>
            <w:noWrap/>
            <w:vAlign w:val="bottom"/>
          </w:tcPr>
          <w:p>
            <w:pPr>
              <w:pStyle w:val="yTableNAm"/>
              <w:ind w:right="600"/>
              <w:jc w:val="right"/>
            </w:pPr>
            <w:r>
              <w:rPr>
                <w:szCs w:val="22"/>
              </w:rPr>
              <w:t>9.494</w:t>
            </w:r>
          </w:p>
        </w:tc>
        <w:tc>
          <w:tcPr>
            <w:tcW w:w="1985" w:type="dxa"/>
            <w:tcBorders>
              <w:top w:val="nil"/>
              <w:left w:val="nil"/>
              <w:bottom w:val="nil"/>
              <w:right w:val="nil"/>
            </w:tcBorders>
            <w:noWrap/>
            <w:vAlign w:val="bottom"/>
          </w:tcPr>
          <w:p>
            <w:pPr>
              <w:pStyle w:val="yTableNAm"/>
              <w:ind w:right="600"/>
              <w:jc w:val="right"/>
            </w:pPr>
            <w:r>
              <w:rPr>
                <w:szCs w:val="22"/>
              </w:rPr>
              <w:t>19.063</w:t>
            </w:r>
          </w:p>
        </w:tc>
      </w:tr>
      <w:tr>
        <w:trPr>
          <w:cantSplit/>
        </w:trPr>
        <w:tc>
          <w:tcPr>
            <w:tcW w:w="2159" w:type="dxa"/>
            <w:tcBorders>
              <w:top w:val="nil"/>
              <w:left w:val="nil"/>
              <w:bottom w:val="nil"/>
              <w:right w:val="nil"/>
            </w:tcBorders>
            <w:noWrap/>
          </w:tcPr>
          <w:p>
            <w:pPr>
              <w:pStyle w:val="yTableNAm"/>
            </w:pPr>
            <w:r>
              <w:t>Kambalda</w:t>
            </w:r>
          </w:p>
        </w:tc>
        <w:tc>
          <w:tcPr>
            <w:tcW w:w="1985" w:type="dxa"/>
            <w:tcBorders>
              <w:top w:val="nil"/>
              <w:left w:val="nil"/>
              <w:bottom w:val="nil"/>
              <w:right w:val="nil"/>
            </w:tcBorders>
            <w:noWrap/>
            <w:vAlign w:val="bottom"/>
          </w:tcPr>
          <w:p>
            <w:pPr>
              <w:pStyle w:val="yTableNAm"/>
              <w:ind w:right="600"/>
              <w:jc w:val="right"/>
            </w:pPr>
            <w:r>
              <w:rPr>
                <w:szCs w:val="22"/>
              </w:rPr>
              <w:t>9.390</w:t>
            </w:r>
          </w:p>
        </w:tc>
        <w:tc>
          <w:tcPr>
            <w:tcW w:w="1985" w:type="dxa"/>
            <w:tcBorders>
              <w:top w:val="nil"/>
              <w:left w:val="nil"/>
              <w:bottom w:val="nil"/>
              <w:right w:val="nil"/>
            </w:tcBorders>
            <w:noWrap/>
            <w:vAlign w:val="bottom"/>
          </w:tcPr>
          <w:p>
            <w:pPr>
              <w:pStyle w:val="yTableNAm"/>
              <w:ind w:right="600"/>
              <w:jc w:val="right"/>
            </w:pPr>
            <w:r>
              <w:rPr>
                <w:szCs w:val="22"/>
              </w:rPr>
              <w:t>80.376</w:t>
            </w:r>
          </w:p>
        </w:tc>
      </w:tr>
      <w:tr>
        <w:trPr>
          <w:cantSplit/>
        </w:trPr>
        <w:tc>
          <w:tcPr>
            <w:tcW w:w="2159" w:type="dxa"/>
            <w:tcBorders>
              <w:top w:val="nil"/>
              <w:left w:val="nil"/>
              <w:bottom w:val="nil"/>
              <w:right w:val="nil"/>
            </w:tcBorders>
            <w:noWrap/>
          </w:tcPr>
          <w:p>
            <w:pPr>
              <w:pStyle w:val="yTableNAm"/>
            </w:pPr>
            <w:r>
              <w:t>Karratha</w:t>
            </w:r>
          </w:p>
        </w:tc>
        <w:tc>
          <w:tcPr>
            <w:tcW w:w="1985" w:type="dxa"/>
            <w:tcBorders>
              <w:top w:val="nil"/>
              <w:left w:val="nil"/>
              <w:bottom w:val="nil"/>
              <w:right w:val="nil"/>
            </w:tcBorders>
            <w:noWrap/>
            <w:vAlign w:val="bottom"/>
          </w:tcPr>
          <w:p>
            <w:pPr>
              <w:pStyle w:val="yTableNAm"/>
              <w:ind w:right="600"/>
              <w:jc w:val="right"/>
            </w:pPr>
            <w:r>
              <w:rPr>
                <w:szCs w:val="22"/>
              </w:rPr>
              <w:t>2.815</w:t>
            </w:r>
          </w:p>
        </w:tc>
        <w:tc>
          <w:tcPr>
            <w:tcW w:w="1985" w:type="dxa"/>
            <w:tcBorders>
              <w:top w:val="nil"/>
              <w:left w:val="nil"/>
              <w:bottom w:val="nil"/>
              <w:right w:val="nil"/>
            </w:tcBorders>
            <w:noWrap/>
            <w:vAlign w:val="bottom"/>
          </w:tcPr>
          <w:p>
            <w:pPr>
              <w:pStyle w:val="yTableNAm"/>
              <w:ind w:right="600"/>
              <w:jc w:val="right"/>
            </w:pPr>
            <w:r>
              <w:rPr>
                <w:szCs w:val="22"/>
              </w:rPr>
              <w:t>6.980</w:t>
            </w:r>
          </w:p>
        </w:tc>
      </w:tr>
      <w:tr>
        <w:trPr>
          <w:cantSplit/>
        </w:trPr>
        <w:tc>
          <w:tcPr>
            <w:tcW w:w="2159" w:type="dxa"/>
            <w:tcBorders>
              <w:top w:val="nil"/>
              <w:left w:val="nil"/>
              <w:bottom w:val="nil"/>
              <w:right w:val="nil"/>
            </w:tcBorders>
            <w:noWrap/>
          </w:tcPr>
          <w:p>
            <w:pPr>
              <w:pStyle w:val="yTableNAm"/>
            </w:pPr>
            <w:r>
              <w:t>Katanning</w:t>
            </w:r>
          </w:p>
        </w:tc>
        <w:tc>
          <w:tcPr>
            <w:tcW w:w="1985" w:type="dxa"/>
            <w:tcBorders>
              <w:top w:val="nil"/>
              <w:left w:val="nil"/>
              <w:bottom w:val="nil"/>
              <w:right w:val="nil"/>
            </w:tcBorders>
            <w:noWrap/>
            <w:vAlign w:val="bottom"/>
          </w:tcPr>
          <w:p>
            <w:pPr>
              <w:pStyle w:val="yTableNAm"/>
              <w:ind w:right="600"/>
              <w:jc w:val="right"/>
            </w:pPr>
            <w:r>
              <w:rPr>
                <w:szCs w:val="22"/>
              </w:rPr>
              <w:t>13.603</w:t>
            </w:r>
          </w:p>
        </w:tc>
        <w:tc>
          <w:tcPr>
            <w:tcW w:w="1985" w:type="dxa"/>
            <w:tcBorders>
              <w:top w:val="nil"/>
              <w:left w:val="nil"/>
              <w:bottom w:val="nil"/>
              <w:right w:val="nil"/>
            </w:tcBorders>
            <w:noWrap/>
            <w:vAlign w:val="bottom"/>
          </w:tcPr>
          <w:p>
            <w:pPr>
              <w:pStyle w:val="yTableNAm"/>
              <w:ind w:right="600"/>
              <w:jc w:val="right"/>
            </w:pPr>
            <w:r>
              <w:rPr>
                <w:szCs w:val="22"/>
              </w:rPr>
              <w:t>74.385</w:t>
            </w:r>
          </w:p>
        </w:tc>
      </w:tr>
      <w:tr>
        <w:trPr>
          <w:cantSplit/>
        </w:trPr>
        <w:tc>
          <w:tcPr>
            <w:tcW w:w="2159" w:type="dxa"/>
            <w:tcBorders>
              <w:top w:val="nil"/>
              <w:left w:val="nil"/>
              <w:bottom w:val="nil"/>
              <w:right w:val="nil"/>
            </w:tcBorders>
            <w:noWrap/>
          </w:tcPr>
          <w:p>
            <w:pPr>
              <w:pStyle w:val="yTableNAm"/>
            </w:pPr>
            <w:r>
              <w:t>Kellerberrin</w:t>
            </w:r>
          </w:p>
        </w:tc>
        <w:tc>
          <w:tcPr>
            <w:tcW w:w="1985" w:type="dxa"/>
            <w:tcBorders>
              <w:top w:val="nil"/>
              <w:left w:val="nil"/>
              <w:bottom w:val="nil"/>
              <w:right w:val="nil"/>
            </w:tcBorders>
            <w:noWrap/>
            <w:vAlign w:val="bottom"/>
          </w:tcPr>
          <w:p>
            <w:pPr>
              <w:pStyle w:val="yTableNAm"/>
              <w:ind w:right="600"/>
              <w:jc w:val="right"/>
            </w:pPr>
            <w:r>
              <w:rPr>
                <w:szCs w:val="22"/>
              </w:rPr>
              <w:t>24.663</w:t>
            </w:r>
          </w:p>
        </w:tc>
        <w:tc>
          <w:tcPr>
            <w:tcW w:w="1985" w:type="dxa"/>
            <w:tcBorders>
              <w:top w:val="nil"/>
              <w:left w:val="nil"/>
              <w:bottom w:val="nil"/>
              <w:right w:val="nil"/>
            </w:tcBorders>
            <w:noWrap/>
            <w:vAlign w:val="bottom"/>
          </w:tcPr>
          <w:p>
            <w:pPr>
              <w:pStyle w:val="yTableNAm"/>
              <w:ind w:right="600"/>
              <w:jc w:val="right"/>
            </w:pPr>
            <w:r>
              <w:rPr>
                <w:szCs w:val="22"/>
              </w:rPr>
              <w:t>321.946</w:t>
            </w:r>
          </w:p>
        </w:tc>
      </w:tr>
      <w:tr>
        <w:trPr>
          <w:cantSplit/>
        </w:trPr>
        <w:tc>
          <w:tcPr>
            <w:tcW w:w="2159" w:type="dxa"/>
            <w:tcBorders>
              <w:top w:val="nil"/>
              <w:left w:val="nil"/>
              <w:bottom w:val="nil"/>
              <w:right w:val="nil"/>
            </w:tcBorders>
            <w:noWrap/>
          </w:tcPr>
          <w:p>
            <w:pPr>
              <w:pStyle w:val="yTableNAm"/>
            </w:pPr>
            <w:r>
              <w:t>Kojonup</w:t>
            </w:r>
          </w:p>
        </w:tc>
        <w:tc>
          <w:tcPr>
            <w:tcW w:w="1985" w:type="dxa"/>
            <w:tcBorders>
              <w:top w:val="nil"/>
              <w:left w:val="nil"/>
              <w:bottom w:val="nil"/>
              <w:right w:val="nil"/>
            </w:tcBorders>
            <w:noWrap/>
            <w:vAlign w:val="bottom"/>
          </w:tcPr>
          <w:p>
            <w:pPr>
              <w:pStyle w:val="yTableNAm"/>
              <w:ind w:right="600"/>
              <w:jc w:val="right"/>
            </w:pPr>
            <w:r>
              <w:rPr>
                <w:szCs w:val="22"/>
              </w:rPr>
              <w:t>20.311</w:t>
            </w:r>
          </w:p>
        </w:tc>
        <w:tc>
          <w:tcPr>
            <w:tcW w:w="1985" w:type="dxa"/>
            <w:tcBorders>
              <w:top w:val="nil"/>
              <w:left w:val="nil"/>
              <w:bottom w:val="nil"/>
              <w:right w:val="nil"/>
            </w:tcBorders>
            <w:noWrap/>
            <w:vAlign w:val="bottom"/>
          </w:tcPr>
          <w:p>
            <w:pPr>
              <w:pStyle w:val="yTableNAm"/>
              <w:ind w:right="600"/>
              <w:jc w:val="right"/>
            </w:pPr>
            <w:r>
              <w:rPr>
                <w:szCs w:val="22"/>
              </w:rPr>
              <w:t>173.180</w:t>
            </w:r>
          </w:p>
        </w:tc>
      </w:tr>
      <w:tr>
        <w:trPr>
          <w:cantSplit/>
        </w:trPr>
        <w:tc>
          <w:tcPr>
            <w:tcW w:w="2159" w:type="dxa"/>
            <w:tcBorders>
              <w:top w:val="nil"/>
              <w:left w:val="nil"/>
              <w:bottom w:val="nil"/>
              <w:right w:val="nil"/>
            </w:tcBorders>
            <w:noWrap/>
          </w:tcPr>
          <w:p>
            <w:pPr>
              <w:pStyle w:val="yTableNAm"/>
            </w:pPr>
            <w:r>
              <w:t>Kulin</w:t>
            </w:r>
          </w:p>
        </w:tc>
        <w:tc>
          <w:tcPr>
            <w:tcW w:w="1985" w:type="dxa"/>
            <w:tcBorders>
              <w:top w:val="nil"/>
              <w:left w:val="nil"/>
              <w:bottom w:val="nil"/>
              <w:right w:val="nil"/>
            </w:tcBorders>
            <w:noWrap/>
            <w:vAlign w:val="bottom"/>
          </w:tcPr>
          <w:p>
            <w:pPr>
              <w:pStyle w:val="yTableNAm"/>
              <w:ind w:right="600"/>
              <w:jc w:val="right"/>
            </w:pPr>
            <w:r>
              <w:rPr>
                <w:szCs w:val="22"/>
              </w:rPr>
              <w:t>40.312</w:t>
            </w:r>
          </w:p>
        </w:tc>
        <w:tc>
          <w:tcPr>
            <w:tcW w:w="1985" w:type="dxa"/>
            <w:tcBorders>
              <w:top w:val="nil"/>
              <w:left w:val="nil"/>
              <w:bottom w:val="nil"/>
              <w:right w:val="nil"/>
            </w:tcBorders>
            <w:noWrap/>
            <w:vAlign w:val="bottom"/>
          </w:tcPr>
          <w:p>
            <w:pPr>
              <w:pStyle w:val="yTableNAm"/>
              <w:ind w:right="600"/>
              <w:jc w:val="right"/>
            </w:pPr>
            <w:r>
              <w:rPr>
                <w:szCs w:val="22"/>
              </w:rPr>
              <w:t>992.216</w:t>
            </w:r>
          </w:p>
        </w:tc>
      </w:tr>
      <w:tr>
        <w:trPr>
          <w:cantSplit/>
        </w:trPr>
        <w:tc>
          <w:tcPr>
            <w:tcW w:w="2159" w:type="dxa"/>
            <w:tcBorders>
              <w:top w:val="nil"/>
              <w:left w:val="nil"/>
              <w:bottom w:val="nil"/>
              <w:right w:val="nil"/>
            </w:tcBorders>
            <w:noWrap/>
          </w:tcPr>
          <w:p>
            <w:pPr>
              <w:pStyle w:val="yTableNAm"/>
            </w:pPr>
            <w:r>
              <w:lastRenderedPageBreak/>
              <w:t>Kununurra</w:t>
            </w:r>
          </w:p>
        </w:tc>
        <w:tc>
          <w:tcPr>
            <w:tcW w:w="1985" w:type="dxa"/>
            <w:tcBorders>
              <w:top w:val="nil"/>
              <w:left w:val="nil"/>
              <w:bottom w:val="nil"/>
              <w:right w:val="nil"/>
            </w:tcBorders>
            <w:noWrap/>
            <w:vAlign w:val="bottom"/>
          </w:tcPr>
          <w:p>
            <w:pPr>
              <w:pStyle w:val="yTableNAm"/>
              <w:ind w:right="600"/>
              <w:jc w:val="right"/>
            </w:pPr>
            <w:r>
              <w:rPr>
                <w:szCs w:val="22"/>
              </w:rPr>
              <w:t>7.389</w:t>
            </w:r>
          </w:p>
        </w:tc>
        <w:tc>
          <w:tcPr>
            <w:tcW w:w="1985" w:type="dxa"/>
            <w:tcBorders>
              <w:top w:val="nil"/>
              <w:left w:val="nil"/>
              <w:bottom w:val="nil"/>
              <w:right w:val="nil"/>
            </w:tcBorders>
            <w:noWrap/>
            <w:vAlign w:val="bottom"/>
          </w:tcPr>
          <w:p>
            <w:pPr>
              <w:pStyle w:val="yTableNAm"/>
              <w:ind w:right="600"/>
              <w:jc w:val="right"/>
            </w:pPr>
            <w:r>
              <w:rPr>
                <w:szCs w:val="22"/>
              </w:rPr>
              <w:t>20.893</w:t>
            </w:r>
          </w:p>
        </w:tc>
      </w:tr>
      <w:tr>
        <w:trPr>
          <w:cantSplit/>
        </w:trPr>
        <w:tc>
          <w:tcPr>
            <w:tcW w:w="2159" w:type="dxa"/>
            <w:tcBorders>
              <w:top w:val="nil"/>
              <w:left w:val="nil"/>
              <w:bottom w:val="nil"/>
              <w:right w:val="nil"/>
            </w:tcBorders>
            <w:noWrap/>
          </w:tcPr>
          <w:p>
            <w:pPr>
              <w:pStyle w:val="yTableNAm"/>
            </w:pPr>
            <w:r>
              <w:t>Lancelin</w:t>
            </w:r>
          </w:p>
        </w:tc>
        <w:tc>
          <w:tcPr>
            <w:tcW w:w="1985" w:type="dxa"/>
            <w:tcBorders>
              <w:top w:val="nil"/>
              <w:left w:val="nil"/>
              <w:bottom w:val="nil"/>
              <w:right w:val="nil"/>
            </w:tcBorders>
            <w:noWrap/>
            <w:vAlign w:val="bottom"/>
          </w:tcPr>
          <w:p>
            <w:pPr>
              <w:pStyle w:val="yTableNAm"/>
              <w:ind w:right="600"/>
              <w:jc w:val="right"/>
            </w:pPr>
            <w:r>
              <w:rPr>
                <w:szCs w:val="22"/>
              </w:rPr>
              <w:t>18.130</w:t>
            </w:r>
          </w:p>
        </w:tc>
        <w:tc>
          <w:tcPr>
            <w:tcW w:w="1985" w:type="dxa"/>
            <w:tcBorders>
              <w:top w:val="nil"/>
              <w:left w:val="nil"/>
              <w:bottom w:val="nil"/>
              <w:right w:val="nil"/>
            </w:tcBorders>
            <w:noWrap/>
            <w:vAlign w:val="bottom"/>
          </w:tcPr>
          <w:p>
            <w:pPr>
              <w:pStyle w:val="yTableNAm"/>
              <w:ind w:right="600"/>
              <w:jc w:val="right"/>
            </w:pPr>
            <w:r>
              <w:rPr>
                <w:szCs w:val="22"/>
              </w:rPr>
              <w:t>20.675</w:t>
            </w:r>
          </w:p>
        </w:tc>
      </w:tr>
      <w:tr>
        <w:trPr>
          <w:cantSplit/>
        </w:trPr>
        <w:tc>
          <w:tcPr>
            <w:tcW w:w="2159" w:type="dxa"/>
            <w:tcBorders>
              <w:top w:val="nil"/>
              <w:left w:val="nil"/>
              <w:bottom w:val="nil"/>
              <w:right w:val="nil"/>
            </w:tcBorders>
            <w:noWrap/>
          </w:tcPr>
          <w:p>
            <w:pPr>
              <w:pStyle w:val="yTableNAm"/>
            </w:pPr>
            <w:r>
              <w:t>Laverton</w:t>
            </w:r>
          </w:p>
        </w:tc>
        <w:tc>
          <w:tcPr>
            <w:tcW w:w="1985" w:type="dxa"/>
            <w:tcBorders>
              <w:top w:val="nil"/>
              <w:left w:val="nil"/>
              <w:bottom w:val="nil"/>
              <w:right w:val="nil"/>
            </w:tcBorders>
            <w:noWrap/>
            <w:vAlign w:val="bottom"/>
          </w:tcPr>
          <w:p>
            <w:pPr>
              <w:pStyle w:val="yTableNAm"/>
              <w:ind w:right="600"/>
              <w:jc w:val="right"/>
            </w:pPr>
            <w:r>
              <w:rPr>
                <w:szCs w:val="22"/>
              </w:rPr>
              <w:t>25.415</w:t>
            </w:r>
          </w:p>
        </w:tc>
        <w:tc>
          <w:tcPr>
            <w:tcW w:w="1985" w:type="dxa"/>
            <w:tcBorders>
              <w:top w:val="nil"/>
              <w:left w:val="nil"/>
              <w:bottom w:val="nil"/>
              <w:right w:val="nil"/>
            </w:tcBorders>
            <w:noWrap/>
            <w:vAlign w:val="bottom"/>
          </w:tcPr>
          <w:p>
            <w:pPr>
              <w:pStyle w:val="yTableNAm"/>
              <w:ind w:right="600"/>
              <w:jc w:val="right"/>
            </w:pPr>
            <w:r>
              <w:rPr>
                <w:szCs w:val="22"/>
              </w:rPr>
              <w:t>977.740</w:t>
            </w:r>
          </w:p>
        </w:tc>
      </w:tr>
      <w:tr>
        <w:trPr>
          <w:cantSplit/>
        </w:trPr>
        <w:tc>
          <w:tcPr>
            <w:tcW w:w="2159" w:type="dxa"/>
            <w:tcBorders>
              <w:top w:val="nil"/>
              <w:left w:val="nil"/>
              <w:bottom w:val="nil"/>
              <w:right w:val="nil"/>
            </w:tcBorders>
            <w:noWrap/>
          </w:tcPr>
          <w:p>
            <w:pPr>
              <w:pStyle w:val="yTableNAm"/>
            </w:pPr>
            <w:r>
              <w:t>Ledge Point</w:t>
            </w:r>
          </w:p>
        </w:tc>
        <w:tc>
          <w:tcPr>
            <w:tcW w:w="1985" w:type="dxa"/>
            <w:tcBorders>
              <w:top w:val="nil"/>
              <w:left w:val="nil"/>
              <w:bottom w:val="nil"/>
              <w:right w:val="nil"/>
            </w:tcBorders>
            <w:noWrap/>
            <w:vAlign w:val="bottom"/>
          </w:tcPr>
          <w:p>
            <w:pPr>
              <w:pStyle w:val="yTableNAm"/>
              <w:ind w:right="600"/>
              <w:jc w:val="right"/>
            </w:pPr>
            <w:r>
              <w:rPr>
                <w:szCs w:val="22"/>
              </w:rPr>
              <w:t>7.581</w:t>
            </w:r>
          </w:p>
        </w:tc>
        <w:tc>
          <w:tcPr>
            <w:tcW w:w="1985" w:type="dxa"/>
            <w:tcBorders>
              <w:top w:val="nil"/>
              <w:left w:val="nil"/>
              <w:bottom w:val="nil"/>
              <w:right w:val="nil"/>
            </w:tcBorders>
            <w:noWrap/>
            <w:vAlign w:val="bottom"/>
          </w:tcPr>
          <w:p>
            <w:pPr>
              <w:pStyle w:val="yTableNAm"/>
              <w:ind w:right="600"/>
              <w:jc w:val="right"/>
            </w:pPr>
            <w:r>
              <w:rPr>
                <w:szCs w:val="22"/>
              </w:rPr>
              <w:t>15.399</w:t>
            </w:r>
          </w:p>
        </w:tc>
      </w:tr>
      <w:tr>
        <w:trPr>
          <w:cantSplit/>
        </w:trPr>
        <w:tc>
          <w:tcPr>
            <w:tcW w:w="2159" w:type="dxa"/>
            <w:tcBorders>
              <w:top w:val="nil"/>
              <w:left w:val="nil"/>
              <w:bottom w:val="nil"/>
              <w:right w:val="nil"/>
            </w:tcBorders>
            <w:noWrap/>
          </w:tcPr>
          <w:p>
            <w:pPr>
              <w:pStyle w:val="yTableNAm"/>
            </w:pPr>
            <w:r>
              <w:t>Leeman</w:t>
            </w:r>
          </w:p>
        </w:tc>
        <w:tc>
          <w:tcPr>
            <w:tcW w:w="1985" w:type="dxa"/>
            <w:tcBorders>
              <w:top w:val="nil"/>
              <w:left w:val="nil"/>
              <w:bottom w:val="nil"/>
              <w:right w:val="nil"/>
            </w:tcBorders>
            <w:noWrap/>
            <w:vAlign w:val="bottom"/>
          </w:tcPr>
          <w:p>
            <w:pPr>
              <w:pStyle w:val="yTableNAm"/>
              <w:ind w:right="600"/>
              <w:jc w:val="right"/>
            </w:pPr>
            <w:r>
              <w:rPr>
                <w:szCs w:val="22"/>
              </w:rPr>
              <w:t>13.473</w:t>
            </w:r>
          </w:p>
        </w:tc>
        <w:tc>
          <w:tcPr>
            <w:tcW w:w="1985" w:type="dxa"/>
            <w:tcBorders>
              <w:top w:val="nil"/>
              <w:left w:val="nil"/>
              <w:bottom w:val="nil"/>
              <w:right w:val="nil"/>
            </w:tcBorders>
            <w:noWrap/>
            <w:vAlign w:val="bottom"/>
          </w:tcPr>
          <w:p>
            <w:pPr>
              <w:pStyle w:val="yTableNAm"/>
              <w:ind w:right="600"/>
              <w:jc w:val="right"/>
            </w:pPr>
            <w:r>
              <w:rPr>
                <w:szCs w:val="22"/>
              </w:rPr>
              <w:t>33.273</w:t>
            </w:r>
          </w:p>
        </w:tc>
      </w:tr>
      <w:tr>
        <w:trPr>
          <w:cantSplit/>
        </w:trPr>
        <w:tc>
          <w:tcPr>
            <w:tcW w:w="2159" w:type="dxa"/>
            <w:tcBorders>
              <w:top w:val="nil"/>
              <w:left w:val="nil"/>
              <w:bottom w:val="nil"/>
              <w:right w:val="nil"/>
            </w:tcBorders>
            <w:noWrap/>
          </w:tcPr>
          <w:p>
            <w:pPr>
              <w:pStyle w:val="yTableNAm"/>
            </w:pPr>
            <w:r>
              <w:t>Leonora</w:t>
            </w:r>
          </w:p>
        </w:tc>
        <w:tc>
          <w:tcPr>
            <w:tcW w:w="1985" w:type="dxa"/>
            <w:tcBorders>
              <w:top w:val="nil"/>
              <w:left w:val="nil"/>
              <w:bottom w:val="nil"/>
              <w:right w:val="nil"/>
            </w:tcBorders>
            <w:noWrap/>
            <w:vAlign w:val="bottom"/>
          </w:tcPr>
          <w:p>
            <w:pPr>
              <w:pStyle w:val="yTableNAm"/>
              <w:ind w:right="600"/>
              <w:jc w:val="right"/>
            </w:pPr>
            <w:r>
              <w:rPr>
                <w:szCs w:val="22"/>
              </w:rPr>
              <w:t>2.235</w:t>
            </w:r>
          </w:p>
        </w:tc>
        <w:tc>
          <w:tcPr>
            <w:tcW w:w="1985" w:type="dxa"/>
            <w:tcBorders>
              <w:top w:val="nil"/>
              <w:left w:val="nil"/>
              <w:bottom w:val="nil"/>
              <w:right w:val="nil"/>
            </w:tcBorders>
            <w:noWrap/>
            <w:vAlign w:val="bottom"/>
          </w:tcPr>
          <w:p>
            <w:pPr>
              <w:pStyle w:val="yTableNAm"/>
              <w:ind w:right="600"/>
              <w:jc w:val="right"/>
            </w:pPr>
            <w:r>
              <w:rPr>
                <w:szCs w:val="22"/>
              </w:rPr>
              <w:t>94.764</w:t>
            </w:r>
          </w:p>
        </w:tc>
      </w:tr>
      <w:tr>
        <w:trPr>
          <w:cantSplit/>
        </w:trPr>
        <w:tc>
          <w:tcPr>
            <w:tcW w:w="2159" w:type="dxa"/>
            <w:tcBorders>
              <w:top w:val="nil"/>
              <w:left w:val="nil"/>
              <w:bottom w:val="nil"/>
              <w:right w:val="nil"/>
            </w:tcBorders>
            <w:noWrap/>
          </w:tcPr>
          <w:p>
            <w:pPr>
              <w:pStyle w:val="yTableNAm"/>
            </w:pPr>
            <w:r>
              <w:t>Mandurah</w:t>
            </w:r>
          </w:p>
        </w:tc>
        <w:tc>
          <w:tcPr>
            <w:tcW w:w="1985" w:type="dxa"/>
            <w:tcBorders>
              <w:top w:val="nil"/>
              <w:left w:val="nil"/>
              <w:bottom w:val="nil"/>
              <w:right w:val="nil"/>
            </w:tcBorders>
            <w:noWrap/>
            <w:vAlign w:val="bottom"/>
          </w:tcPr>
          <w:p>
            <w:pPr>
              <w:pStyle w:val="yTableNAm"/>
              <w:ind w:right="600"/>
              <w:jc w:val="right"/>
            </w:pPr>
            <w:r>
              <w:rPr>
                <w:szCs w:val="22"/>
              </w:rPr>
              <w:t>6.876</w:t>
            </w:r>
          </w:p>
        </w:tc>
        <w:tc>
          <w:tcPr>
            <w:tcW w:w="1985" w:type="dxa"/>
            <w:tcBorders>
              <w:top w:val="nil"/>
              <w:left w:val="nil"/>
              <w:bottom w:val="nil"/>
              <w:right w:val="nil"/>
            </w:tcBorders>
            <w:noWrap/>
            <w:vAlign w:val="bottom"/>
          </w:tcPr>
          <w:p>
            <w:pPr>
              <w:pStyle w:val="yTableNAm"/>
              <w:ind w:right="600"/>
              <w:jc w:val="right"/>
            </w:pPr>
            <w:r>
              <w:rPr>
                <w:szCs w:val="22"/>
              </w:rPr>
              <w:t>7.229</w:t>
            </w:r>
          </w:p>
        </w:tc>
      </w:tr>
      <w:tr>
        <w:trPr>
          <w:cantSplit/>
        </w:trPr>
        <w:tc>
          <w:tcPr>
            <w:tcW w:w="2159" w:type="dxa"/>
            <w:tcBorders>
              <w:top w:val="nil"/>
              <w:left w:val="nil"/>
              <w:bottom w:val="nil"/>
              <w:right w:val="nil"/>
            </w:tcBorders>
            <w:noWrap/>
          </w:tcPr>
          <w:p>
            <w:pPr>
              <w:pStyle w:val="yTableNAm"/>
            </w:pPr>
            <w:r>
              <w:t>Manjimup</w:t>
            </w:r>
          </w:p>
        </w:tc>
        <w:tc>
          <w:tcPr>
            <w:tcW w:w="1985" w:type="dxa"/>
            <w:tcBorders>
              <w:top w:val="nil"/>
              <w:left w:val="nil"/>
              <w:bottom w:val="nil"/>
              <w:right w:val="nil"/>
            </w:tcBorders>
            <w:noWrap/>
            <w:vAlign w:val="bottom"/>
          </w:tcPr>
          <w:p>
            <w:pPr>
              <w:pStyle w:val="yTableNAm"/>
              <w:ind w:right="600"/>
              <w:jc w:val="right"/>
            </w:pPr>
            <w:r>
              <w:rPr>
                <w:szCs w:val="22"/>
              </w:rPr>
              <w:t>16.027</w:t>
            </w:r>
          </w:p>
        </w:tc>
        <w:tc>
          <w:tcPr>
            <w:tcW w:w="1985" w:type="dxa"/>
            <w:tcBorders>
              <w:top w:val="nil"/>
              <w:left w:val="nil"/>
              <w:bottom w:val="nil"/>
              <w:right w:val="nil"/>
            </w:tcBorders>
            <w:noWrap/>
            <w:vAlign w:val="bottom"/>
          </w:tcPr>
          <w:p>
            <w:pPr>
              <w:pStyle w:val="yTableNAm"/>
              <w:ind w:right="600"/>
              <w:jc w:val="right"/>
            </w:pPr>
            <w:r>
              <w:rPr>
                <w:szCs w:val="22"/>
              </w:rPr>
              <w:t>44.085</w:t>
            </w:r>
          </w:p>
        </w:tc>
      </w:tr>
      <w:tr>
        <w:trPr>
          <w:cantSplit/>
        </w:trPr>
        <w:tc>
          <w:tcPr>
            <w:tcW w:w="2159" w:type="dxa"/>
            <w:tcBorders>
              <w:top w:val="nil"/>
              <w:left w:val="nil"/>
              <w:bottom w:val="nil"/>
              <w:right w:val="nil"/>
            </w:tcBorders>
            <w:noWrap/>
          </w:tcPr>
          <w:p>
            <w:pPr>
              <w:pStyle w:val="yTableNAm"/>
            </w:pPr>
            <w:r>
              <w:t>Margaret River</w:t>
            </w:r>
          </w:p>
        </w:tc>
        <w:tc>
          <w:tcPr>
            <w:tcW w:w="1985" w:type="dxa"/>
            <w:tcBorders>
              <w:top w:val="nil"/>
              <w:left w:val="nil"/>
              <w:bottom w:val="nil"/>
              <w:right w:val="nil"/>
            </w:tcBorders>
            <w:noWrap/>
            <w:vAlign w:val="bottom"/>
          </w:tcPr>
          <w:p>
            <w:pPr>
              <w:pStyle w:val="yTableNAm"/>
              <w:ind w:right="600"/>
              <w:jc w:val="right"/>
            </w:pPr>
            <w:r>
              <w:rPr>
                <w:szCs w:val="22"/>
              </w:rPr>
              <w:t>12.014</w:t>
            </w:r>
          </w:p>
        </w:tc>
        <w:tc>
          <w:tcPr>
            <w:tcW w:w="1985" w:type="dxa"/>
            <w:tcBorders>
              <w:top w:val="nil"/>
              <w:left w:val="nil"/>
              <w:bottom w:val="nil"/>
              <w:right w:val="nil"/>
            </w:tcBorders>
            <w:noWrap/>
            <w:vAlign w:val="bottom"/>
          </w:tcPr>
          <w:p>
            <w:pPr>
              <w:pStyle w:val="yTableNAm"/>
              <w:ind w:right="600"/>
              <w:jc w:val="right"/>
            </w:pPr>
            <w:r>
              <w:rPr>
                <w:szCs w:val="22"/>
              </w:rPr>
              <w:t>20.470</w:t>
            </w:r>
          </w:p>
        </w:tc>
      </w:tr>
      <w:tr>
        <w:trPr>
          <w:cantSplit/>
        </w:trPr>
        <w:tc>
          <w:tcPr>
            <w:tcW w:w="2159" w:type="dxa"/>
            <w:tcBorders>
              <w:top w:val="nil"/>
              <w:left w:val="nil"/>
              <w:bottom w:val="nil"/>
              <w:right w:val="nil"/>
            </w:tcBorders>
            <w:noWrap/>
          </w:tcPr>
          <w:p>
            <w:pPr>
              <w:pStyle w:val="yTableNAm"/>
            </w:pPr>
            <w:r>
              <w:t>Meckering</w:t>
            </w:r>
          </w:p>
        </w:tc>
        <w:tc>
          <w:tcPr>
            <w:tcW w:w="1985" w:type="dxa"/>
            <w:tcBorders>
              <w:top w:val="nil"/>
              <w:left w:val="nil"/>
              <w:bottom w:val="nil"/>
              <w:right w:val="nil"/>
            </w:tcBorders>
            <w:noWrap/>
            <w:vAlign w:val="bottom"/>
          </w:tcPr>
          <w:p>
            <w:pPr>
              <w:pStyle w:val="yTableNAm"/>
              <w:ind w:right="600"/>
              <w:jc w:val="right"/>
            </w:pPr>
            <w:r>
              <w:rPr>
                <w:szCs w:val="22"/>
              </w:rPr>
              <w:t>91.048</w:t>
            </w:r>
          </w:p>
        </w:tc>
        <w:tc>
          <w:tcPr>
            <w:tcW w:w="1985" w:type="dxa"/>
            <w:tcBorders>
              <w:top w:val="nil"/>
              <w:left w:val="nil"/>
              <w:bottom w:val="nil"/>
              <w:right w:val="nil"/>
            </w:tcBorders>
            <w:noWrap/>
            <w:vAlign w:val="bottom"/>
          </w:tcPr>
          <w:p>
            <w:pPr>
              <w:pStyle w:val="yTableNAm"/>
              <w:ind w:right="600"/>
              <w:jc w:val="right"/>
            </w:pPr>
            <w:r>
              <w:rPr>
                <w:szCs w:val="22"/>
              </w:rPr>
              <w:t>531.836</w:t>
            </w:r>
          </w:p>
        </w:tc>
      </w:tr>
      <w:tr>
        <w:trPr>
          <w:cantSplit/>
        </w:trPr>
        <w:tc>
          <w:tcPr>
            <w:tcW w:w="2159" w:type="dxa"/>
            <w:tcBorders>
              <w:top w:val="nil"/>
              <w:left w:val="nil"/>
              <w:bottom w:val="nil"/>
              <w:right w:val="nil"/>
            </w:tcBorders>
            <w:noWrap/>
          </w:tcPr>
          <w:p>
            <w:pPr>
              <w:pStyle w:val="yTableNAm"/>
            </w:pPr>
            <w:r>
              <w:t>Merredin</w:t>
            </w:r>
          </w:p>
        </w:tc>
        <w:tc>
          <w:tcPr>
            <w:tcW w:w="1985" w:type="dxa"/>
            <w:tcBorders>
              <w:top w:val="nil"/>
              <w:left w:val="nil"/>
              <w:bottom w:val="nil"/>
              <w:right w:val="nil"/>
            </w:tcBorders>
            <w:noWrap/>
            <w:vAlign w:val="bottom"/>
          </w:tcPr>
          <w:p>
            <w:pPr>
              <w:pStyle w:val="yTableNAm"/>
              <w:ind w:right="600"/>
              <w:jc w:val="right"/>
            </w:pPr>
            <w:r>
              <w:rPr>
                <w:szCs w:val="22"/>
              </w:rPr>
              <w:t>14.789</w:t>
            </w:r>
          </w:p>
        </w:tc>
        <w:tc>
          <w:tcPr>
            <w:tcW w:w="1985" w:type="dxa"/>
            <w:tcBorders>
              <w:top w:val="nil"/>
              <w:left w:val="nil"/>
              <w:bottom w:val="nil"/>
              <w:right w:val="nil"/>
            </w:tcBorders>
            <w:noWrap/>
            <w:vAlign w:val="bottom"/>
          </w:tcPr>
          <w:p>
            <w:pPr>
              <w:pStyle w:val="yTableNAm"/>
              <w:ind w:right="600"/>
              <w:jc w:val="right"/>
            </w:pPr>
            <w:r>
              <w:rPr>
                <w:szCs w:val="22"/>
              </w:rPr>
              <w:t>96.246</w:t>
            </w:r>
          </w:p>
        </w:tc>
      </w:tr>
      <w:tr>
        <w:trPr>
          <w:cantSplit/>
        </w:trPr>
        <w:tc>
          <w:tcPr>
            <w:tcW w:w="2159" w:type="dxa"/>
            <w:tcBorders>
              <w:top w:val="nil"/>
              <w:left w:val="nil"/>
              <w:bottom w:val="nil"/>
              <w:right w:val="nil"/>
            </w:tcBorders>
            <w:noWrap/>
          </w:tcPr>
          <w:p>
            <w:pPr>
              <w:pStyle w:val="yTableNAm"/>
            </w:pPr>
            <w:r>
              <w:t>Mount Barker</w:t>
            </w:r>
          </w:p>
        </w:tc>
        <w:tc>
          <w:tcPr>
            <w:tcW w:w="1985" w:type="dxa"/>
            <w:tcBorders>
              <w:top w:val="nil"/>
              <w:left w:val="nil"/>
              <w:bottom w:val="nil"/>
              <w:right w:val="nil"/>
            </w:tcBorders>
            <w:noWrap/>
            <w:vAlign w:val="bottom"/>
          </w:tcPr>
          <w:p>
            <w:pPr>
              <w:pStyle w:val="yTableNAm"/>
              <w:ind w:right="600"/>
              <w:jc w:val="right"/>
            </w:pPr>
            <w:r>
              <w:rPr>
                <w:szCs w:val="22"/>
              </w:rPr>
              <w:t>16.341</w:t>
            </w:r>
          </w:p>
        </w:tc>
        <w:tc>
          <w:tcPr>
            <w:tcW w:w="1985" w:type="dxa"/>
            <w:tcBorders>
              <w:top w:val="nil"/>
              <w:left w:val="nil"/>
              <w:bottom w:val="nil"/>
              <w:right w:val="nil"/>
            </w:tcBorders>
            <w:noWrap/>
            <w:vAlign w:val="bottom"/>
          </w:tcPr>
          <w:p>
            <w:pPr>
              <w:pStyle w:val="yTableNAm"/>
              <w:ind w:right="600"/>
              <w:jc w:val="right"/>
            </w:pPr>
            <w:r>
              <w:rPr>
                <w:szCs w:val="22"/>
              </w:rPr>
              <w:t>44.016</w:t>
            </w:r>
          </w:p>
        </w:tc>
      </w:tr>
      <w:tr>
        <w:trPr>
          <w:cantSplit/>
        </w:trPr>
        <w:tc>
          <w:tcPr>
            <w:tcW w:w="2159" w:type="dxa"/>
            <w:tcBorders>
              <w:top w:val="nil"/>
              <w:left w:val="nil"/>
              <w:bottom w:val="nil"/>
              <w:right w:val="nil"/>
            </w:tcBorders>
            <w:noWrap/>
          </w:tcPr>
          <w:p>
            <w:pPr>
              <w:pStyle w:val="yTableNAm"/>
            </w:pPr>
            <w:r>
              <w:t>Mukinbudin</w:t>
            </w:r>
          </w:p>
        </w:tc>
        <w:tc>
          <w:tcPr>
            <w:tcW w:w="1985" w:type="dxa"/>
            <w:tcBorders>
              <w:top w:val="nil"/>
              <w:left w:val="nil"/>
              <w:bottom w:val="nil"/>
              <w:right w:val="nil"/>
            </w:tcBorders>
            <w:noWrap/>
            <w:vAlign w:val="bottom"/>
          </w:tcPr>
          <w:p>
            <w:pPr>
              <w:pStyle w:val="yTableNAm"/>
              <w:ind w:right="600"/>
              <w:jc w:val="right"/>
            </w:pPr>
            <w:r>
              <w:rPr>
                <w:szCs w:val="22"/>
              </w:rPr>
              <w:t>29.925</w:t>
            </w:r>
          </w:p>
        </w:tc>
        <w:tc>
          <w:tcPr>
            <w:tcW w:w="1985" w:type="dxa"/>
            <w:tcBorders>
              <w:top w:val="nil"/>
              <w:left w:val="nil"/>
              <w:bottom w:val="nil"/>
              <w:right w:val="nil"/>
            </w:tcBorders>
            <w:noWrap/>
            <w:vAlign w:val="bottom"/>
          </w:tcPr>
          <w:p>
            <w:pPr>
              <w:pStyle w:val="yTableNAm"/>
              <w:ind w:right="600"/>
              <w:jc w:val="right"/>
            </w:pPr>
            <w:r>
              <w:rPr>
                <w:szCs w:val="22"/>
              </w:rPr>
              <w:t>309.124</w:t>
            </w:r>
          </w:p>
        </w:tc>
      </w:tr>
      <w:tr>
        <w:trPr>
          <w:cantSplit/>
        </w:trPr>
        <w:tc>
          <w:tcPr>
            <w:tcW w:w="2159" w:type="dxa"/>
            <w:tcBorders>
              <w:top w:val="nil"/>
              <w:left w:val="nil"/>
              <w:bottom w:val="nil"/>
              <w:right w:val="nil"/>
            </w:tcBorders>
            <w:noWrap/>
          </w:tcPr>
          <w:p>
            <w:pPr>
              <w:pStyle w:val="yTableNAm"/>
            </w:pPr>
            <w:r>
              <w:t>Nannup</w:t>
            </w:r>
          </w:p>
        </w:tc>
        <w:tc>
          <w:tcPr>
            <w:tcW w:w="1985" w:type="dxa"/>
            <w:tcBorders>
              <w:top w:val="nil"/>
              <w:left w:val="nil"/>
              <w:bottom w:val="nil"/>
              <w:right w:val="nil"/>
            </w:tcBorders>
            <w:noWrap/>
            <w:vAlign w:val="bottom"/>
          </w:tcPr>
          <w:p>
            <w:pPr>
              <w:pStyle w:val="yTableNAm"/>
              <w:ind w:right="600"/>
              <w:jc w:val="right"/>
            </w:pPr>
            <w:r>
              <w:rPr>
                <w:szCs w:val="22"/>
              </w:rPr>
              <w:t>11.733</w:t>
            </w:r>
          </w:p>
        </w:tc>
        <w:tc>
          <w:tcPr>
            <w:tcW w:w="1985" w:type="dxa"/>
            <w:tcBorders>
              <w:top w:val="nil"/>
              <w:left w:val="nil"/>
              <w:bottom w:val="nil"/>
              <w:right w:val="nil"/>
            </w:tcBorders>
            <w:noWrap/>
            <w:vAlign w:val="bottom"/>
          </w:tcPr>
          <w:p>
            <w:pPr>
              <w:pStyle w:val="yTableNAm"/>
              <w:ind w:right="600"/>
              <w:jc w:val="right"/>
            </w:pPr>
            <w:r>
              <w:rPr>
                <w:szCs w:val="22"/>
              </w:rPr>
              <w:t>26.870</w:t>
            </w:r>
          </w:p>
        </w:tc>
      </w:tr>
      <w:tr>
        <w:trPr>
          <w:cantSplit/>
        </w:trPr>
        <w:tc>
          <w:tcPr>
            <w:tcW w:w="2159" w:type="dxa"/>
            <w:tcBorders>
              <w:top w:val="nil"/>
              <w:left w:val="nil"/>
              <w:bottom w:val="nil"/>
              <w:right w:val="nil"/>
            </w:tcBorders>
            <w:noWrap/>
          </w:tcPr>
          <w:p>
            <w:pPr>
              <w:pStyle w:val="yTableNAm"/>
            </w:pPr>
            <w:r>
              <w:t>Narembeen</w:t>
            </w:r>
          </w:p>
        </w:tc>
        <w:tc>
          <w:tcPr>
            <w:tcW w:w="1985" w:type="dxa"/>
            <w:tcBorders>
              <w:top w:val="nil"/>
              <w:left w:val="nil"/>
              <w:bottom w:val="nil"/>
              <w:right w:val="nil"/>
            </w:tcBorders>
            <w:noWrap/>
            <w:vAlign w:val="bottom"/>
          </w:tcPr>
          <w:p>
            <w:pPr>
              <w:pStyle w:val="yTableNAm"/>
              <w:ind w:right="600"/>
              <w:jc w:val="right"/>
            </w:pPr>
            <w:r>
              <w:rPr>
                <w:szCs w:val="22"/>
              </w:rPr>
              <w:t>23.031</w:t>
            </w:r>
          </w:p>
        </w:tc>
        <w:tc>
          <w:tcPr>
            <w:tcW w:w="1985" w:type="dxa"/>
            <w:tcBorders>
              <w:top w:val="nil"/>
              <w:left w:val="nil"/>
              <w:bottom w:val="nil"/>
              <w:right w:val="nil"/>
            </w:tcBorders>
            <w:noWrap/>
            <w:vAlign w:val="bottom"/>
          </w:tcPr>
          <w:p>
            <w:pPr>
              <w:pStyle w:val="yTableNAm"/>
              <w:ind w:right="600"/>
              <w:jc w:val="right"/>
            </w:pPr>
            <w:r>
              <w:rPr>
                <w:szCs w:val="22"/>
              </w:rPr>
              <w:t>367.847</w:t>
            </w:r>
          </w:p>
        </w:tc>
      </w:tr>
      <w:tr>
        <w:trPr>
          <w:cantSplit/>
        </w:trPr>
        <w:tc>
          <w:tcPr>
            <w:tcW w:w="2159" w:type="dxa"/>
            <w:tcBorders>
              <w:top w:val="nil"/>
              <w:left w:val="nil"/>
              <w:bottom w:val="nil"/>
              <w:right w:val="nil"/>
            </w:tcBorders>
            <w:noWrap/>
          </w:tcPr>
          <w:p>
            <w:pPr>
              <w:pStyle w:val="yTableNAm"/>
            </w:pPr>
            <w:r>
              <w:t>Narrogin</w:t>
            </w:r>
          </w:p>
        </w:tc>
        <w:tc>
          <w:tcPr>
            <w:tcW w:w="1985" w:type="dxa"/>
            <w:tcBorders>
              <w:top w:val="nil"/>
              <w:left w:val="nil"/>
              <w:bottom w:val="nil"/>
              <w:right w:val="nil"/>
            </w:tcBorders>
            <w:noWrap/>
            <w:vAlign w:val="bottom"/>
          </w:tcPr>
          <w:p>
            <w:pPr>
              <w:pStyle w:val="yTableNAm"/>
              <w:ind w:right="600"/>
              <w:jc w:val="right"/>
            </w:pPr>
            <w:r>
              <w:rPr>
                <w:szCs w:val="22"/>
              </w:rPr>
              <w:t>11.955</w:t>
            </w:r>
          </w:p>
        </w:tc>
        <w:tc>
          <w:tcPr>
            <w:tcW w:w="1985" w:type="dxa"/>
            <w:tcBorders>
              <w:top w:val="nil"/>
              <w:left w:val="nil"/>
              <w:bottom w:val="nil"/>
              <w:right w:val="nil"/>
            </w:tcBorders>
            <w:noWrap/>
            <w:vAlign w:val="bottom"/>
          </w:tcPr>
          <w:p>
            <w:pPr>
              <w:pStyle w:val="yTableNAm"/>
              <w:ind w:right="600"/>
              <w:jc w:val="right"/>
            </w:pPr>
            <w:r>
              <w:rPr>
                <w:szCs w:val="22"/>
              </w:rPr>
              <w:t>26.908</w:t>
            </w:r>
          </w:p>
        </w:tc>
      </w:tr>
      <w:tr>
        <w:trPr>
          <w:cantSplit/>
        </w:trPr>
        <w:tc>
          <w:tcPr>
            <w:tcW w:w="2159" w:type="dxa"/>
            <w:tcBorders>
              <w:top w:val="nil"/>
              <w:left w:val="nil"/>
              <w:bottom w:val="nil"/>
              <w:right w:val="nil"/>
            </w:tcBorders>
            <w:noWrap/>
          </w:tcPr>
          <w:p>
            <w:pPr>
              <w:pStyle w:val="yTableNAm"/>
            </w:pPr>
            <w:r>
              <w:t>Newdegate</w:t>
            </w:r>
          </w:p>
        </w:tc>
        <w:tc>
          <w:tcPr>
            <w:tcW w:w="1985" w:type="dxa"/>
            <w:tcBorders>
              <w:top w:val="nil"/>
              <w:left w:val="nil"/>
              <w:bottom w:val="nil"/>
              <w:right w:val="nil"/>
            </w:tcBorders>
            <w:noWrap/>
            <w:vAlign w:val="bottom"/>
          </w:tcPr>
          <w:p>
            <w:pPr>
              <w:pStyle w:val="yTableNAm"/>
              <w:ind w:right="600"/>
              <w:jc w:val="right"/>
            </w:pPr>
            <w:r>
              <w:rPr>
                <w:szCs w:val="22"/>
              </w:rPr>
              <w:t>36.007</w:t>
            </w:r>
          </w:p>
        </w:tc>
        <w:tc>
          <w:tcPr>
            <w:tcW w:w="1985" w:type="dxa"/>
            <w:tcBorders>
              <w:top w:val="nil"/>
              <w:left w:val="nil"/>
              <w:bottom w:val="nil"/>
              <w:right w:val="nil"/>
            </w:tcBorders>
            <w:noWrap/>
            <w:vAlign w:val="bottom"/>
          </w:tcPr>
          <w:p>
            <w:pPr>
              <w:pStyle w:val="yTableNAm"/>
              <w:ind w:right="600"/>
              <w:jc w:val="right"/>
            </w:pPr>
            <w:r>
              <w:rPr>
                <w:szCs w:val="22"/>
              </w:rPr>
              <w:t>522.372</w:t>
            </w:r>
          </w:p>
        </w:tc>
      </w:tr>
      <w:tr>
        <w:trPr>
          <w:cantSplit/>
        </w:trPr>
        <w:tc>
          <w:tcPr>
            <w:tcW w:w="2159" w:type="dxa"/>
            <w:tcBorders>
              <w:top w:val="nil"/>
              <w:left w:val="nil"/>
              <w:bottom w:val="nil"/>
              <w:right w:val="nil"/>
            </w:tcBorders>
            <w:noWrap/>
          </w:tcPr>
          <w:p>
            <w:pPr>
              <w:pStyle w:val="yTableNAm"/>
            </w:pPr>
            <w:r>
              <w:t>Newman</w:t>
            </w:r>
          </w:p>
        </w:tc>
        <w:tc>
          <w:tcPr>
            <w:tcW w:w="1985" w:type="dxa"/>
            <w:tcBorders>
              <w:top w:val="nil"/>
              <w:left w:val="nil"/>
              <w:bottom w:val="nil"/>
              <w:right w:val="nil"/>
            </w:tcBorders>
            <w:noWrap/>
            <w:vAlign w:val="bottom"/>
          </w:tcPr>
          <w:p>
            <w:pPr>
              <w:pStyle w:val="yTableNAm"/>
              <w:ind w:right="600"/>
              <w:jc w:val="right"/>
            </w:pPr>
            <w:r>
              <w:rPr>
                <w:szCs w:val="22"/>
              </w:rPr>
              <w:t>1.289</w:t>
            </w:r>
          </w:p>
        </w:tc>
        <w:tc>
          <w:tcPr>
            <w:tcW w:w="1985" w:type="dxa"/>
            <w:tcBorders>
              <w:top w:val="nil"/>
              <w:left w:val="nil"/>
              <w:bottom w:val="nil"/>
              <w:right w:val="nil"/>
            </w:tcBorders>
            <w:noWrap/>
            <w:vAlign w:val="bottom"/>
          </w:tcPr>
          <w:p>
            <w:pPr>
              <w:pStyle w:val="yTableNAm"/>
              <w:ind w:right="600"/>
              <w:jc w:val="right"/>
            </w:pPr>
            <w:r>
              <w:rPr>
                <w:szCs w:val="22"/>
              </w:rPr>
              <w:t>1.120</w:t>
            </w:r>
          </w:p>
        </w:tc>
      </w:tr>
      <w:tr>
        <w:trPr>
          <w:cantSplit/>
        </w:trPr>
        <w:tc>
          <w:tcPr>
            <w:tcW w:w="2159" w:type="dxa"/>
            <w:tcBorders>
              <w:top w:val="nil"/>
              <w:left w:val="nil"/>
              <w:bottom w:val="nil"/>
              <w:right w:val="nil"/>
            </w:tcBorders>
            <w:noWrap/>
          </w:tcPr>
          <w:p>
            <w:pPr>
              <w:pStyle w:val="yTableNAm"/>
            </w:pPr>
            <w:r>
              <w:t>Northam</w:t>
            </w:r>
          </w:p>
        </w:tc>
        <w:tc>
          <w:tcPr>
            <w:tcW w:w="1985" w:type="dxa"/>
            <w:tcBorders>
              <w:top w:val="nil"/>
              <w:left w:val="nil"/>
              <w:bottom w:val="nil"/>
              <w:right w:val="nil"/>
            </w:tcBorders>
            <w:noWrap/>
            <w:vAlign w:val="bottom"/>
          </w:tcPr>
          <w:p>
            <w:pPr>
              <w:pStyle w:val="yTableNAm"/>
              <w:ind w:right="600"/>
              <w:jc w:val="right"/>
            </w:pPr>
            <w:r>
              <w:rPr>
                <w:szCs w:val="22"/>
              </w:rPr>
              <w:t>13.842</w:t>
            </w:r>
          </w:p>
        </w:tc>
        <w:tc>
          <w:tcPr>
            <w:tcW w:w="1985" w:type="dxa"/>
            <w:tcBorders>
              <w:top w:val="nil"/>
              <w:left w:val="nil"/>
              <w:bottom w:val="nil"/>
              <w:right w:val="nil"/>
            </w:tcBorders>
            <w:noWrap/>
            <w:vAlign w:val="bottom"/>
          </w:tcPr>
          <w:p>
            <w:pPr>
              <w:pStyle w:val="yTableNAm"/>
              <w:ind w:right="600"/>
              <w:jc w:val="right"/>
            </w:pPr>
            <w:r>
              <w:rPr>
                <w:szCs w:val="22"/>
              </w:rPr>
              <w:t>48.391</w:t>
            </w:r>
          </w:p>
        </w:tc>
      </w:tr>
      <w:tr>
        <w:trPr>
          <w:cantSplit/>
        </w:trPr>
        <w:tc>
          <w:tcPr>
            <w:tcW w:w="2159" w:type="dxa"/>
            <w:tcBorders>
              <w:top w:val="nil"/>
              <w:left w:val="nil"/>
              <w:bottom w:val="nil"/>
              <w:right w:val="nil"/>
            </w:tcBorders>
            <w:noWrap/>
          </w:tcPr>
          <w:p>
            <w:pPr>
              <w:pStyle w:val="yTableNAm"/>
            </w:pPr>
            <w:r>
              <w:lastRenderedPageBreak/>
              <w:t>Onslow</w:t>
            </w:r>
          </w:p>
        </w:tc>
        <w:tc>
          <w:tcPr>
            <w:tcW w:w="1985" w:type="dxa"/>
            <w:tcBorders>
              <w:top w:val="nil"/>
              <w:left w:val="nil"/>
              <w:bottom w:val="nil"/>
              <w:right w:val="nil"/>
            </w:tcBorders>
            <w:noWrap/>
            <w:vAlign w:val="bottom"/>
          </w:tcPr>
          <w:p>
            <w:pPr>
              <w:pStyle w:val="yTableNAm"/>
              <w:ind w:right="600"/>
              <w:jc w:val="right"/>
            </w:pPr>
            <w:r>
              <w:rPr>
                <w:szCs w:val="22"/>
              </w:rPr>
              <w:t>3.903</w:t>
            </w:r>
          </w:p>
        </w:tc>
        <w:tc>
          <w:tcPr>
            <w:tcW w:w="1985" w:type="dxa"/>
            <w:tcBorders>
              <w:top w:val="nil"/>
              <w:left w:val="nil"/>
              <w:bottom w:val="nil"/>
              <w:right w:val="nil"/>
            </w:tcBorders>
            <w:noWrap/>
            <w:vAlign w:val="bottom"/>
          </w:tcPr>
          <w:p>
            <w:pPr>
              <w:pStyle w:val="yTableNAm"/>
              <w:ind w:right="600"/>
              <w:jc w:val="right"/>
            </w:pPr>
            <w:r>
              <w:rPr>
                <w:szCs w:val="22"/>
              </w:rPr>
              <w:t>10.099</w:t>
            </w:r>
          </w:p>
        </w:tc>
      </w:tr>
      <w:tr>
        <w:trPr>
          <w:cantSplit/>
        </w:trPr>
        <w:tc>
          <w:tcPr>
            <w:tcW w:w="2159" w:type="dxa"/>
            <w:tcBorders>
              <w:top w:val="nil"/>
              <w:left w:val="nil"/>
              <w:bottom w:val="nil"/>
              <w:right w:val="nil"/>
            </w:tcBorders>
            <w:noWrap/>
          </w:tcPr>
          <w:p>
            <w:pPr>
              <w:pStyle w:val="yTableNAm"/>
            </w:pPr>
            <w:r>
              <w:t>Pemberton</w:t>
            </w:r>
          </w:p>
        </w:tc>
        <w:tc>
          <w:tcPr>
            <w:tcW w:w="1985" w:type="dxa"/>
            <w:tcBorders>
              <w:top w:val="nil"/>
              <w:left w:val="nil"/>
              <w:bottom w:val="nil"/>
              <w:right w:val="nil"/>
            </w:tcBorders>
            <w:noWrap/>
            <w:vAlign w:val="bottom"/>
          </w:tcPr>
          <w:p>
            <w:pPr>
              <w:pStyle w:val="yTableNAm"/>
              <w:ind w:right="600"/>
              <w:jc w:val="right"/>
            </w:pPr>
            <w:r>
              <w:rPr>
                <w:szCs w:val="22"/>
              </w:rPr>
              <w:t>23.111</w:t>
            </w:r>
          </w:p>
        </w:tc>
        <w:tc>
          <w:tcPr>
            <w:tcW w:w="1985" w:type="dxa"/>
            <w:tcBorders>
              <w:top w:val="nil"/>
              <w:left w:val="nil"/>
              <w:bottom w:val="nil"/>
              <w:right w:val="nil"/>
            </w:tcBorders>
            <w:noWrap/>
            <w:vAlign w:val="bottom"/>
          </w:tcPr>
          <w:p>
            <w:pPr>
              <w:pStyle w:val="yTableNAm"/>
              <w:ind w:right="600"/>
              <w:jc w:val="right"/>
            </w:pPr>
            <w:r>
              <w:rPr>
                <w:szCs w:val="22"/>
              </w:rPr>
              <w:t>103.136</w:t>
            </w:r>
          </w:p>
        </w:tc>
      </w:tr>
      <w:tr>
        <w:trPr>
          <w:cantSplit/>
        </w:trPr>
        <w:tc>
          <w:tcPr>
            <w:tcW w:w="2159" w:type="dxa"/>
            <w:tcBorders>
              <w:top w:val="nil"/>
              <w:left w:val="nil"/>
              <w:bottom w:val="nil"/>
              <w:right w:val="nil"/>
            </w:tcBorders>
            <w:noWrap/>
          </w:tcPr>
          <w:p>
            <w:pPr>
              <w:pStyle w:val="yTableNAm"/>
            </w:pPr>
            <w:r>
              <w:t>Pingelly</w:t>
            </w:r>
          </w:p>
        </w:tc>
        <w:tc>
          <w:tcPr>
            <w:tcW w:w="1985" w:type="dxa"/>
            <w:tcBorders>
              <w:top w:val="nil"/>
              <w:left w:val="nil"/>
              <w:bottom w:val="nil"/>
              <w:right w:val="nil"/>
            </w:tcBorders>
            <w:noWrap/>
            <w:vAlign w:val="bottom"/>
          </w:tcPr>
          <w:p>
            <w:pPr>
              <w:pStyle w:val="yTableNAm"/>
              <w:ind w:right="600"/>
              <w:jc w:val="right"/>
            </w:pPr>
            <w:r>
              <w:rPr>
                <w:szCs w:val="22"/>
              </w:rPr>
              <w:t>18.158</w:t>
            </w:r>
          </w:p>
        </w:tc>
        <w:tc>
          <w:tcPr>
            <w:tcW w:w="1985" w:type="dxa"/>
            <w:tcBorders>
              <w:top w:val="nil"/>
              <w:left w:val="nil"/>
              <w:bottom w:val="nil"/>
              <w:right w:val="nil"/>
            </w:tcBorders>
            <w:noWrap/>
            <w:vAlign w:val="bottom"/>
          </w:tcPr>
          <w:p>
            <w:pPr>
              <w:pStyle w:val="yTableNAm"/>
              <w:ind w:right="600"/>
              <w:jc w:val="right"/>
            </w:pPr>
            <w:r>
              <w:rPr>
                <w:szCs w:val="22"/>
              </w:rPr>
              <w:t>149.693</w:t>
            </w:r>
          </w:p>
        </w:tc>
      </w:tr>
      <w:tr>
        <w:trPr>
          <w:cantSplit/>
        </w:trPr>
        <w:tc>
          <w:tcPr>
            <w:tcW w:w="2159" w:type="dxa"/>
            <w:tcBorders>
              <w:top w:val="nil"/>
              <w:left w:val="nil"/>
              <w:bottom w:val="nil"/>
              <w:right w:val="nil"/>
            </w:tcBorders>
            <w:noWrap/>
          </w:tcPr>
          <w:p>
            <w:pPr>
              <w:pStyle w:val="yTableNAm"/>
            </w:pPr>
            <w:r>
              <w:t>Pinjarra</w:t>
            </w:r>
          </w:p>
        </w:tc>
        <w:tc>
          <w:tcPr>
            <w:tcW w:w="1985" w:type="dxa"/>
            <w:tcBorders>
              <w:top w:val="nil"/>
              <w:left w:val="nil"/>
              <w:bottom w:val="nil"/>
              <w:right w:val="nil"/>
            </w:tcBorders>
            <w:noWrap/>
            <w:vAlign w:val="bottom"/>
          </w:tcPr>
          <w:p>
            <w:pPr>
              <w:pStyle w:val="yTableNAm"/>
              <w:ind w:right="600"/>
              <w:jc w:val="right"/>
            </w:pPr>
            <w:r>
              <w:rPr>
                <w:szCs w:val="22"/>
              </w:rPr>
              <w:t>9.415</w:t>
            </w:r>
          </w:p>
        </w:tc>
        <w:tc>
          <w:tcPr>
            <w:tcW w:w="1985" w:type="dxa"/>
            <w:tcBorders>
              <w:top w:val="nil"/>
              <w:left w:val="nil"/>
              <w:bottom w:val="nil"/>
              <w:right w:val="nil"/>
            </w:tcBorders>
            <w:noWrap/>
            <w:vAlign w:val="bottom"/>
          </w:tcPr>
          <w:p>
            <w:pPr>
              <w:pStyle w:val="yTableNAm"/>
              <w:ind w:right="600"/>
              <w:jc w:val="right"/>
            </w:pPr>
            <w:r>
              <w:rPr>
                <w:szCs w:val="22"/>
              </w:rPr>
              <w:t>11.691</w:t>
            </w:r>
          </w:p>
        </w:tc>
      </w:tr>
      <w:tr>
        <w:trPr>
          <w:cantSplit/>
        </w:trPr>
        <w:tc>
          <w:tcPr>
            <w:tcW w:w="2159" w:type="dxa"/>
            <w:tcBorders>
              <w:top w:val="nil"/>
              <w:left w:val="nil"/>
              <w:bottom w:val="nil"/>
              <w:right w:val="nil"/>
            </w:tcBorders>
            <w:noWrap/>
          </w:tcPr>
          <w:p>
            <w:pPr>
              <w:pStyle w:val="yTableNAm"/>
            </w:pPr>
            <w:r>
              <w:t>Port Hedland</w:t>
            </w:r>
          </w:p>
        </w:tc>
        <w:tc>
          <w:tcPr>
            <w:tcW w:w="1985" w:type="dxa"/>
            <w:tcBorders>
              <w:top w:val="nil"/>
              <w:left w:val="nil"/>
              <w:bottom w:val="nil"/>
              <w:right w:val="nil"/>
            </w:tcBorders>
            <w:noWrap/>
            <w:vAlign w:val="bottom"/>
          </w:tcPr>
          <w:p>
            <w:pPr>
              <w:pStyle w:val="yTableNAm"/>
              <w:ind w:right="600"/>
              <w:jc w:val="right"/>
            </w:pPr>
            <w:r>
              <w:rPr>
                <w:szCs w:val="22"/>
              </w:rPr>
              <w:t>6.509</w:t>
            </w:r>
          </w:p>
        </w:tc>
        <w:tc>
          <w:tcPr>
            <w:tcW w:w="1985" w:type="dxa"/>
            <w:tcBorders>
              <w:top w:val="nil"/>
              <w:left w:val="nil"/>
              <w:bottom w:val="nil"/>
              <w:right w:val="nil"/>
            </w:tcBorders>
            <w:noWrap/>
            <w:vAlign w:val="bottom"/>
          </w:tcPr>
          <w:p>
            <w:pPr>
              <w:pStyle w:val="yTableNAm"/>
              <w:ind w:right="600"/>
              <w:jc w:val="right"/>
            </w:pPr>
            <w:r>
              <w:rPr>
                <w:szCs w:val="22"/>
              </w:rPr>
              <w:t>22.677</w:t>
            </w:r>
          </w:p>
        </w:tc>
      </w:tr>
      <w:tr>
        <w:trPr>
          <w:cantSplit/>
        </w:trPr>
        <w:tc>
          <w:tcPr>
            <w:tcW w:w="2159" w:type="dxa"/>
            <w:tcBorders>
              <w:top w:val="nil"/>
              <w:left w:val="nil"/>
              <w:bottom w:val="nil"/>
              <w:right w:val="nil"/>
            </w:tcBorders>
            <w:noWrap/>
          </w:tcPr>
          <w:p>
            <w:pPr>
              <w:pStyle w:val="yTableNAm"/>
            </w:pPr>
            <w:r>
              <w:t>Prevelly</w:t>
            </w:r>
          </w:p>
        </w:tc>
        <w:tc>
          <w:tcPr>
            <w:tcW w:w="1985" w:type="dxa"/>
            <w:tcBorders>
              <w:top w:val="nil"/>
              <w:left w:val="nil"/>
              <w:bottom w:val="nil"/>
              <w:right w:val="nil"/>
            </w:tcBorders>
            <w:noWrap/>
            <w:vAlign w:val="bottom"/>
          </w:tcPr>
          <w:p>
            <w:pPr>
              <w:pStyle w:val="yTableNAm"/>
              <w:ind w:right="600"/>
              <w:jc w:val="right"/>
            </w:pPr>
            <w:r>
              <w:rPr>
                <w:szCs w:val="22"/>
              </w:rPr>
              <w:t>8.773</w:t>
            </w:r>
          </w:p>
        </w:tc>
        <w:tc>
          <w:tcPr>
            <w:tcW w:w="1985" w:type="dxa"/>
            <w:tcBorders>
              <w:top w:val="nil"/>
              <w:left w:val="nil"/>
              <w:bottom w:val="nil"/>
              <w:right w:val="nil"/>
            </w:tcBorders>
            <w:noWrap/>
            <w:vAlign w:val="bottom"/>
          </w:tcPr>
          <w:p>
            <w:pPr>
              <w:pStyle w:val="yTableNAm"/>
              <w:ind w:right="600"/>
              <w:jc w:val="right"/>
            </w:pPr>
            <w:r>
              <w:rPr>
                <w:szCs w:val="22"/>
              </w:rPr>
              <w:t>12.840</w:t>
            </w:r>
          </w:p>
        </w:tc>
      </w:tr>
      <w:tr>
        <w:trPr>
          <w:cantSplit/>
        </w:trPr>
        <w:tc>
          <w:tcPr>
            <w:tcW w:w="2159" w:type="dxa"/>
            <w:tcBorders>
              <w:top w:val="nil"/>
              <w:left w:val="nil"/>
              <w:bottom w:val="nil"/>
              <w:right w:val="nil"/>
            </w:tcBorders>
            <w:noWrap/>
          </w:tcPr>
          <w:p>
            <w:pPr>
              <w:pStyle w:val="yTableNAm"/>
            </w:pPr>
            <w:r>
              <w:t>Quairading</w:t>
            </w:r>
          </w:p>
        </w:tc>
        <w:tc>
          <w:tcPr>
            <w:tcW w:w="1985" w:type="dxa"/>
            <w:tcBorders>
              <w:top w:val="nil"/>
              <w:left w:val="nil"/>
              <w:bottom w:val="nil"/>
              <w:right w:val="nil"/>
            </w:tcBorders>
            <w:noWrap/>
            <w:vAlign w:val="bottom"/>
          </w:tcPr>
          <w:p>
            <w:pPr>
              <w:pStyle w:val="yTableNAm"/>
              <w:ind w:right="600"/>
              <w:jc w:val="right"/>
            </w:pPr>
            <w:r>
              <w:rPr>
                <w:szCs w:val="22"/>
              </w:rPr>
              <w:t>23.746</w:t>
            </w:r>
          </w:p>
        </w:tc>
        <w:tc>
          <w:tcPr>
            <w:tcW w:w="1985" w:type="dxa"/>
            <w:tcBorders>
              <w:top w:val="nil"/>
              <w:left w:val="nil"/>
              <w:bottom w:val="nil"/>
              <w:right w:val="nil"/>
            </w:tcBorders>
            <w:noWrap/>
            <w:vAlign w:val="bottom"/>
          </w:tcPr>
          <w:p>
            <w:pPr>
              <w:pStyle w:val="yTableNAm"/>
              <w:ind w:right="600"/>
              <w:jc w:val="right"/>
            </w:pPr>
            <w:r>
              <w:rPr>
                <w:szCs w:val="22"/>
              </w:rPr>
              <w:t>127.445</w:t>
            </w:r>
          </w:p>
        </w:tc>
      </w:tr>
      <w:tr>
        <w:trPr>
          <w:cantSplit/>
        </w:trPr>
        <w:tc>
          <w:tcPr>
            <w:tcW w:w="2159" w:type="dxa"/>
            <w:tcBorders>
              <w:top w:val="nil"/>
              <w:left w:val="nil"/>
              <w:bottom w:val="nil"/>
              <w:right w:val="nil"/>
            </w:tcBorders>
            <w:noWrap/>
          </w:tcPr>
          <w:p>
            <w:pPr>
              <w:pStyle w:val="yTableNAm"/>
            </w:pPr>
            <w:r>
              <w:t>Roebourne</w:t>
            </w:r>
          </w:p>
        </w:tc>
        <w:tc>
          <w:tcPr>
            <w:tcW w:w="1985" w:type="dxa"/>
            <w:tcBorders>
              <w:top w:val="nil"/>
              <w:left w:val="nil"/>
              <w:bottom w:val="nil"/>
              <w:right w:val="nil"/>
            </w:tcBorders>
            <w:noWrap/>
            <w:vAlign w:val="bottom"/>
          </w:tcPr>
          <w:p>
            <w:pPr>
              <w:pStyle w:val="yTableNAm"/>
              <w:ind w:right="600"/>
              <w:jc w:val="right"/>
            </w:pPr>
            <w:r>
              <w:rPr>
                <w:szCs w:val="22"/>
              </w:rPr>
              <w:t>22.130</w:t>
            </w:r>
          </w:p>
        </w:tc>
        <w:tc>
          <w:tcPr>
            <w:tcW w:w="1985" w:type="dxa"/>
            <w:tcBorders>
              <w:top w:val="nil"/>
              <w:left w:val="nil"/>
              <w:bottom w:val="nil"/>
              <w:right w:val="nil"/>
            </w:tcBorders>
            <w:noWrap/>
            <w:vAlign w:val="bottom"/>
          </w:tcPr>
          <w:p>
            <w:pPr>
              <w:pStyle w:val="yTableNAm"/>
              <w:ind w:right="600"/>
              <w:jc w:val="right"/>
            </w:pPr>
            <w:r>
              <w:rPr>
                <w:szCs w:val="22"/>
              </w:rPr>
              <w:t>467.834</w:t>
            </w:r>
          </w:p>
        </w:tc>
      </w:tr>
      <w:tr>
        <w:trPr>
          <w:cantSplit/>
        </w:trPr>
        <w:tc>
          <w:tcPr>
            <w:tcW w:w="2159" w:type="dxa"/>
            <w:tcBorders>
              <w:top w:val="nil"/>
              <w:left w:val="nil"/>
              <w:bottom w:val="nil"/>
              <w:right w:val="nil"/>
            </w:tcBorders>
            <w:noWrap/>
          </w:tcPr>
          <w:p>
            <w:pPr>
              <w:pStyle w:val="yTableNAm"/>
            </w:pPr>
            <w:r>
              <w:t>Seabird</w:t>
            </w:r>
          </w:p>
        </w:tc>
        <w:tc>
          <w:tcPr>
            <w:tcW w:w="1985" w:type="dxa"/>
            <w:tcBorders>
              <w:top w:val="nil"/>
              <w:left w:val="nil"/>
              <w:bottom w:val="nil"/>
              <w:right w:val="nil"/>
            </w:tcBorders>
            <w:noWrap/>
            <w:vAlign w:val="bottom"/>
          </w:tcPr>
          <w:p>
            <w:pPr>
              <w:pStyle w:val="yTableNAm"/>
              <w:ind w:right="600"/>
              <w:jc w:val="right"/>
            </w:pPr>
            <w:r>
              <w:rPr>
                <w:szCs w:val="22"/>
              </w:rPr>
              <w:t>61.956</w:t>
            </w:r>
          </w:p>
        </w:tc>
        <w:tc>
          <w:tcPr>
            <w:tcW w:w="1985" w:type="dxa"/>
            <w:tcBorders>
              <w:top w:val="nil"/>
              <w:left w:val="nil"/>
              <w:bottom w:val="nil"/>
              <w:right w:val="nil"/>
            </w:tcBorders>
            <w:noWrap/>
            <w:vAlign w:val="bottom"/>
          </w:tcPr>
          <w:p>
            <w:pPr>
              <w:pStyle w:val="yTableNAm"/>
              <w:ind w:right="600"/>
              <w:jc w:val="right"/>
            </w:pPr>
            <w:r>
              <w:rPr>
                <w:szCs w:val="22"/>
              </w:rPr>
              <w:t>198.381</w:t>
            </w:r>
          </w:p>
        </w:tc>
      </w:tr>
      <w:tr>
        <w:trPr>
          <w:cantSplit/>
        </w:trPr>
        <w:tc>
          <w:tcPr>
            <w:tcW w:w="2159" w:type="dxa"/>
            <w:tcBorders>
              <w:top w:val="nil"/>
              <w:left w:val="nil"/>
              <w:bottom w:val="nil"/>
              <w:right w:val="nil"/>
            </w:tcBorders>
            <w:noWrap/>
          </w:tcPr>
          <w:p>
            <w:pPr>
              <w:pStyle w:val="yTableNAm"/>
            </w:pPr>
            <w:r>
              <w:t>Tambellup</w:t>
            </w:r>
          </w:p>
        </w:tc>
        <w:tc>
          <w:tcPr>
            <w:tcW w:w="1985" w:type="dxa"/>
            <w:tcBorders>
              <w:top w:val="nil"/>
              <w:left w:val="nil"/>
              <w:bottom w:val="nil"/>
              <w:right w:val="nil"/>
            </w:tcBorders>
            <w:noWrap/>
            <w:vAlign w:val="bottom"/>
          </w:tcPr>
          <w:p>
            <w:pPr>
              <w:pStyle w:val="yTableNAm"/>
              <w:ind w:right="600"/>
              <w:jc w:val="right"/>
            </w:pPr>
            <w:r>
              <w:rPr>
                <w:szCs w:val="22"/>
              </w:rPr>
              <w:t>52.013</w:t>
            </w:r>
          </w:p>
        </w:tc>
        <w:tc>
          <w:tcPr>
            <w:tcW w:w="1985" w:type="dxa"/>
            <w:tcBorders>
              <w:top w:val="nil"/>
              <w:left w:val="nil"/>
              <w:bottom w:val="nil"/>
              <w:right w:val="nil"/>
            </w:tcBorders>
            <w:noWrap/>
            <w:vAlign w:val="bottom"/>
          </w:tcPr>
          <w:p>
            <w:pPr>
              <w:pStyle w:val="yTableNAm"/>
              <w:ind w:right="600"/>
              <w:jc w:val="right"/>
            </w:pPr>
            <w:r>
              <w:rPr>
                <w:szCs w:val="22"/>
              </w:rPr>
              <w:t>730.769</w:t>
            </w:r>
          </w:p>
        </w:tc>
      </w:tr>
      <w:tr>
        <w:trPr>
          <w:cantSplit/>
        </w:trPr>
        <w:tc>
          <w:tcPr>
            <w:tcW w:w="2159" w:type="dxa"/>
            <w:tcBorders>
              <w:top w:val="nil"/>
              <w:left w:val="nil"/>
              <w:bottom w:val="nil"/>
              <w:right w:val="nil"/>
            </w:tcBorders>
            <w:noWrap/>
          </w:tcPr>
          <w:p>
            <w:pPr>
              <w:pStyle w:val="yTableNAm"/>
            </w:pPr>
            <w:r>
              <w:t>Three Springs</w:t>
            </w:r>
          </w:p>
        </w:tc>
        <w:tc>
          <w:tcPr>
            <w:tcW w:w="1985" w:type="dxa"/>
            <w:tcBorders>
              <w:top w:val="nil"/>
              <w:left w:val="nil"/>
              <w:bottom w:val="nil"/>
              <w:right w:val="nil"/>
            </w:tcBorders>
            <w:noWrap/>
            <w:vAlign w:val="bottom"/>
          </w:tcPr>
          <w:p>
            <w:pPr>
              <w:pStyle w:val="yTableNAm"/>
              <w:ind w:right="600"/>
              <w:jc w:val="right"/>
            </w:pPr>
            <w:r>
              <w:rPr>
                <w:szCs w:val="22"/>
              </w:rPr>
              <w:t>4.922</w:t>
            </w:r>
          </w:p>
        </w:tc>
        <w:tc>
          <w:tcPr>
            <w:tcW w:w="1985" w:type="dxa"/>
            <w:tcBorders>
              <w:top w:val="nil"/>
              <w:left w:val="nil"/>
              <w:bottom w:val="nil"/>
              <w:right w:val="nil"/>
            </w:tcBorders>
            <w:noWrap/>
            <w:vAlign w:val="bottom"/>
          </w:tcPr>
          <w:p>
            <w:pPr>
              <w:pStyle w:val="yTableNAm"/>
              <w:ind w:right="600"/>
              <w:jc w:val="right"/>
            </w:pPr>
            <w:r>
              <w:rPr>
                <w:szCs w:val="22"/>
              </w:rPr>
              <w:t>69.876</w:t>
            </w:r>
          </w:p>
        </w:tc>
      </w:tr>
      <w:tr>
        <w:trPr>
          <w:cantSplit/>
        </w:trPr>
        <w:tc>
          <w:tcPr>
            <w:tcW w:w="2159" w:type="dxa"/>
            <w:tcBorders>
              <w:top w:val="nil"/>
              <w:left w:val="nil"/>
              <w:bottom w:val="nil"/>
              <w:right w:val="nil"/>
            </w:tcBorders>
            <w:noWrap/>
          </w:tcPr>
          <w:p>
            <w:pPr>
              <w:pStyle w:val="yTableNAm"/>
            </w:pPr>
            <w:r>
              <w:t>Toodyay</w:t>
            </w:r>
          </w:p>
        </w:tc>
        <w:tc>
          <w:tcPr>
            <w:tcW w:w="1985" w:type="dxa"/>
            <w:tcBorders>
              <w:top w:val="nil"/>
              <w:left w:val="nil"/>
              <w:bottom w:val="nil"/>
              <w:right w:val="nil"/>
            </w:tcBorders>
            <w:noWrap/>
            <w:vAlign w:val="bottom"/>
          </w:tcPr>
          <w:p>
            <w:pPr>
              <w:pStyle w:val="yTableNAm"/>
              <w:ind w:right="600"/>
              <w:jc w:val="right"/>
            </w:pPr>
            <w:r>
              <w:rPr>
                <w:szCs w:val="22"/>
              </w:rPr>
              <w:t>7.887</w:t>
            </w:r>
          </w:p>
        </w:tc>
        <w:tc>
          <w:tcPr>
            <w:tcW w:w="1985" w:type="dxa"/>
            <w:tcBorders>
              <w:top w:val="nil"/>
              <w:left w:val="nil"/>
              <w:bottom w:val="nil"/>
              <w:right w:val="nil"/>
            </w:tcBorders>
            <w:noWrap/>
            <w:vAlign w:val="bottom"/>
          </w:tcPr>
          <w:p>
            <w:pPr>
              <w:pStyle w:val="yTableNAm"/>
              <w:ind w:right="600"/>
              <w:jc w:val="right"/>
            </w:pPr>
            <w:r>
              <w:rPr>
                <w:szCs w:val="22"/>
              </w:rPr>
              <w:t>30.056</w:t>
            </w:r>
          </w:p>
        </w:tc>
      </w:tr>
      <w:tr>
        <w:trPr>
          <w:cantSplit/>
        </w:trPr>
        <w:tc>
          <w:tcPr>
            <w:tcW w:w="2159" w:type="dxa"/>
            <w:tcBorders>
              <w:top w:val="nil"/>
              <w:left w:val="nil"/>
              <w:bottom w:val="nil"/>
              <w:right w:val="nil"/>
            </w:tcBorders>
            <w:noWrap/>
          </w:tcPr>
          <w:p>
            <w:pPr>
              <w:pStyle w:val="yTableNAm"/>
            </w:pPr>
            <w:r>
              <w:t>Wagin</w:t>
            </w:r>
          </w:p>
        </w:tc>
        <w:tc>
          <w:tcPr>
            <w:tcW w:w="1985" w:type="dxa"/>
            <w:tcBorders>
              <w:top w:val="nil"/>
              <w:left w:val="nil"/>
              <w:bottom w:val="nil"/>
              <w:right w:val="nil"/>
            </w:tcBorders>
            <w:noWrap/>
            <w:vAlign w:val="bottom"/>
          </w:tcPr>
          <w:p>
            <w:pPr>
              <w:pStyle w:val="yTableNAm"/>
              <w:ind w:right="600"/>
              <w:jc w:val="right"/>
            </w:pPr>
            <w:r>
              <w:rPr>
                <w:szCs w:val="22"/>
              </w:rPr>
              <w:t>14.420</w:t>
            </w:r>
          </w:p>
        </w:tc>
        <w:tc>
          <w:tcPr>
            <w:tcW w:w="1985" w:type="dxa"/>
            <w:tcBorders>
              <w:top w:val="nil"/>
              <w:left w:val="nil"/>
              <w:bottom w:val="nil"/>
              <w:right w:val="nil"/>
            </w:tcBorders>
            <w:noWrap/>
            <w:vAlign w:val="bottom"/>
          </w:tcPr>
          <w:p>
            <w:pPr>
              <w:pStyle w:val="yTableNAm"/>
              <w:ind w:right="600"/>
              <w:jc w:val="right"/>
            </w:pPr>
            <w:r>
              <w:rPr>
                <w:szCs w:val="22"/>
              </w:rPr>
              <w:t>114.532</w:t>
            </w:r>
          </w:p>
        </w:tc>
      </w:tr>
      <w:tr>
        <w:trPr>
          <w:cantSplit/>
        </w:trPr>
        <w:tc>
          <w:tcPr>
            <w:tcW w:w="2159" w:type="dxa"/>
            <w:tcBorders>
              <w:top w:val="nil"/>
              <w:left w:val="nil"/>
              <w:bottom w:val="nil"/>
              <w:right w:val="nil"/>
            </w:tcBorders>
            <w:noWrap/>
          </w:tcPr>
          <w:p>
            <w:pPr>
              <w:pStyle w:val="yTableNAm"/>
            </w:pPr>
            <w:r>
              <w:t>Walpole</w:t>
            </w:r>
          </w:p>
        </w:tc>
        <w:tc>
          <w:tcPr>
            <w:tcW w:w="1985" w:type="dxa"/>
            <w:tcBorders>
              <w:top w:val="nil"/>
              <w:left w:val="nil"/>
              <w:bottom w:val="nil"/>
              <w:right w:val="nil"/>
            </w:tcBorders>
            <w:noWrap/>
            <w:vAlign w:val="bottom"/>
          </w:tcPr>
          <w:p>
            <w:pPr>
              <w:pStyle w:val="yTableNAm"/>
              <w:ind w:right="600"/>
              <w:jc w:val="right"/>
            </w:pPr>
            <w:r>
              <w:rPr>
                <w:szCs w:val="22"/>
              </w:rPr>
              <w:t>14.964</w:t>
            </w:r>
          </w:p>
        </w:tc>
        <w:tc>
          <w:tcPr>
            <w:tcW w:w="1985" w:type="dxa"/>
            <w:tcBorders>
              <w:top w:val="nil"/>
              <w:left w:val="nil"/>
              <w:bottom w:val="nil"/>
              <w:right w:val="nil"/>
            </w:tcBorders>
            <w:noWrap/>
            <w:vAlign w:val="bottom"/>
          </w:tcPr>
          <w:p>
            <w:pPr>
              <w:pStyle w:val="yTableNAm"/>
              <w:ind w:right="600"/>
              <w:jc w:val="right"/>
            </w:pPr>
            <w:r>
              <w:rPr>
                <w:szCs w:val="22"/>
              </w:rPr>
              <w:t>44.029</w:t>
            </w:r>
          </w:p>
        </w:tc>
      </w:tr>
      <w:tr>
        <w:trPr>
          <w:cantSplit/>
        </w:trPr>
        <w:tc>
          <w:tcPr>
            <w:tcW w:w="2159" w:type="dxa"/>
            <w:tcBorders>
              <w:top w:val="nil"/>
              <w:left w:val="nil"/>
              <w:bottom w:val="nil"/>
              <w:right w:val="nil"/>
            </w:tcBorders>
            <w:noWrap/>
          </w:tcPr>
          <w:p>
            <w:pPr>
              <w:pStyle w:val="yTableNAm"/>
            </w:pPr>
            <w:r>
              <w:t>Waroona</w:t>
            </w:r>
          </w:p>
        </w:tc>
        <w:tc>
          <w:tcPr>
            <w:tcW w:w="1985" w:type="dxa"/>
            <w:tcBorders>
              <w:top w:val="nil"/>
              <w:left w:val="nil"/>
              <w:bottom w:val="nil"/>
              <w:right w:val="nil"/>
            </w:tcBorders>
            <w:noWrap/>
            <w:vAlign w:val="bottom"/>
          </w:tcPr>
          <w:p>
            <w:pPr>
              <w:pStyle w:val="yTableNAm"/>
              <w:ind w:right="600"/>
              <w:jc w:val="right"/>
            </w:pPr>
            <w:r>
              <w:rPr>
                <w:szCs w:val="22"/>
              </w:rPr>
              <w:t>9.187</w:t>
            </w:r>
          </w:p>
        </w:tc>
        <w:tc>
          <w:tcPr>
            <w:tcW w:w="1985" w:type="dxa"/>
            <w:tcBorders>
              <w:top w:val="nil"/>
              <w:left w:val="nil"/>
              <w:bottom w:val="nil"/>
              <w:right w:val="nil"/>
            </w:tcBorders>
            <w:noWrap/>
            <w:vAlign w:val="bottom"/>
          </w:tcPr>
          <w:p>
            <w:pPr>
              <w:pStyle w:val="yTableNAm"/>
              <w:ind w:right="600"/>
              <w:jc w:val="right"/>
            </w:pPr>
            <w:r>
              <w:rPr>
                <w:szCs w:val="22"/>
              </w:rPr>
              <w:t>22.597</w:t>
            </w:r>
          </w:p>
        </w:tc>
      </w:tr>
      <w:tr>
        <w:trPr>
          <w:cantSplit/>
        </w:trPr>
        <w:tc>
          <w:tcPr>
            <w:tcW w:w="2159" w:type="dxa"/>
            <w:tcBorders>
              <w:top w:val="nil"/>
              <w:left w:val="nil"/>
              <w:bottom w:val="nil"/>
              <w:right w:val="nil"/>
            </w:tcBorders>
            <w:noWrap/>
          </w:tcPr>
          <w:p>
            <w:pPr>
              <w:pStyle w:val="yTableNAm"/>
            </w:pPr>
            <w:r>
              <w:t>Wickham</w:t>
            </w:r>
          </w:p>
        </w:tc>
        <w:tc>
          <w:tcPr>
            <w:tcW w:w="1985" w:type="dxa"/>
            <w:tcBorders>
              <w:top w:val="nil"/>
              <w:left w:val="nil"/>
              <w:bottom w:val="nil"/>
              <w:right w:val="nil"/>
            </w:tcBorders>
            <w:noWrap/>
            <w:vAlign w:val="bottom"/>
          </w:tcPr>
          <w:p>
            <w:pPr>
              <w:pStyle w:val="yTableNAm"/>
              <w:ind w:right="600"/>
              <w:jc w:val="right"/>
            </w:pPr>
            <w:r>
              <w:rPr>
                <w:szCs w:val="22"/>
              </w:rPr>
              <w:t>8.174</w:t>
            </w:r>
          </w:p>
        </w:tc>
        <w:tc>
          <w:tcPr>
            <w:tcW w:w="1985" w:type="dxa"/>
            <w:tcBorders>
              <w:top w:val="nil"/>
              <w:left w:val="nil"/>
              <w:bottom w:val="nil"/>
              <w:right w:val="nil"/>
            </w:tcBorders>
            <w:noWrap/>
            <w:vAlign w:val="bottom"/>
          </w:tcPr>
          <w:p>
            <w:pPr>
              <w:pStyle w:val="yTableNAm"/>
              <w:ind w:right="600"/>
              <w:jc w:val="right"/>
            </w:pPr>
            <w:r>
              <w:rPr>
                <w:szCs w:val="22"/>
              </w:rPr>
              <w:t>141.559</w:t>
            </w:r>
          </w:p>
        </w:tc>
      </w:tr>
      <w:tr>
        <w:trPr>
          <w:cantSplit/>
        </w:trPr>
        <w:tc>
          <w:tcPr>
            <w:tcW w:w="2159" w:type="dxa"/>
            <w:tcBorders>
              <w:top w:val="nil"/>
              <w:left w:val="nil"/>
              <w:bottom w:val="nil"/>
              <w:right w:val="nil"/>
            </w:tcBorders>
            <w:noWrap/>
          </w:tcPr>
          <w:p>
            <w:pPr>
              <w:pStyle w:val="yTableNAm"/>
            </w:pPr>
            <w:r>
              <w:t>Williams</w:t>
            </w:r>
          </w:p>
        </w:tc>
        <w:tc>
          <w:tcPr>
            <w:tcW w:w="1985" w:type="dxa"/>
            <w:tcBorders>
              <w:top w:val="nil"/>
              <w:left w:val="nil"/>
              <w:bottom w:val="nil"/>
              <w:right w:val="nil"/>
            </w:tcBorders>
            <w:noWrap/>
            <w:vAlign w:val="bottom"/>
          </w:tcPr>
          <w:p>
            <w:pPr>
              <w:pStyle w:val="yTableNAm"/>
              <w:ind w:right="600"/>
              <w:jc w:val="right"/>
            </w:pPr>
            <w:r>
              <w:rPr>
                <w:szCs w:val="22"/>
              </w:rPr>
              <w:t>25.345</w:t>
            </w:r>
          </w:p>
        </w:tc>
        <w:tc>
          <w:tcPr>
            <w:tcW w:w="1985" w:type="dxa"/>
            <w:tcBorders>
              <w:top w:val="nil"/>
              <w:left w:val="nil"/>
              <w:bottom w:val="nil"/>
              <w:right w:val="nil"/>
            </w:tcBorders>
            <w:noWrap/>
            <w:vAlign w:val="bottom"/>
          </w:tcPr>
          <w:p>
            <w:pPr>
              <w:pStyle w:val="yTableNAm"/>
              <w:ind w:right="600"/>
              <w:jc w:val="right"/>
            </w:pPr>
            <w:r>
              <w:rPr>
                <w:szCs w:val="22"/>
              </w:rPr>
              <w:t>124.030</w:t>
            </w:r>
          </w:p>
        </w:tc>
      </w:tr>
      <w:tr>
        <w:trPr>
          <w:cantSplit/>
        </w:trPr>
        <w:tc>
          <w:tcPr>
            <w:tcW w:w="2159" w:type="dxa"/>
            <w:tcBorders>
              <w:top w:val="nil"/>
              <w:left w:val="nil"/>
              <w:bottom w:val="nil"/>
              <w:right w:val="nil"/>
            </w:tcBorders>
            <w:noWrap/>
          </w:tcPr>
          <w:p>
            <w:pPr>
              <w:pStyle w:val="yTableNAm"/>
            </w:pPr>
            <w:r>
              <w:t>Wiluna</w:t>
            </w:r>
          </w:p>
        </w:tc>
        <w:tc>
          <w:tcPr>
            <w:tcW w:w="1985" w:type="dxa"/>
            <w:tcBorders>
              <w:top w:val="nil"/>
              <w:left w:val="nil"/>
              <w:bottom w:val="nil"/>
              <w:right w:val="nil"/>
            </w:tcBorders>
            <w:noWrap/>
            <w:vAlign w:val="bottom"/>
          </w:tcPr>
          <w:p>
            <w:pPr>
              <w:pStyle w:val="yTableNAm"/>
              <w:ind w:right="600"/>
              <w:jc w:val="right"/>
            </w:pPr>
            <w:r>
              <w:rPr>
                <w:szCs w:val="22"/>
              </w:rPr>
              <w:t>16.535</w:t>
            </w:r>
          </w:p>
        </w:tc>
        <w:tc>
          <w:tcPr>
            <w:tcW w:w="1985" w:type="dxa"/>
            <w:tcBorders>
              <w:top w:val="nil"/>
              <w:left w:val="nil"/>
              <w:bottom w:val="nil"/>
              <w:right w:val="nil"/>
            </w:tcBorders>
            <w:noWrap/>
            <w:vAlign w:val="bottom"/>
          </w:tcPr>
          <w:p>
            <w:pPr>
              <w:pStyle w:val="yTableNAm"/>
              <w:ind w:right="600"/>
              <w:jc w:val="right"/>
            </w:pPr>
            <w:r>
              <w:rPr>
                <w:szCs w:val="22"/>
              </w:rPr>
              <w:t>15.825</w:t>
            </w:r>
          </w:p>
        </w:tc>
      </w:tr>
      <w:tr>
        <w:trPr>
          <w:cantSplit/>
        </w:trPr>
        <w:tc>
          <w:tcPr>
            <w:tcW w:w="2159" w:type="dxa"/>
            <w:tcBorders>
              <w:top w:val="nil"/>
              <w:left w:val="nil"/>
              <w:bottom w:val="nil"/>
              <w:right w:val="nil"/>
            </w:tcBorders>
            <w:noWrap/>
          </w:tcPr>
          <w:p>
            <w:pPr>
              <w:pStyle w:val="yTableNAm"/>
            </w:pPr>
            <w:r>
              <w:t>Wongan Hills</w:t>
            </w:r>
          </w:p>
        </w:tc>
        <w:tc>
          <w:tcPr>
            <w:tcW w:w="1985" w:type="dxa"/>
            <w:tcBorders>
              <w:top w:val="nil"/>
              <w:left w:val="nil"/>
              <w:bottom w:val="nil"/>
              <w:right w:val="nil"/>
            </w:tcBorders>
            <w:noWrap/>
            <w:vAlign w:val="bottom"/>
          </w:tcPr>
          <w:p>
            <w:pPr>
              <w:pStyle w:val="yTableNAm"/>
              <w:ind w:right="600"/>
              <w:jc w:val="right"/>
            </w:pPr>
            <w:r>
              <w:rPr>
                <w:szCs w:val="22"/>
              </w:rPr>
              <w:t>15.255</w:t>
            </w:r>
          </w:p>
        </w:tc>
        <w:tc>
          <w:tcPr>
            <w:tcW w:w="1985" w:type="dxa"/>
            <w:tcBorders>
              <w:top w:val="nil"/>
              <w:left w:val="nil"/>
              <w:bottom w:val="nil"/>
              <w:right w:val="nil"/>
            </w:tcBorders>
            <w:noWrap/>
            <w:vAlign w:val="bottom"/>
          </w:tcPr>
          <w:p>
            <w:pPr>
              <w:pStyle w:val="yTableNAm"/>
              <w:ind w:right="600"/>
              <w:jc w:val="right"/>
            </w:pPr>
            <w:r>
              <w:rPr>
                <w:szCs w:val="22"/>
              </w:rPr>
              <w:t>68.971</w:t>
            </w:r>
          </w:p>
        </w:tc>
      </w:tr>
      <w:tr>
        <w:trPr>
          <w:cantSplit/>
        </w:trPr>
        <w:tc>
          <w:tcPr>
            <w:tcW w:w="2159" w:type="dxa"/>
            <w:tcBorders>
              <w:top w:val="nil"/>
              <w:left w:val="nil"/>
              <w:bottom w:val="nil"/>
              <w:right w:val="nil"/>
            </w:tcBorders>
            <w:noWrap/>
          </w:tcPr>
          <w:p>
            <w:pPr>
              <w:pStyle w:val="yTableNAm"/>
            </w:pPr>
            <w:r>
              <w:lastRenderedPageBreak/>
              <w:t>Wundowie</w:t>
            </w:r>
          </w:p>
        </w:tc>
        <w:tc>
          <w:tcPr>
            <w:tcW w:w="1985" w:type="dxa"/>
            <w:tcBorders>
              <w:top w:val="nil"/>
              <w:left w:val="nil"/>
              <w:bottom w:val="nil"/>
              <w:right w:val="nil"/>
            </w:tcBorders>
            <w:noWrap/>
            <w:vAlign w:val="bottom"/>
          </w:tcPr>
          <w:p>
            <w:pPr>
              <w:pStyle w:val="yTableNAm"/>
              <w:ind w:right="600"/>
              <w:jc w:val="right"/>
            </w:pPr>
            <w:r>
              <w:rPr>
                <w:szCs w:val="22"/>
              </w:rPr>
              <w:t>18.655</w:t>
            </w:r>
          </w:p>
        </w:tc>
        <w:tc>
          <w:tcPr>
            <w:tcW w:w="1985" w:type="dxa"/>
            <w:tcBorders>
              <w:top w:val="nil"/>
              <w:left w:val="nil"/>
              <w:bottom w:val="nil"/>
              <w:right w:val="nil"/>
            </w:tcBorders>
            <w:noWrap/>
            <w:vAlign w:val="bottom"/>
          </w:tcPr>
          <w:p>
            <w:pPr>
              <w:pStyle w:val="yTableNAm"/>
              <w:ind w:right="600"/>
              <w:jc w:val="right"/>
            </w:pPr>
            <w:r>
              <w:rPr>
                <w:szCs w:val="22"/>
              </w:rPr>
              <w:t>56.798</w:t>
            </w:r>
          </w:p>
        </w:tc>
      </w:tr>
      <w:tr>
        <w:trPr>
          <w:cantSplit/>
        </w:trPr>
        <w:tc>
          <w:tcPr>
            <w:tcW w:w="2159" w:type="dxa"/>
            <w:tcBorders>
              <w:top w:val="nil"/>
              <w:left w:val="nil"/>
              <w:bottom w:val="nil"/>
              <w:right w:val="nil"/>
            </w:tcBorders>
            <w:noWrap/>
          </w:tcPr>
          <w:p>
            <w:pPr>
              <w:pStyle w:val="yTableNAm"/>
            </w:pPr>
            <w:r>
              <w:t>Wyalkatchem</w:t>
            </w:r>
          </w:p>
        </w:tc>
        <w:tc>
          <w:tcPr>
            <w:tcW w:w="1985" w:type="dxa"/>
            <w:tcBorders>
              <w:top w:val="nil"/>
              <w:left w:val="nil"/>
              <w:bottom w:val="nil"/>
              <w:right w:val="nil"/>
            </w:tcBorders>
            <w:noWrap/>
            <w:vAlign w:val="bottom"/>
          </w:tcPr>
          <w:p>
            <w:pPr>
              <w:pStyle w:val="yTableNAm"/>
              <w:ind w:right="600"/>
              <w:jc w:val="right"/>
            </w:pPr>
            <w:r>
              <w:rPr>
                <w:szCs w:val="22"/>
              </w:rPr>
              <w:t>28.075</w:t>
            </w:r>
          </w:p>
        </w:tc>
        <w:tc>
          <w:tcPr>
            <w:tcW w:w="1985" w:type="dxa"/>
            <w:tcBorders>
              <w:top w:val="nil"/>
              <w:left w:val="nil"/>
              <w:bottom w:val="nil"/>
              <w:right w:val="nil"/>
            </w:tcBorders>
            <w:noWrap/>
            <w:vAlign w:val="bottom"/>
          </w:tcPr>
          <w:p>
            <w:pPr>
              <w:pStyle w:val="yTableNAm"/>
              <w:ind w:right="600"/>
              <w:jc w:val="right"/>
            </w:pPr>
            <w:r>
              <w:rPr>
                <w:szCs w:val="22"/>
              </w:rPr>
              <w:t>332.707</w:t>
            </w:r>
          </w:p>
        </w:tc>
      </w:tr>
      <w:tr>
        <w:trPr>
          <w:cantSplit/>
        </w:trPr>
        <w:tc>
          <w:tcPr>
            <w:tcW w:w="2159" w:type="dxa"/>
            <w:tcBorders>
              <w:top w:val="nil"/>
              <w:left w:val="nil"/>
              <w:bottom w:val="nil"/>
              <w:right w:val="nil"/>
            </w:tcBorders>
            <w:noWrap/>
          </w:tcPr>
          <w:p>
            <w:pPr>
              <w:pStyle w:val="yTableNAm"/>
            </w:pPr>
            <w:r>
              <w:t>Wyndham</w:t>
            </w:r>
          </w:p>
        </w:tc>
        <w:tc>
          <w:tcPr>
            <w:tcW w:w="1985" w:type="dxa"/>
            <w:tcBorders>
              <w:top w:val="nil"/>
              <w:left w:val="nil"/>
              <w:bottom w:val="nil"/>
              <w:right w:val="nil"/>
            </w:tcBorders>
            <w:noWrap/>
            <w:vAlign w:val="bottom"/>
          </w:tcPr>
          <w:p>
            <w:pPr>
              <w:pStyle w:val="yTableNAm"/>
              <w:ind w:right="600"/>
              <w:jc w:val="right"/>
            </w:pPr>
            <w:r>
              <w:rPr>
                <w:szCs w:val="22"/>
              </w:rPr>
              <w:t>39.395</w:t>
            </w:r>
          </w:p>
        </w:tc>
        <w:tc>
          <w:tcPr>
            <w:tcW w:w="1985" w:type="dxa"/>
            <w:tcBorders>
              <w:top w:val="nil"/>
              <w:left w:val="nil"/>
              <w:bottom w:val="nil"/>
              <w:right w:val="nil"/>
            </w:tcBorders>
            <w:noWrap/>
            <w:vAlign w:val="bottom"/>
          </w:tcPr>
          <w:p>
            <w:pPr>
              <w:pStyle w:val="yTableNAm"/>
              <w:ind w:right="600"/>
              <w:jc w:val="right"/>
            </w:pPr>
            <w:r>
              <w:rPr>
                <w:szCs w:val="22"/>
              </w:rPr>
              <w:t>328.799</w:t>
            </w:r>
          </w:p>
        </w:tc>
      </w:tr>
      <w:tr>
        <w:trPr>
          <w:cantSplit/>
        </w:trPr>
        <w:tc>
          <w:tcPr>
            <w:tcW w:w="2159" w:type="dxa"/>
            <w:tcBorders>
              <w:top w:val="nil"/>
              <w:left w:val="nil"/>
              <w:bottom w:val="nil"/>
              <w:right w:val="nil"/>
            </w:tcBorders>
            <w:noWrap/>
          </w:tcPr>
          <w:p>
            <w:pPr>
              <w:pStyle w:val="yTableNAm"/>
            </w:pPr>
            <w:r>
              <w:t>York</w:t>
            </w:r>
          </w:p>
        </w:tc>
        <w:tc>
          <w:tcPr>
            <w:tcW w:w="1985" w:type="dxa"/>
            <w:tcBorders>
              <w:top w:val="nil"/>
              <w:left w:val="nil"/>
              <w:bottom w:val="nil"/>
              <w:right w:val="nil"/>
            </w:tcBorders>
            <w:noWrap/>
            <w:vAlign w:val="bottom"/>
          </w:tcPr>
          <w:p>
            <w:pPr>
              <w:pStyle w:val="yTableNAm"/>
              <w:ind w:right="600"/>
              <w:jc w:val="right"/>
            </w:pPr>
            <w:r>
              <w:rPr>
                <w:szCs w:val="22"/>
              </w:rPr>
              <w:t>1.603</w:t>
            </w:r>
          </w:p>
        </w:tc>
        <w:tc>
          <w:tcPr>
            <w:tcW w:w="1985" w:type="dxa"/>
            <w:tcBorders>
              <w:top w:val="nil"/>
              <w:left w:val="nil"/>
              <w:bottom w:val="nil"/>
              <w:right w:val="nil"/>
            </w:tcBorders>
            <w:noWrap/>
            <w:vAlign w:val="bottom"/>
          </w:tcPr>
          <w:p>
            <w:pPr>
              <w:pStyle w:val="yTableNAm"/>
              <w:ind w:right="600"/>
              <w:jc w:val="right"/>
            </w:pPr>
            <w:r>
              <w:rPr>
                <w:szCs w:val="22"/>
              </w:rPr>
              <w:t>5.357</w:t>
            </w:r>
          </w:p>
        </w:tc>
      </w:tr>
      <w:tr>
        <w:trPr>
          <w:cantSplit/>
        </w:trPr>
        <w:tc>
          <w:tcPr>
            <w:tcW w:w="2159" w:type="dxa"/>
            <w:tcBorders>
              <w:top w:val="nil"/>
              <w:left w:val="nil"/>
              <w:bottom w:val="single" w:sz="4" w:space="0" w:color="auto"/>
              <w:right w:val="nil"/>
            </w:tcBorders>
            <w:noWrap/>
          </w:tcPr>
          <w:p>
            <w:pPr>
              <w:pStyle w:val="yTableNAm"/>
            </w:pPr>
            <w:r>
              <w:t>Yunderup</w:t>
            </w:r>
          </w:p>
        </w:tc>
        <w:tc>
          <w:tcPr>
            <w:tcW w:w="1985" w:type="dxa"/>
            <w:tcBorders>
              <w:top w:val="nil"/>
              <w:left w:val="nil"/>
              <w:bottom w:val="single" w:sz="4" w:space="0" w:color="auto"/>
              <w:right w:val="nil"/>
            </w:tcBorders>
            <w:noWrap/>
            <w:vAlign w:val="bottom"/>
          </w:tcPr>
          <w:p>
            <w:pPr>
              <w:pStyle w:val="yTableNAm"/>
              <w:ind w:right="600"/>
              <w:jc w:val="right"/>
            </w:pPr>
            <w:r>
              <w:rPr>
                <w:szCs w:val="22"/>
              </w:rPr>
              <w:t>5.357</w:t>
            </w:r>
          </w:p>
        </w:tc>
        <w:tc>
          <w:tcPr>
            <w:tcW w:w="1985" w:type="dxa"/>
            <w:tcBorders>
              <w:top w:val="nil"/>
              <w:left w:val="nil"/>
              <w:bottom w:val="single" w:sz="4" w:space="0" w:color="auto"/>
              <w:right w:val="nil"/>
            </w:tcBorders>
            <w:noWrap/>
            <w:vAlign w:val="bottom"/>
          </w:tcPr>
          <w:p>
            <w:pPr>
              <w:pStyle w:val="yTableNAm"/>
              <w:ind w:right="600"/>
              <w:jc w:val="right"/>
            </w:pPr>
            <w:r>
              <w:rPr>
                <w:szCs w:val="22"/>
              </w:rPr>
              <w:t>6.941</w:t>
            </w:r>
          </w:p>
        </w:tc>
      </w:tr>
    </w:tbl>
    <w:p>
      <w:pPr>
        <w:pStyle w:val="zyHeading3"/>
      </w:pPr>
      <w:bookmarkStart w:id="241" w:name="_Toc169797252"/>
      <w:bookmarkStart w:id="242" w:name="_Toc169797407"/>
      <w:bookmarkStart w:id="243" w:name="_Toc169797562"/>
      <w:bookmarkStart w:id="244" w:name="_Toc170213163"/>
      <w:r>
        <w:t>Division 2 — Combined charges for certain non</w:t>
      </w:r>
      <w:r>
        <w:noBreakHyphen/>
        <w:t>residential property</w:t>
      </w:r>
      <w:bookmarkEnd w:id="241"/>
      <w:bookmarkEnd w:id="242"/>
      <w:bookmarkEnd w:id="243"/>
      <w:bookmarkEnd w:id="244"/>
    </w:p>
    <w:p>
      <w:pPr>
        <w:pStyle w:val="zyHeading4"/>
      </w:pPr>
      <w:bookmarkStart w:id="245" w:name="_Toc169797253"/>
      <w:bookmarkStart w:id="246" w:name="_Toc169797408"/>
      <w:bookmarkStart w:id="247" w:name="_Toc169797563"/>
      <w:bookmarkStart w:id="248" w:name="_Toc170213164"/>
      <w:r>
        <w:t>Subdivision 1 — Preliminary</w:t>
      </w:r>
      <w:bookmarkEnd w:id="245"/>
      <w:bookmarkEnd w:id="246"/>
      <w:bookmarkEnd w:id="247"/>
      <w:bookmarkEnd w:id="248"/>
    </w:p>
    <w:p>
      <w:pPr>
        <w:pStyle w:val="zyHeading5"/>
      </w:pPr>
      <w:bookmarkStart w:id="249" w:name="_Toc169797254"/>
      <w:bookmarkStart w:id="250" w:name="_Toc170213165"/>
      <w:r>
        <w:t>13.</w:t>
      </w:r>
      <w:r>
        <w:tab/>
        <w:t>Combined charges for 2024/25 and subsequent years</w:t>
      </w:r>
      <w:bookmarkEnd w:id="249"/>
      <w:bookmarkEnd w:id="250"/>
    </w:p>
    <w:p>
      <w:pPr>
        <w:pStyle w:val="ySubsection"/>
      </w:pPr>
      <w:r>
        <w:tab/>
      </w:r>
      <w:r>
        <w:tab/>
        <w:t>The charges set out in this Division apply for sewerage services provided and wastewater discharged in the 2024/25 financial year and each subsequent year.</w:t>
      </w:r>
    </w:p>
    <w:p>
      <w:pPr>
        <w:pStyle w:val="zyHeading4"/>
      </w:pPr>
      <w:bookmarkStart w:id="251" w:name="_Toc169797255"/>
      <w:bookmarkStart w:id="252" w:name="_Toc169797410"/>
      <w:bookmarkStart w:id="253" w:name="_Toc169797565"/>
      <w:bookmarkStart w:id="254" w:name="_Toc170213166"/>
      <w:r>
        <w:t>Subdivision 2 — Combined charges: metropolitan</w:t>
      </w:r>
      <w:bookmarkEnd w:id="251"/>
      <w:bookmarkEnd w:id="252"/>
      <w:bookmarkEnd w:id="253"/>
      <w:bookmarkEnd w:id="254"/>
    </w:p>
    <w:p>
      <w:pPr>
        <w:pStyle w:val="zyHeading5"/>
      </w:pPr>
      <w:bookmarkStart w:id="255" w:name="_Toc169797256"/>
      <w:bookmarkStart w:id="256" w:name="_Toc170213167"/>
      <w:r>
        <w:t>14.</w:t>
      </w:r>
      <w:r>
        <w:tab/>
        <w:t>Metropolitan non</w:t>
      </w:r>
      <w:r>
        <w:noBreakHyphen/>
        <w:t>residential</w:t>
      </w:r>
      <w:bookmarkEnd w:id="255"/>
      <w:bookmarkEnd w:id="256"/>
    </w:p>
    <w:p>
      <w:pPr>
        <w:pStyle w:val="ySubsection"/>
      </w:pPr>
      <w:r>
        <w:tab/>
      </w:r>
      <w:r>
        <w:tab/>
        <w:t>For land in the metropolitan area that —</w:t>
      </w:r>
    </w:p>
    <w:p>
      <w:pPr>
        <w:pStyle w:val="yIndenta"/>
      </w:pPr>
      <w:r>
        <w:tab/>
        <w:t>(a)</w:t>
      </w:r>
      <w:r>
        <w:tab/>
        <w:t>is not contained in a residential property; and</w:t>
      </w:r>
    </w:p>
    <w:p>
      <w:pPr>
        <w:pStyle w:val="yIndenta"/>
      </w:pPr>
      <w:r>
        <w:tab/>
        <w:t>(b)</w:t>
      </w:r>
      <w:r>
        <w:tab/>
        <w:t>is not covered by item 3, 4, 5, 6, 15, 16, 17 or 18,</w:t>
      </w:r>
    </w:p>
    <w:p>
      <w:pPr>
        <w:pStyle w:val="ySubsection"/>
      </w:pPr>
      <w:r>
        <w:tab/>
      </w:r>
      <w:r>
        <w:tab/>
        <w:t>the charge is —</w:t>
      </w:r>
    </w:p>
    <w:p>
      <w:pPr>
        <w:pStyle w:val="Equation"/>
        <w:spacing w:before="120"/>
        <w:ind w:left="879"/>
        <w:rPr>
          <w:b/>
          <w:sz w:val="22"/>
        </w:rPr>
      </w:pPr>
      <m:oMathPara>
        <m:oMathParaPr>
          <m:jc m:val="left"/>
        </m:oMathParaPr>
        <m:oMath>
          <m:r>
            <m:rPr>
              <m:sty m:val="b"/>
            </m:rPr>
            <w:rPr>
              <w:rFonts w:ascii="Cambria Math" w:hAnsi="Cambria Math"/>
              <w:sz w:val="22"/>
            </w:rPr>
            <m:t>P+Q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4" w:hanging="425"/>
      </w:pPr>
      <w:r>
        <w:rPr>
          <w:b/>
        </w:rPr>
        <w:t>P</w:t>
      </w:r>
      <w:r>
        <w:tab/>
        <w:t>is the service charge calculated in accordance with item 19;</w:t>
      </w:r>
    </w:p>
    <w:p>
      <w:pPr>
        <w:pStyle w:val="yMiscellaneousBody"/>
        <w:tabs>
          <w:tab w:val="left" w:pos="284"/>
          <w:tab w:val="left" w:pos="1985"/>
        </w:tabs>
        <w:ind w:left="1304" w:hanging="425"/>
      </w:pPr>
      <w:r>
        <w:rPr>
          <w:b/>
        </w:rPr>
        <w:t>Q</w:t>
      </w:r>
      <w:r>
        <w:tab/>
        <w:t>is the discharge charge calculated in accordance with item 20.</w:t>
      </w:r>
    </w:p>
    <w:p>
      <w:pPr>
        <w:pStyle w:val="zyHeading5"/>
      </w:pPr>
      <w:bookmarkStart w:id="257" w:name="_Toc169797257"/>
      <w:bookmarkStart w:id="258" w:name="_Toc170213168"/>
      <w:r>
        <w:lastRenderedPageBreak/>
        <w:t>15.</w:t>
      </w:r>
      <w:r>
        <w:tab/>
        <w:t>Metropolitan government trading organisation and non</w:t>
      </w:r>
      <w:r>
        <w:noBreakHyphen/>
        <w:t>commercial government property</w:t>
      </w:r>
      <w:bookmarkEnd w:id="257"/>
      <w:bookmarkEnd w:id="258"/>
    </w:p>
    <w:p>
      <w:pPr>
        <w:pStyle w:val="ySubsection"/>
      </w:pPr>
      <w:r>
        <w:tab/>
        <w:t>(1)</w:t>
      </w:r>
      <w:r>
        <w:tab/>
        <w:t>For land in the metropolitan area held by a government trading organisation or a public authority that holds non</w:t>
      </w:r>
      <w:r>
        <w:noBreakHyphen/>
        <w:t>commercial government property, the charge is —</w:t>
      </w:r>
    </w:p>
    <w:p>
      <w:pPr>
        <w:pStyle w:val="Equation"/>
        <w:spacing w:before="120"/>
        <w:ind w:left="879"/>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Y</w:t>
      </w:r>
      <w:r>
        <w:tab/>
        <w:t>is the charge according to the number of connected major fixtures calculated in accordance with item 19;</w:t>
      </w:r>
    </w:p>
    <w:p>
      <w:pPr>
        <w:pStyle w:val="yMiscellaneousBody"/>
        <w:tabs>
          <w:tab w:val="left" w:pos="284"/>
          <w:tab w:val="left" w:pos="1985"/>
        </w:tabs>
        <w:ind w:left="1305" w:hanging="425"/>
      </w:pPr>
      <w:r>
        <w:rPr>
          <w:b/>
        </w:rPr>
        <w:t>Q</w:t>
      </w:r>
      <w:r>
        <w:tab/>
        <w:t>is the discharge charge calculated in accordance with item 20.</w:t>
      </w:r>
    </w:p>
    <w:p>
      <w:pPr>
        <w:pStyle w:val="ySubsection"/>
      </w:pPr>
      <w:r>
        <w:tab/>
        <w:t>(2)</w:t>
      </w:r>
      <w:r>
        <w:tab/>
        <w:t>Sub</w:t>
      </w:r>
      <w:r>
        <w:noBreakHyphen/>
        <w:t>item (1) does not apply to public land.</w:t>
      </w:r>
    </w:p>
    <w:p>
      <w:pPr>
        <w:pStyle w:val="zyHeading5"/>
      </w:pPr>
      <w:bookmarkStart w:id="259" w:name="_Toc169797258"/>
      <w:bookmarkStart w:id="260" w:name="_Toc170213169"/>
      <w:r>
        <w:t>16.</w:t>
      </w:r>
      <w:r>
        <w:tab/>
        <w:t>Metropolitan non</w:t>
      </w:r>
      <w:r>
        <w:noBreakHyphen/>
        <w:t>strata titled caravan park with long</w:t>
      </w:r>
      <w:r>
        <w:noBreakHyphen/>
        <w:t>term residential caravan bays</w:t>
      </w:r>
      <w:bookmarkEnd w:id="259"/>
      <w:bookmarkEnd w:id="260"/>
    </w:p>
    <w:p>
      <w:pPr>
        <w:pStyle w:val="ySubsection"/>
      </w:pPr>
      <w:r>
        <w:tab/>
      </w:r>
      <w:r>
        <w:tab/>
        <w:t>For a caravan park in the metropolitan area that —</w:t>
      </w:r>
    </w:p>
    <w:p>
      <w:pPr>
        <w:pStyle w:val="yIndenta"/>
      </w:pPr>
      <w:r>
        <w:tab/>
        <w:t>(a)</w:t>
      </w:r>
      <w:r>
        <w:tab/>
        <w:t>does not consist wholly of strata</w:t>
      </w:r>
      <w:r>
        <w:noBreakHyphen/>
        <w:t>titled caravan bays; and</w:t>
      </w:r>
    </w:p>
    <w:p>
      <w:pPr>
        <w:pStyle w:val="yIndenta"/>
        <w:keepNext/>
      </w:pPr>
      <w:r>
        <w:tab/>
        <w:t>(b)</w:t>
      </w:r>
      <w:r>
        <w:tab/>
        <w:t>has long</w:t>
      </w:r>
      <w:r>
        <w:noBreakHyphen/>
        <w:t>term residential caravan bays,</w:t>
      </w:r>
    </w:p>
    <w:p>
      <w:pPr>
        <w:pStyle w:val="ySubsection"/>
        <w:keepNext/>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AA</m:t>
          </m:r>
          <m:r>
            <m:rPr>
              <m:sty m:val="p"/>
            </m:rPr>
            <w:rPr>
              <w:rFonts w:ascii="Cambria Math" w:hAnsi="Cambria Math"/>
              <w:sz w:val="22"/>
            </w:rPr>
            <m:t>+</m:t>
          </m:r>
          <m:r>
            <m:rPr>
              <m:sty m:val="b"/>
            </m:rPr>
            <w:rPr>
              <w:rFonts w:ascii="Cambria Math" w:hAnsi="Cambria Math"/>
              <w:sz w:val="22"/>
            </w:rPr>
            <m:t>AB</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AA</w:t>
      </w:r>
      <w:r>
        <w:tab/>
        <w:t xml:space="preserve">is </w:t>
      </w:r>
      <w:r>
        <w:rPr>
          <w:szCs w:val="22"/>
        </w:rPr>
        <w:t xml:space="preserve">$369.46 </w:t>
      </w:r>
      <w:r>
        <w:t>for each long</w:t>
      </w:r>
      <w:r>
        <w:noBreakHyphen/>
        <w:t>term residential caravan bay;</w:t>
      </w:r>
    </w:p>
    <w:p>
      <w:pPr>
        <w:pStyle w:val="yMiscellaneousBody"/>
        <w:tabs>
          <w:tab w:val="left" w:pos="284"/>
          <w:tab w:val="left" w:pos="1985"/>
        </w:tabs>
        <w:ind w:left="1305" w:hanging="425"/>
      </w:pPr>
      <w:r>
        <w:rPr>
          <w:b/>
        </w:rPr>
        <w:t>AB</w:t>
      </w:r>
      <w:r>
        <w:tab/>
        <w:t>is, for those parts of the caravan park not contained in long</w:t>
      </w:r>
      <w:r>
        <w:noBreakHyphen/>
        <w:t xml:space="preserve">term residential caravan bays — </w:t>
      </w:r>
    </w:p>
    <w:p>
      <w:pPr>
        <w:pStyle w:val="Equation"/>
        <w:keepNext/>
        <w:spacing w:before="120"/>
        <w:ind w:left="880"/>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ind w:left="1305" w:hanging="425"/>
      </w:pPr>
      <w:r>
        <w:t xml:space="preserve">where — </w:t>
      </w:r>
    </w:p>
    <w:p>
      <w:pPr>
        <w:pStyle w:val="yMiscellaneousBody"/>
        <w:tabs>
          <w:tab w:val="left" w:pos="284"/>
          <w:tab w:val="left" w:pos="1985"/>
        </w:tabs>
        <w:ind w:left="1305" w:hanging="425"/>
      </w:pPr>
      <w:r>
        <w:rPr>
          <w:b/>
          <w:bCs/>
        </w:rPr>
        <w:t>Y</w:t>
      </w:r>
      <w:r>
        <w:rPr>
          <w:bCs/>
        </w:rPr>
        <w:tab/>
        <w:t xml:space="preserve">is the </w:t>
      </w:r>
      <w:r>
        <w:rPr>
          <w:bCs/>
          <w:szCs w:val="22"/>
        </w:rPr>
        <w:t>charge</w:t>
      </w:r>
      <w:r>
        <w:rPr>
          <w:bCs/>
        </w:rPr>
        <w:t xml:space="preserve"> according to the number of connected </w:t>
      </w:r>
      <w:r>
        <w:t>major fixtures calculated in accordance with item 19;</w:t>
      </w:r>
    </w:p>
    <w:p>
      <w:pPr>
        <w:pStyle w:val="yMiscellaneousBody"/>
        <w:tabs>
          <w:tab w:val="left" w:pos="284"/>
          <w:tab w:val="left" w:pos="1985"/>
        </w:tabs>
        <w:ind w:left="1305" w:hanging="425"/>
        <w:rPr>
          <w:bCs/>
        </w:rPr>
      </w:pPr>
      <w:r>
        <w:rPr>
          <w:b/>
        </w:rPr>
        <w:t>Q</w:t>
      </w:r>
      <w:r>
        <w:tab/>
        <w:t>is the</w:t>
      </w:r>
      <w:r>
        <w:rPr>
          <w:bCs/>
        </w:rPr>
        <w:t xml:space="preserve"> discharge charge calculated in accordance with item 20.</w:t>
      </w:r>
    </w:p>
    <w:p>
      <w:pPr>
        <w:pStyle w:val="zyHeading5"/>
      </w:pPr>
      <w:bookmarkStart w:id="261" w:name="_Toc169797259"/>
      <w:bookmarkStart w:id="262" w:name="_Toc170213170"/>
      <w:r>
        <w:lastRenderedPageBreak/>
        <w:t>17.</w:t>
      </w:r>
      <w:r>
        <w:tab/>
        <w:t>Metropolitan nursing home</w:t>
      </w:r>
      <w:bookmarkEnd w:id="261"/>
      <w:bookmarkEnd w:id="262"/>
    </w:p>
    <w:p>
      <w:pPr>
        <w:pStyle w:val="ySubsection"/>
      </w:pPr>
      <w:r>
        <w:tab/>
      </w:r>
      <w:r>
        <w:tab/>
        <w:t>For a nursing home in the metropolitan area, other than a nursing home that is, or is part of, an aged home, 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Q</w:t>
      </w:r>
      <w:r>
        <w:tab/>
        <w:t>is the discharge charge calculated in accordance with item 20;</w:t>
      </w:r>
    </w:p>
    <w:p>
      <w:pPr>
        <w:pStyle w:val="yMiscellaneousBody"/>
        <w:tabs>
          <w:tab w:val="left" w:pos="284"/>
          <w:tab w:val="left" w:pos="1985"/>
        </w:tabs>
        <w:ind w:left="1305" w:hanging="425"/>
      </w:pPr>
      <w:r>
        <w:rPr>
          <w:b/>
        </w:rPr>
        <w:t>T</w:t>
      </w:r>
      <w:r>
        <w:tab/>
        <w:t xml:space="preserve">is </w:t>
      </w:r>
      <m:oMath>
        <m:r>
          <m:rPr>
            <m:sty m:val="b"/>
          </m:rPr>
          <w:rPr>
            <w:rFonts w:ascii="Cambria Math" w:hAnsi="Cambria Math"/>
          </w:rPr>
          <m:t>U</m:t>
        </m:r>
        <m:r>
          <m:rPr>
            <m:sty m:val="p"/>
          </m:rPr>
          <w:rPr>
            <w:rFonts w:ascii="Cambria Math" w:hAnsi="Cambria Math"/>
          </w:rPr>
          <m:t>×</m:t>
        </m:r>
        <m:r>
          <m:rPr>
            <m:sty m:val="b"/>
          </m:rPr>
          <w:rPr>
            <w:rFonts w:ascii="Cambria Math" w:hAnsi="Cambria Math"/>
          </w:rPr>
          <m:t>V</m:t>
        </m:r>
      </m:oMath>
      <w:r>
        <w:t>;</w:t>
      </w:r>
    </w:p>
    <w:p>
      <w:pPr>
        <w:pStyle w:val="yMiscellaneousBody"/>
        <w:tabs>
          <w:tab w:val="left" w:pos="284"/>
          <w:tab w:val="left" w:pos="1985"/>
        </w:tabs>
        <w:ind w:left="1305" w:hanging="425"/>
      </w:pPr>
      <w:r>
        <w:rPr>
          <w:b/>
        </w:rPr>
        <w:t>U</w:t>
      </w:r>
      <w:r>
        <w:tab/>
        <w:t>is the number of beds in the nursing home;</w:t>
      </w:r>
    </w:p>
    <w:p>
      <w:pPr>
        <w:pStyle w:val="yMiscellaneousBody"/>
        <w:tabs>
          <w:tab w:val="left" w:pos="284"/>
          <w:tab w:val="left" w:pos="1985"/>
        </w:tabs>
        <w:ind w:left="1305" w:hanging="425"/>
      </w:pPr>
      <w:r>
        <w:rPr>
          <w:b/>
        </w:rPr>
        <w:t>V</w:t>
      </w:r>
      <w:r>
        <w:tab/>
        <w:t>is</w:t>
      </w:r>
      <w:r>
        <w:rPr>
          <w:szCs w:val="22"/>
        </w:rPr>
        <w:t xml:space="preserve"> $209.06.</w:t>
      </w:r>
    </w:p>
    <w:p>
      <w:pPr>
        <w:pStyle w:val="zyHeading5"/>
      </w:pPr>
      <w:bookmarkStart w:id="263" w:name="_Toc169797260"/>
      <w:bookmarkStart w:id="264" w:name="_Toc170213171"/>
      <w:r>
        <w:t>18.</w:t>
      </w:r>
      <w:r>
        <w:tab/>
        <w:t>Certain metropolitan units</w:t>
      </w:r>
      <w:bookmarkEnd w:id="263"/>
      <w:bookmarkEnd w:id="264"/>
      <w:r>
        <w:t xml:space="preserve"> </w:t>
      </w:r>
    </w:p>
    <w:p>
      <w:pPr>
        <w:pStyle w:val="ySubsection"/>
      </w:pPr>
      <w:r>
        <w:tab/>
      </w:r>
      <w:r>
        <w:tab/>
        <w:t>For land in the metropolitan area —</w:t>
      </w:r>
    </w:p>
    <w:p>
      <w:pPr>
        <w:pStyle w:val="yIndenta"/>
      </w:pPr>
      <w:r>
        <w:tab/>
        <w:t>(a)</w:t>
      </w:r>
      <w:r>
        <w:tab/>
        <w:t>that is contained in a lot; and</w:t>
      </w:r>
    </w:p>
    <w:p>
      <w:pPr>
        <w:pStyle w:val="yIndenta"/>
      </w:pPr>
      <w:r>
        <w:tab/>
        <w:t>(b)</w:t>
      </w:r>
      <w:r>
        <w:tab/>
        <w:t>that is classified as non</w:t>
      </w:r>
      <w:r>
        <w:noBreakHyphen/>
        <w:t>residential; and</w:t>
      </w:r>
    </w:p>
    <w:p>
      <w:pPr>
        <w:pStyle w:val="yIndenta"/>
      </w:pPr>
      <w:r>
        <w:tab/>
        <w:t>(c)</w:t>
      </w:r>
      <w:r>
        <w:tab/>
        <w:t>that is not covered by item 5 or 6; and</w:t>
      </w:r>
    </w:p>
    <w:p>
      <w:pPr>
        <w:pStyle w:val="yIndenta"/>
      </w:pPr>
      <w:r>
        <w:tab/>
        <w:t>(d)</w:t>
      </w:r>
      <w:r>
        <w:tab/>
        <w:t>that shares one or more major fixtures, that discharge into a sewer of the Water Corporation, with other such land and has no other major fixtures that discharge into such a sewer; and</w:t>
      </w:r>
    </w:p>
    <w:p>
      <w:pPr>
        <w:pStyle w:val="yIndenta"/>
      </w:pPr>
      <w:r>
        <w:tab/>
        <w:t>(e)</w:t>
      </w:r>
      <w:r>
        <w:tab/>
        <w:t>for which the number of major fixtures shared by all units on the relevant scheme plan for a strata titles scheme or a community titles scheme is less than the number of those units,</w:t>
      </w:r>
    </w:p>
    <w:p>
      <w:pPr>
        <w:pStyle w:val="ySubsection"/>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T</w:t>
      </w:r>
      <w:r>
        <w:tab/>
        <w:t xml:space="preserve">is </w:t>
      </w:r>
      <w:r>
        <w:rPr>
          <w:szCs w:val="22"/>
        </w:rPr>
        <w:t>$718.23</w:t>
      </w:r>
      <w:r>
        <w:t>;</w:t>
      </w:r>
    </w:p>
    <w:p>
      <w:pPr>
        <w:pStyle w:val="yMiscellaneousBody"/>
        <w:tabs>
          <w:tab w:val="left" w:pos="284"/>
          <w:tab w:val="left" w:pos="1985"/>
        </w:tabs>
        <w:ind w:left="1305" w:hanging="425"/>
      </w:pPr>
      <w:r>
        <w:rPr>
          <w:b/>
        </w:rPr>
        <w:t>Q</w:t>
      </w:r>
      <w:r>
        <w:tab/>
        <w:t>is the discharge charge calculated in accordance with item 20.</w:t>
      </w:r>
    </w:p>
    <w:p>
      <w:pPr>
        <w:pStyle w:val="zyHeading4"/>
      </w:pPr>
      <w:bookmarkStart w:id="265" w:name="_Toc169797261"/>
      <w:bookmarkStart w:id="266" w:name="_Toc169797416"/>
      <w:bookmarkStart w:id="267" w:name="_Toc169797571"/>
      <w:bookmarkStart w:id="268" w:name="_Toc170213172"/>
      <w:r>
        <w:lastRenderedPageBreak/>
        <w:t>Subdivision 3 — Calculation of certain factors for Subdivision 2</w:t>
      </w:r>
      <w:bookmarkEnd w:id="265"/>
      <w:bookmarkEnd w:id="266"/>
      <w:bookmarkEnd w:id="267"/>
      <w:bookmarkEnd w:id="268"/>
    </w:p>
    <w:p>
      <w:pPr>
        <w:pStyle w:val="zyHeading5"/>
      </w:pPr>
      <w:bookmarkStart w:id="269" w:name="_Toc169797262"/>
      <w:bookmarkStart w:id="270" w:name="_Toc170213173"/>
      <w:r>
        <w:t>19.</w:t>
      </w:r>
      <w:r>
        <w:tab/>
        <w:t>Service charge</w:t>
      </w:r>
      <w:bookmarkEnd w:id="269"/>
      <w:bookmarkEnd w:id="270"/>
    </w:p>
    <w:p>
      <w:pPr>
        <w:pStyle w:val="ySubsection"/>
      </w:pPr>
      <w:r>
        <w:tab/>
      </w:r>
      <w:r>
        <w:tab/>
        <w:t>The service charge (</w:t>
      </w:r>
      <w:r>
        <w:rPr>
          <w:b/>
          <w:i/>
        </w:rPr>
        <w:t>P</w:t>
      </w:r>
      <w:r>
        <w:t>) is the charge, according to the number of major fixtures for the land, that is the sum of the charges for each fixture as set out in the Table.</w:t>
      </w:r>
    </w:p>
    <w:p>
      <w:pPr>
        <w:pStyle w:val="yTHeadingNAm"/>
      </w:pPr>
      <w:r>
        <w:t>Table of major fixture</w:t>
      </w:r>
      <w:r>
        <w:noBreakHyphen/>
        <w:t>based charges</w:t>
      </w:r>
    </w:p>
    <w:tbl>
      <w:tblPr>
        <w:tblW w:w="0" w:type="auto"/>
        <w:tblInd w:w="1560" w:type="dxa"/>
        <w:tblLayout w:type="fixed"/>
        <w:tblCellMar>
          <w:left w:w="28" w:type="dxa"/>
          <w:right w:w="28" w:type="dxa"/>
        </w:tblCellMar>
        <w:tblLook w:val="0000" w:firstRow="0" w:lastRow="0" w:firstColumn="0" w:lastColumn="0" w:noHBand="0" w:noVBand="0"/>
      </w:tblPr>
      <w:tblGrid>
        <w:gridCol w:w="2154"/>
        <w:gridCol w:w="2268"/>
      </w:tblGrid>
      <w:tr>
        <w:trPr>
          <w:tblHeader/>
        </w:trPr>
        <w:tc>
          <w:tcPr>
            <w:tcW w:w="2154" w:type="dxa"/>
            <w:tcBorders>
              <w:top w:val="single" w:sz="4" w:space="0" w:color="auto"/>
              <w:bottom w:val="single" w:sz="4" w:space="0" w:color="auto"/>
            </w:tcBorders>
            <w:noWrap/>
          </w:tcPr>
          <w:p>
            <w:pPr>
              <w:pStyle w:val="zyTableNAm"/>
              <w:jc w:val="center"/>
              <w:rPr>
                <w:b/>
              </w:rPr>
            </w:pPr>
          </w:p>
        </w:tc>
        <w:tc>
          <w:tcPr>
            <w:tcW w:w="2268" w:type="dxa"/>
            <w:tcBorders>
              <w:top w:val="single" w:sz="4" w:space="0" w:color="auto"/>
              <w:bottom w:val="single" w:sz="4" w:space="0" w:color="auto"/>
            </w:tcBorders>
            <w:noWrap/>
          </w:tcPr>
          <w:p>
            <w:pPr>
              <w:pStyle w:val="yTableNAm"/>
              <w:jc w:val="center"/>
            </w:pPr>
            <w:r>
              <w:rPr>
                <w:b/>
              </w:rPr>
              <w:t>Charge</w:t>
            </w:r>
            <w:r>
              <w:rPr>
                <w:b/>
              </w:rPr>
              <w:br/>
              <w:t>$</w:t>
            </w:r>
          </w:p>
        </w:tc>
      </w:tr>
      <w:tr>
        <w:tc>
          <w:tcPr>
            <w:tcW w:w="2154" w:type="dxa"/>
            <w:noWrap/>
            <w:tcMar>
              <w:left w:w="482" w:type="dxa"/>
            </w:tcMar>
          </w:tcPr>
          <w:p>
            <w:pPr>
              <w:pStyle w:val="yTableNAmLeft-065cm"/>
              <w:ind w:left="56"/>
              <w:jc w:val="both"/>
            </w:pPr>
            <w:r>
              <w:t>1</w:t>
            </w:r>
            <w:r>
              <w:rPr>
                <w:vertAlign w:val="superscript"/>
              </w:rPr>
              <w:t>st</w:t>
            </w:r>
            <w:r>
              <w:tab/>
              <w:t>fixture</w:t>
            </w:r>
          </w:p>
        </w:tc>
        <w:tc>
          <w:tcPr>
            <w:tcW w:w="2268" w:type="dxa"/>
            <w:noWrap/>
          </w:tcPr>
          <w:p>
            <w:pPr>
              <w:pStyle w:val="yTableNAm"/>
              <w:jc w:val="center"/>
            </w:pPr>
            <w:r>
              <w:t>1 155.37</w:t>
            </w:r>
          </w:p>
        </w:tc>
      </w:tr>
      <w:tr>
        <w:tc>
          <w:tcPr>
            <w:tcW w:w="2154" w:type="dxa"/>
            <w:noWrap/>
            <w:tcMar>
              <w:left w:w="482" w:type="dxa"/>
            </w:tcMar>
          </w:tcPr>
          <w:p>
            <w:pPr>
              <w:pStyle w:val="yTableNAmLeft-065cm"/>
              <w:ind w:left="56"/>
              <w:jc w:val="both"/>
            </w:pPr>
            <w:r>
              <w:t>2</w:t>
            </w:r>
            <w:r>
              <w:rPr>
                <w:vertAlign w:val="superscript"/>
              </w:rPr>
              <w:t>nd</w:t>
            </w:r>
            <w:r>
              <w:tab/>
              <w:t>fixture</w:t>
            </w:r>
          </w:p>
        </w:tc>
        <w:tc>
          <w:tcPr>
            <w:tcW w:w="2268" w:type="dxa"/>
            <w:noWrap/>
          </w:tcPr>
          <w:p>
            <w:pPr>
              <w:pStyle w:val="yTableNAm"/>
              <w:jc w:val="center"/>
            </w:pPr>
            <w:r>
              <w:t>494.56</w:t>
            </w:r>
          </w:p>
        </w:tc>
      </w:tr>
      <w:tr>
        <w:tc>
          <w:tcPr>
            <w:tcW w:w="2154" w:type="dxa"/>
            <w:noWrap/>
            <w:tcMar>
              <w:left w:w="482" w:type="dxa"/>
            </w:tcMar>
          </w:tcPr>
          <w:p>
            <w:pPr>
              <w:pStyle w:val="yTableNAmLeft-065cm"/>
              <w:ind w:left="56"/>
              <w:jc w:val="both"/>
            </w:pPr>
            <w:r>
              <w:t>3</w:t>
            </w:r>
            <w:r>
              <w:rPr>
                <w:vertAlign w:val="superscript"/>
              </w:rPr>
              <w:t>rd</w:t>
            </w:r>
            <w:r>
              <w:tab/>
              <w:t>fixture</w:t>
            </w:r>
          </w:p>
        </w:tc>
        <w:tc>
          <w:tcPr>
            <w:tcW w:w="2268" w:type="dxa"/>
            <w:noWrap/>
          </w:tcPr>
          <w:p>
            <w:pPr>
              <w:pStyle w:val="yTableNAm"/>
              <w:jc w:val="center"/>
            </w:pPr>
            <w:r>
              <w:t>660.48</w:t>
            </w:r>
          </w:p>
        </w:tc>
      </w:tr>
      <w:tr>
        <w:tc>
          <w:tcPr>
            <w:tcW w:w="2154" w:type="dxa"/>
            <w:tcBorders>
              <w:bottom w:val="single" w:sz="4" w:space="0" w:color="auto"/>
            </w:tcBorders>
            <w:noWrap/>
            <w:tcMar>
              <w:left w:w="482" w:type="dxa"/>
            </w:tcMar>
          </w:tcPr>
          <w:p>
            <w:pPr>
              <w:pStyle w:val="yTableNAmLeft-065cm"/>
              <w:ind w:left="56"/>
            </w:pPr>
            <w:r>
              <w:t>4</w:t>
            </w:r>
            <w:r>
              <w:rPr>
                <w:vertAlign w:val="superscript"/>
              </w:rPr>
              <w:t>th</w:t>
            </w:r>
            <w:r>
              <w:tab/>
              <w:t>and subsequent fixtures</w:t>
            </w:r>
          </w:p>
        </w:tc>
        <w:tc>
          <w:tcPr>
            <w:tcW w:w="2268" w:type="dxa"/>
            <w:tcBorders>
              <w:bottom w:val="single" w:sz="4" w:space="0" w:color="auto"/>
            </w:tcBorders>
            <w:noWrap/>
          </w:tcPr>
          <w:p>
            <w:pPr>
              <w:pStyle w:val="yTableNAm"/>
              <w:jc w:val="center"/>
            </w:pPr>
            <w:r>
              <w:rPr>
                <w:szCs w:val="22"/>
              </w:rPr>
              <w:t>718.23</w:t>
            </w:r>
          </w:p>
        </w:tc>
      </w:tr>
    </w:tbl>
    <w:p>
      <w:pPr>
        <w:pStyle w:val="zyHeading5"/>
      </w:pPr>
      <w:bookmarkStart w:id="271" w:name="_Toc169797263"/>
      <w:bookmarkStart w:id="272" w:name="_Toc170213174"/>
      <w:r>
        <w:t>20.</w:t>
      </w:r>
      <w:r>
        <w:tab/>
        <w:t>Discharge charge</w:t>
      </w:r>
      <w:bookmarkEnd w:id="271"/>
      <w:bookmarkEnd w:id="272"/>
    </w:p>
    <w:p>
      <w:pPr>
        <w:pStyle w:val="ySubsection"/>
        <w:keepNext/>
        <w:tabs>
          <w:tab w:val="right" w:leader="dot" w:pos="6804"/>
        </w:tabs>
      </w:pPr>
      <w:r>
        <w:rPr>
          <w:szCs w:val="22"/>
        </w:rPr>
        <w:tab/>
      </w:r>
      <w:r>
        <w:rPr>
          <w:szCs w:val="22"/>
        </w:rPr>
        <w:tab/>
        <w:t xml:space="preserve">The </w:t>
      </w:r>
      <w:r>
        <w:t>discharge</w:t>
      </w:r>
      <w:r>
        <w:rPr>
          <w:szCs w:val="22"/>
        </w:rPr>
        <w:t xml:space="preserve"> charge (</w:t>
      </w:r>
      <w:r>
        <w:rPr>
          <w:b/>
          <w:i/>
          <w:szCs w:val="22"/>
        </w:rPr>
        <w:t>Q</w:t>
      </w:r>
      <w:r>
        <w:rPr>
          <w:szCs w:val="22"/>
        </w:rPr>
        <w:t>) is —</w:t>
      </w:r>
    </w:p>
    <w:p>
      <w:pPr>
        <w:pStyle w:val="yMiscellaneousBody"/>
        <w:tabs>
          <w:tab w:val="left" w:pos="284"/>
          <w:tab w:val="right" w:leader="dot" w:pos="6804"/>
        </w:tabs>
        <w:ind w:left="1021" w:hanging="142"/>
        <w:rPr>
          <w:szCs w:val="22"/>
        </w:rPr>
      </w:pPr>
      <w:r>
        <w:rPr>
          <w:szCs w:val="22"/>
        </w:rPr>
        <w:t xml:space="preserve">if </w:t>
      </w:r>
      <m:oMath>
        <m:r>
          <m:rPr>
            <m:sty m:val="p"/>
          </m:rPr>
          <w:rPr>
            <w:rFonts w:ascii="Cambria Math" w:hAnsi="Cambria Math"/>
            <w:szCs w:val="22"/>
          </w:rPr>
          <m:t>(</m:t>
        </m:r>
        <m:r>
          <m:rPr>
            <m:sty m:val="b"/>
          </m:rPr>
          <w:rPr>
            <w:rFonts w:ascii="Cambria Math" w:hAnsi="Cambria Math"/>
            <w:szCs w:val="22"/>
          </w:rPr>
          <m:t>F</m:t>
        </m:r>
        <m:r>
          <m:rPr>
            <m:sty m:val="p"/>
          </m:rPr>
          <w:rPr>
            <w:rFonts w:ascii="Cambria Math" w:hAnsi="Cambria Math"/>
            <w:szCs w:val="22"/>
          </w:rPr>
          <m:t>×</m:t>
        </m:r>
        <m:r>
          <m:rPr>
            <m:sty m:val="b"/>
          </m:rPr>
          <w:rPr>
            <w:rFonts w:ascii="Cambria Math" w:hAnsi="Cambria Math"/>
            <w:szCs w:val="22"/>
          </w:rPr>
          <m:t>G</m:t>
        </m:r>
        <m:r>
          <m:rPr>
            <m:sty m:val="p"/>
          </m:rPr>
          <w:rPr>
            <w:rFonts w:ascii="Cambria Math" w:hAnsi="Cambria Math"/>
            <w:szCs w:val="22"/>
          </w:rPr>
          <m:t>)≤</m:t>
        </m:r>
        <m:r>
          <m:rPr>
            <m:sty m:val="b"/>
          </m:rPr>
          <w:rPr>
            <w:rFonts w:ascii="Cambria Math" w:hAnsi="Cambria Math"/>
            <w:szCs w:val="22"/>
          </w:rPr>
          <m:t>H</m:t>
        </m:r>
      </m:oMath>
      <w:r>
        <w:rPr>
          <w:szCs w:val="22"/>
        </w:rPr>
        <w:t>,</w:t>
      </w:r>
    </w:p>
    <w:p>
      <w:pPr>
        <w:pStyle w:val="yMiscellaneousBody"/>
        <w:tabs>
          <w:tab w:val="left" w:pos="284"/>
          <w:tab w:val="left" w:pos="1985"/>
          <w:tab w:val="right" w:leader="dot" w:pos="6804"/>
        </w:tabs>
        <w:ind w:left="1021" w:hanging="142"/>
      </w:pPr>
      <w:r>
        <w:tab/>
        <w:t>then nil</w:t>
      </w:r>
    </w:p>
    <w:p>
      <w:pPr>
        <w:pStyle w:val="yMiscellaneousBody"/>
        <w:tabs>
          <w:tab w:val="left" w:pos="284"/>
          <w:tab w:val="right" w:leader="dot" w:pos="6804"/>
        </w:tabs>
        <w:ind w:left="1021" w:hanging="142"/>
        <w:rPr>
          <w:szCs w:val="22"/>
        </w:rPr>
      </w:pPr>
      <w:r>
        <w:rPr>
          <w:szCs w:val="22"/>
        </w:rPr>
        <w:t xml:space="preserve">or if </w:t>
      </w:r>
      <m:oMath>
        <m:r>
          <m:rPr>
            <m:sty m:val="p"/>
          </m:rPr>
          <w:rPr>
            <w:rFonts w:ascii="Cambria Math" w:hAnsi="Cambria Math"/>
            <w:szCs w:val="22"/>
          </w:rPr>
          <m:t>(</m:t>
        </m:r>
        <m:r>
          <m:rPr>
            <m:sty m:val="b"/>
          </m:rPr>
          <w:rPr>
            <w:rFonts w:ascii="Cambria Math" w:hAnsi="Cambria Math"/>
            <w:szCs w:val="22"/>
          </w:rPr>
          <m:t>F</m:t>
        </m:r>
        <m:r>
          <m:rPr>
            <m:sty m:val="p"/>
          </m:rPr>
          <w:rPr>
            <w:rFonts w:ascii="Cambria Math" w:hAnsi="Cambria Math"/>
            <w:szCs w:val="22"/>
          </w:rPr>
          <m:t>×</m:t>
        </m:r>
        <m:r>
          <m:rPr>
            <m:sty m:val="b"/>
          </m:rPr>
          <w:rPr>
            <w:rFonts w:ascii="Cambria Math" w:hAnsi="Cambria Math"/>
            <w:szCs w:val="22"/>
          </w:rPr>
          <m:t>G</m:t>
        </m:r>
        <m:r>
          <m:rPr>
            <m:sty m:val="p"/>
          </m:rPr>
          <w:rPr>
            <w:rFonts w:ascii="Cambria Math" w:hAnsi="Cambria Math"/>
            <w:szCs w:val="22"/>
          </w:rPr>
          <m:t>)&gt;</m:t>
        </m:r>
        <m:r>
          <m:rPr>
            <m:sty m:val="b"/>
          </m:rPr>
          <w:rPr>
            <w:rFonts w:ascii="Cambria Math" w:hAnsi="Cambria Math"/>
            <w:szCs w:val="22"/>
          </w:rPr>
          <m:t>H</m:t>
        </m:r>
      </m:oMath>
      <w:r>
        <w:rPr>
          <w:szCs w:val="22"/>
        </w:rPr>
        <w:t>,</w:t>
      </w:r>
    </w:p>
    <w:p>
      <w:pPr>
        <w:pStyle w:val="yMiscellaneousBody"/>
        <w:tabs>
          <w:tab w:val="left" w:pos="284"/>
          <w:tab w:val="left" w:pos="1985"/>
          <w:tab w:val="right" w:leader="dot" w:pos="6804"/>
        </w:tabs>
        <w:ind w:left="1021" w:hanging="142"/>
      </w:pPr>
      <w:r>
        <w:tab/>
        <w:t xml:space="preserve">then </w:t>
      </w:r>
      <m:oMath>
        <m:r>
          <m:rPr>
            <m:sty m:val="p"/>
          </m:rPr>
          <w:rPr>
            <w:rFonts w:ascii="Cambria Math" w:hAnsi="Cambria Math"/>
          </w:rPr>
          <m:t>(</m:t>
        </m:r>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H)×I</m:t>
        </m:r>
      </m:oMath>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F</w:t>
      </w:r>
      <w:r>
        <w:rPr>
          <w:b/>
        </w:rPr>
        <w:tab/>
      </w:r>
      <w:r>
        <w:t>is the volume of water supplied to the land in the current consumption year;</w:t>
      </w:r>
    </w:p>
    <w:p>
      <w:pPr>
        <w:pStyle w:val="yMiscellaneousBody"/>
        <w:tabs>
          <w:tab w:val="left" w:pos="284"/>
          <w:tab w:val="left" w:pos="1985"/>
        </w:tabs>
        <w:ind w:left="1305" w:hanging="425"/>
      </w:pPr>
      <w:r>
        <w:rPr>
          <w:b/>
        </w:rPr>
        <w:t>G</w:t>
      </w:r>
      <w:r>
        <w:tab/>
        <w:t>is the discharge factor applicable for the land for the current discharge year;</w:t>
      </w:r>
    </w:p>
    <w:p>
      <w:pPr>
        <w:pStyle w:val="yMiscellaneousBody"/>
        <w:tabs>
          <w:tab w:val="left" w:pos="284"/>
          <w:tab w:val="left" w:pos="1985"/>
        </w:tabs>
        <w:ind w:left="1305" w:hanging="425"/>
      </w:pPr>
      <w:r>
        <w:rPr>
          <w:b/>
        </w:rPr>
        <w:t>H</w:t>
      </w:r>
      <w:r>
        <w:tab/>
        <w:t>is the discharge allowance for the current discharge year worked out in accordance with item 21;</w:t>
      </w:r>
    </w:p>
    <w:p>
      <w:pPr>
        <w:pStyle w:val="yMiscellaneousBody"/>
        <w:keepNext/>
        <w:tabs>
          <w:tab w:val="left" w:pos="284"/>
          <w:tab w:val="left" w:pos="1701"/>
          <w:tab w:val="right" w:leader="dot" w:pos="6804"/>
        </w:tabs>
        <w:ind w:left="1276" w:hanging="397"/>
      </w:pPr>
      <w:r>
        <w:rPr>
          <w:b/>
          <w:szCs w:val="22"/>
        </w:rPr>
        <w:lastRenderedPageBreak/>
        <w:t>I</w:t>
      </w:r>
      <w:r>
        <w:rPr>
          <w:szCs w:val="22"/>
        </w:rPr>
        <w:tab/>
        <w:t>is $4.246</w:t>
      </w:r>
      <w:r>
        <w:t>,</w:t>
      </w:r>
    </w:p>
    <w:p>
      <w:pPr>
        <w:pStyle w:val="yMiscellaneousBody"/>
        <w:tabs>
          <w:tab w:val="left" w:pos="284"/>
          <w:tab w:val="left" w:pos="1985"/>
        </w:tabs>
        <w:ind w:left="879"/>
      </w:pPr>
      <w:r>
        <w:t xml:space="preserve">and </w:t>
      </w:r>
      <m:oMath>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m:t>
        </m:r>
      </m:oMath>
      <w:r>
        <w:t xml:space="preserve"> is rounded down to the nearest whole number.</w:t>
      </w:r>
    </w:p>
    <w:p>
      <w:pPr>
        <w:pStyle w:val="zyHeading5"/>
      </w:pPr>
      <w:bookmarkStart w:id="273" w:name="_Toc169797264"/>
      <w:bookmarkStart w:id="274" w:name="_Toc170213175"/>
      <w:r>
        <w:t>21.</w:t>
      </w:r>
      <w:r>
        <w:tab/>
        <w:t>Discharge allowance</w:t>
      </w:r>
      <w:bookmarkEnd w:id="273"/>
      <w:bookmarkEnd w:id="274"/>
    </w:p>
    <w:p>
      <w:pPr>
        <w:pStyle w:val="ySubsection"/>
      </w:pPr>
      <w:r>
        <w:tab/>
        <w:t>(1)</w:t>
      </w:r>
      <w:r>
        <w:tab/>
        <w:t>The discharge allowance for the current discharge year is —</w:t>
      </w:r>
    </w:p>
    <w:p>
      <w:pPr>
        <w:pStyle w:val="yIndenta"/>
      </w:pPr>
      <w:r>
        <w:tab/>
        <w:t>(a)</w:t>
      </w:r>
      <w:r>
        <w:tab/>
        <w:t>for land to which item 14 applies that is not covered by paragraph (e) — 200 kL;</w:t>
      </w:r>
    </w:p>
    <w:p>
      <w:pPr>
        <w:pStyle w:val="yIndenta"/>
      </w:pPr>
      <w:r>
        <w:tab/>
        <w:t>(b)</w:t>
      </w:r>
      <w:r>
        <w:tab/>
        <w:t>for land held by a government trading organisation or by a public authority that holds non</w:t>
      </w:r>
      <w:r>
        <w:noBreakHyphen/>
        <w:t>commercial government property — 200 kL;</w:t>
      </w:r>
    </w:p>
    <w:p>
      <w:pPr>
        <w:pStyle w:val="yIndenta"/>
      </w:pPr>
      <w:r>
        <w:tab/>
        <w:t>(c)</w:t>
      </w:r>
      <w:r>
        <w:tab/>
        <w:t>for a caravan park referred to in item 16, the amount (in kL) calculated in accordance with the formula in sub</w:t>
      </w:r>
      <w:r>
        <w:noBreakHyphen/>
        <w:t>item (2);</w:t>
      </w:r>
    </w:p>
    <w:p>
      <w:pPr>
        <w:pStyle w:val="yIndenta"/>
      </w:pPr>
      <w:r>
        <w:tab/>
        <w:t>(d)</w:t>
      </w:r>
      <w:r>
        <w:tab/>
        <w:t>for a nursing home referred to in item 17 — 75 kL per bed;</w:t>
      </w:r>
    </w:p>
    <w:p>
      <w:pPr>
        <w:pStyle w:val="yIndenta"/>
      </w:pPr>
      <w:r>
        <w:tab/>
        <w:t>(e)</w:t>
      </w:r>
      <w:r>
        <w:tab/>
        <w:t>for properties that share a metered property water supply connection — 200 kL for each property.</w:t>
      </w:r>
    </w:p>
    <w:p>
      <w:pPr>
        <w:pStyle w:val="ySubsection"/>
        <w:keepNext/>
      </w:pPr>
      <w:r>
        <w:tab/>
        <w:t>(2)</w:t>
      </w:r>
      <w:r>
        <w:tab/>
        <w:t>The formula for the purposes of sub</w:t>
      </w:r>
      <w:r>
        <w:noBreakHyphen/>
        <w:t>item (1)(c) is —</w:t>
      </w:r>
    </w:p>
    <w:p>
      <w:pPr>
        <w:pStyle w:val="Equation"/>
        <w:spacing w:before="120"/>
        <w:ind w:left="879"/>
        <w:rPr>
          <w:sz w:val="22"/>
        </w:rPr>
      </w:pPr>
      <m:oMathPara>
        <m:oMathParaPr>
          <m:jc m:val="left"/>
        </m:oMathParaPr>
        <m:oMath>
          <m:r>
            <m:rPr>
              <m:sty m:val="b"/>
            </m:rPr>
            <w:rPr>
              <w:rFonts w:ascii="Cambria Math" w:hAnsi="Cambria Math"/>
              <w:sz w:val="22"/>
            </w:rPr>
            <m:t>200kL</m:t>
          </m:r>
          <m:r>
            <m:rPr>
              <m:sty m:val="p"/>
            </m:rPr>
            <w:rPr>
              <w:rFonts w:ascii="Cambria Math" w:hAnsi="Cambria Math"/>
              <w:sz w:val="22"/>
            </w:rPr>
            <m:t>+</m:t>
          </m:r>
          <m:r>
            <m:rPr>
              <m:sty m:val="b"/>
            </m:rPr>
            <w:rPr>
              <w:rFonts w:ascii="Cambria Math" w:hAnsi="Cambria Math"/>
              <w:sz w:val="22"/>
            </w:rPr>
            <m:t>M</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4" w:hanging="425"/>
      </w:pPr>
      <w:r>
        <w:rPr>
          <w:b/>
        </w:rPr>
        <w:t>M</w:t>
      </w:r>
      <w:r>
        <w:tab/>
        <w:t xml:space="preserve">is 75 kL for </w:t>
      </w:r>
      <w:r>
        <w:rPr>
          <w:szCs w:val="22"/>
        </w:rPr>
        <w:t>each</w:t>
      </w:r>
      <w:r>
        <w:t xml:space="preserve"> long</w:t>
      </w:r>
      <w:r>
        <w:noBreakHyphen/>
        <w:t>term residential caravan bay.</w:t>
      </w:r>
    </w:p>
    <w:p>
      <w:pPr>
        <w:pStyle w:val="zyHeading4"/>
      </w:pPr>
      <w:bookmarkStart w:id="275" w:name="_Toc169797265"/>
      <w:bookmarkStart w:id="276" w:name="_Toc169797420"/>
      <w:bookmarkStart w:id="277" w:name="_Toc169797575"/>
      <w:bookmarkStart w:id="278" w:name="_Toc170213176"/>
      <w:r>
        <w:t>Subdivision 4 — Combined charges: non</w:t>
      </w:r>
      <w:r>
        <w:noBreakHyphen/>
        <w:t>metropolitan</w:t>
      </w:r>
      <w:bookmarkEnd w:id="275"/>
      <w:bookmarkEnd w:id="276"/>
      <w:bookmarkEnd w:id="277"/>
      <w:bookmarkEnd w:id="278"/>
    </w:p>
    <w:p>
      <w:pPr>
        <w:pStyle w:val="zyHeading5"/>
      </w:pPr>
      <w:bookmarkStart w:id="279" w:name="_Toc169797266"/>
      <w:bookmarkStart w:id="280" w:name="_Toc170213177"/>
      <w:r>
        <w:t>22.</w:t>
      </w:r>
      <w:r>
        <w:tab/>
        <w:t>Non</w:t>
      </w:r>
      <w:r>
        <w:noBreakHyphen/>
        <w:t>metropolitan non</w:t>
      </w:r>
      <w:r>
        <w:noBreakHyphen/>
        <w:t>residential</w:t>
      </w:r>
      <w:bookmarkEnd w:id="279"/>
      <w:bookmarkEnd w:id="280"/>
    </w:p>
    <w:p>
      <w:pPr>
        <w:pStyle w:val="ySubsection"/>
      </w:pPr>
      <w:r>
        <w:tab/>
      </w:r>
      <w:r>
        <w:tab/>
        <w:t>For land in the non</w:t>
      </w:r>
      <w:r>
        <w:noBreakHyphen/>
        <w:t>metropolitan area that —</w:t>
      </w:r>
    </w:p>
    <w:p>
      <w:pPr>
        <w:pStyle w:val="yIndenta"/>
      </w:pPr>
      <w:r>
        <w:tab/>
        <w:t>(a)</w:t>
      </w:r>
      <w:r>
        <w:tab/>
        <w:t>is classified as non</w:t>
      </w:r>
      <w:r>
        <w:noBreakHyphen/>
        <w:t>residential property; and</w:t>
      </w:r>
    </w:p>
    <w:p>
      <w:pPr>
        <w:pStyle w:val="yIndenta"/>
      </w:pPr>
      <w:r>
        <w:tab/>
        <w:t>(b)</w:t>
      </w:r>
      <w:r>
        <w:tab/>
        <w:t>is not covered by item 5, 6, 10, 23, 24, 25 or 26,</w:t>
      </w:r>
    </w:p>
    <w:p>
      <w:pPr>
        <w:pStyle w:val="ySubsection"/>
      </w:pPr>
      <w:r>
        <w:tab/>
      </w:r>
      <w:r>
        <w:tab/>
        <w:t>the charge is —</w:t>
      </w:r>
    </w:p>
    <w:p>
      <w:pPr>
        <w:pStyle w:val="yMiscellaneousBody"/>
        <w:tabs>
          <w:tab w:val="left" w:pos="284"/>
          <w:tab w:val="right" w:leader="dot" w:pos="6804"/>
        </w:tabs>
        <w:ind w:left="1021" w:hanging="142"/>
      </w:pPr>
      <w:r>
        <w:rPr>
          <w:szCs w:val="22"/>
        </w:rPr>
        <w:t>if</w:t>
      </w:r>
      <w:r>
        <w:t xml:space="preserve"> </w:t>
      </w:r>
      <m:oMath>
        <m:r>
          <m:rPr>
            <m:sty m:val="p"/>
          </m:rPr>
          <w:rPr>
            <w:rFonts w:ascii="Cambria Math" w:hAnsi="Cambria Math"/>
          </w:rPr>
          <m:t>(</m:t>
        </m:r>
        <m:r>
          <m:rPr>
            <m:sty m:val="b"/>
          </m:rPr>
          <w:rPr>
            <w:rFonts w:ascii="Cambria Math" w:hAnsi="Cambria Math"/>
          </w:rPr>
          <m:t>P+Q</m:t>
        </m:r>
        <m:r>
          <m:rPr>
            <m:sty m:val="p"/>
          </m:rPr>
          <w:rPr>
            <w:rFonts w:ascii="Cambria Math" w:hAnsi="Cambria Math"/>
          </w:rPr>
          <m:t>)≤</m:t>
        </m:r>
        <m:r>
          <m:rPr>
            <m:sty m:val="b"/>
          </m:rPr>
          <w:rPr>
            <w:rFonts w:ascii="Cambria Math" w:hAnsi="Cambria Math"/>
          </w:rPr>
          <m:t>R</m:t>
        </m:r>
      </m:oMath>
      <w:r>
        <w:t>,</w:t>
      </w:r>
    </w:p>
    <w:p>
      <w:pPr>
        <w:pStyle w:val="yMiscellaneousBody"/>
        <w:tabs>
          <w:tab w:val="left" w:pos="284"/>
          <w:tab w:val="left" w:pos="1985"/>
          <w:tab w:val="right" w:leader="dot" w:pos="6804"/>
        </w:tabs>
        <w:ind w:left="1021" w:hanging="142"/>
      </w:pPr>
      <w:r>
        <w:tab/>
        <w:t xml:space="preserve">then </w:t>
      </w:r>
      <m:oMath>
        <m:r>
          <m:rPr>
            <m:sty m:val="b"/>
          </m:rPr>
          <w:rPr>
            <w:rFonts w:ascii="Cambria Math" w:hAnsi="Cambria Math"/>
          </w:rPr>
          <m:t>P+Q</m:t>
        </m:r>
      </m:oMath>
    </w:p>
    <w:p>
      <w:pPr>
        <w:pStyle w:val="yMiscellaneousBody"/>
        <w:keepNext/>
        <w:tabs>
          <w:tab w:val="left" w:pos="284"/>
          <w:tab w:val="right" w:leader="dot" w:pos="6804"/>
        </w:tabs>
        <w:ind w:left="1021" w:hanging="142"/>
      </w:pPr>
      <w:r>
        <w:rPr>
          <w:szCs w:val="22"/>
        </w:rPr>
        <w:lastRenderedPageBreak/>
        <w:t>or</w:t>
      </w:r>
      <w:r>
        <w:t xml:space="preserve"> if </w:t>
      </w:r>
      <m:oMath>
        <m:r>
          <m:rPr>
            <m:sty m:val="p"/>
          </m:rPr>
          <w:rPr>
            <w:rFonts w:ascii="Cambria Math" w:hAnsi="Cambria Math"/>
          </w:rPr>
          <m:t>(</m:t>
        </m:r>
        <m:r>
          <m:rPr>
            <m:sty m:val="b"/>
          </m:rPr>
          <w:rPr>
            <w:rFonts w:ascii="Cambria Math" w:hAnsi="Cambria Math"/>
          </w:rPr>
          <m:t>P+Q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282" w:hanging="142"/>
        <w:rPr>
          <w:rFonts w:ascii="Cambria Math" w:hAnsi="Cambria Math"/>
          <w:b/>
          <w:bCs/>
        </w:rPr>
      </w:pPr>
      <m:oMath>
        <m:r>
          <m:rPr>
            <m:sty m:val="b"/>
          </m:rPr>
          <w:rPr>
            <w:rFonts w:ascii="Cambria Math" w:hAnsi="Cambria Math"/>
          </w:rPr>
          <m:t>N≤W</m:t>
        </m:r>
      </m:oMath>
      <w:r>
        <w:rPr>
          <w:rFonts w:ascii="Cambria Math" w:hAnsi="Cambria Math"/>
          <w:b/>
          <w:bCs/>
        </w:rPr>
        <w:t>,</w:t>
      </w:r>
    </w:p>
    <w:p>
      <w:pPr>
        <w:pStyle w:val="yMiscellaneousBody"/>
        <w:tabs>
          <w:tab w:val="left" w:pos="284"/>
          <w:tab w:val="left" w:pos="1985"/>
          <w:tab w:val="right" w:leader="dot" w:pos="6804"/>
        </w:tabs>
        <w:ind w:left="1424" w:hanging="142"/>
      </w:pPr>
      <w:r>
        <w:tab/>
        <w:t xml:space="preserve">then </w:t>
      </w:r>
      <w:r>
        <w:rPr>
          <w:b/>
        </w:rPr>
        <w:t>R</w:t>
      </w:r>
    </w:p>
    <w:p>
      <w:pPr>
        <w:pStyle w:val="yMiscellaneousBody"/>
        <w:tabs>
          <w:tab w:val="left" w:pos="284"/>
          <w:tab w:val="left" w:pos="1985"/>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P+Q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424" w:hanging="142"/>
        <w:rPr>
          <w:rFonts w:ascii="Cambria Math" w:hAnsi="Cambria Math"/>
          <w:b/>
          <w:bCs/>
        </w:rPr>
      </w:pPr>
      <m:oMath>
        <m:r>
          <m:rPr>
            <m:sty m:val="b"/>
          </m:rPr>
          <w:rPr>
            <w:rFonts w:ascii="Cambria Math" w:hAnsi="Cambria Math"/>
          </w:rPr>
          <m:t>N&gt;W</m:t>
        </m:r>
      </m:oMath>
      <w:r>
        <w:rPr>
          <w:rFonts w:ascii="Cambria Math" w:hAnsi="Cambria Math"/>
          <w:b/>
          <w:bCs/>
        </w:rPr>
        <w:t>,</w:t>
      </w:r>
    </w:p>
    <w:p>
      <w:pPr>
        <w:pStyle w:val="yMiscellaneousBody"/>
        <w:tabs>
          <w:tab w:val="left" w:pos="284"/>
          <w:tab w:val="left" w:pos="1985"/>
          <w:tab w:val="right" w:leader="dot" w:pos="6804"/>
        </w:tabs>
        <w:ind w:left="1566" w:hanging="142"/>
      </w:pPr>
      <w:r>
        <w:tab/>
        <w:t xml:space="preserve">then </w:t>
      </w:r>
      <m:oMath>
        <m:r>
          <m:rPr>
            <m:sty m:val="b"/>
          </m:rPr>
          <w:rPr>
            <w:rFonts w:ascii="Cambria Math" w:hAnsi="Cambria Math"/>
          </w:rPr>
          <m:t>R</m:t>
        </m:r>
        <m:r>
          <m:rPr>
            <m:sty m:val="p"/>
          </m:rPr>
          <w:rPr>
            <w:rFonts w:ascii="Cambria Math" w:hAnsi="Cambria Math"/>
          </w:rPr>
          <m:t>+((</m:t>
        </m:r>
        <m:r>
          <m:rPr>
            <m:sty m:val="b"/>
          </m:rPr>
          <w:rPr>
            <w:rFonts w:ascii="Cambria Math" w:hAnsi="Cambria Math"/>
          </w:rPr>
          <m:t>N</m:t>
        </m:r>
        <m:r>
          <m:rPr>
            <m:sty m:val="p"/>
          </m:rPr>
          <w:rPr>
            <w:rFonts w:ascii="Cambria Math" w:hAnsi="Cambria Math"/>
          </w:rPr>
          <m:t>-</m:t>
        </m:r>
        <m:r>
          <m:rPr>
            <m:sty m:val="b"/>
          </m:rPr>
          <w:rPr>
            <w:rFonts w:ascii="Cambria Math" w:hAnsi="Cambria Math"/>
          </w:rPr>
          <m:t>W</m:t>
        </m:r>
        <m:r>
          <m:rPr>
            <m:sty m:val="p"/>
          </m:rPr>
          <w:rPr>
            <w:rFonts w:ascii="Cambria Math" w:hAnsi="Cambria Math"/>
          </w:rPr>
          <m:t>)×</m:t>
        </m:r>
        <m:r>
          <m:rPr>
            <m:sty m:val="b"/>
          </m:rPr>
          <w:rPr>
            <w:rFonts w:ascii="Cambria Math" w:hAnsi="Cambria Math"/>
          </w:rPr>
          <m:t>I</m:t>
        </m:r>
        <m:r>
          <m:rPr>
            <m:sty m:val="p"/>
          </m:rPr>
          <w:rPr>
            <w:rFonts w:ascii="Cambria Math" w:hAnsi="Cambria Math"/>
          </w:rPr>
          <m:t>)</m:t>
        </m:r>
      </m:oMath>
    </w:p>
    <w:p>
      <w:pPr>
        <w:pStyle w:val="yMiscellaneousBody"/>
        <w:tabs>
          <w:tab w:val="left" w:pos="284"/>
          <w:tab w:val="right" w:leader="dot" w:pos="6804"/>
        </w:tabs>
        <w:ind w:left="1282" w:hanging="142"/>
      </w:pPr>
      <w:r>
        <w:t xml:space="preserve">where — </w:t>
      </w:r>
    </w:p>
    <w:p>
      <w:pPr>
        <w:pStyle w:val="yMiscellaneousBody"/>
        <w:tabs>
          <w:tab w:val="left" w:pos="284"/>
          <w:tab w:val="left" w:pos="1985"/>
        </w:tabs>
        <w:ind w:left="1566" w:hanging="425"/>
      </w:pPr>
      <w:r>
        <w:rPr>
          <w:b/>
        </w:rPr>
        <w:t>P</w:t>
      </w:r>
      <w:r>
        <w:tab/>
        <w:t>is the service charge calculated in accordance with item 27;</w:t>
      </w:r>
    </w:p>
    <w:p>
      <w:pPr>
        <w:pStyle w:val="yMiscellaneousBody"/>
        <w:tabs>
          <w:tab w:val="left" w:pos="284"/>
          <w:tab w:val="left" w:pos="1985"/>
        </w:tabs>
        <w:ind w:left="1566" w:hanging="425"/>
      </w:pPr>
      <w:r>
        <w:rPr>
          <w:b/>
        </w:rPr>
        <w:t>Q</w:t>
      </w:r>
      <w:r>
        <w:tab/>
        <w:t>is the discharge charge calculated in accordance with item 28;</w:t>
      </w:r>
    </w:p>
    <w:p>
      <w:pPr>
        <w:pStyle w:val="yMiscellaneousBody"/>
        <w:tabs>
          <w:tab w:val="left" w:pos="284"/>
          <w:tab w:val="left" w:pos="1985"/>
        </w:tabs>
        <w:ind w:left="1566" w:hanging="425"/>
      </w:pPr>
      <w:r>
        <w:rPr>
          <w:b/>
        </w:rPr>
        <w:t>R</w:t>
      </w:r>
      <w:r>
        <w:tab/>
        <w:t>is the maximum charge calculated in accordance with item 30;</w:t>
      </w:r>
    </w:p>
    <w:p>
      <w:pPr>
        <w:pStyle w:val="yMiscellaneousBody"/>
        <w:tabs>
          <w:tab w:val="left" w:pos="284"/>
          <w:tab w:val="left" w:pos="1985"/>
        </w:tabs>
        <w:ind w:left="1566" w:hanging="425"/>
      </w:pPr>
      <w:r>
        <w:rPr>
          <w:b/>
        </w:rPr>
        <w:t>N</w:t>
      </w:r>
      <w:r>
        <w:tab/>
        <w:t>is the discharge volume for the current discharge year;</w:t>
      </w:r>
    </w:p>
    <w:p>
      <w:pPr>
        <w:pStyle w:val="yMiscellaneousBody"/>
        <w:tabs>
          <w:tab w:val="left" w:pos="284"/>
          <w:tab w:val="left" w:pos="1985"/>
        </w:tabs>
        <w:ind w:left="1566" w:hanging="425"/>
      </w:pPr>
      <w:r>
        <w:rPr>
          <w:b/>
        </w:rPr>
        <w:t>W</w:t>
      </w:r>
      <w:r>
        <w:tab/>
        <w:t>is the discharge volume for the most recently completed discharge year;</w:t>
      </w:r>
    </w:p>
    <w:p>
      <w:pPr>
        <w:pStyle w:val="yMiscellaneousBody"/>
        <w:tabs>
          <w:tab w:val="left" w:pos="284"/>
          <w:tab w:val="left" w:pos="1985"/>
        </w:tabs>
        <w:ind w:left="1566" w:hanging="425"/>
      </w:pPr>
      <w:r>
        <w:rPr>
          <w:b/>
        </w:rPr>
        <w:t>I</w:t>
      </w:r>
      <w:r>
        <w:tab/>
        <w:t>is $4.246.</w:t>
      </w:r>
    </w:p>
    <w:p>
      <w:pPr>
        <w:pStyle w:val="zyHeading5"/>
      </w:pPr>
      <w:bookmarkStart w:id="281" w:name="_Toc169797267"/>
      <w:bookmarkStart w:id="282" w:name="_Toc170213178"/>
      <w:r>
        <w:t>23.</w:t>
      </w:r>
      <w:r>
        <w:tab/>
        <w:t>Non</w:t>
      </w:r>
      <w:r>
        <w:noBreakHyphen/>
        <w:t>metropolitan non</w:t>
      </w:r>
      <w:r>
        <w:noBreakHyphen/>
        <w:t>strata titled caravan park with long</w:t>
      </w:r>
      <w:r>
        <w:noBreakHyphen/>
        <w:t>term residential caravan bays</w:t>
      </w:r>
      <w:bookmarkEnd w:id="281"/>
      <w:bookmarkEnd w:id="282"/>
    </w:p>
    <w:p>
      <w:pPr>
        <w:pStyle w:val="ySubsection"/>
      </w:pPr>
      <w:r>
        <w:tab/>
      </w:r>
      <w:r>
        <w:tab/>
        <w:t>For a caravan park in the non</w:t>
      </w:r>
      <w:r>
        <w:noBreakHyphen/>
        <w:t xml:space="preserve">metropolitan area that — </w:t>
      </w:r>
    </w:p>
    <w:p>
      <w:pPr>
        <w:pStyle w:val="yIndenta"/>
      </w:pPr>
      <w:r>
        <w:tab/>
        <w:t>(a)</w:t>
      </w:r>
      <w:r>
        <w:tab/>
        <w:t>does not consist wholly of strata</w:t>
      </w:r>
      <w:r>
        <w:noBreakHyphen/>
        <w:t>titled caravan bays; and</w:t>
      </w:r>
    </w:p>
    <w:p>
      <w:pPr>
        <w:pStyle w:val="yIndenta"/>
      </w:pPr>
      <w:r>
        <w:tab/>
        <w:t>(b)</w:t>
      </w:r>
      <w:r>
        <w:tab/>
        <w:t>has long</w:t>
      </w:r>
      <w:r>
        <w:noBreakHyphen/>
        <w:t>term residential caravan bays,</w:t>
      </w:r>
    </w:p>
    <w:p>
      <w:pPr>
        <w:pStyle w:val="ySubsection"/>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AA</m:t>
          </m:r>
          <m:r>
            <m:rPr>
              <m:sty m:val="p"/>
            </m:rPr>
            <w:rPr>
              <w:rFonts w:ascii="Cambria Math" w:hAnsi="Cambria Math"/>
              <w:sz w:val="22"/>
            </w:rPr>
            <m:t>+</m:t>
          </m:r>
          <m:r>
            <m:rPr>
              <m:sty m:val="b"/>
            </m:rPr>
            <w:rPr>
              <w:rFonts w:ascii="Cambria Math" w:hAnsi="Cambria Math"/>
              <w:sz w:val="22"/>
            </w:rPr>
            <m:t>AB</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AA</w:t>
      </w:r>
      <w:r>
        <w:tab/>
        <w:t xml:space="preserve"> is</w:t>
      </w:r>
      <w:r>
        <w:rPr>
          <w:szCs w:val="22"/>
        </w:rPr>
        <w:t xml:space="preserve"> $369.46 </w:t>
      </w:r>
      <w:r>
        <w:t>for each long</w:t>
      </w:r>
      <w:r>
        <w:noBreakHyphen/>
        <w:t>term residential caravan bay;</w:t>
      </w:r>
    </w:p>
    <w:p>
      <w:pPr>
        <w:pStyle w:val="yMiscellaneousBody"/>
        <w:keepNext/>
        <w:tabs>
          <w:tab w:val="left" w:pos="284"/>
          <w:tab w:val="left" w:pos="1985"/>
        </w:tabs>
        <w:ind w:left="1305" w:hanging="425"/>
      </w:pPr>
      <w:r>
        <w:rPr>
          <w:b/>
        </w:rPr>
        <w:lastRenderedPageBreak/>
        <w:t>AB</w:t>
      </w:r>
      <w:r>
        <w:tab/>
        <w:t xml:space="preserve">is, for those parts of </w:t>
      </w:r>
      <w:r>
        <w:rPr>
          <w:szCs w:val="22"/>
        </w:rPr>
        <w:t>the</w:t>
      </w:r>
      <w:r>
        <w:t xml:space="preserve"> caravan park not consisting of long</w:t>
      </w:r>
      <w:r>
        <w:noBreakHyphen/>
        <w:t xml:space="preserve">term residential caravan bays — </w:t>
      </w:r>
    </w:p>
    <w:p>
      <w:pPr>
        <w:pStyle w:val="yMiscellaneousBody"/>
        <w:keepNext/>
        <w:tabs>
          <w:tab w:val="left" w:pos="284"/>
          <w:tab w:val="right" w:leader="dot" w:pos="6804"/>
        </w:tabs>
        <w:ind w:left="1021" w:hanging="142"/>
      </w:pPr>
      <w:r>
        <w:rPr>
          <w:szCs w:val="22"/>
        </w:rPr>
        <w:t>if</w:t>
      </w:r>
      <w:r>
        <w:t xml:space="preserve"> </w:t>
      </w:r>
      <m:oMath>
        <m:r>
          <m:rPr>
            <m:sty m:val="p"/>
          </m:rPr>
          <w:rPr>
            <w:rFonts w:ascii="Cambria Math" w:hAnsi="Cambria Math"/>
          </w:rPr>
          <m:t>(</m:t>
        </m:r>
        <m:r>
          <m:rPr>
            <m:sty m:val="b"/>
          </m:rPr>
          <w:rPr>
            <w:rFonts w:ascii="Cambria Math" w:hAnsi="Cambria Math"/>
          </w:rPr>
          <m:t>Y+Q</m:t>
        </m:r>
        <m:r>
          <m:rPr>
            <m:sty m:val="p"/>
          </m:rPr>
          <w:rPr>
            <w:rFonts w:ascii="Cambria Math" w:hAnsi="Cambria Math"/>
          </w:rPr>
          <m:t>)≤</m:t>
        </m:r>
        <m:r>
          <m:rPr>
            <m:sty m:val="b"/>
          </m:rPr>
          <w:rPr>
            <w:rFonts w:ascii="Cambria Math" w:hAnsi="Cambria Math"/>
          </w:rPr>
          <m:t>R</m:t>
        </m:r>
      </m:oMath>
      <w:r>
        <w:t>,</w:t>
      </w:r>
    </w:p>
    <w:p>
      <w:pPr>
        <w:pStyle w:val="yMiscellaneousBody"/>
        <w:tabs>
          <w:tab w:val="left" w:pos="284"/>
          <w:tab w:val="left" w:pos="1985"/>
          <w:tab w:val="right" w:leader="dot" w:pos="6804"/>
        </w:tabs>
        <w:ind w:left="1021" w:hanging="142"/>
      </w:pPr>
      <w:r>
        <w:tab/>
        <w:t xml:space="preserve">then </w:t>
      </w:r>
      <m:oMath>
        <m:r>
          <m:rPr>
            <m:sty m:val="b"/>
          </m:rPr>
          <w:rPr>
            <w:rFonts w:ascii="Cambria Math" w:hAnsi="Cambria Math"/>
          </w:rPr>
          <m:t>Y+Q</m:t>
        </m:r>
      </m:oMath>
    </w:p>
    <w:p>
      <w:pPr>
        <w:pStyle w:val="yMiscellaneousBody"/>
        <w:tabs>
          <w:tab w:val="left" w:pos="284"/>
          <w:tab w:val="left" w:pos="1985"/>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Y+Q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163" w:hanging="142"/>
        <w:rPr>
          <w:rFonts w:ascii="Cambria Math" w:hAnsi="Cambria Math"/>
          <w:bCs/>
        </w:rPr>
      </w:pPr>
      <m:oMath>
        <m:r>
          <m:rPr>
            <m:sty m:val="b"/>
          </m:rPr>
          <w:rPr>
            <w:rFonts w:ascii="Cambria Math" w:hAnsi="Cambria Math"/>
          </w:rPr>
          <m:t>N≤W</m:t>
        </m:r>
      </m:oMath>
      <w:r>
        <w:rPr>
          <w:rFonts w:ascii="Cambria Math" w:hAnsi="Cambria Math"/>
          <w:bCs/>
        </w:rPr>
        <w:t>,</w:t>
      </w:r>
    </w:p>
    <w:p>
      <w:pPr>
        <w:pStyle w:val="yMiscellaneousBody"/>
        <w:tabs>
          <w:tab w:val="left" w:pos="284"/>
          <w:tab w:val="left" w:pos="1985"/>
          <w:tab w:val="right" w:leader="dot" w:pos="6804"/>
        </w:tabs>
        <w:ind w:left="1163" w:hanging="142"/>
        <w:rPr>
          <w:b/>
        </w:rPr>
      </w:pPr>
      <w:r>
        <w:tab/>
        <w:t xml:space="preserve">then </w:t>
      </w:r>
      <w:r>
        <w:rPr>
          <w:b/>
        </w:rPr>
        <w:t>R</w:t>
      </w:r>
    </w:p>
    <w:p>
      <w:pPr>
        <w:pStyle w:val="yMiscellaneousBody"/>
        <w:tabs>
          <w:tab w:val="left" w:pos="284"/>
          <w:tab w:val="left" w:pos="1985"/>
          <w:tab w:val="right" w:leader="dot" w:pos="6804"/>
        </w:tabs>
        <w:ind w:left="1021" w:hanging="142"/>
        <w:rPr>
          <w:b/>
        </w:rPr>
      </w:pPr>
      <w:r>
        <w:t xml:space="preserve">or if </w:t>
      </w:r>
      <m:oMath>
        <m:r>
          <m:rPr>
            <m:sty m:val="p"/>
          </m:rPr>
          <w:rPr>
            <w:rFonts w:ascii="Cambria Math" w:hAnsi="Cambria Math"/>
          </w:rPr>
          <m:t>(</m:t>
        </m:r>
        <m:r>
          <m:rPr>
            <m:sty m:val="b"/>
          </m:rPr>
          <w:rPr>
            <w:rFonts w:ascii="Cambria Math" w:hAnsi="Cambria Math"/>
          </w:rPr>
          <m:t>Y+Q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163" w:hanging="142"/>
      </w:pPr>
      <m:oMath>
        <m:r>
          <m:rPr>
            <m:sty m:val="b"/>
          </m:rPr>
          <w:rPr>
            <w:rFonts w:ascii="Cambria Math" w:hAnsi="Cambria Math"/>
          </w:rPr>
          <m:t>N</m:t>
        </m:r>
        <m:r>
          <m:rPr>
            <m:sty m:val="p"/>
          </m:rPr>
          <w:rPr>
            <w:rFonts w:ascii="Cambria Math" w:hAnsi="Cambria Math"/>
          </w:rPr>
          <m:t>&gt;</m:t>
        </m:r>
        <m:r>
          <m:rPr>
            <m:sty m:val="b"/>
          </m:rPr>
          <w:rPr>
            <w:rFonts w:ascii="Cambria Math" w:hAnsi="Cambria Math"/>
          </w:rPr>
          <m:t>W</m:t>
        </m:r>
      </m:oMath>
      <w:r>
        <w:t>,</w:t>
      </w:r>
    </w:p>
    <w:p>
      <w:pPr>
        <w:pStyle w:val="yMiscellaneousBody"/>
        <w:tabs>
          <w:tab w:val="left" w:pos="284"/>
          <w:tab w:val="left" w:pos="1985"/>
          <w:tab w:val="right" w:leader="dot" w:pos="6804"/>
        </w:tabs>
        <w:ind w:left="1163" w:hanging="142"/>
      </w:pPr>
      <w:r>
        <w:tab/>
        <w:t xml:space="preserve">then </w:t>
      </w:r>
      <m:oMath>
        <m:r>
          <m:rPr>
            <m:sty m:val="b"/>
          </m:rPr>
          <w:rPr>
            <w:rFonts w:ascii="Cambria Math" w:hAnsi="Cambria Math"/>
          </w:rPr>
          <m:t>R</m:t>
        </m:r>
        <m:r>
          <m:rPr>
            <m:sty m:val="p"/>
          </m:rPr>
          <w:rPr>
            <w:rFonts w:ascii="Cambria Math" w:hAnsi="Cambria Math"/>
          </w:rPr>
          <m:t>+((</m:t>
        </m:r>
        <m:r>
          <m:rPr>
            <m:sty m:val="b"/>
          </m:rPr>
          <w:rPr>
            <w:rFonts w:ascii="Cambria Math" w:hAnsi="Cambria Math"/>
          </w:rPr>
          <m:t>N</m:t>
        </m:r>
        <m:r>
          <m:rPr>
            <m:sty m:val="p"/>
          </m:rPr>
          <w:rPr>
            <w:rFonts w:ascii="Cambria Math" w:hAnsi="Cambria Math"/>
          </w:rPr>
          <m:t>-</m:t>
        </m:r>
        <m:r>
          <m:rPr>
            <m:sty m:val="b"/>
          </m:rPr>
          <w:rPr>
            <w:rFonts w:ascii="Cambria Math" w:hAnsi="Cambria Math"/>
          </w:rPr>
          <m:t>W</m:t>
        </m:r>
        <m:r>
          <m:rPr>
            <m:sty m:val="p"/>
          </m:rPr>
          <w:rPr>
            <w:rFonts w:ascii="Cambria Math" w:hAnsi="Cambria Math"/>
          </w:rPr>
          <m:t>)×</m:t>
        </m:r>
        <m:r>
          <m:rPr>
            <m:sty m:val="b"/>
          </m:rPr>
          <w:rPr>
            <w:rFonts w:ascii="Cambria Math" w:hAnsi="Cambria Math"/>
          </w:rPr>
          <m:t>I</m:t>
        </m:r>
        <m:r>
          <m:rPr>
            <m:sty m:val="p"/>
          </m:rPr>
          <w:rPr>
            <w:rFonts w:ascii="Cambria Math" w:hAnsi="Cambria Math"/>
          </w:rPr>
          <m:t>)</m:t>
        </m:r>
      </m:oMath>
    </w:p>
    <w:p>
      <w:pPr>
        <w:pStyle w:val="yMiscellaneousBody"/>
        <w:tabs>
          <w:tab w:val="left" w:pos="284"/>
          <w:tab w:val="right" w:leader="dot" w:pos="6804"/>
        </w:tabs>
        <w:ind w:left="1163" w:hanging="142"/>
      </w:pPr>
      <w:r>
        <w:t xml:space="preserve">where — </w:t>
      </w:r>
    </w:p>
    <w:p>
      <w:pPr>
        <w:pStyle w:val="yMiscellaneousBody"/>
        <w:tabs>
          <w:tab w:val="left" w:pos="284"/>
          <w:tab w:val="left" w:pos="1985"/>
        </w:tabs>
        <w:ind w:left="1446" w:hanging="425"/>
      </w:pPr>
      <w:r>
        <w:rPr>
          <w:b/>
        </w:rPr>
        <w:t>Y</w:t>
      </w:r>
      <w:r>
        <w:tab/>
        <w:t xml:space="preserve">is the charge according to the number of major </w:t>
      </w:r>
      <w:r>
        <w:rPr>
          <w:szCs w:val="22"/>
        </w:rPr>
        <w:t>fixtures</w:t>
      </w:r>
      <w:r>
        <w:t xml:space="preserve"> for the relevant part of the caravan park, that is, “</w:t>
      </w:r>
      <w:r>
        <w:rPr>
          <w:b/>
        </w:rPr>
        <w:t>C</w:t>
      </w:r>
      <w:r>
        <w:t>” in item 27;</w:t>
      </w:r>
    </w:p>
    <w:p>
      <w:pPr>
        <w:pStyle w:val="yMiscellaneousBody"/>
        <w:tabs>
          <w:tab w:val="left" w:pos="284"/>
          <w:tab w:val="left" w:pos="1985"/>
        </w:tabs>
        <w:ind w:left="1446" w:hanging="425"/>
      </w:pPr>
      <w:r>
        <w:rPr>
          <w:b/>
        </w:rPr>
        <w:t>Q</w:t>
      </w:r>
      <w:r>
        <w:tab/>
        <w:t xml:space="preserve">is </w:t>
      </w:r>
      <w:r>
        <w:rPr>
          <w:szCs w:val="22"/>
        </w:rPr>
        <w:t>the</w:t>
      </w:r>
      <w:r>
        <w:t xml:space="preserve"> discharge charge calculated in accordance with item 28;</w:t>
      </w:r>
    </w:p>
    <w:p>
      <w:pPr>
        <w:pStyle w:val="yMiscellaneousBody"/>
        <w:tabs>
          <w:tab w:val="left" w:pos="284"/>
          <w:tab w:val="left" w:pos="1985"/>
        </w:tabs>
        <w:ind w:left="1446" w:hanging="425"/>
      </w:pPr>
      <w:r>
        <w:rPr>
          <w:b/>
        </w:rPr>
        <w:t>R</w:t>
      </w:r>
      <w:r>
        <w:tab/>
        <w:t>is the maximum charge calculated in accordance with item 30;</w:t>
      </w:r>
    </w:p>
    <w:p>
      <w:pPr>
        <w:pStyle w:val="yMiscellaneousBody"/>
        <w:tabs>
          <w:tab w:val="left" w:pos="284"/>
          <w:tab w:val="left" w:pos="1985"/>
        </w:tabs>
        <w:ind w:left="1446" w:hanging="425"/>
      </w:pPr>
      <w:r>
        <w:rPr>
          <w:b/>
        </w:rPr>
        <w:t>N</w:t>
      </w:r>
      <w:r>
        <w:tab/>
        <w:t>is the discharge volume for the current discharge year;</w:t>
      </w:r>
    </w:p>
    <w:p>
      <w:pPr>
        <w:pStyle w:val="yMiscellaneousBody"/>
        <w:tabs>
          <w:tab w:val="left" w:pos="284"/>
          <w:tab w:val="left" w:pos="1985"/>
        </w:tabs>
        <w:ind w:left="1446" w:hanging="425"/>
      </w:pPr>
      <w:r>
        <w:rPr>
          <w:b/>
        </w:rPr>
        <w:t>W</w:t>
      </w:r>
      <w:r>
        <w:tab/>
        <w:t xml:space="preserve">is the discharge volume for the most recently </w:t>
      </w:r>
      <w:r>
        <w:rPr>
          <w:szCs w:val="22"/>
        </w:rPr>
        <w:t>completed</w:t>
      </w:r>
      <w:r>
        <w:t xml:space="preserve"> discharge year;</w:t>
      </w:r>
    </w:p>
    <w:p>
      <w:pPr>
        <w:pStyle w:val="yMiscellaneousBody"/>
        <w:tabs>
          <w:tab w:val="left" w:pos="284"/>
          <w:tab w:val="left" w:pos="1985"/>
        </w:tabs>
        <w:ind w:left="1446" w:hanging="425"/>
      </w:pPr>
      <w:r>
        <w:rPr>
          <w:b/>
        </w:rPr>
        <w:t>I</w:t>
      </w:r>
      <w:r>
        <w:rPr>
          <w:b/>
        </w:rPr>
        <w:tab/>
      </w:r>
      <w:r>
        <w:t>is</w:t>
      </w:r>
      <w:r>
        <w:rPr>
          <w:szCs w:val="22"/>
        </w:rPr>
        <w:t xml:space="preserve"> </w:t>
      </w:r>
      <w:r>
        <w:t>$4.246.</w:t>
      </w:r>
    </w:p>
    <w:p>
      <w:pPr>
        <w:pStyle w:val="zyHeading5"/>
      </w:pPr>
      <w:bookmarkStart w:id="283" w:name="_Toc169797268"/>
      <w:bookmarkStart w:id="284" w:name="_Toc170213179"/>
      <w:r>
        <w:t>24.</w:t>
      </w:r>
      <w:r>
        <w:tab/>
        <w:t>Non</w:t>
      </w:r>
      <w:r>
        <w:noBreakHyphen/>
        <w:t>metropolitan nursing home</w:t>
      </w:r>
      <w:bookmarkEnd w:id="283"/>
      <w:bookmarkEnd w:id="284"/>
    </w:p>
    <w:p>
      <w:pPr>
        <w:pStyle w:val="ySubsection"/>
      </w:pPr>
      <w:r>
        <w:tab/>
      </w:r>
      <w:r>
        <w:tab/>
        <w:t>For a nursing home in the non</w:t>
      </w:r>
      <w:r>
        <w:noBreakHyphen/>
        <w:t>metropolitan area, other than a nursing home that is, or is part of, an aged home, the charge is —</w:t>
      </w:r>
    </w:p>
    <w:p>
      <w:pPr>
        <w:pStyle w:val="Equation"/>
        <w:spacing w:before="120"/>
        <w:ind w:left="879"/>
        <w:rPr>
          <w:b/>
          <w:noProof w:val="0"/>
          <w:sz w:val="22"/>
        </w:rPr>
      </w:pPr>
      <m:oMathPara>
        <m:oMathParaPr>
          <m:jc m:val="left"/>
        </m:oMathParaPr>
        <m:oMath>
          <m:r>
            <m:rPr>
              <m:sty m:val="b"/>
            </m:rPr>
            <w:rPr>
              <w:rFonts w:ascii="Cambria Math" w:hAnsi="Cambria Math"/>
              <w:noProof w:val="0"/>
              <w:sz w:val="22"/>
            </w:rPr>
            <m:t>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Q</w:t>
      </w:r>
      <w:r>
        <w:tab/>
        <w:t>is the discharge charge calculated in accordance with item 28;</w:t>
      </w:r>
    </w:p>
    <w:p>
      <w:pPr>
        <w:pStyle w:val="yMiscellaneousBody"/>
        <w:tabs>
          <w:tab w:val="left" w:pos="284"/>
          <w:tab w:val="left" w:pos="1985"/>
        </w:tabs>
        <w:ind w:left="1305" w:hanging="425"/>
      </w:pPr>
      <w:r>
        <w:rPr>
          <w:b/>
        </w:rPr>
        <w:t>T</w:t>
      </w:r>
      <w:r>
        <w:tab/>
        <w:t xml:space="preserve">is </w:t>
      </w:r>
      <m:oMath>
        <m:r>
          <m:rPr>
            <m:sty m:val="b"/>
          </m:rPr>
          <w:rPr>
            <w:rFonts w:ascii="Cambria Math" w:hAnsi="Cambria Math"/>
          </w:rPr>
          <m:t>U×V</m:t>
        </m:r>
      </m:oMath>
      <w:r>
        <w:t>;</w:t>
      </w:r>
    </w:p>
    <w:p>
      <w:pPr>
        <w:pStyle w:val="yMiscellaneousBody"/>
        <w:tabs>
          <w:tab w:val="left" w:pos="284"/>
          <w:tab w:val="left" w:pos="1985"/>
        </w:tabs>
        <w:ind w:left="1305" w:hanging="425"/>
      </w:pPr>
      <w:r>
        <w:rPr>
          <w:b/>
        </w:rPr>
        <w:lastRenderedPageBreak/>
        <w:t>U</w:t>
      </w:r>
      <w:r>
        <w:tab/>
        <w:t>is the number of beds in the nursing home;</w:t>
      </w:r>
    </w:p>
    <w:p>
      <w:pPr>
        <w:pStyle w:val="yMiscellaneousBody"/>
        <w:tabs>
          <w:tab w:val="left" w:pos="284"/>
          <w:tab w:val="left" w:pos="1985"/>
        </w:tabs>
        <w:ind w:left="1305" w:hanging="425"/>
      </w:pPr>
      <w:r>
        <w:rPr>
          <w:b/>
        </w:rPr>
        <w:t>V</w:t>
      </w:r>
      <w:r>
        <w:tab/>
        <w:t>is</w:t>
      </w:r>
      <w:r>
        <w:rPr>
          <w:szCs w:val="22"/>
        </w:rPr>
        <w:t xml:space="preserve"> $209.06.</w:t>
      </w:r>
    </w:p>
    <w:p>
      <w:pPr>
        <w:pStyle w:val="zyHeading5"/>
      </w:pPr>
      <w:bookmarkStart w:id="285" w:name="_Toc169797269"/>
      <w:bookmarkStart w:id="286" w:name="_Toc170213180"/>
      <w:r>
        <w:t>25.</w:t>
      </w:r>
      <w:r>
        <w:tab/>
        <w:t>Certain non</w:t>
      </w:r>
      <w:r>
        <w:noBreakHyphen/>
        <w:t>metropolitan units</w:t>
      </w:r>
      <w:bookmarkEnd w:id="285"/>
      <w:bookmarkEnd w:id="286"/>
      <w:r>
        <w:t xml:space="preserve"> </w:t>
      </w:r>
    </w:p>
    <w:p>
      <w:pPr>
        <w:pStyle w:val="ySubsection"/>
        <w:keepNext/>
      </w:pPr>
      <w:r>
        <w:tab/>
      </w:r>
      <w:r>
        <w:tab/>
        <w:t>For land in the non</w:t>
      </w:r>
      <w:r>
        <w:noBreakHyphen/>
        <w:t xml:space="preserve">metropolitan area — </w:t>
      </w:r>
    </w:p>
    <w:p>
      <w:pPr>
        <w:pStyle w:val="yIndenta"/>
      </w:pPr>
      <w:r>
        <w:tab/>
        <w:t>(a)</w:t>
      </w:r>
      <w:r>
        <w:tab/>
        <w:t>that is contained in a lot; and</w:t>
      </w:r>
    </w:p>
    <w:p>
      <w:pPr>
        <w:pStyle w:val="yIndenta"/>
      </w:pPr>
      <w:r>
        <w:tab/>
        <w:t>(b)</w:t>
      </w:r>
      <w:r>
        <w:tab/>
        <w:t>that is classified as non</w:t>
      </w:r>
      <w:r>
        <w:noBreakHyphen/>
        <w:t>residential; and</w:t>
      </w:r>
    </w:p>
    <w:p>
      <w:pPr>
        <w:pStyle w:val="yIndenta"/>
      </w:pPr>
      <w:r>
        <w:tab/>
        <w:t>(c)</w:t>
      </w:r>
      <w:r>
        <w:tab/>
        <w:t>that is not covered by item 5 or 6; and</w:t>
      </w:r>
    </w:p>
    <w:p>
      <w:pPr>
        <w:pStyle w:val="yIndenta"/>
      </w:pPr>
      <w:r>
        <w:tab/>
        <w:t>(d)</w:t>
      </w:r>
      <w:r>
        <w:tab/>
        <w:t>that shares one or more major fixtures, that discharge into a sewer of the Water Corporation, with other such land and has no other major fixtures that discharge into such a sewer; and</w:t>
      </w:r>
    </w:p>
    <w:p>
      <w:pPr>
        <w:pStyle w:val="yIndenta"/>
      </w:pPr>
      <w:r>
        <w:tab/>
        <w:t>(e)</w:t>
      </w:r>
      <w:r>
        <w:tab/>
        <w:t>for which the number of major fixtures shared by all units on the relevant scheme plan for a strata titles scheme or a community titles scheme is less than the number of those units,</w:t>
      </w:r>
    </w:p>
    <w:p>
      <w:pPr>
        <w:pStyle w:val="ySubsection"/>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T</w:t>
      </w:r>
      <w:r>
        <w:tab/>
        <w:t>is</w:t>
      </w:r>
      <w:r>
        <w:rPr>
          <w:szCs w:val="22"/>
        </w:rPr>
        <w:t xml:space="preserve"> $718.23</w:t>
      </w:r>
      <w:r>
        <w:t>;</w:t>
      </w:r>
    </w:p>
    <w:p>
      <w:pPr>
        <w:pStyle w:val="yMiscellaneousBody"/>
        <w:tabs>
          <w:tab w:val="left" w:pos="284"/>
          <w:tab w:val="left" w:pos="1985"/>
        </w:tabs>
        <w:ind w:left="1305" w:hanging="425"/>
      </w:pPr>
      <w:r>
        <w:rPr>
          <w:b/>
        </w:rPr>
        <w:t>Q</w:t>
      </w:r>
      <w:r>
        <w:tab/>
        <w:t xml:space="preserve">is the </w:t>
      </w:r>
      <w:r>
        <w:rPr>
          <w:szCs w:val="22"/>
        </w:rPr>
        <w:t>discharge</w:t>
      </w:r>
      <w:r>
        <w:t xml:space="preserve"> charge calculated in accordance with item 28.</w:t>
      </w:r>
    </w:p>
    <w:p>
      <w:pPr>
        <w:pStyle w:val="zyHeading5"/>
      </w:pPr>
      <w:bookmarkStart w:id="287" w:name="_Toc169797270"/>
      <w:bookmarkStart w:id="288" w:name="_Toc170213181"/>
      <w:r>
        <w:t>26.</w:t>
      </w:r>
      <w:r>
        <w:tab/>
        <w:t>Non</w:t>
      </w:r>
      <w:r>
        <w:noBreakHyphen/>
        <w:t>metropolitan government trading organisation and non</w:t>
      </w:r>
      <w:r>
        <w:noBreakHyphen/>
        <w:t>commercial government property</w:t>
      </w:r>
      <w:bookmarkEnd w:id="287"/>
      <w:bookmarkEnd w:id="288"/>
    </w:p>
    <w:p>
      <w:pPr>
        <w:pStyle w:val="ySubsection"/>
      </w:pPr>
      <w:r>
        <w:tab/>
        <w:t>(1)</w:t>
      </w:r>
      <w:r>
        <w:tab/>
        <w:t>For land in the non</w:t>
      </w:r>
      <w:r>
        <w:noBreakHyphen/>
        <w:t>metropolitan area held by a government trading organisation or a public authority that holds non</w:t>
      </w:r>
      <w:r>
        <w:noBreakHyphen/>
        <w:t xml:space="preserve">commercial government property, the charge is — </w:t>
      </w:r>
    </w:p>
    <w:p>
      <w:pPr>
        <w:pStyle w:val="Equation"/>
        <w:spacing w:before="120"/>
        <w:ind w:left="879"/>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Y</w:t>
      </w:r>
      <w:r>
        <w:tab/>
        <w:t xml:space="preserve">is </w:t>
      </w:r>
      <w:r>
        <w:rPr>
          <w:szCs w:val="22"/>
        </w:rPr>
        <w:t xml:space="preserve">the charge </w:t>
      </w:r>
      <w:r>
        <w:t>according</w:t>
      </w:r>
      <w:r>
        <w:rPr>
          <w:szCs w:val="22"/>
        </w:rPr>
        <w:t xml:space="preserve"> to the number of connected </w:t>
      </w:r>
      <w:r>
        <w:t>major</w:t>
      </w:r>
      <w:r>
        <w:rPr>
          <w:szCs w:val="22"/>
        </w:rPr>
        <w:t xml:space="preserve"> fixtures for the land, that is, “</w:t>
      </w:r>
      <w:r>
        <w:rPr>
          <w:b/>
          <w:szCs w:val="22"/>
        </w:rPr>
        <w:t>C</w:t>
      </w:r>
      <w:r>
        <w:rPr>
          <w:szCs w:val="22"/>
        </w:rPr>
        <w:t>” in item 27</w:t>
      </w:r>
      <w:r>
        <w:t>;</w:t>
      </w:r>
    </w:p>
    <w:p>
      <w:pPr>
        <w:pStyle w:val="yMiscellaneousBody"/>
        <w:tabs>
          <w:tab w:val="left" w:pos="284"/>
          <w:tab w:val="left" w:pos="1985"/>
        </w:tabs>
        <w:ind w:left="1305" w:hanging="425"/>
      </w:pPr>
      <w:r>
        <w:rPr>
          <w:b/>
        </w:rPr>
        <w:t>Q</w:t>
      </w:r>
      <w:r>
        <w:tab/>
        <w:t>is the discharge charge calculated in accordance with item 28.</w:t>
      </w:r>
    </w:p>
    <w:p>
      <w:pPr>
        <w:pStyle w:val="ySubsection"/>
        <w:tabs>
          <w:tab w:val="right" w:leader="dot" w:pos="6804"/>
        </w:tabs>
      </w:pPr>
      <w:r>
        <w:lastRenderedPageBreak/>
        <w:tab/>
        <w:t>(2)</w:t>
      </w:r>
      <w:r>
        <w:tab/>
        <w:t>Sub</w:t>
      </w:r>
      <w:r>
        <w:noBreakHyphen/>
        <w:t>item (1) does not apply to public land.</w:t>
      </w:r>
    </w:p>
    <w:p>
      <w:pPr>
        <w:pStyle w:val="zyHeading4"/>
      </w:pPr>
      <w:bookmarkStart w:id="289" w:name="_Toc169797271"/>
      <w:bookmarkStart w:id="290" w:name="_Toc169797426"/>
      <w:bookmarkStart w:id="291" w:name="_Toc169797581"/>
      <w:bookmarkStart w:id="292" w:name="_Toc170213182"/>
      <w:r>
        <w:t>Subdivision 5 — Calculation of certain factors for Subdivision 4</w:t>
      </w:r>
      <w:bookmarkEnd w:id="289"/>
      <w:bookmarkEnd w:id="290"/>
      <w:bookmarkEnd w:id="291"/>
      <w:bookmarkEnd w:id="292"/>
    </w:p>
    <w:p>
      <w:pPr>
        <w:pStyle w:val="zyHeading5"/>
      </w:pPr>
      <w:bookmarkStart w:id="293" w:name="_Toc169797272"/>
      <w:bookmarkStart w:id="294" w:name="_Toc170213183"/>
      <w:r>
        <w:t>27.</w:t>
      </w:r>
      <w:r>
        <w:tab/>
        <w:t>Service charge</w:t>
      </w:r>
      <w:bookmarkEnd w:id="293"/>
      <w:bookmarkEnd w:id="294"/>
    </w:p>
    <w:p>
      <w:pPr>
        <w:pStyle w:val="ySubsection"/>
      </w:pPr>
      <w:r>
        <w:tab/>
      </w:r>
      <w:r>
        <w:tab/>
        <w:t>The service charge (</w:t>
      </w:r>
      <w:r>
        <w:rPr>
          <w:b/>
          <w:i/>
        </w:rPr>
        <w:t>P</w:t>
      </w:r>
      <w:r>
        <w:t>) is —</w:t>
      </w:r>
    </w:p>
    <w:p>
      <w:pPr>
        <w:pStyle w:val="yMiscellaneousBody"/>
        <w:tabs>
          <w:tab w:val="left" w:pos="284"/>
          <w:tab w:val="right" w:leader="dot" w:pos="6804"/>
        </w:tabs>
        <w:ind w:left="1021" w:hanging="142"/>
      </w:pPr>
      <w:r>
        <w:t xml:space="preserve">if </w:t>
      </w:r>
      <m:oMath>
        <m:r>
          <m:rPr>
            <m:sty m:val="b"/>
          </m:rPr>
          <w:rPr>
            <w:rFonts w:ascii="Cambria Math" w:hAnsi="Cambria Math"/>
          </w:rPr>
          <m:t>R</m:t>
        </m:r>
        <m:r>
          <m:rPr>
            <m:sty m:val="p"/>
          </m:rPr>
          <w:rPr>
            <w:rFonts w:ascii="Cambria Math" w:hAnsi="Cambria Math"/>
          </w:rPr>
          <m:t>≤(</m:t>
        </m:r>
        <m:r>
          <m:rPr>
            <m:sty m:val="b"/>
          </m:rPr>
          <w:rPr>
            <w:rFonts w:ascii="Cambria Math" w:hAnsi="Cambria Math"/>
          </w:rPr>
          <m:t>C+D</m:t>
        </m:r>
        <m:r>
          <m:rPr>
            <m:sty m:val="p"/>
          </m:rPr>
          <w:rPr>
            <w:rFonts w:ascii="Cambria Math" w:hAnsi="Cambria Math"/>
          </w:rPr>
          <m:t>)</m:t>
        </m:r>
      </m:oMath>
      <w:r>
        <w:t>,</w:t>
      </w:r>
    </w:p>
    <w:p>
      <w:pPr>
        <w:pStyle w:val="yMiscellaneousBody"/>
        <w:tabs>
          <w:tab w:val="left" w:pos="284"/>
          <w:tab w:val="left" w:pos="1985"/>
          <w:tab w:val="right" w:leader="dot" w:pos="6804"/>
        </w:tabs>
        <w:ind w:left="1021" w:hanging="142"/>
      </w:pPr>
      <w:r>
        <w:tab/>
        <w:t xml:space="preserve">then </w:t>
      </w:r>
      <w:r>
        <w:rPr>
          <w:b/>
        </w:rPr>
        <w:t>R</w:t>
      </w:r>
    </w:p>
    <w:p>
      <w:pPr>
        <w:pStyle w:val="yMiscellaneousBody"/>
        <w:tabs>
          <w:tab w:val="left" w:pos="284"/>
          <w:tab w:val="right" w:leader="dot" w:pos="6804"/>
        </w:tabs>
        <w:ind w:left="1021" w:hanging="142"/>
      </w:pPr>
      <w:r>
        <w:t xml:space="preserve">or if </w:t>
      </w:r>
      <m:oMath>
        <m:r>
          <m:rPr>
            <m:sty m:val="b"/>
          </m:rPr>
          <w:rPr>
            <w:rFonts w:ascii="Cambria Math" w:hAnsi="Cambria Math"/>
          </w:rPr>
          <m:t>R</m:t>
        </m:r>
        <m:r>
          <m:rPr>
            <m:sty m:val="p"/>
          </m:rPr>
          <w:rPr>
            <w:rFonts w:ascii="Cambria Math" w:hAnsi="Cambria Math"/>
          </w:rPr>
          <m:t>&gt;(</m:t>
        </m:r>
        <m:r>
          <m:rPr>
            <m:sty m:val="b"/>
          </m:rPr>
          <w:rPr>
            <w:rFonts w:ascii="Cambria Math" w:hAnsi="Cambria Math"/>
          </w:rPr>
          <m:t>C+D</m:t>
        </m:r>
        <m:r>
          <m:rPr>
            <m:sty m:val="p"/>
          </m:rPr>
          <w:rPr>
            <w:rFonts w:ascii="Cambria Math" w:hAnsi="Cambria Math"/>
          </w:rPr>
          <m:t>)</m:t>
        </m:r>
      </m:oMath>
      <w:r>
        <w:t>,</w:t>
      </w:r>
    </w:p>
    <w:p>
      <w:pPr>
        <w:pStyle w:val="yMiscellaneousBody"/>
        <w:tabs>
          <w:tab w:val="left" w:pos="284"/>
          <w:tab w:val="left" w:pos="1985"/>
          <w:tab w:val="right" w:leader="dot" w:pos="6804"/>
        </w:tabs>
        <w:ind w:left="1021" w:hanging="142"/>
      </w:pPr>
      <w:r>
        <w:tab/>
        <w:t xml:space="preserve">then </w:t>
      </w:r>
      <w:r>
        <w:rPr>
          <w:b/>
        </w:rPr>
        <w:t>C</w:t>
      </w:r>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R</w:t>
      </w:r>
      <w:r>
        <w:tab/>
        <w:t>is the maximum charge calculated in accordance with item 30;</w:t>
      </w:r>
    </w:p>
    <w:p>
      <w:pPr>
        <w:pStyle w:val="yMiscellaneousBody"/>
        <w:tabs>
          <w:tab w:val="left" w:pos="284"/>
          <w:tab w:val="left" w:pos="1985"/>
        </w:tabs>
        <w:ind w:left="1305" w:hanging="425"/>
      </w:pPr>
      <w:r>
        <w:rPr>
          <w:b/>
        </w:rPr>
        <w:t>C</w:t>
      </w:r>
      <w:r>
        <w:tab/>
        <w:t>is the charge, according to the number of major fixtures for the land, that is the sum of the charges for each fixture as set out in the Table;</w:t>
      </w:r>
    </w:p>
    <w:p>
      <w:pPr>
        <w:pStyle w:val="yMiscellaneousBody"/>
        <w:tabs>
          <w:tab w:val="left" w:pos="284"/>
          <w:tab w:val="left" w:pos="1985"/>
        </w:tabs>
        <w:ind w:left="1305" w:hanging="425"/>
      </w:pPr>
      <w:r>
        <w:rPr>
          <w:b/>
        </w:rPr>
        <w:t>D</w:t>
      </w:r>
      <w:r>
        <w:tab/>
        <w:t>is the discharge charge calculated in accordance with item 28.</w:t>
      </w:r>
    </w:p>
    <w:p>
      <w:pPr>
        <w:pStyle w:val="yTHeadingNAm"/>
      </w:pPr>
      <w:r>
        <w:t>Table of major fixture</w:t>
      </w:r>
      <w:r>
        <w:noBreakHyphen/>
        <w:t>based charges</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cantSplit/>
          <w:tblHeader/>
        </w:trPr>
        <w:tc>
          <w:tcPr>
            <w:tcW w:w="2268" w:type="dxa"/>
            <w:tcBorders>
              <w:top w:val="single" w:sz="4" w:space="0" w:color="auto"/>
              <w:bottom w:val="single" w:sz="4" w:space="0" w:color="auto"/>
            </w:tcBorders>
            <w:noWrap/>
          </w:tcPr>
          <w:p>
            <w:pPr>
              <w:pStyle w:val="zyTableNAm"/>
              <w:jc w:val="center"/>
            </w:pPr>
          </w:p>
        </w:tc>
        <w:tc>
          <w:tcPr>
            <w:tcW w:w="2268" w:type="dxa"/>
            <w:tcBorders>
              <w:top w:val="single" w:sz="4" w:space="0" w:color="auto"/>
              <w:bottom w:val="single" w:sz="4" w:space="0" w:color="auto"/>
            </w:tcBorders>
            <w:noWrap/>
          </w:tcPr>
          <w:p>
            <w:pPr>
              <w:pStyle w:val="yTableNAm"/>
              <w:jc w:val="center"/>
            </w:pPr>
            <w:r>
              <w:rPr>
                <w:b/>
              </w:rPr>
              <w:t>Charge</w:t>
            </w:r>
            <w:r>
              <w:rPr>
                <w:b/>
              </w:rPr>
              <w:br/>
              <w:t>$</w:t>
            </w:r>
          </w:p>
        </w:tc>
      </w:tr>
      <w:tr>
        <w:trPr>
          <w:cantSplit/>
        </w:trPr>
        <w:tc>
          <w:tcPr>
            <w:tcW w:w="2268" w:type="dxa"/>
            <w:noWrap/>
            <w:tcMar>
              <w:left w:w="284" w:type="dxa"/>
            </w:tcMar>
          </w:tcPr>
          <w:p>
            <w:pPr>
              <w:pStyle w:val="yTableNAmLeft-065cm"/>
            </w:pPr>
            <w:r>
              <w:t>1</w:t>
            </w:r>
            <w:r>
              <w:rPr>
                <w:vertAlign w:val="superscript"/>
              </w:rPr>
              <w:t>st</w:t>
            </w:r>
            <w:r>
              <w:tab/>
              <w:t>fixture</w:t>
            </w:r>
          </w:p>
        </w:tc>
        <w:tc>
          <w:tcPr>
            <w:tcW w:w="2268" w:type="dxa"/>
            <w:noWrap/>
          </w:tcPr>
          <w:p>
            <w:pPr>
              <w:pStyle w:val="yTableNAm"/>
              <w:jc w:val="center"/>
            </w:pPr>
            <w:r>
              <w:t>1 155.37</w:t>
            </w:r>
          </w:p>
        </w:tc>
      </w:tr>
      <w:tr>
        <w:trPr>
          <w:cantSplit/>
        </w:trPr>
        <w:tc>
          <w:tcPr>
            <w:tcW w:w="2268" w:type="dxa"/>
            <w:noWrap/>
            <w:tcMar>
              <w:left w:w="284" w:type="dxa"/>
            </w:tcMar>
          </w:tcPr>
          <w:p>
            <w:pPr>
              <w:pStyle w:val="yTableNAmLeft-065cm"/>
            </w:pPr>
            <w:r>
              <w:t>2</w:t>
            </w:r>
            <w:r>
              <w:rPr>
                <w:vertAlign w:val="superscript"/>
              </w:rPr>
              <w:t>nd</w:t>
            </w:r>
            <w:r>
              <w:tab/>
              <w:t>fixture</w:t>
            </w:r>
          </w:p>
        </w:tc>
        <w:tc>
          <w:tcPr>
            <w:tcW w:w="2268" w:type="dxa"/>
            <w:noWrap/>
          </w:tcPr>
          <w:p>
            <w:pPr>
              <w:pStyle w:val="yTableNAm"/>
              <w:jc w:val="center"/>
            </w:pPr>
            <w:r>
              <w:t>494.56</w:t>
            </w:r>
          </w:p>
        </w:tc>
      </w:tr>
      <w:tr>
        <w:trPr>
          <w:cantSplit/>
        </w:trPr>
        <w:tc>
          <w:tcPr>
            <w:tcW w:w="2268" w:type="dxa"/>
            <w:noWrap/>
            <w:tcMar>
              <w:left w:w="284" w:type="dxa"/>
            </w:tcMar>
          </w:tcPr>
          <w:p>
            <w:pPr>
              <w:pStyle w:val="yTableNAmLeft-065cm"/>
            </w:pPr>
            <w:r>
              <w:t>3</w:t>
            </w:r>
            <w:r>
              <w:rPr>
                <w:vertAlign w:val="superscript"/>
              </w:rPr>
              <w:t>rd</w:t>
            </w:r>
            <w:r>
              <w:tab/>
              <w:t>fixture</w:t>
            </w:r>
          </w:p>
        </w:tc>
        <w:tc>
          <w:tcPr>
            <w:tcW w:w="2268" w:type="dxa"/>
            <w:noWrap/>
          </w:tcPr>
          <w:p>
            <w:pPr>
              <w:pStyle w:val="yTableNAm"/>
              <w:jc w:val="center"/>
            </w:pPr>
            <w:r>
              <w:t>660.48</w:t>
            </w:r>
          </w:p>
        </w:tc>
      </w:tr>
      <w:tr>
        <w:trPr>
          <w:cantSplit/>
        </w:trPr>
        <w:tc>
          <w:tcPr>
            <w:tcW w:w="2268" w:type="dxa"/>
            <w:tcBorders>
              <w:bottom w:val="single" w:sz="4" w:space="0" w:color="auto"/>
            </w:tcBorders>
            <w:noWrap/>
            <w:tcMar>
              <w:left w:w="284" w:type="dxa"/>
            </w:tcMar>
          </w:tcPr>
          <w:p>
            <w:pPr>
              <w:pStyle w:val="yTableNAmLeft-065cm"/>
            </w:pPr>
            <w:r>
              <w:t>4</w:t>
            </w:r>
            <w:r>
              <w:rPr>
                <w:vertAlign w:val="superscript"/>
              </w:rPr>
              <w:t>th</w:t>
            </w:r>
            <w:r>
              <w:tab/>
              <w:t>and subsequent fixtures</w:t>
            </w:r>
          </w:p>
        </w:tc>
        <w:tc>
          <w:tcPr>
            <w:tcW w:w="2268" w:type="dxa"/>
            <w:tcBorders>
              <w:bottom w:val="single" w:sz="4" w:space="0" w:color="auto"/>
            </w:tcBorders>
            <w:noWrap/>
            <w:vAlign w:val="bottom"/>
          </w:tcPr>
          <w:p>
            <w:pPr>
              <w:pStyle w:val="yTableNAm"/>
              <w:jc w:val="center"/>
            </w:pPr>
            <w:r>
              <w:rPr>
                <w:szCs w:val="22"/>
              </w:rPr>
              <w:t>718.23</w:t>
            </w:r>
          </w:p>
        </w:tc>
      </w:tr>
    </w:tbl>
    <w:p>
      <w:pPr>
        <w:pStyle w:val="zyHeading5"/>
      </w:pPr>
      <w:bookmarkStart w:id="295" w:name="_Toc169797273"/>
      <w:bookmarkStart w:id="296" w:name="_Toc170213184"/>
      <w:r>
        <w:t>28.</w:t>
      </w:r>
      <w:r>
        <w:tab/>
        <w:t>Discharge charge</w:t>
      </w:r>
      <w:bookmarkEnd w:id="295"/>
      <w:bookmarkEnd w:id="296"/>
    </w:p>
    <w:p>
      <w:pPr>
        <w:pStyle w:val="ySubsection"/>
        <w:keepNext/>
      </w:pPr>
      <w:r>
        <w:tab/>
      </w:r>
      <w:r>
        <w:tab/>
        <w:t>The discharge charge (</w:t>
      </w:r>
      <w:r>
        <w:rPr>
          <w:b/>
          <w:i/>
        </w:rPr>
        <w:t>Q</w:t>
      </w:r>
      <w:r>
        <w:t>) is —</w:t>
      </w:r>
    </w:p>
    <w:p>
      <w:pPr>
        <w:pStyle w:val="yMiscellaneousBody"/>
        <w:keepNext/>
        <w:tabs>
          <w:tab w:val="left" w:pos="284"/>
          <w:tab w:val="right" w:leader="dot" w:pos="6804"/>
        </w:tabs>
        <w:ind w:left="1021" w:hanging="142"/>
      </w:pPr>
      <w:r>
        <w:t xml:space="preserve">if </w:t>
      </w:r>
      <m:oMath>
        <m:r>
          <m:rPr>
            <m:sty m:val="p"/>
          </m:rPr>
          <w:rPr>
            <w:rFonts w:ascii="Cambria Math" w:hAnsi="Cambria Math"/>
          </w:rPr>
          <m:t>(</m:t>
        </m:r>
        <m:r>
          <m:rPr>
            <m:sty m:val="b"/>
          </m:rPr>
          <w:rPr>
            <w:rFonts w:ascii="Cambria Math" w:hAnsi="Cambria Math"/>
          </w:rPr>
          <m:t>F</m:t>
        </m:r>
        <m:r>
          <m:rPr>
            <m:sty m:val="p"/>
          </m:rPr>
          <w:rPr>
            <w:rFonts w:ascii="Cambria Math" w:hAnsi="Cambria Math"/>
          </w:rPr>
          <m:t>×</m:t>
        </m:r>
        <m:r>
          <m:rPr>
            <m:sty m:val="b"/>
          </m:rPr>
          <w:rPr>
            <w:rFonts w:ascii="Cambria Math" w:hAnsi="Cambria Math"/>
          </w:rPr>
          <m:t>G</m:t>
        </m:r>
        <m:r>
          <m:rPr>
            <m:sty m:val="p"/>
          </m:rPr>
          <w:rPr>
            <w:rFonts w:ascii="Cambria Math" w:hAnsi="Cambria Math"/>
          </w:rPr>
          <m:t>)≤</m:t>
        </m:r>
        <m:r>
          <m:rPr>
            <m:sty m:val="b"/>
          </m:rPr>
          <w:rPr>
            <w:rFonts w:ascii="Cambria Math" w:hAnsi="Cambria Math"/>
          </w:rPr>
          <m:t>H</m:t>
        </m:r>
      </m:oMath>
      <w:r>
        <w:t>,</w:t>
      </w:r>
    </w:p>
    <w:p>
      <w:pPr>
        <w:pStyle w:val="yMiscellaneousBody"/>
        <w:tabs>
          <w:tab w:val="left" w:pos="284"/>
          <w:tab w:val="left" w:pos="1985"/>
          <w:tab w:val="right" w:leader="dot" w:pos="6804"/>
        </w:tabs>
        <w:ind w:left="1021" w:hanging="142"/>
      </w:pPr>
      <w:r>
        <w:tab/>
        <w:t>then nil</w:t>
      </w:r>
    </w:p>
    <w:p>
      <w:pPr>
        <w:pStyle w:val="yMiscellaneousBody"/>
        <w:tabs>
          <w:tab w:val="left" w:pos="284"/>
          <w:tab w:val="right" w:leader="dot" w:pos="6804"/>
        </w:tabs>
        <w:ind w:left="1021" w:hanging="142"/>
      </w:pPr>
      <w:r>
        <w:lastRenderedPageBreak/>
        <w:t xml:space="preserve">or if </w:t>
      </w:r>
      <m:oMath>
        <m:r>
          <m:rPr>
            <m:sty m:val="p"/>
          </m:rPr>
          <w:rPr>
            <w:rFonts w:ascii="Cambria Math" w:hAnsi="Cambria Math"/>
          </w:rPr>
          <m:t>(</m:t>
        </m:r>
        <m:r>
          <m:rPr>
            <m:sty m:val="b"/>
          </m:rPr>
          <w:rPr>
            <w:rFonts w:ascii="Cambria Math" w:hAnsi="Cambria Math"/>
          </w:rPr>
          <m:t>F</m:t>
        </m:r>
        <m:r>
          <m:rPr>
            <m:sty m:val="p"/>
          </m:rPr>
          <w:rPr>
            <w:rFonts w:ascii="Cambria Math" w:hAnsi="Cambria Math"/>
          </w:rPr>
          <m:t>×</m:t>
        </m:r>
        <m:r>
          <m:rPr>
            <m:sty m:val="b"/>
          </m:rPr>
          <w:rPr>
            <w:rFonts w:ascii="Cambria Math" w:hAnsi="Cambria Math"/>
          </w:rPr>
          <m:t>G</m:t>
        </m:r>
        <m:r>
          <m:rPr>
            <m:sty m:val="p"/>
          </m:rPr>
          <w:rPr>
            <w:rFonts w:ascii="Cambria Math" w:hAnsi="Cambria Math"/>
          </w:rPr>
          <m:t>)&gt;</m:t>
        </m:r>
        <m:r>
          <m:rPr>
            <m:sty m:val="b"/>
          </m:rPr>
          <w:rPr>
            <w:rFonts w:ascii="Cambria Math" w:hAnsi="Cambria Math"/>
          </w:rPr>
          <m:t>H</m:t>
        </m:r>
      </m:oMath>
      <w:r>
        <w:t>,</w:t>
      </w:r>
    </w:p>
    <w:p>
      <w:pPr>
        <w:pStyle w:val="yMiscellaneousBody"/>
        <w:tabs>
          <w:tab w:val="left" w:pos="284"/>
          <w:tab w:val="left" w:pos="1985"/>
          <w:tab w:val="right" w:leader="dot" w:pos="6804"/>
        </w:tabs>
        <w:ind w:left="1021" w:hanging="142"/>
      </w:pPr>
      <w:r>
        <w:tab/>
        <w:t xml:space="preserve">then </w:t>
      </w:r>
      <m:oMath>
        <m:r>
          <m:rPr>
            <m:sty m:val="p"/>
          </m:rPr>
          <w:rPr>
            <w:rFonts w:ascii="Cambria Math" w:hAnsi="Cambria Math"/>
          </w:rPr>
          <m:t>(</m:t>
        </m:r>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H)×I</m:t>
        </m:r>
      </m:oMath>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F</w:t>
      </w:r>
      <w:r>
        <w:tab/>
        <w:t>is the volume of water supplied to the land in the current consumption year;</w:t>
      </w:r>
    </w:p>
    <w:p>
      <w:pPr>
        <w:pStyle w:val="yMiscellaneousBody"/>
        <w:tabs>
          <w:tab w:val="left" w:pos="284"/>
          <w:tab w:val="left" w:pos="1985"/>
        </w:tabs>
        <w:ind w:left="1305" w:hanging="425"/>
      </w:pPr>
      <w:r>
        <w:rPr>
          <w:b/>
        </w:rPr>
        <w:t>G</w:t>
      </w:r>
      <w:r>
        <w:tab/>
        <w:t>is the discharge factor applicable for the land for the current discharge year;</w:t>
      </w:r>
    </w:p>
    <w:p>
      <w:pPr>
        <w:pStyle w:val="yMiscellaneousBody"/>
        <w:tabs>
          <w:tab w:val="left" w:pos="284"/>
          <w:tab w:val="left" w:pos="1985"/>
        </w:tabs>
        <w:ind w:left="1305" w:hanging="425"/>
      </w:pPr>
      <w:r>
        <w:rPr>
          <w:b/>
        </w:rPr>
        <w:t>H</w:t>
      </w:r>
      <w:r>
        <w:tab/>
        <w:t>is the discharge allowance for the current discharge year worked out in accordance with item 29;</w:t>
      </w:r>
    </w:p>
    <w:p>
      <w:pPr>
        <w:pStyle w:val="yMiscellaneousBody"/>
        <w:tabs>
          <w:tab w:val="left" w:pos="284"/>
          <w:tab w:val="left" w:pos="1985"/>
        </w:tabs>
        <w:ind w:left="1305" w:hanging="425"/>
      </w:pPr>
      <w:r>
        <w:rPr>
          <w:b/>
        </w:rPr>
        <w:t>I</w:t>
      </w:r>
      <w:r>
        <w:tab/>
        <w:t>is</w:t>
      </w:r>
      <w:r>
        <w:rPr>
          <w:szCs w:val="22"/>
        </w:rPr>
        <w:t xml:space="preserve"> </w:t>
      </w:r>
      <w:r>
        <w:t>$4.246,</w:t>
      </w:r>
    </w:p>
    <w:p>
      <w:pPr>
        <w:pStyle w:val="yMiscellaneousBody"/>
        <w:tabs>
          <w:tab w:val="left" w:pos="284"/>
          <w:tab w:val="left" w:pos="1985"/>
        </w:tabs>
        <w:ind w:left="879"/>
      </w:pPr>
      <w:r>
        <w:t xml:space="preserve">and </w:t>
      </w:r>
      <m:oMath>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m:t>
        </m:r>
      </m:oMath>
      <w:r>
        <w:t xml:space="preserve"> is rounded down to the nearest whole number.</w:t>
      </w:r>
    </w:p>
    <w:p>
      <w:pPr>
        <w:pStyle w:val="zyHeading5"/>
      </w:pPr>
      <w:bookmarkStart w:id="297" w:name="_Toc169797274"/>
      <w:bookmarkStart w:id="298" w:name="_Toc170213185"/>
      <w:r>
        <w:t>29.</w:t>
      </w:r>
      <w:r>
        <w:tab/>
        <w:t>Discharge allowance</w:t>
      </w:r>
      <w:bookmarkEnd w:id="297"/>
      <w:bookmarkEnd w:id="298"/>
    </w:p>
    <w:p>
      <w:pPr>
        <w:pStyle w:val="ySubsection"/>
      </w:pPr>
      <w:r>
        <w:tab/>
        <w:t>(1)</w:t>
      </w:r>
      <w:r>
        <w:tab/>
        <w:t>The discharge allowance for the current discharge year is —</w:t>
      </w:r>
    </w:p>
    <w:p>
      <w:pPr>
        <w:pStyle w:val="yIndenta"/>
      </w:pPr>
      <w:r>
        <w:tab/>
        <w:t>(a)</w:t>
      </w:r>
      <w:r>
        <w:tab/>
        <w:t>for land to which item 22 applies that is not covered by paragraph (e) — 200 kL;</w:t>
      </w:r>
    </w:p>
    <w:p>
      <w:pPr>
        <w:pStyle w:val="yIndenta"/>
      </w:pPr>
      <w:r>
        <w:tab/>
        <w:t>(b)</w:t>
      </w:r>
      <w:r>
        <w:tab/>
        <w:t>for land held by a government trading organisation or by a public authority that holds non</w:t>
      </w:r>
      <w:r>
        <w:noBreakHyphen/>
        <w:t>commercial government property — 200 kL;</w:t>
      </w:r>
    </w:p>
    <w:p>
      <w:pPr>
        <w:pStyle w:val="yIndenta"/>
      </w:pPr>
      <w:r>
        <w:tab/>
        <w:t>(c)</w:t>
      </w:r>
      <w:r>
        <w:tab/>
        <w:t>for a caravan park referred to in item 23 — the amount (in kL) calculated in accordance with the formula in sub</w:t>
      </w:r>
      <w:r>
        <w:noBreakHyphen/>
        <w:t>item (2);</w:t>
      </w:r>
    </w:p>
    <w:p>
      <w:pPr>
        <w:pStyle w:val="yIndenta"/>
      </w:pPr>
      <w:r>
        <w:tab/>
        <w:t>(d)</w:t>
      </w:r>
      <w:r>
        <w:tab/>
        <w:t>for a nursing home referred to in item 24 — 75 kL per bed;</w:t>
      </w:r>
    </w:p>
    <w:p>
      <w:pPr>
        <w:pStyle w:val="yIndenta"/>
      </w:pPr>
      <w:r>
        <w:tab/>
        <w:t>(e)</w:t>
      </w:r>
      <w:r>
        <w:tab/>
        <w:t>for properties that share a metered property water supply connection — 200 kL for each property.</w:t>
      </w:r>
    </w:p>
    <w:p>
      <w:pPr>
        <w:pStyle w:val="ySubsection"/>
        <w:keepNext/>
      </w:pPr>
      <w:r>
        <w:tab/>
        <w:t>(2)</w:t>
      </w:r>
      <w:r>
        <w:tab/>
        <w:t>The formula for the purposes of sub</w:t>
      </w:r>
      <w:r>
        <w:noBreakHyphen/>
        <w:t>item (1)(c) is —</w:t>
      </w:r>
    </w:p>
    <w:p>
      <w:pPr>
        <w:pStyle w:val="Equation"/>
        <w:spacing w:before="120"/>
        <w:ind w:left="879"/>
        <w:rPr>
          <w:b/>
          <w:sz w:val="22"/>
        </w:rPr>
      </w:pPr>
      <m:oMathPara>
        <m:oMathParaPr>
          <m:jc m:val="left"/>
        </m:oMathParaPr>
        <m:oMath>
          <m:r>
            <m:rPr>
              <m:sty m:val="b"/>
            </m:rPr>
            <w:rPr>
              <w:rFonts w:ascii="Cambria Math" w:hAnsi="Cambria Math"/>
              <w:sz w:val="22"/>
            </w:rPr>
            <m:t>200 kL</m:t>
          </m:r>
          <m:r>
            <m:rPr>
              <m:sty m:val="p"/>
            </m:rPr>
            <w:rPr>
              <w:rFonts w:ascii="Cambria Math" w:hAnsi="Cambria Math"/>
              <w:sz w:val="22"/>
            </w:rPr>
            <m:t>+</m:t>
          </m:r>
          <m:r>
            <m:rPr>
              <m:sty m:val="b"/>
            </m:rPr>
            <w:rPr>
              <w:rFonts w:ascii="Cambria Math" w:hAnsi="Cambria Math"/>
              <w:sz w:val="22"/>
            </w:rPr>
            <m:t>M</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right" w:leader="dot" w:pos="6804"/>
        </w:tabs>
        <w:ind w:left="1304" w:hanging="425"/>
      </w:pPr>
      <w:r>
        <w:rPr>
          <w:b/>
        </w:rPr>
        <w:t>M</w:t>
      </w:r>
      <w:r>
        <w:tab/>
        <w:t>is 75 kL of water for each long</w:t>
      </w:r>
      <w:r>
        <w:noBreakHyphen/>
        <w:t>term residential caravan bay.</w:t>
      </w:r>
    </w:p>
    <w:p>
      <w:pPr>
        <w:pStyle w:val="zyHeading5"/>
      </w:pPr>
      <w:bookmarkStart w:id="299" w:name="_Toc169797275"/>
      <w:bookmarkStart w:id="300" w:name="_Toc170213186"/>
      <w:r>
        <w:lastRenderedPageBreak/>
        <w:t>30.</w:t>
      </w:r>
      <w:r>
        <w:tab/>
        <w:t>Maximum charge</w:t>
      </w:r>
      <w:bookmarkEnd w:id="299"/>
      <w:bookmarkEnd w:id="300"/>
    </w:p>
    <w:p>
      <w:pPr>
        <w:pStyle w:val="ySubsection"/>
        <w:keepNext/>
      </w:pPr>
      <w:r>
        <w:tab/>
      </w:r>
      <w:r>
        <w:tab/>
        <w:t>The maximum charge (</w:t>
      </w:r>
      <w:r>
        <w:rPr>
          <w:b/>
          <w:i/>
        </w:rPr>
        <w:t>R</w:t>
      </w:r>
      <w:r>
        <w:t>) is —</w:t>
      </w:r>
    </w:p>
    <w:p>
      <w:pPr>
        <w:pStyle w:val="yMiscellaneousBody"/>
        <w:tabs>
          <w:tab w:val="left" w:pos="284"/>
          <w:tab w:val="right" w:leader="dot" w:pos="6804"/>
        </w:tabs>
        <w:ind w:left="1282" w:hanging="142"/>
      </w:pPr>
      <w:r>
        <w:t xml:space="preserve">if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m:rPr>
            <m:sty m:val="b"/>
          </m:rPr>
          <w:rPr>
            <w:rFonts w:ascii="Cambria Math" w:hAnsi="Cambria Math"/>
          </w:rPr>
          <m:t>A</m:t>
        </m:r>
        <m:r>
          <m:rPr>
            <m:sty m:val="p"/>
          </m:rPr>
          <w:rPr>
            <w:rFonts w:ascii="Cambria Math" w:hAnsi="Cambria Math"/>
          </w:rPr>
          <m:t>&gt;</m:t>
        </m:r>
        <m:r>
          <m:rPr>
            <m:sty m:val="b"/>
          </m:rPr>
          <w:rPr>
            <w:rFonts w:ascii="Cambria Math" w:hAnsi="Cambria Math"/>
          </w:rPr>
          <m:t>B</m:t>
        </m:r>
      </m:oMath>
      <w:r>
        <w:t>,</w:t>
      </w:r>
    </w:p>
    <w:p>
      <w:pPr>
        <w:pStyle w:val="yMiscellaneousBody"/>
        <w:tabs>
          <w:tab w:val="left" w:pos="284"/>
          <w:tab w:val="left" w:pos="1985"/>
          <w:tab w:val="right" w:leader="dot" w:pos="6804"/>
        </w:tabs>
        <w:ind w:left="1282" w:hanging="142"/>
      </w:pPr>
      <w:r>
        <w:tab/>
        <w:t xml:space="preserve">then — </w:t>
      </w:r>
    </w:p>
    <w:p>
      <w:pPr>
        <w:pStyle w:val="yMiscellaneousBody"/>
        <w:tabs>
          <w:tab w:val="left" w:pos="284"/>
          <w:tab w:val="right" w:leader="dot" w:pos="6804"/>
        </w:tabs>
        <w:ind w:left="1282" w:hanging="142"/>
      </w:pPr>
      <w:r>
        <w:t xml:space="preserve">if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)&gt;(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r>
        <w:t>,</w:t>
      </w:r>
    </w:p>
    <w:p>
      <w:pPr>
        <w:pStyle w:val="yMiscellaneousBody"/>
        <w:tabs>
          <w:tab w:val="left" w:pos="284"/>
          <w:tab w:val="left" w:pos="1985"/>
          <w:tab w:val="right" w:leader="dot" w:pos="6804"/>
        </w:tabs>
        <w:ind w:left="1282" w:hanging="142"/>
      </w:pPr>
      <w:r>
        <w:tab/>
        <w:t xml:space="preserve">then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m:t>
        </m:r>
      </m:oMath>
    </w:p>
    <w:p>
      <w:pPr>
        <w:pStyle w:val="yMiscellaneousBody"/>
        <w:tabs>
          <w:tab w:val="left" w:pos="284"/>
          <w:tab w:val="right" w:leader="dot" w:pos="6804"/>
        </w:tabs>
        <w:ind w:left="1282" w:hanging="142"/>
      </w:pPr>
      <w:r>
        <w:t xml:space="preserve">or if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r>
        <w:t>,</w:t>
      </w:r>
    </w:p>
    <w:p>
      <w:pPr>
        <w:pStyle w:val="yMiscellaneousBody"/>
        <w:tabs>
          <w:tab w:val="left" w:pos="284"/>
          <w:tab w:val="left" w:pos="1985"/>
          <w:tab w:val="right" w:leader="dot" w:pos="6804"/>
        </w:tabs>
        <w:ind w:left="1282" w:hanging="142"/>
      </w:pPr>
      <w:r>
        <w:tab/>
        <w:t xml:space="preserve">then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p>
    <w:p>
      <w:pPr>
        <w:pStyle w:val="yMiscellaneousBody"/>
        <w:tabs>
          <w:tab w:val="left" w:pos="284"/>
          <w:tab w:val="right" w:leader="dot" w:pos="6804"/>
        </w:tabs>
        <w:ind w:left="1282" w:hanging="142"/>
      </w:pPr>
      <w:r>
        <w:t xml:space="preserve">or if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oMath>
      <w:r>
        <w:t>,</w:t>
      </w:r>
    </w:p>
    <w:p>
      <w:pPr>
        <w:pStyle w:val="yMiscellaneousBody"/>
        <w:tabs>
          <w:tab w:val="left" w:pos="284"/>
          <w:tab w:val="left" w:pos="1985"/>
          <w:tab w:val="right" w:leader="dot" w:pos="6804"/>
        </w:tabs>
        <w:ind w:left="1282" w:hanging="142"/>
      </w:pPr>
      <w:r>
        <w:tab/>
        <w:t xml:space="preserve">then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oMath>
    </w:p>
    <w:p>
      <w:pPr>
        <w:pStyle w:val="yMiscellaneousBody"/>
        <w:tabs>
          <w:tab w:val="left" w:pos="284"/>
          <w:tab w:val="left" w:pos="1985"/>
        </w:tabs>
        <w:ind w:left="1305" w:hanging="425"/>
      </w:pPr>
      <w:r>
        <w:t xml:space="preserve">where — </w:t>
      </w:r>
    </w:p>
    <w:p>
      <w:pPr>
        <w:pStyle w:val="yMiscellaneousBody"/>
        <w:tabs>
          <w:tab w:val="left" w:pos="284"/>
          <w:tab w:val="left" w:pos="1985"/>
        </w:tabs>
        <w:ind w:left="1305" w:hanging="425"/>
      </w:pPr>
      <w:r>
        <w:rPr>
          <w:b/>
        </w:rPr>
        <w:t>P</w:t>
      </w:r>
      <w:r>
        <w:rPr>
          <w:b/>
        </w:rPr>
        <w:tab/>
      </w:r>
      <w:r>
        <w:t>is the service charge calculated in accordance with item 27;</w:t>
      </w:r>
    </w:p>
    <w:p>
      <w:pPr>
        <w:pStyle w:val="yMiscellaneousBody"/>
        <w:tabs>
          <w:tab w:val="left" w:pos="284"/>
          <w:tab w:val="left" w:pos="1985"/>
        </w:tabs>
        <w:ind w:left="1305" w:hanging="425"/>
      </w:pPr>
      <w:r>
        <w:rPr>
          <w:b/>
        </w:rPr>
        <w:t>Q</w:t>
      </w:r>
      <w:r>
        <w:rPr>
          <w:b/>
        </w:rPr>
        <w:tab/>
      </w:r>
      <w:r>
        <w:t>is the discharge charge calculated in accordance with item 28;</w:t>
      </w:r>
    </w:p>
    <w:p>
      <w:pPr>
        <w:pStyle w:val="yMiscellaneousBody"/>
        <w:tabs>
          <w:tab w:val="left" w:pos="284"/>
          <w:tab w:val="left" w:pos="1985"/>
        </w:tabs>
        <w:ind w:left="1305" w:hanging="425"/>
      </w:pPr>
      <w:r>
        <w:rPr>
          <w:b/>
        </w:rPr>
        <w:t>A</w:t>
      </w:r>
      <w:r>
        <w:rPr>
          <w:b/>
        </w:rPr>
        <w:tab/>
      </w:r>
      <w:r>
        <w:t>is the charge payable, for the previous financial year, under the item in Subdivision 4 for which this item is being applied;</w:t>
      </w:r>
    </w:p>
    <w:p>
      <w:pPr>
        <w:pStyle w:val="yMiscellaneousBody"/>
        <w:tabs>
          <w:tab w:val="left" w:pos="284"/>
          <w:tab w:val="left" w:pos="1985"/>
        </w:tabs>
        <w:ind w:left="1305" w:hanging="425"/>
      </w:pPr>
      <w:r>
        <w:rPr>
          <w:b/>
        </w:rPr>
        <w:t>S</w:t>
      </w:r>
      <w:r>
        <w:rPr>
          <w:b/>
        </w:rPr>
        <w:tab/>
      </w:r>
      <w:r>
        <w:t>is 1.1250;</w:t>
      </w:r>
    </w:p>
    <w:p>
      <w:pPr>
        <w:pStyle w:val="yMiscellaneousBody"/>
        <w:tabs>
          <w:tab w:val="left" w:pos="284"/>
          <w:tab w:val="left" w:pos="1985"/>
        </w:tabs>
        <w:ind w:left="1305" w:hanging="425"/>
      </w:pPr>
      <w:r>
        <w:rPr>
          <w:b/>
        </w:rPr>
        <w:t>B</w:t>
      </w:r>
      <w:r>
        <w:rPr>
          <w:b/>
        </w:rPr>
        <w:tab/>
      </w:r>
      <w:r>
        <w:t>is $166.67.</w:t>
      </w:r>
    </w:p>
    <w:p>
      <w:pPr>
        <w:pStyle w:val="zyHeading3"/>
      </w:pPr>
      <w:bookmarkStart w:id="301" w:name="_Toc169797276"/>
      <w:bookmarkStart w:id="302" w:name="_Toc169797431"/>
      <w:bookmarkStart w:id="303" w:name="_Toc169797586"/>
      <w:bookmarkStart w:id="304" w:name="_Toc170213187"/>
      <w:r>
        <w:t>Division 3 — Discharge charges: trade waste and effluent</w:t>
      </w:r>
      <w:bookmarkEnd w:id="301"/>
      <w:bookmarkEnd w:id="302"/>
      <w:bookmarkEnd w:id="303"/>
      <w:bookmarkEnd w:id="304"/>
    </w:p>
    <w:p>
      <w:pPr>
        <w:pStyle w:val="zyHeading5"/>
      </w:pPr>
      <w:bookmarkStart w:id="305" w:name="_Toc169797277"/>
      <w:bookmarkStart w:id="306" w:name="_Toc170213188"/>
      <w:r>
        <w:t>31.</w:t>
      </w:r>
      <w:r>
        <w:tab/>
        <w:t>Discharge charges for 2024/25 and subsequent years</w:t>
      </w:r>
      <w:bookmarkEnd w:id="305"/>
      <w:bookmarkEnd w:id="306"/>
    </w:p>
    <w:p>
      <w:pPr>
        <w:pStyle w:val="ySubsection"/>
      </w:pPr>
      <w:r>
        <w:tab/>
      </w:r>
      <w:r>
        <w:tab/>
        <w:t>The charges set out in this Division apply for trade waste or effluent discharged in the 2024/25 financial year and each subsequent year.</w:t>
      </w:r>
    </w:p>
    <w:p>
      <w:pPr>
        <w:pStyle w:val="zyHeading5"/>
      </w:pPr>
      <w:bookmarkStart w:id="307" w:name="_Toc169797278"/>
      <w:bookmarkStart w:id="308" w:name="_Toc170213189"/>
      <w:r>
        <w:t>32.</w:t>
      </w:r>
      <w:r>
        <w:tab/>
        <w:t>Trade waste discharged into sewer under approval</w:t>
      </w:r>
      <w:bookmarkEnd w:id="307"/>
      <w:bookmarkEnd w:id="308"/>
    </w:p>
    <w:p>
      <w:pPr>
        <w:pStyle w:val="ySubsection"/>
      </w:pPr>
      <w:r>
        <w:tab/>
        <w:t>(1)</w:t>
      </w:r>
      <w:r>
        <w:tab/>
        <w:t xml:space="preserve">In this item — </w:t>
      </w:r>
    </w:p>
    <w:p>
      <w:pPr>
        <w:pStyle w:val="yDefstart"/>
      </w:pPr>
      <w:r>
        <w:tab/>
      </w:r>
      <w:r>
        <w:rPr>
          <w:rStyle w:val="CharDefText"/>
        </w:rPr>
        <w:t>B.O.D.</w:t>
      </w:r>
      <w:r>
        <w:t xml:space="preserve"> means biochemical oxygen demand;</w:t>
      </w:r>
    </w:p>
    <w:p>
      <w:pPr>
        <w:pStyle w:val="yDefstart"/>
      </w:pPr>
      <w:r>
        <w:tab/>
      </w:r>
      <w:r>
        <w:rPr>
          <w:rStyle w:val="CharDefText"/>
        </w:rPr>
        <w:t>c/kg</w:t>
      </w:r>
      <w:r>
        <w:t xml:space="preserve"> means cents </w:t>
      </w:r>
      <w:r>
        <w:rPr>
          <w:szCs w:val="22"/>
        </w:rPr>
        <w:t>per</w:t>
      </w:r>
      <w:r>
        <w:t xml:space="preserve"> kilogram;</w:t>
      </w:r>
    </w:p>
    <w:p>
      <w:pPr>
        <w:pStyle w:val="yDefstart"/>
      </w:pPr>
      <w:r>
        <w:lastRenderedPageBreak/>
        <w:tab/>
      </w:r>
      <w:r>
        <w:rPr>
          <w:rStyle w:val="CharDefText"/>
        </w:rPr>
        <w:t>c/kL</w:t>
      </w:r>
      <w:r>
        <w:t xml:space="preserve"> means cents </w:t>
      </w:r>
      <w:r>
        <w:rPr>
          <w:szCs w:val="22"/>
        </w:rPr>
        <w:t>per</w:t>
      </w:r>
      <w:r>
        <w:t xml:space="preserve"> kilolitre.</w:t>
      </w:r>
    </w:p>
    <w:p>
      <w:pPr>
        <w:pStyle w:val="ySubsection"/>
      </w:pPr>
      <w:r>
        <w:tab/>
        <w:t>(2)</w:t>
      </w:r>
      <w:r>
        <w:tab/>
        <w:t>For trade waste discharged into a sewer of the Water Corporation under an approval of the Water Corporation, the charge is —</w:t>
      </w:r>
    </w:p>
    <w:p>
      <w:pPr>
        <w:pStyle w:val="yIndenta"/>
        <w:tabs>
          <w:tab w:val="right" w:leader="dot" w:pos="6804"/>
        </w:tabs>
      </w:pPr>
      <w:r>
        <w:tab/>
        <w:t>(a)</w:t>
      </w:r>
      <w:r>
        <w:tab/>
        <w:t xml:space="preserve">for volume </w:t>
      </w:r>
      <w:r>
        <w:tab/>
        <w:t>164.5 c/kL</w:t>
      </w:r>
    </w:p>
    <w:p>
      <w:pPr>
        <w:pStyle w:val="yIndenta"/>
        <w:tabs>
          <w:tab w:val="right" w:leader="dot" w:pos="6804"/>
        </w:tabs>
      </w:pPr>
      <w:r>
        <w:tab/>
        <w:t>(b)</w:t>
      </w:r>
      <w:r>
        <w:tab/>
        <w:t>for B.O.D. with a concentration of —</w:t>
      </w:r>
    </w:p>
    <w:p>
      <w:pPr>
        <w:pStyle w:val="yIndenti0"/>
        <w:tabs>
          <w:tab w:val="right" w:leader="dot" w:pos="6804"/>
        </w:tabs>
      </w:pPr>
      <w:r>
        <w:tab/>
        <w:t>(i)</w:t>
      </w:r>
      <w:r>
        <w:tab/>
        <w:t xml:space="preserve">up to 5 kg/kL </w:t>
      </w:r>
      <w:r>
        <w:tab/>
        <w:t>137.3 c/kg</w:t>
      </w:r>
    </w:p>
    <w:p>
      <w:pPr>
        <w:pStyle w:val="yIndenti0"/>
        <w:tabs>
          <w:tab w:val="right" w:leader="dot" w:pos="6804"/>
        </w:tabs>
      </w:pPr>
      <w:r>
        <w:tab/>
        <w:t>(ii)</w:t>
      </w:r>
      <w:r>
        <w:tab/>
        <w:t xml:space="preserve">over 5 kg/kL </w:t>
      </w:r>
      <w:r>
        <w:tab/>
        <w:t>280.2 c/kg</w:t>
      </w:r>
    </w:p>
    <w:p>
      <w:pPr>
        <w:pStyle w:val="yIndenta"/>
        <w:tabs>
          <w:tab w:val="right" w:leader="dot" w:pos="6804"/>
        </w:tabs>
      </w:pPr>
      <w:r>
        <w:tab/>
        <w:t>(c)</w:t>
      </w:r>
      <w:r>
        <w:tab/>
        <w:t>for suspended solids with a concentration of —</w:t>
      </w:r>
    </w:p>
    <w:p>
      <w:pPr>
        <w:pStyle w:val="yIndenti0"/>
        <w:tabs>
          <w:tab w:val="right" w:leader="dot" w:pos="6804"/>
        </w:tabs>
      </w:pPr>
      <w:r>
        <w:tab/>
        <w:t>(i)</w:t>
      </w:r>
      <w:r>
        <w:tab/>
        <w:t xml:space="preserve">up to 2 kg/kL </w:t>
      </w:r>
      <w:r>
        <w:tab/>
        <w:t>187.2 c/kg</w:t>
      </w:r>
    </w:p>
    <w:p>
      <w:pPr>
        <w:pStyle w:val="yIndenti0"/>
        <w:tabs>
          <w:tab w:val="right" w:leader="dot" w:pos="6804"/>
        </w:tabs>
      </w:pPr>
      <w:r>
        <w:tab/>
        <w:t>(ii)</w:t>
      </w:r>
      <w:r>
        <w:tab/>
        <w:t xml:space="preserve">over 2 kg/kL </w:t>
      </w:r>
      <w:r>
        <w:tab/>
        <w:t>376.6 c/kg</w:t>
      </w:r>
    </w:p>
    <w:p>
      <w:pPr>
        <w:pStyle w:val="yIndenta"/>
        <w:tabs>
          <w:tab w:val="right" w:leader="dot" w:pos="6804"/>
        </w:tabs>
      </w:pPr>
      <w:r>
        <w:tab/>
        <w:t>(d)</w:t>
      </w:r>
      <w:r>
        <w:tab/>
        <w:t>for oil and grease with a concentration of —</w:t>
      </w:r>
    </w:p>
    <w:p>
      <w:pPr>
        <w:pStyle w:val="yIndenti0"/>
        <w:tabs>
          <w:tab w:val="right" w:leader="dot" w:pos="6804"/>
        </w:tabs>
      </w:pPr>
      <w:r>
        <w:tab/>
        <w:t>(i)</w:t>
      </w:r>
      <w:r>
        <w:tab/>
        <w:t xml:space="preserve">up to 0.3 kg/kL </w:t>
      </w:r>
      <w:r>
        <w:tab/>
        <w:t>169.0 c/kg</w:t>
      </w:r>
    </w:p>
    <w:p>
      <w:pPr>
        <w:pStyle w:val="yIndenti0"/>
        <w:tabs>
          <w:tab w:val="right" w:leader="dot" w:pos="6804"/>
        </w:tabs>
      </w:pPr>
      <w:r>
        <w:tab/>
        <w:t>(ii)</w:t>
      </w:r>
      <w:r>
        <w:tab/>
        <w:t xml:space="preserve">over 0.3 kg/kL but </w:t>
      </w:r>
      <w:r>
        <w:br/>
        <w:t xml:space="preserve">not over 0.6 kg/kL </w:t>
      </w:r>
      <w:r>
        <w:tab/>
        <w:t>331.3 c/kg</w:t>
      </w:r>
    </w:p>
    <w:p>
      <w:pPr>
        <w:pStyle w:val="yIndenti0"/>
        <w:tabs>
          <w:tab w:val="right" w:leader="dot" w:pos="6804"/>
        </w:tabs>
      </w:pPr>
      <w:r>
        <w:tab/>
        <w:t>(iii)</w:t>
      </w:r>
      <w:r>
        <w:tab/>
        <w:t xml:space="preserve">over 0.6 kg/kL </w:t>
      </w:r>
      <w:r>
        <w:tab/>
        <w:t>668.2 c/kg</w:t>
      </w:r>
    </w:p>
    <w:p>
      <w:pPr>
        <w:pStyle w:val="yIndenta"/>
        <w:tabs>
          <w:tab w:val="right" w:leader="dot" w:pos="6804"/>
        </w:tabs>
      </w:pPr>
      <w:r>
        <w:tab/>
        <w:t>(e)</w:t>
      </w:r>
      <w:r>
        <w:tab/>
        <w:t>for acidity to pH 6 (expressed as calcium carbonate) —</w:t>
      </w:r>
    </w:p>
    <w:p>
      <w:pPr>
        <w:pStyle w:val="yIndenti0"/>
        <w:tabs>
          <w:tab w:val="right" w:leader="dot" w:pos="6804"/>
        </w:tabs>
      </w:pPr>
      <w:r>
        <w:tab/>
        <w:t>(i)</w:t>
      </w:r>
      <w:r>
        <w:tab/>
        <w:t xml:space="preserve">up to 0.1 kg/kL </w:t>
      </w:r>
      <w:r>
        <w:tab/>
        <w:t>46.5 c/kg</w:t>
      </w:r>
    </w:p>
    <w:p>
      <w:pPr>
        <w:pStyle w:val="yIndenti0"/>
        <w:tabs>
          <w:tab w:val="right" w:leader="dot" w:pos="6804"/>
        </w:tabs>
      </w:pPr>
      <w:r>
        <w:tab/>
        <w:t>(ii)</w:t>
      </w:r>
      <w:r>
        <w:tab/>
        <w:t xml:space="preserve">over 0.1 kg/kL but </w:t>
      </w:r>
      <w:r>
        <w:br/>
        <w:t xml:space="preserve">not over 0.3 kg/kL </w:t>
      </w:r>
      <w:r>
        <w:tab/>
        <w:t>97.6 c/kg</w:t>
      </w:r>
    </w:p>
    <w:p>
      <w:pPr>
        <w:pStyle w:val="yIndenti0"/>
        <w:tabs>
          <w:tab w:val="right" w:leader="dot" w:pos="6804"/>
        </w:tabs>
      </w:pPr>
      <w:r>
        <w:tab/>
        <w:t>(iii)</w:t>
      </w:r>
      <w:r>
        <w:tab/>
        <w:t xml:space="preserve">over 0.3 kg/kL </w:t>
      </w:r>
      <w:r>
        <w:tab/>
        <w:t>194.0 c/kg</w:t>
      </w:r>
    </w:p>
    <w:p>
      <w:pPr>
        <w:pStyle w:val="yIndenta"/>
        <w:tabs>
          <w:tab w:val="right" w:leader="dot" w:pos="6804"/>
        </w:tabs>
      </w:pPr>
      <w:r>
        <w:tab/>
        <w:t>(f)</w:t>
      </w:r>
      <w:r>
        <w:tab/>
        <w:t>for alkalinity to pH 10 (expressed as calcium carbonate) —</w:t>
      </w:r>
    </w:p>
    <w:p>
      <w:pPr>
        <w:pStyle w:val="yIndenti0"/>
        <w:tabs>
          <w:tab w:val="right" w:leader="dot" w:pos="6804"/>
        </w:tabs>
      </w:pPr>
      <w:r>
        <w:tab/>
        <w:t>(i)</w:t>
      </w:r>
      <w:r>
        <w:tab/>
        <w:t xml:space="preserve">up to 0.1 kg/kL </w:t>
      </w:r>
      <w:r>
        <w:tab/>
        <w:t>14.7 c/kg</w:t>
      </w:r>
    </w:p>
    <w:p>
      <w:pPr>
        <w:pStyle w:val="yIndenti0"/>
        <w:tabs>
          <w:tab w:val="right" w:leader="dot" w:pos="6804"/>
        </w:tabs>
      </w:pPr>
      <w:r>
        <w:tab/>
        <w:t>(ii)</w:t>
      </w:r>
      <w:r>
        <w:tab/>
        <w:t xml:space="preserve">over 0.1 kg/kL but </w:t>
      </w:r>
      <w:r>
        <w:br/>
        <w:t xml:space="preserve">not over 0.2 kg/kL </w:t>
      </w:r>
      <w:r>
        <w:tab/>
        <w:t>35.2 c/kg</w:t>
      </w:r>
    </w:p>
    <w:p>
      <w:pPr>
        <w:pStyle w:val="yIndenti0"/>
        <w:tabs>
          <w:tab w:val="right" w:leader="dot" w:pos="6804"/>
        </w:tabs>
      </w:pPr>
      <w:r>
        <w:tab/>
        <w:t>(iii)</w:t>
      </w:r>
      <w:r>
        <w:tab/>
        <w:t xml:space="preserve">over 0.2 kg/kL </w:t>
      </w:r>
      <w:r>
        <w:tab/>
        <w:t>70.3 c/kg</w:t>
      </w:r>
    </w:p>
    <w:p>
      <w:pPr>
        <w:pStyle w:val="yIndenta"/>
        <w:tabs>
          <w:tab w:val="right" w:leader="dot" w:pos="6804"/>
        </w:tabs>
      </w:pPr>
      <w:r>
        <w:tab/>
        <w:t>(g)</w:t>
      </w:r>
      <w:r>
        <w:tab/>
        <w:t xml:space="preserve">for nitrogen </w:t>
      </w:r>
      <w:r>
        <w:tab/>
        <w:t>149.7 c/kg</w:t>
      </w:r>
    </w:p>
    <w:p>
      <w:pPr>
        <w:pStyle w:val="yIndenta"/>
        <w:tabs>
          <w:tab w:val="right" w:leader="dot" w:pos="6804"/>
        </w:tabs>
      </w:pPr>
      <w:r>
        <w:tab/>
        <w:t>(h)</w:t>
      </w:r>
      <w:r>
        <w:tab/>
        <w:t xml:space="preserve">for phosphorus </w:t>
      </w:r>
      <w:r>
        <w:tab/>
        <w:t>42.0 c/kg</w:t>
      </w:r>
    </w:p>
    <w:p>
      <w:pPr>
        <w:pStyle w:val="yIndenta"/>
        <w:tabs>
          <w:tab w:val="right" w:leader="dot" w:pos="6804"/>
        </w:tabs>
        <w:rPr>
          <w:szCs w:val="22"/>
        </w:rPr>
      </w:pPr>
      <w:r>
        <w:tab/>
        <w:t>(i)</w:t>
      </w:r>
      <w:r>
        <w:tab/>
        <w:t>for sulphate</w:t>
      </w:r>
      <w:r>
        <w:rPr>
          <w:szCs w:val="22"/>
        </w:rPr>
        <w:t xml:space="preserve"> with a concentration of —</w:t>
      </w:r>
    </w:p>
    <w:p>
      <w:pPr>
        <w:pStyle w:val="yIndenti0"/>
        <w:tabs>
          <w:tab w:val="right" w:leader="dot" w:pos="6804"/>
        </w:tabs>
      </w:pPr>
      <w:r>
        <w:tab/>
        <w:t>(i)</w:t>
      </w:r>
      <w:r>
        <w:tab/>
        <w:t xml:space="preserve">up to 0.05 kg/kL </w:t>
      </w:r>
      <w:r>
        <w:tab/>
        <w:t>no charge</w:t>
      </w:r>
    </w:p>
    <w:p>
      <w:pPr>
        <w:pStyle w:val="yIndenti0"/>
        <w:tabs>
          <w:tab w:val="right" w:leader="dot" w:pos="6804"/>
        </w:tabs>
      </w:pPr>
      <w:r>
        <w:tab/>
        <w:t>(ii)</w:t>
      </w:r>
      <w:r>
        <w:tab/>
        <w:t xml:space="preserve">over 0.05 kg/kL </w:t>
      </w:r>
      <w:r>
        <w:tab/>
        <w:t>79.4 c/kg</w:t>
      </w:r>
    </w:p>
    <w:p>
      <w:pPr>
        <w:pStyle w:val="yIndenta"/>
        <w:keepNext/>
        <w:tabs>
          <w:tab w:val="right" w:leader="dot" w:pos="6804"/>
        </w:tabs>
      </w:pPr>
      <w:r>
        <w:rPr>
          <w:szCs w:val="22"/>
        </w:rPr>
        <w:lastRenderedPageBreak/>
        <w:tab/>
        <w:t>(j)</w:t>
      </w:r>
      <w:r>
        <w:rPr>
          <w:szCs w:val="22"/>
        </w:rPr>
        <w:tab/>
        <w:t xml:space="preserve">for </w:t>
      </w:r>
      <w:r>
        <w:t>total</w:t>
      </w:r>
      <w:r>
        <w:rPr>
          <w:szCs w:val="22"/>
        </w:rPr>
        <w:t xml:space="preserve"> </w:t>
      </w:r>
      <w:r>
        <w:t>dissolved</w:t>
      </w:r>
      <w:r>
        <w:rPr>
          <w:szCs w:val="22"/>
        </w:rPr>
        <w:t xml:space="preserve"> </w:t>
      </w:r>
      <w:r>
        <w:t>salts</w:t>
      </w:r>
      <w:r>
        <w:rPr>
          <w:szCs w:val="22"/>
        </w:rPr>
        <w:t xml:space="preserve"> with a </w:t>
      </w:r>
      <w:r>
        <w:t>concentration</w:t>
      </w:r>
      <w:r>
        <w:rPr>
          <w:szCs w:val="22"/>
        </w:rPr>
        <w:t xml:space="preserve"> of —</w:t>
      </w:r>
    </w:p>
    <w:p>
      <w:pPr>
        <w:pStyle w:val="yIndenti0"/>
        <w:tabs>
          <w:tab w:val="right" w:leader="dot" w:pos="6804"/>
        </w:tabs>
      </w:pPr>
      <w:r>
        <w:tab/>
        <w:t>(i)</w:t>
      </w:r>
      <w:r>
        <w:tab/>
        <w:t xml:space="preserve">up to 1 kg/kL </w:t>
      </w:r>
      <w:r>
        <w:tab/>
        <w:t>no charge</w:t>
      </w:r>
    </w:p>
    <w:p>
      <w:pPr>
        <w:pStyle w:val="yIndenti0"/>
        <w:tabs>
          <w:tab w:val="right" w:leader="dot" w:pos="6804"/>
        </w:tabs>
      </w:pPr>
      <w:r>
        <w:tab/>
        <w:t>(ii)</w:t>
      </w:r>
      <w:r>
        <w:tab/>
        <w:t xml:space="preserve">over 1 kg/kL but not </w:t>
      </w:r>
      <w:r>
        <w:br/>
        <w:t xml:space="preserve">over 3 kg/kL </w:t>
      </w:r>
      <w:r>
        <w:tab/>
        <w:t>0.1 c/kg</w:t>
      </w:r>
    </w:p>
    <w:p>
      <w:pPr>
        <w:pStyle w:val="yIndenti0"/>
        <w:tabs>
          <w:tab w:val="right" w:leader="dot" w:pos="6804"/>
        </w:tabs>
      </w:pPr>
      <w:r>
        <w:tab/>
        <w:t>(iii)</w:t>
      </w:r>
      <w:r>
        <w:tab/>
        <w:t xml:space="preserve">over 3 kg/kL but not </w:t>
      </w:r>
      <w:r>
        <w:br/>
        <w:t xml:space="preserve">over 6 kg/kL </w:t>
      </w:r>
      <w:r>
        <w:tab/>
        <w:t>4.4 c/kg</w:t>
      </w:r>
    </w:p>
    <w:p>
      <w:pPr>
        <w:pStyle w:val="yIndenti0"/>
        <w:tabs>
          <w:tab w:val="right" w:leader="dot" w:pos="6804"/>
        </w:tabs>
      </w:pPr>
      <w:r>
        <w:tab/>
        <w:t>(iv)</w:t>
      </w:r>
      <w:r>
        <w:tab/>
        <w:t xml:space="preserve">over 6 kg/kL </w:t>
      </w:r>
      <w:r>
        <w:tab/>
        <w:t>15.8 c/kg</w:t>
      </w:r>
    </w:p>
    <w:p>
      <w:pPr>
        <w:pStyle w:val="yIndenta"/>
        <w:tabs>
          <w:tab w:val="right" w:leader="dot" w:pos="6804"/>
        </w:tabs>
      </w:pPr>
      <w:r>
        <w:rPr>
          <w:szCs w:val="22"/>
        </w:rPr>
        <w:tab/>
        <w:t>(k)</w:t>
      </w:r>
      <w:r>
        <w:rPr>
          <w:szCs w:val="22"/>
        </w:rPr>
        <w:tab/>
        <w:t xml:space="preserve">for chromium </w:t>
      </w:r>
      <w:r>
        <w:t>with</w:t>
      </w:r>
      <w:r>
        <w:rPr>
          <w:szCs w:val="22"/>
        </w:rPr>
        <w:t xml:space="preserve"> a discharge rate of —</w:t>
      </w:r>
    </w:p>
    <w:p>
      <w:pPr>
        <w:pStyle w:val="yIndenti0"/>
        <w:tabs>
          <w:tab w:val="right" w:leader="dot" w:pos="6804"/>
        </w:tabs>
      </w:pPr>
      <w:r>
        <w:tab/>
        <w:t>(i)</w:t>
      </w:r>
      <w:r>
        <w:tab/>
        <w:t xml:space="preserve">up to 0.03 kg/day </w:t>
      </w:r>
      <w:r>
        <w:tab/>
        <w:t>1 243.3 c/kg</w:t>
      </w:r>
    </w:p>
    <w:p>
      <w:pPr>
        <w:pStyle w:val="yIndenti0"/>
        <w:tabs>
          <w:tab w:val="right" w:leader="dot" w:pos="6804"/>
        </w:tabs>
      </w:pPr>
      <w:r>
        <w:tab/>
        <w:t>(ii)</w:t>
      </w:r>
      <w:r>
        <w:tab/>
        <w:t xml:space="preserve">over 0.03 kg/day but not </w:t>
      </w:r>
      <w:r>
        <w:br/>
        <w:t xml:space="preserve">over 1 kg/day </w:t>
      </w:r>
      <w:r>
        <w:tab/>
        <w:t>2 479.9 c/kg</w:t>
      </w:r>
    </w:p>
    <w:p>
      <w:pPr>
        <w:pStyle w:val="yIndenti0"/>
        <w:tabs>
          <w:tab w:val="right" w:leader="dot" w:pos="6804"/>
        </w:tabs>
      </w:pPr>
      <w:r>
        <w:tab/>
        <w:t>(iii)</w:t>
      </w:r>
      <w:r>
        <w:tab/>
        <w:t xml:space="preserve">over 1 kg/day </w:t>
      </w:r>
      <w:r>
        <w:tab/>
        <w:t>9 936.6 c/kg</w:t>
      </w:r>
    </w:p>
    <w:p>
      <w:pPr>
        <w:pStyle w:val="yIndenta"/>
        <w:tabs>
          <w:tab w:val="right" w:leader="dot" w:pos="6804"/>
        </w:tabs>
      </w:pPr>
      <w:r>
        <w:rPr>
          <w:szCs w:val="22"/>
        </w:rPr>
        <w:tab/>
        <w:t>(l)</w:t>
      </w:r>
      <w:r>
        <w:rPr>
          <w:szCs w:val="22"/>
        </w:rPr>
        <w:tab/>
        <w:t xml:space="preserve">for </w:t>
      </w:r>
      <w:r>
        <w:t>copper</w:t>
      </w:r>
      <w:r>
        <w:rPr>
          <w:szCs w:val="22"/>
        </w:rPr>
        <w:t xml:space="preserve"> with a discharge rate of —</w:t>
      </w:r>
    </w:p>
    <w:p>
      <w:pPr>
        <w:pStyle w:val="yIndenti0"/>
        <w:tabs>
          <w:tab w:val="right" w:leader="dot" w:pos="6804"/>
        </w:tabs>
      </w:pPr>
      <w:r>
        <w:tab/>
        <w:t>(i)</w:t>
      </w:r>
      <w:r>
        <w:tab/>
        <w:t xml:space="preserve">up to 0.03 kg/day </w:t>
      </w:r>
      <w:r>
        <w:tab/>
        <w:t>1 243.3 c/kg</w:t>
      </w:r>
    </w:p>
    <w:p>
      <w:pPr>
        <w:pStyle w:val="yIndenti0"/>
        <w:tabs>
          <w:tab w:val="right" w:leader="dot" w:pos="6804"/>
        </w:tabs>
      </w:pPr>
      <w:r>
        <w:tab/>
        <w:t>(ii)</w:t>
      </w:r>
      <w:r>
        <w:tab/>
        <w:t xml:space="preserve">over 0.03 kg/day but </w:t>
      </w:r>
      <w:r>
        <w:br/>
        <w:t xml:space="preserve">not over 0.12 kg/day </w:t>
      </w:r>
      <w:r>
        <w:tab/>
        <w:t>2 479.9 c/kg</w:t>
      </w:r>
    </w:p>
    <w:p>
      <w:pPr>
        <w:pStyle w:val="yIndenti0"/>
        <w:tabs>
          <w:tab w:val="right" w:leader="dot" w:pos="6804"/>
        </w:tabs>
      </w:pPr>
      <w:r>
        <w:tab/>
        <w:t>(iii)</w:t>
      </w:r>
      <w:r>
        <w:tab/>
        <w:t xml:space="preserve">over 0.12 kg/day </w:t>
      </w:r>
      <w:r>
        <w:tab/>
        <w:t>9 936.6 c/kg</w:t>
      </w:r>
    </w:p>
    <w:p>
      <w:pPr>
        <w:pStyle w:val="yIndenta"/>
        <w:tabs>
          <w:tab w:val="right" w:leader="dot" w:pos="6804"/>
        </w:tabs>
      </w:pPr>
      <w:r>
        <w:rPr>
          <w:szCs w:val="22"/>
        </w:rPr>
        <w:tab/>
        <w:t>(m)</w:t>
      </w:r>
      <w:r>
        <w:rPr>
          <w:szCs w:val="22"/>
        </w:rPr>
        <w:tab/>
        <w:t>for lead with a discharge rate of —</w:t>
      </w:r>
    </w:p>
    <w:p>
      <w:pPr>
        <w:pStyle w:val="yIndenti0"/>
        <w:tabs>
          <w:tab w:val="right" w:leader="dot" w:pos="6804"/>
        </w:tabs>
      </w:pPr>
      <w:r>
        <w:tab/>
        <w:t>(i)</w:t>
      </w:r>
      <w:r>
        <w:tab/>
        <w:t xml:space="preserve">up to 0.03 kg/day </w:t>
      </w:r>
      <w:r>
        <w:tab/>
        <w:t>1 243.3 c/kg</w:t>
      </w:r>
    </w:p>
    <w:p>
      <w:pPr>
        <w:pStyle w:val="yIndenti0"/>
        <w:tabs>
          <w:tab w:val="right" w:leader="dot" w:pos="6804"/>
        </w:tabs>
      </w:pPr>
      <w:r>
        <w:tab/>
        <w:t>(ii)</w:t>
      </w:r>
      <w:r>
        <w:tab/>
        <w:t xml:space="preserve">over 0.03 kg/day but </w:t>
      </w:r>
      <w:r>
        <w:br/>
        <w:t xml:space="preserve">not over 0.3 kg/day </w:t>
      </w:r>
      <w:r>
        <w:tab/>
        <w:t>2 479.9 c/kg</w:t>
      </w:r>
    </w:p>
    <w:p>
      <w:pPr>
        <w:pStyle w:val="yIndenti0"/>
        <w:tabs>
          <w:tab w:val="right" w:leader="dot" w:pos="6804"/>
        </w:tabs>
      </w:pPr>
      <w:r>
        <w:tab/>
        <w:t>(iii)</w:t>
      </w:r>
      <w:r>
        <w:tab/>
        <w:t xml:space="preserve">over 0.3 kg/day </w:t>
      </w:r>
      <w:r>
        <w:tab/>
        <w:t>9 936.6 c/kg</w:t>
      </w:r>
    </w:p>
    <w:p>
      <w:pPr>
        <w:pStyle w:val="yIndenta"/>
        <w:tabs>
          <w:tab w:val="right" w:leader="dot" w:pos="6804"/>
        </w:tabs>
      </w:pPr>
      <w:r>
        <w:tab/>
        <w:t>(n)</w:t>
      </w:r>
      <w:r>
        <w:tab/>
        <w:t xml:space="preserve">for nickel with a </w:t>
      </w:r>
      <w:r>
        <w:rPr>
          <w:szCs w:val="22"/>
        </w:rPr>
        <w:t>discharge</w:t>
      </w:r>
      <w:r>
        <w:t xml:space="preserve"> rate of —</w:t>
      </w:r>
    </w:p>
    <w:p>
      <w:pPr>
        <w:pStyle w:val="yIndenti0"/>
        <w:tabs>
          <w:tab w:val="right" w:leader="dot" w:pos="6804"/>
        </w:tabs>
      </w:pPr>
      <w:r>
        <w:tab/>
        <w:t>(i)</w:t>
      </w:r>
      <w:r>
        <w:tab/>
        <w:t xml:space="preserve">up to 0.006 kg/day </w:t>
      </w:r>
      <w:r>
        <w:tab/>
        <w:t>1 243.3 c/kg</w:t>
      </w:r>
    </w:p>
    <w:p>
      <w:pPr>
        <w:pStyle w:val="yIndenti0"/>
        <w:tabs>
          <w:tab w:val="right" w:leader="dot" w:pos="6804"/>
        </w:tabs>
      </w:pPr>
      <w:r>
        <w:tab/>
        <w:t>(ii)</w:t>
      </w:r>
      <w:r>
        <w:tab/>
        <w:t xml:space="preserve">over 0.006 kg/day but </w:t>
      </w:r>
      <w:r>
        <w:br/>
        <w:t xml:space="preserve">not over 0.15 kg/day </w:t>
      </w:r>
      <w:r>
        <w:tab/>
        <w:t>2 479.9 c/kg</w:t>
      </w:r>
    </w:p>
    <w:p>
      <w:pPr>
        <w:pStyle w:val="yIndenti0"/>
        <w:tabs>
          <w:tab w:val="right" w:leader="dot" w:pos="6804"/>
        </w:tabs>
      </w:pPr>
      <w:r>
        <w:tab/>
        <w:t>(iii)</w:t>
      </w:r>
      <w:r>
        <w:tab/>
        <w:t xml:space="preserve">over 0.15 kg/day </w:t>
      </w:r>
      <w:r>
        <w:tab/>
        <w:t>9 936.6 c/kg</w:t>
      </w:r>
    </w:p>
    <w:p>
      <w:pPr>
        <w:pStyle w:val="yIndenta"/>
        <w:keepNext/>
        <w:tabs>
          <w:tab w:val="right" w:leader="dot" w:pos="6804"/>
        </w:tabs>
      </w:pPr>
      <w:r>
        <w:tab/>
        <w:t>(o)</w:t>
      </w:r>
      <w:r>
        <w:tab/>
        <w:t xml:space="preserve">for zinc </w:t>
      </w:r>
      <w:r>
        <w:rPr>
          <w:szCs w:val="22"/>
        </w:rPr>
        <w:t>with</w:t>
      </w:r>
      <w:r>
        <w:t xml:space="preserve"> a discharge rate of —</w:t>
      </w:r>
    </w:p>
    <w:p>
      <w:pPr>
        <w:pStyle w:val="yIndenti0"/>
        <w:keepNext/>
        <w:tabs>
          <w:tab w:val="right" w:leader="dot" w:pos="6804"/>
        </w:tabs>
      </w:pPr>
      <w:r>
        <w:tab/>
        <w:t>(i)</w:t>
      </w:r>
      <w:r>
        <w:tab/>
        <w:t xml:space="preserve">up to 0.05 kg/day </w:t>
      </w:r>
      <w:r>
        <w:tab/>
        <w:t>1 243.3 c/kg</w:t>
      </w:r>
    </w:p>
    <w:p>
      <w:pPr>
        <w:pStyle w:val="yIndenti0"/>
        <w:tabs>
          <w:tab w:val="right" w:leader="dot" w:pos="6804"/>
        </w:tabs>
      </w:pPr>
      <w:r>
        <w:tab/>
        <w:t>(ii)</w:t>
      </w:r>
      <w:r>
        <w:tab/>
        <w:t xml:space="preserve">over 0.05 kg/day but </w:t>
      </w:r>
      <w:r>
        <w:br/>
        <w:t xml:space="preserve">not over 0.5 kg/day </w:t>
      </w:r>
      <w:r>
        <w:tab/>
        <w:t>2 479.9 c/kg</w:t>
      </w:r>
    </w:p>
    <w:p>
      <w:pPr>
        <w:pStyle w:val="yIndenti0"/>
        <w:tabs>
          <w:tab w:val="right" w:leader="dot" w:pos="6804"/>
        </w:tabs>
      </w:pPr>
      <w:r>
        <w:tab/>
        <w:t>(iii)</w:t>
      </w:r>
      <w:r>
        <w:tab/>
        <w:t xml:space="preserve">over 0.5 kg/day </w:t>
      </w:r>
      <w:r>
        <w:tab/>
        <w:t>9 936.6 c/kg</w:t>
      </w:r>
    </w:p>
    <w:p>
      <w:pPr>
        <w:pStyle w:val="yIndenta"/>
      </w:pPr>
      <w:r>
        <w:lastRenderedPageBreak/>
        <w:tab/>
        <w:t>(p)</w:t>
      </w:r>
      <w:r>
        <w:tab/>
        <w:t xml:space="preserve">for arsenic </w:t>
      </w:r>
      <w:r>
        <w:rPr>
          <w:szCs w:val="22"/>
        </w:rPr>
        <w:t>with</w:t>
      </w:r>
      <w:r>
        <w:t xml:space="preserve"> a discharge rate of —</w:t>
      </w:r>
    </w:p>
    <w:p>
      <w:pPr>
        <w:pStyle w:val="yIndenti0"/>
        <w:tabs>
          <w:tab w:val="right" w:leader="dot" w:pos="6804"/>
        </w:tabs>
      </w:pPr>
      <w:r>
        <w:tab/>
        <w:t>(i)</w:t>
      </w:r>
      <w:r>
        <w:tab/>
        <w:t xml:space="preserve">up to 0.001 kg/day </w:t>
      </w:r>
      <w:r>
        <w:tab/>
        <w:t>1 243.3 c/kg</w:t>
      </w:r>
    </w:p>
    <w:p>
      <w:pPr>
        <w:pStyle w:val="yIndenti0"/>
        <w:tabs>
          <w:tab w:val="right" w:leader="dot" w:pos="6804"/>
        </w:tabs>
      </w:pPr>
      <w:r>
        <w:tab/>
        <w:t>(ii)</w:t>
      </w:r>
      <w:r>
        <w:tab/>
        <w:t xml:space="preserve">over 0.001 kg/day but </w:t>
      </w:r>
      <w:r>
        <w:br/>
        <w:t xml:space="preserve">not over 0.04 kg/day </w:t>
      </w:r>
      <w:r>
        <w:tab/>
        <w:t>12 417.6 c/kg</w:t>
      </w:r>
    </w:p>
    <w:p>
      <w:pPr>
        <w:pStyle w:val="yIndenti0"/>
        <w:tabs>
          <w:tab w:val="right" w:leader="dot" w:pos="6804"/>
        </w:tabs>
      </w:pPr>
      <w:r>
        <w:tab/>
        <w:t>(iii)</w:t>
      </w:r>
      <w:r>
        <w:tab/>
        <w:t xml:space="preserve">over 0.04 kg/day </w:t>
      </w:r>
      <w:r>
        <w:tab/>
        <w:t>124 173.9 c/kg</w:t>
      </w:r>
    </w:p>
    <w:p>
      <w:pPr>
        <w:pStyle w:val="yIndenta"/>
        <w:tabs>
          <w:tab w:val="right" w:leader="dot" w:pos="6804"/>
        </w:tabs>
      </w:pPr>
      <w:r>
        <w:tab/>
        <w:t>(q)</w:t>
      </w:r>
      <w:r>
        <w:tab/>
        <w:t>for cadmium with a discharge rate of —</w:t>
      </w:r>
    </w:p>
    <w:p>
      <w:pPr>
        <w:pStyle w:val="yIndenti0"/>
        <w:tabs>
          <w:tab w:val="right" w:leader="dot" w:pos="6804"/>
        </w:tabs>
      </w:pPr>
      <w:r>
        <w:tab/>
        <w:t>(i)</w:t>
      </w:r>
      <w:r>
        <w:tab/>
        <w:t xml:space="preserve">up to 0.001 kg/day </w:t>
      </w:r>
      <w:r>
        <w:tab/>
        <w:t>1 243.3 c/kg</w:t>
      </w:r>
    </w:p>
    <w:p>
      <w:pPr>
        <w:pStyle w:val="yIndenti0"/>
        <w:tabs>
          <w:tab w:val="right" w:leader="dot" w:pos="6804"/>
        </w:tabs>
      </w:pPr>
      <w:r>
        <w:tab/>
        <w:t>(ii)</w:t>
      </w:r>
      <w:r>
        <w:tab/>
        <w:t xml:space="preserve">over 0.001 kg/day but </w:t>
      </w:r>
      <w:r>
        <w:br/>
        <w:t xml:space="preserve">not over 0.015 kg/day </w:t>
      </w:r>
      <w:r>
        <w:tab/>
        <w:t>12 417.6 c/kg</w:t>
      </w:r>
    </w:p>
    <w:p>
      <w:pPr>
        <w:pStyle w:val="yIndenti0"/>
        <w:tabs>
          <w:tab w:val="right" w:leader="dot" w:pos="6804"/>
        </w:tabs>
      </w:pPr>
      <w:r>
        <w:tab/>
        <w:t>(iii)</w:t>
      </w:r>
      <w:r>
        <w:tab/>
        <w:t xml:space="preserve">over 0.015 kg/day </w:t>
      </w:r>
      <w:r>
        <w:tab/>
        <w:t>124 173.9 c/kg</w:t>
      </w:r>
    </w:p>
    <w:p>
      <w:pPr>
        <w:pStyle w:val="yIndenta"/>
        <w:tabs>
          <w:tab w:val="right" w:leader="dot" w:pos="6804"/>
        </w:tabs>
      </w:pPr>
      <w:r>
        <w:tab/>
        <w:t>(r)</w:t>
      </w:r>
      <w:r>
        <w:tab/>
        <w:t>for molybdenum or selenium with a discharge rate of —</w:t>
      </w:r>
    </w:p>
    <w:p>
      <w:pPr>
        <w:pStyle w:val="yIndenti0"/>
        <w:tabs>
          <w:tab w:val="right" w:leader="dot" w:pos="6804"/>
        </w:tabs>
      </w:pPr>
      <w:r>
        <w:tab/>
        <w:t>(i)</w:t>
      </w:r>
      <w:r>
        <w:tab/>
        <w:t xml:space="preserve">up to 0.001 kg/day </w:t>
      </w:r>
      <w:r>
        <w:tab/>
        <w:t>1 243.3 c/kg</w:t>
      </w:r>
    </w:p>
    <w:p>
      <w:pPr>
        <w:pStyle w:val="yIndenti0"/>
        <w:tabs>
          <w:tab w:val="right" w:leader="dot" w:pos="6804"/>
        </w:tabs>
      </w:pPr>
      <w:r>
        <w:tab/>
        <w:t>(ii)</w:t>
      </w:r>
      <w:r>
        <w:tab/>
        <w:t xml:space="preserve">over 0.001 kg/day but </w:t>
      </w:r>
      <w:r>
        <w:br/>
        <w:t xml:space="preserve">not over 0.02 kg/day </w:t>
      </w:r>
      <w:r>
        <w:tab/>
        <w:t>12 417.6 c/kg</w:t>
      </w:r>
    </w:p>
    <w:p>
      <w:pPr>
        <w:pStyle w:val="yIndenti0"/>
        <w:tabs>
          <w:tab w:val="right" w:leader="dot" w:pos="6804"/>
        </w:tabs>
      </w:pPr>
      <w:r>
        <w:tab/>
        <w:t>(iii)</w:t>
      </w:r>
      <w:r>
        <w:tab/>
        <w:t xml:space="preserve">over 0.02 kg/day </w:t>
      </w:r>
      <w:r>
        <w:tab/>
        <w:t>124 173.9 c/kg</w:t>
      </w:r>
    </w:p>
    <w:p>
      <w:pPr>
        <w:pStyle w:val="yIndenta"/>
        <w:keepNext/>
        <w:tabs>
          <w:tab w:val="right" w:leader="dot" w:pos="6804"/>
        </w:tabs>
      </w:pPr>
      <w:r>
        <w:tab/>
        <w:t>(s)</w:t>
      </w:r>
      <w:r>
        <w:tab/>
        <w:t>for silver with a discharge rate of —</w:t>
      </w:r>
    </w:p>
    <w:p>
      <w:pPr>
        <w:pStyle w:val="yIndenti0"/>
        <w:tabs>
          <w:tab w:val="right" w:leader="dot" w:pos="6804"/>
        </w:tabs>
      </w:pPr>
      <w:r>
        <w:tab/>
        <w:t>(i)</w:t>
      </w:r>
      <w:r>
        <w:tab/>
        <w:t xml:space="preserve">up to 0.002 kg/day </w:t>
      </w:r>
      <w:r>
        <w:tab/>
        <w:t>1 243.3 c/kg</w:t>
      </w:r>
    </w:p>
    <w:p>
      <w:pPr>
        <w:pStyle w:val="yIndenti0"/>
        <w:tabs>
          <w:tab w:val="right" w:leader="dot" w:pos="6804"/>
        </w:tabs>
      </w:pPr>
      <w:r>
        <w:tab/>
        <w:t>(ii)</w:t>
      </w:r>
      <w:r>
        <w:tab/>
        <w:t xml:space="preserve">over 0.002 kg/day but </w:t>
      </w:r>
      <w:r>
        <w:br/>
        <w:t xml:space="preserve">not over 0.01 kg/day </w:t>
      </w:r>
      <w:r>
        <w:tab/>
        <w:t>12 417.6 c/kg</w:t>
      </w:r>
    </w:p>
    <w:p>
      <w:pPr>
        <w:pStyle w:val="yIndenti0"/>
        <w:tabs>
          <w:tab w:val="right" w:leader="dot" w:pos="6804"/>
        </w:tabs>
      </w:pPr>
      <w:r>
        <w:tab/>
        <w:t>(iii)</w:t>
      </w:r>
      <w:r>
        <w:tab/>
        <w:t xml:space="preserve">over 0.01 kg/day </w:t>
      </w:r>
      <w:r>
        <w:tab/>
        <w:t>124 173.9 c/kg</w:t>
      </w:r>
    </w:p>
    <w:p>
      <w:pPr>
        <w:pStyle w:val="yIndenta"/>
        <w:tabs>
          <w:tab w:val="right" w:leader="dot" w:pos="6804"/>
        </w:tabs>
      </w:pPr>
      <w:r>
        <w:tab/>
        <w:t>(t)</w:t>
      </w:r>
      <w:r>
        <w:tab/>
        <w:t>for mercury with a discharge rate of —</w:t>
      </w:r>
    </w:p>
    <w:p>
      <w:pPr>
        <w:pStyle w:val="yIndenti0"/>
        <w:tabs>
          <w:tab w:val="right" w:leader="dot" w:pos="6804"/>
        </w:tabs>
      </w:pPr>
      <w:r>
        <w:tab/>
        <w:t>(i)</w:t>
      </w:r>
      <w:r>
        <w:tab/>
        <w:t xml:space="preserve">up to 0.0001 kg/day </w:t>
      </w:r>
      <w:r>
        <w:tab/>
        <w:t>1 243.3 c/kg</w:t>
      </w:r>
    </w:p>
    <w:p>
      <w:pPr>
        <w:pStyle w:val="yIndenti0"/>
        <w:tabs>
          <w:tab w:val="right" w:leader="dot" w:pos="6804"/>
        </w:tabs>
      </w:pPr>
      <w:r>
        <w:tab/>
        <w:t>(ii)</w:t>
      </w:r>
      <w:r>
        <w:tab/>
        <w:t xml:space="preserve">over 0.0001 kg/day but </w:t>
      </w:r>
      <w:r>
        <w:br/>
        <w:t xml:space="preserve">not over 0.001 kg/day </w:t>
      </w:r>
      <w:r>
        <w:tab/>
        <w:t>124 173.9 c/kg</w:t>
      </w:r>
    </w:p>
    <w:p>
      <w:pPr>
        <w:pStyle w:val="yIndenti0"/>
        <w:tabs>
          <w:tab w:val="right" w:leader="dot" w:pos="6804"/>
        </w:tabs>
      </w:pPr>
      <w:r>
        <w:tab/>
        <w:t>(iii)</w:t>
      </w:r>
      <w:r>
        <w:tab/>
        <w:t xml:space="preserve">over 0.001 kg/day </w:t>
      </w:r>
      <w:r>
        <w:tab/>
        <w:t>931 339.1 c/kg</w:t>
      </w:r>
    </w:p>
    <w:p>
      <w:pPr>
        <w:pStyle w:val="zyHeading5"/>
      </w:pPr>
      <w:bookmarkStart w:id="309" w:name="_Toc169797279"/>
      <w:bookmarkStart w:id="310" w:name="_Toc170213190"/>
      <w:r>
        <w:t>33.</w:t>
      </w:r>
      <w:r>
        <w:tab/>
        <w:t>Effluent discharged from septic tank effluent pumping system into sewer</w:t>
      </w:r>
      <w:bookmarkEnd w:id="309"/>
      <w:bookmarkEnd w:id="310"/>
    </w:p>
    <w:p>
      <w:pPr>
        <w:pStyle w:val="ySubsection"/>
        <w:tabs>
          <w:tab w:val="right" w:leader="dot" w:pos="6804"/>
        </w:tabs>
      </w:pPr>
      <w:r>
        <w:tab/>
      </w:r>
      <w:r>
        <w:tab/>
        <w:t xml:space="preserve">For effluent discharged from a </w:t>
      </w:r>
      <w:r>
        <w:br/>
        <w:t xml:space="preserve">septic tank effluent pumping system </w:t>
      </w:r>
      <w:r>
        <w:br/>
        <w:t xml:space="preserve">into a sewer of the Water Corporation, </w:t>
      </w:r>
      <w:r>
        <w:br/>
        <w:t xml:space="preserve">the charge is </w:t>
      </w:r>
      <w:r>
        <w:tab/>
        <w:t>188.3 cents/kL</w:t>
      </w:r>
    </w:p>
    <w:p>
      <w:pPr>
        <w:pStyle w:val="zyHeading2"/>
      </w:pPr>
      <w:bookmarkStart w:id="311" w:name="_Toc169797280"/>
      <w:bookmarkStart w:id="312" w:name="_Toc169797435"/>
      <w:bookmarkStart w:id="313" w:name="_Toc169797590"/>
      <w:bookmarkStart w:id="314" w:name="_Toc170213191"/>
      <w:r>
        <w:lastRenderedPageBreak/>
        <w:t>Schedule 5 — Drainage charges for Water Corporation</w:t>
      </w:r>
      <w:bookmarkEnd w:id="311"/>
      <w:bookmarkEnd w:id="312"/>
      <w:bookmarkEnd w:id="313"/>
      <w:bookmarkEnd w:id="314"/>
    </w:p>
    <w:p>
      <w:pPr>
        <w:pStyle w:val="yShoulderClause"/>
      </w:pPr>
      <w:r>
        <w:t>[r. 24 and 47]</w:t>
      </w:r>
    </w:p>
    <w:p>
      <w:pPr>
        <w:pStyle w:val="zyHeading5"/>
      </w:pPr>
      <w:bookmarkStart w:id="315" w:name="_Toc169797281"/>
      <w:bookmarkStart w:id="316" w:name="_Toc170213192"/>
      <w:r>
        <w:t>1.</w:t>
      </w:r>
      <w:r>
        <w:tab/>
        <w:t>Drainage charges for 2024/25 and subsequent years</w:t>
      </w:r>
      <w:bookmarkEnd w:id="315"/>
      <w:bookmarkEnd w:id="316"/>
    </w:p>
    <w:p>
      <w:pPr>
        <w:pStyle w:val="ySubsection"/>
      </w:pPr>
      <w:r>
        <w:tab/>
      </w:r>
      <w:r>
        <w:tab/>
      </w:r>
      <w:r>
        <w:rPr>
          <w:szCs w:val="22"/>
        </w:rPr>
        <w:t>The</w:t>
      </w:r>
      <w:r>
        <w:t xml:space="preserve"> charges set out in this Schedule apply for drainage </w:t>
      </w:r>
      <w:r>
        <w:rPr>
          <w:szCs w:val="22"/>
        </w:rPr>
        <w:t>services</w:t>
      </w:r>
      <w:r>
        <w:t xml:space="preserve"> provided in the 2024/25</w:t>
      </w:r>
      <w:r>
        <w:rPr>
          <w:szCs w:val="22"/>
        </w:rPr>
        <w:t xml:space="preserve"> </w:t>
      </w:r>
      <w:r>
        <w:t>financial year and each subsequent year.</w:t>
      </w:r>
    </w:p>
    <w:p>
      <w:pPr>
        <w:pStyle w:val="zyHeading5"/>
      </w:pPr>
      <w:bookmarkStart w:id="317" w:name="_Toc169797282"/>
      <w:bookmarkStart w:id="318" w:name="_Toc170213193"/>
      <w:r>
        <w:t>2.</w:t>
      </w:r>
      <w:r>
        <w:tab/>
        <w:t>Strata</w:t>
      </w:r>
      <w:r>
        <w:noBreakHyphen/>
        <w:t>titled long</w:t>
      </w:r>
      <w:r>
        <w:noBreakHyphen/>
        <w:t>term residential caravan bays and park homes</w:t>
      </w:r>
      <w:bookmarkEnd w:id="317"/>
      <w:bookmarkEnd w:id="318"/>
    </w:p>
    <w:p>
      <w:pPr>
        <w:pStyle w:val="ySubsection"/>
        <w:tabs>
          <w:tab w:val="right" w:leader="dot" w:pos="6804"/>
        </w:tabs>
      </w:pPr>
      <w:r>
        <w:tab/>
      </w:r>
      <w:r>
        <w:tab/>
        <w:t>For a strata</w:t>
      </w:r>
      <w:r>
        <w:noBreakHyphen/>
        <w:t>titled caravan bay, a long</w:t>
      </w:r>
      <w:r>
        <w:noBreakHyphen/>
        <w:t xml:space="preserve">term </w:t>
      </w:r>
      <w:r>
        <w:br/>
        <w:t xml:space="preserve">residential caravan bay or a park home, the </w:t>
      </w:r>
      <w:r>
        <w:br/>
        <w:t xml:space="preserve">charge is </w:t>
      </w:r>
      <w:r>
        <w:tab/>
        <w:t>$41.02</w:t>
      </w:r>
    </w:p>
    <w:p>
      <w:pPr>
        <w:pStyle w:val="zyHeading5"/>
      </w:pPr>
      <w:bookmarkStart w:id="319" w:name="_Toc169797283"/>
      <w:bookmarkStart w:id="320" w:name="_Toc170213194"/>
      <w:r>
        <w:t>3.</w:t>
      </w:r>
      <w:r>
        <w:tab/>
        <w:t>Storage units or parking bays in strata titles scheme or community titles scheme</w:t>
      </w:r>
      <w:bookmarkEnd w:id="319"/>
      <w:bookmarkEnd w:id="320"/>
      <w:r>
        <w:t xml:space="preserve"> </w:t>
      </w:r>
    </w:p>
    <w:p>
      <w:pPr>
        <w:pStyle w:val="ySubsection"/>
        <w:tabs>
          <w:tab w:val="right" w:leader="dot" w:pos="6804"/>
        </w:tabs>
      </w:pPr>
      <w:r>
        <w:tab/>
      </w:r>
      <w:r>
        <w:tab/>
        <w:t xml:space="preserve">For a lot that is used for storage purposes or as a </w:t>
      </w:r>
      <w:r>
        <w:br/>
        <w:t>parking bay, in a strata titles scheme or a</w:t>
      </w:r>
      <w:r>
        <w:br/>
        <w:t xml:space="preserve">community titles scheme, the charge is </w:t>
      </w:r>
      <w:r>
        <w:tab/>
        <w:t>$15.80</w:t>
      </w:r>
    </w:p>
    <w:p>
      <w:pPr>
        <w:pStyle w:val="zyHeading5"/>
      </w:pPr>
      <w:bookmarkStart w:id="321" w:name="_Toc169797284"/>
      <w:bookmarkStart w:id="322" w:name="_Toc170213195"/>
      <w:r>
        <w:t>4.</w:t>
      </w:r>
      <w:r>
        <w:tab/>
        <w:t>Residential or semi</w:t>
      </w:r>
      <w:r>
        <w:noBreakHyphen/>
        <w:t>rural residential</w:t>
      </w:r>
      <w:bookmarkEnd w:id="321"/>
      <w:bookmarkEnd w:id="322"/>
    </w:p>
    <w:p>
      <w:pPr>
        <w:pStyle w:val="ySubsection"/>
        <w:tabs>
          <w:tab w:val="right" w:leader="dot" w:pos="6804"/>
        </w:tabs>
      </w:pPr>
      <w:r>
        <w:tab/>
        <w:t>(1)</w:t>
      </w:r>
      <w:r>
        <w:tab/>
        <w:t xml:space="preserve">For land that is classified as residential or </w:t>
      </w:r>
      <w:r>
        <w:br/>
        <w:t>semi</w:t>
      </w:r>
      <w:r>
        <w:noBreakHyphen/>
        <w:t xml:space="preserve">rural residential, the charge, per </w:t>
      </w:r>
      <w:r>
        <w:br/>
        <w:t xml:space="preserve">dwelling on the land, is </w:t>
      </w:r>
      <w:r>
        <w:tab/>
        <w:t>0.588 cents/$</w:t>
      </w:r>
    </w:p>
    <w:p>
      <w:pPr>
        <w:pStyle w:val="ySubsectionRight"/>
      </w:pPr>
      <w:r>
        <w:t>of GRV</w:t>
      </w:r>
    </w:p>
    <w:p>
      <w:pPr>
        <w:pStyle w:val="ySubsection"/>
        <w:tabs>
          <w:tab w:val="right" w:leader="dot" w:pos="6804"/>
        </w:tabs>
      </w:pPr>
      <w:r>
        <w:tab/>
        <w:t>(2)</w:t>
      </w:r>
      <w:r>
        <w:tab/>
        <w:t xml:space="preserve">The minimum charge per dwelling under </w:t>
      </w:r>
      <w:r>
        <w:br/>
        <w:t xml:space="preserve">this item is </w:t>
      </w:r>
      <w:r>
        <w:tab/>
      </w:r>
      <w:r>
        <w:rPr>
          <w:szCs w:val="22"/>
        </w:rPr>
        <w:t>$135.65</w:t>
      </w:r>
    </w:p>
    <w:p>
      <w:pPr>
        <w:pStyle w:val="zyHeading5"/>
      </w:pPr>
      <w:bookmarkStart w:id="323" w:name="_Toc169797285"/>
      <w:bookmarkStart w:id="324" w:name="_Toc170213196"/>
      <w:r>
        <w:t>5.</w:t>
      </w:r>
      <w:r>
        <w:tab/>
        <w:t>Vacant land</w:t>
      </w:r>
      <w:bookmarkEnd w:id="323"/>
      <w:bookmarkEnd w:id="324"/>
    </w:p>
    <w:p>
      <w:pPr>
        <w:pStyle w:val="ySubsection"/>
        <w:tabs>
          <w:tab w:val="right" w:leader="dot" w:pos="6804"/>
        </w:tabs>
      </w:pPr>
      <w:r>
        <w:tab/>
        <w:t>(1)</w:t>
      </w:r>
      <w:r>
        <w:tab/>
      </w:r>
      <w:r>
        <w:rPr>
          <w:szCs w:val="22"/>
        </w:rPr>
        <w:t xml:space="preserve">For </w:t>
      </w:r>
      <w:r>
        <w:t>land</w:t>
      </w:r>
      <w:r>
        <w:rPr>
          <w:szCs w:val="22"/>
        </w:rPr>
        <w:t xml:space="preserve"> </w:t>
      </w:r>
      <w:r>
        <w:t>that</w:t>
      </w:r>
      <w:r>
        <w:rPr>
          <w:szCs w:val="22"/>
        </w:rPr>
        <w:t xml:space="preserve"> is </w:t>
      </w:r>
      <w:r>
        <w:t>classified</w:t>
      </w:r>
      <w:r>
        <w:rPr>
          <w:szCs w:val="22"/>
        </w:rPr>
        <w:t xml:space="preserve"> as vacant land, </w:t>
      </w:r>
      <w:r>
        <w:rPr>
          <w:szCs w:val="22"/>
        </w:rPr>
        <w:br/>
        <w:t xml:space="preserve">the </w:t>
      </w:r>
      <w:r>
        <w:t>charge</w:t>
      </w:r>
      <w:r>
        <w:rPr>
          <w:szCs w:val="22"/>
        </w:rPr>
        <w:t xml:space="preserve"> is </w:t>
      </w:r>
      <w:r>
        <w:rPr>
          <w:szCs w:val="22"/>
        </w:rPr>
        <w:tab/>
      </w:r>
      <w:r>
        <w:t>0.726 cents/$</w:t>
      </w:r>
    </w:p>
    <w:p>
      <w:pPr>
        <w:pStyle w:val="ySubsectionRight"/>
      </w:pPr>
      <w:r>
        <w:t>of GRV</w:t>
      </w:r>
    </w:p>
    <w:p>
      <w:pPr>
        <w:pStyle w:val="ySubsection"/>
        <w:tabs>
          <w:tab w:val="right" w:leader="dot" w:pos="6804"/>
        </w:tabs>
      </w:pPr>
      <w:r>
        <w:tab/>
        <w:t>(2)</w:t>
      </w:r>
      <w:r>
        <w:tab/>
        <w:t xml:space="preserve">The minimum charge under this item is </w:t>
      </w:r>
      <w:r>
        <w:tab/>
      </w:r>
      <w:r>
        <w:rPr>
          <w:szCs w:val="22"/>
        </w:rPr>
        <w:t>$135.65</w:t>
      </w:r>
    </w:p>
    <w:p>
      <w:pPr>
        <w:pStyle w:val="zyHeading5"/>
      </w:pPr>
      <w:bookmarkStart w:id="325" w:name="_Toc169797286"/>
      <w:bookmarkStart w:id="326" w:name="_Toc170213197"/>
      <w:r>
        <w:lastRenderedPageBreak/>
        <w:t>6.</w:t>
      </w:r>
      <w:r>
        <w:tab/>
        <w:t>Non</w:t>
      </w:r>
      <w:r>
        <w:noBreakHyphen/>
        <w:t>residential (except strata titled caravan bays and storage units or parking bays in strata titles scheme or community titles scheme)</w:t>
      </w:r>
      <w:bookmarkEnd w:id="325"/>
      <w:bookmarkEnd w:id="326"/>
    </w:p>
    <w:p>
      <w:pPr>
        <w:pStyle w:val="ySubsection"/>
        <w:tabs>
          <w:tab w:val="right" w:leader="dot" w:pos="6804"/>
        </w:tabs>
      </w:pPr>
      <w:r>
        <w:tab/>
        <w:t>(1)</w:t>
      </w:r>
      <w:r>
        <w:tab/>
      </w:r>
      <w:r>
        <w:rPr>
          <w:szCs w:val="22"/>
        </w:rPr>
        <w:t xml:space="preserve">For land that </w:t>
      </w:r>
      <w:r>
        <w:t>is</w:t>
      </w:r>
      <w:r>
        <w:rPr>
          <w:szCs w:val="22"/>
        </w:rPr>
        <w:t xml:space="preserve"> </w:t>
      </w:r>
      <w:r>
        <w:t>classified</w:t>
      </w:r>
      <w:r>
        <w:rPr>
          <w:szCs w:val="22"/>
        </w:rPr>
        <w:t xml:space="preserve"> as </w:t>
      </w:r>
      <w:r>
        <w:rPr>
          <w:szCs w:val="22"/>
        </w:rPr>
        <w:br/>
        <w:t>non</w:t>
      </w:r>
      <w:r>
        <w:rPr>
          <w:szCs w:val="22"/>
        </w:rPr>
        <w:noBreakHyphen/>
      </w:r>
      <w:r>
        <w:t>residential</w:t>
      </w:r>
      <w:r>
        <w:rPr>
          <w:szCs w:val="22"/>
        </w:rPr>
        <w:t xml:space="preserve"> and not covered by </w:t>
      </w:r>
      <w:r>
        <w:rPr>
          <w:szCs w:val="22"/>
        </w:rPr>
        <w:br/>
        <w:t xml:space="preserve">item 2 or 3, the charge is </w:t>
      </w:r>
      <w:r>
        <w:rPr>
          <w:szCs w:val="22"/>
        </w:rPr>
        <w:tab/>
      </w:r>
      <w:r>
        <w:t>0.377 cents/$</w:t>
      </w:r>
    </w:p>
    <w:p>
      <w:pPr>
        <w:pStyle w:val="ySubsectionRight"/>
      </w:pPr>
      <w:r>
        <w:t>of GRV</w:t>
      </w:r>
    </w:p>
    <w:p>
      <w:pPr>
        <w:pStyle w:val="ySubsection"/>
        <w:tabs>
          <w:tab w:val="right" w:leader="dot" w:pos="6804"/>
        </w:tabs>
        <w:rPr>
          <w:szCs w:val="22"/>
        </w:rPr>
      </w:pPr>
      <w:r>
        <w:tab/>
        <w:t>(2)</w:t>
      </w:r>
      <w:r>
        <w:tab/>
        <w:t xml:space="preserve">The minimum </w:t>
      </w:r>
      <w:r>
        <w:rPr>
          <w:szCs w:val="22"/>
        </w:rPr>
        <w:t>charge</w:t>
      </w:r>
      <w:r>
        <w:t xml:space="preserve"> under this item is </w:t>
      </w:r>
      <w:r>
        <w:tab/>
      </w:r>
      <w:r>
        <w:rPr>
          <w:szCs w:val="22"/>
        </w:rPr>
        <w:t>$136.63</w:t>
      </w:r>
    </w:p>
    <w:p>
      <w:pPr>
        <w:pStyle w:val="zyHeading5"/>
      </w:pPr>
      <w:bookmarkStart w:id="327" w:name="_Toc169797287"/>
      <w:bookmarkStart w:id="328" w:name="_Toc170213198"/>
      <w:r>
        <w:t>7.</w:t>
      </w:r>
      <w:r>
        <w:tab/>
        <w:t>Concessional land</w:t>
      </w:r>
      <w:bookmarkEnd w:id="327"/>
      <w:bookmarkEnd w:id="328"/>
    </w:p>
    <w:p>
      <w:pPr>
        <w:pStyle w:val="ySubsection"/>
      </w:pPr>
      <w:r>
        <w:tab/>
      </w:r>
      <w:r>
        <w:tab/>
        <w:t>For concessional land, the charge is the charge set out in item 6, less a discount of 100%.</w:t>
      </w:r>
    </w:p>
    <w:p>
      <w:pPr>
        <w:pStyle w:val="zyHeading2"/>
      </w:pPr>
      <w:bookmarkStart w:id="329" w:name="_Toc169797288"/>
      <w:bookmarkStart w:id="330" w:name="_Toc169797443"/>
      <w:bookmarkStart w:id="331" w:name="_Toc169797598"/>
      <w:bookmarkStart w:id="332" w:name="_Toc170213199"/>
      <w:r>
        <w:t>Schedule 6 — Irrigation charges for Water Corporation (Ord Irrigation District)</w:t>
      </w:r>
      <w:bookmarkEnd w:id="329"/>
      <w:bookmarkEnd w:id="330"/>
      <w:bookmarkEnd w:id="331"/>
      <w:bookmarkEnd w:id="332"/>
    </w:p>
    <w:p>
      <w:pPr>
        <w:pStyle w:val="zyShoulderClause"/>
      </w:pPr>
      <w:r>
        <w:t>[r. 50]</w:t>
      </w:r>
    </w:p>
    <w:p>
      <w:pPr>
        <w:pStyle w:val="zyHeading5"/>
      </w:pPr>
      <w:bookmarkStart w:id="333" w:name="_Toc169797289"/>
      <w:bookmarkStart w:id="334" w:name="_Toc170213200"/>
      <w:r>
        <w:t>1.</w:t>
      </w:r>
      <w:r>
        <w:tab/>
        <w:t>Irrigation charges for 2024/25 and subsequent years</w:t>
      </w:r>
      <w:bookmarkEnd w:id="333"/>
      <w:bookmarkEnd w:id="334"/>
    </w:p>
    <w:p>
      <w:pPr>
        <w:pStyle w:val="ySubsection"/>
      </w:pPr>
      <w:r>
        <w:tab/>
      </w:r>
      <w:r>
        <w:tab/>
        <w:t>The charges set out in this Schedule apply for irrigation services provided in the</w:t>
      </w:r>
      <w:r>
        <w:rPr>
          <w:szCs w:val="22"/>
        </w:rPr>
        <w:t xml:space="preserve"> </w:t>
      </w:r>
      <w:r>
        <w:t>2024/25 financial year and each subsequent year.</w:t>
      </w:r>
    </w:p>
    <w:p>
      <w:pPr>
        <w:pStyle w:val="zyHeading5"/>
      </w:pPr>
      <w:bookmarkStart w:id="335" w:name="_Toc169797290"/>
      <w:bookmarkStart w:id="336" w:name="_Toc170213201"/>
      <w:r>
        <w:t>2.</w:t>
      </w:r>
      <w:r>
        <w:tab/>
        <w:t>Water provided as irrigation service</w:t>
      </w:r>
      <w:bookmarkEnd w:id="335"/>
      <w:bookmarkEnd w:id="336"/>
    </w:p>
    <w:p>
      <w:pPr>
        <w:pStyle w:val="ySubsection"/>
      </w:pPr>
      <w:r>
        <w:tab/>
      </w:r>
      <w:r>
        <w:tab/>
        <w:t>For land to which water is supplied from irrigation works of the Water Corporation in the Ord Irrigation District, the charge is —</w:t>
      </w:r>
    </w:p>
    <w:p>
      <w:pPr>
        <w:pStyle w:val="yIndenta"/>
        <w:tabs>
          <w:tab w:val="right" w:leader="dot" w:pos="6804"/>
        </w:tabs>
      </w:pPr>
      <w:r>
        <w:tab/>
        <w:t>(a)</w:t>
      </w:r>
      <w:r>
        <w:tab/>
        <w:t>if the maximum area of</w:t>
      </w:r>
      <w:r>
        <w:br/>
        <w:t>land is not more than</w:t>
      </w:r>
      <w:r>
        <w:br/>
        <w:t xml:space="preserve">1 hectare </w:t>
      </w:r>
      <w:r>
        <w:tab/>
        <w:t>$330.11</w:t>
      </w:r>
    </w:p>
    <w:p>
      <w:pPr>
        <w:pStyle w:val="yIndenta"/>
        <w:tabs>
          <w:tab w:val="right" w:leader="dot" w:pos="6804"/>
        </w:tabs>
      </w:pPr>
      <w:r>
        <w:tab/>
        <w:t>(b)</w:t>
      </w:r>
      <w:r>
        <w:tab/>
        <w:t>if the maximum area of</w:t>
      </w:r>
      <w:r>
        <w:br/>
        <w:t>land is more than</w:t>
      </w:r>
      <w:r>
        <w:br/>
        <w:t xml:space="preserve">1 hectare </w:t>
      </w:r>
      <w:r>
        <w:tab/>
        <w:t>$330.11 per ha (pro rata)</w:t>
      </w:r>
    </w:p>
    <w:p>
      <w:pPr>
        <w:pStyle w:val="zyHeading2"/>
      </w:pPr>
      <w:bookmarkStart w:id="337" w:name="_Toc169797291"/>
      <w:bookmarkStart w:id="338" w:name="_Toc169797446"/>
      <w:bookmarkStart w:id="339" w:name="_Toc169797601"/>
      <w:bookmarkStart w:id="340" w:name="_Toc170213202"/>
      <w:r>
        <w:lastRenderedPageBreak/>
        <w:t>Schedule 7 — Miscellaneous charges for Water Corporation</w:t>
      </w:r>
      <w:bookmarkEnd w:id="337"/>
      <w:bookmarkEnd w:id="338"/>
      <w:bookmarkEnd w:id="339"/>
      <w:bookmarkEnd w:id="340"/>
    </w:p>
    <w:p>
      <w:pPr>
        <w:pStyle w:val="yShoulderClause"/>
        <w:keepNext/>
      </w:pPr>
      <w:r>
        <w:t>[r. 51]</w:t>
      </w:r>
    </w:p>
    <w:p>
      <w:pPr>
        <w:pStyle w:val="zyHeading5"/>
      </w:pPr>
      <w:bookmarkStart w:id="341" w:name="_Toc169797292"/>
      <w:bookmarkStart w:id="342" w:name="_Toc170213203"/>
      <w:r>
        <w:t>1.</w:t>
      </w:r>
      <w:r>
        <w:tab/>
        <w:t>Requests for sub</w:t>
      </w:r>
      <w:r>
        <w:noBreakHyphen/>
        <w:t>meter installations: multi</w:t>
      </w:r>
      <w:r>
        <w:noBreakHyphen/>
        <w:t>unit developments</w:t>
      </w:r>
      <w:bookmarkEnd w:id="341"/>
      <w:bookmarkEnd w:id="342"/>
    </w:p>
    <w:p>
      <w:pPr>
        <w:pStyle w:val="ySubsection"/>
        <w:tabs>
          <w:tab w:val="right" w:leader="dot" w:pos="6804"/>
        </w:tabs>
      </w:pPr>
      <w:r>
        <w:tab/>
      </w:r>
      <w:r>
        <w:tab/>
        <w:t>For assessing a request to supply and connect</w:t>
      </w:r>
      <w:r>
        <w:br/>
        <w:t>one or more sub</w:t>
      </w:r>
      <w:r>
        <w:noBreakHyphen/>
        <w:t>meters to a pipe supplying</w:t>
      </w:r>
      <w:r>
        <w:br/>
        <w:t>water to a unit in a multi</w:t>
      </w:r>
      <w:r>
        <w:noBreakHyphen/>
        <w:t>unit development</w:t>
      </w:r>
      <w:r>
        <w:br/>
        <w:t xml:space="preserve">under the </w:t>
      </w:r>
      <w:r>
        <w:rPr>
          <w:i/>
        </w:rPr>
        <w:t>Water Services Regulations 2013</w:t>
      </w:r>
      <w:r>
        <w:t xml:space="preserve"> </w:t>
      </w:r>
      <w:r>
        <w:br/>
        <w:t xml:space="preserve">regulation 23A(2), the charge is </w:t>
      </w:r>
      <w:r>
        <w:tab/>
      </w:r>
      <w:r>
        <w:rPr>
          <w:szCs w:val="22"/>
        </w:rPr>
        <w:t>$127.21</w:t>
      </w:r>
    </w:p>
    <w:p>
      <w:pPr>
        <w:pStyle w:val="zyHeading5"/>
      </w:pPr>
      <w:bookmarkStart w:id="343" w:name="_Toc169797293"/>
      <w:bookmarkStart w:id="344" w:name="_Toc170213204"/>
      <w:r>
        <w:t>2.</w:t>
      </w:r>
      <w:r>
        <w:tab/>
        <w:t>Sub</w:t>
      </w:r>
      <w:r>
        <w:noBreakHyphen/>
        <w:t>meter installations: multi</w:t>
      </w:r>
      <w:r>
        <w:noBreakHyphen/>
        <w:t>unit developments</w:t>
      </w:r>
      <w:bookmarkEnd w:id="343"/>
      <w:bookmarkEnd w:id="344"/>
    </w:p>
    <w:p>
      <w:pPr>
        <w:pStyle w:val="ySubsection"/>
        <w:tabs>
          <w:tab w:val="right" w:leader="dot" w:pos="6804"/>
        </w:tabs>
      </w:pPr>
      <w:r>
        <w:tab/>
      </w:r>
      <w:r>
        <w:tab/>
        <w:t>For supplying and connecting a sub</w:t>
      </w:r>
      <w:r>
        <w:noBreakHyphen/>
        <w:t xml:space="preserve">meter to </w:t>
      </w:r>
      <w:r>
        <w:br/>
        <w:t xml:space="preserve">a pipe supplying water to a unit in a </w:t>
      </w:r>
      <w:r>
        <w:br/>
        <w:t>multi</w:t>
      </w:r>
      <w:r>
        <w:noBreakHyphen/>
        <w:t xml:space="preserve">unit development under the </w:t>
      </w:r>
      <w:r>
        <w:br/>
      </w:r>
      <w:r>
        <w:rPr>
          <w:i/>
        </w:rPr>
        <w:t>Water Services Regulations 2013</w:t>
      </w:r>
      <w:r>
        <w:t xml:space="preserve"> </w:t>
      </w:r>
      <w:r>
        <w:br/>
      </w:r>
      <w:r>
        <w:rPr>
          <w:szCs w:val="22"/>
        </w:rPr>
        <w:t>regulation 23A(3)</w:t>
      </w:r>
      <w:r>
        <w:t xml:space="preserve">, the charge is </w:t>
      </w:r>
      <w:r>
        <w:tab/>
      </w:r>
      <w:r>
        <w:rPr>
          <w:szCs w:val="22"/>
        </w:rPr>
        <w:t>$198.96</w:t>
      </w:r>
    </w:p>
    <w:p>
      <w:pPr>
        <w:pStyle w:val="zyHeading5"/>
      </w:pPr>
      <w:bookmarkStart w:id="345" w:name="_Toc169797294"/>
      <w:bookmarkStart w:id="346" w:name="_Toc170213205"/>
      <w:r>
        <w:t>3.</w:t>
      </w:r>
      <w:r>
        <w:tab/>
        <w:t>Testing meters</w:t>
      </w:r>
      <w:bookmarkEnd w:id="345"/>
      <w:bookmarkEnd w:id="346"/>
    </w:p>
    <w:p>
      <w:pPr>
        <w:pStyle w:val="ySubsection"/>
      </w:pPr>
      <w:r>
        <w:tab/>
      </w:r>
      <w:r>
        <w:tab/>
        <w:t xml:space="preserve">For testing a meter under the </w:t>
      </w:r>
      <w:r>
        <w:rPr>
          <w:i/>
        </w:rPr>
        <w:t>Water Services Regulations 2013</w:t>
      </w:r>
      <w:r>
        <w:t xml:space="preserve"> regulation 26(3), the charge, according to the size of the meter, is —</w:t>
      </w:r>
    </w:p>
    <w:p>
      <w:pPr>
        <w:pStyle w:val="yMiscellaneousBody"/>
        <w:tabs>
          <w:tab w:val="right" w:leader="dot" w:pos="6804"/>
        </w:tabs>
        <w:ind w:left="993"/>
      </w:pPr>
      <w:r>
        <w:t>20</w:t>
      </w:r>
      <w:r>
        <w:noBreakHyphen/>
        <w:t xml:space="preserve">25 mm </w:t>
      </w:r>
      <w:r>
        <w:tab/>
      </w:r>
      <w:r>
        <w:rPr>
          <w:szCs w:val="22"/>
        </w:rPr>
        <w:t>$125.93</w:t>
      </w:r>
    </w:p>
    <w:p>
      <w:pPr>
        <w:pStyle w:val="yMiscellaneousBody"/>
        <w:tabs>
          <w:tab w:val="right" w:leader="dot" w:pos="6804"/>
        </w:tabs>
        <w:ind w:left="993"/>
      </w:pPr>
      <w:r>
        <w:t xml:space="preserve">more than 25 mm </w:t>
      </w:r>
      <w:r>
        <w:tab/>
        <w:t>an amount</w:t>
      </w:r>
    </w:p>
    <w:p>
      <w:pPr>
        <w:pStyle w:val="ySubsectionRight"/>
      </w:pPr>
      <w:r>
        <w:tab/>
        <w:t>equal to the</w:t>
      </w:r>
      <w:r>
        <w:br/>
        <w:t>cost of testing</w:t>
      </w:r>
    </w:p>
    <w:p>
      <w:pPr>
        <w:pStyle w:val="zyHeading5"/>
      </w:pPr>
      <w:bookmarkStart w:id="347" w:name="_Toc169797295"/>
      <w:bookmarkStart w:id="348" w:name="_Toc170213206"/>
      <w:r>
        <w:t>4.</w:t>
      </w:r>
      <w:r>
        <w:tab/>
        <w:t>Installing water supply connection</w:t>
      </w:r>
      <w:bookmarkEnd w:id="347"/>
      <w:bookmarkEnd w:id="348"/>
    </w:p>
    <w:p>
      <w:pPr>
        <w:pStyle w:val="ySubsection"/>
        <w:keepNext/>
      </w:pPr>
      <w:r>
        <w:tab/>
        <w:t>(1)</w:t>
      </w:r>
      <w:r>
        <w:tab/>
        <w:t>For installing a water supply connection in relation to land in the metropolitan area (other than in the central business districts), the charge, according to the size of the connection, is —</w:t>
      </w:r>
    </w:p>
    <w:p>
      <w:pPr>
        <w:pStyle w:val="yMiscellaneousBody"/>
        <w:tabs>
          <w:tab w:val="right" w:leader="dot" w:pos="6804"/>
        </w:tabs>
        <w:ind w:left="993"/>
      </w:pPr>
      <w:r>
        <w:t xml:space="preserve">20 mm </w:t>
      </w:r>
      <w:r>
        <w:tab/>
        <w:t>$1 782.13</w:t>
      </w:r>
    </w:p>
    <w:p>
      <w:pPr>
        <w:pStyle w:val="yMiscellaneousBody"/>
        <w:tabs>
          <w:tab w:val="right" w:leader="dot" w:pos="6804"/>
        </w:tabs>
        <w:ind w:left="993"/>
      </w:pPr>
      <w:r>
        <w:t xml:space="preserve">25 mm </w:t>
      </w:r>
      <w:r>
        <w:tab/>
        <w:t>$2 283.66</w:t>
      </w:r>
    </w:p>
    <w:p>
      <w:pPr>
        <w:pStyle w:val="yMiscellaneousBody"/>
        <w:tabs>
          <w:tab w:val="right" w:leader="dot" w:pos="6804"/>
        </w:tabs>
        <w:ind w:left="993"/>
      </w:pPr>
      <w:r>
        <w:lastRenderedPageBreak/>
        <w:t xml:space="preserve">40 mm </w:t>
      </w:r>
      <w:r>
        <w:tab/>
        <w:t>$4 039.00</w:t>
      </w:r>
    </w:p>
    <w:p>
      <w:pPr>
        <w:pStyle w:val="yMiscellaneousBody"/>
        <w:tabs>
          <w:tab w:val="right" w:leader="dot" w:pos="6804"/>
        </w:tabs>
        <w:ind w:left="993"/>
      </w:pPr>
      <w:r>
        <w:t xml:space="preserve">50 mm </w:t>
      </w:r>
      <w:r>
        <w:tab/>
        <w:t>$5 436.42</w:t>
      </w:r>
    </w:p>
    <w:p>
      <w:pPr>
        <w:pStyle w:val="yMiscellaneousBody"/>
        <w:tabs>
          <w:tab w:val="right" w:leader="dot" w:pos="6804"/>
        </w:tabs>
        <w:ind w:left="993"/>
      </w:pPr>
      <w:r>
        <w:t>80</w:t>
      </w:r>
      <w:r>
        <w:noBreakHyphen/>
        <w:t xml:space="preserve">100 mm </w:t>
      </w:r>
      <w:r>
        <w:tab/>
        <w:t>$9 276.09</w:t>
      </w:r>
    </w:p>
    <w:p>
      <w:pPr>
        <w:pStyle w:val="yMiscellaneousBody"/>
        <w:tabs>
          <w:tab w:val="right" w:leader="dot" w:pos="6804"/>
        </w:tabs>
        <w:ind w:left="993"/>
      </w:pPr>
      <w:r>
        <w:t xml:space="preserve">150 mm </w:t>
      </w:r>
      <w:r>
        <w:tab/>
        <w:t>$12 193.09</w:t>
      </w:r>
    </w:p>
    <w:p>
      <w:pPr>
        <w:pStyle w:val="yMiscellaneousBody"/>
        <w:tabs>
          <w:tab w:val="right" w:leader="dot" w:pos="6804"/>
        </w:tabs>
        <w:ind w:left="993"/>
      </w:pPr>
      <w:r>
        <w:t xml:space="preserve">more than 150 mm </w:t>
      </w:r>
      <w:r>
        <w:tab/>
        <w:t>an amount</w:t>
      </w:r>
    </w:p>
    <w:p>
      <w:pPr>
        <w:pStyle w:val="yMiscellaneousBody"/>
        <w:tabs>
          <w:tab w:val="right" w:pos="6804"/>
        </w:tabs>
        <w:spacing w:before="0"/>
      </w:pPr>
      <w:r>
        <w:tab/>
        <w:t>equal to the</w:t>
      </w:r>
      <w:r>
        <w:br/>
      </w:r>
      <w:r>
        <w:tab/>
        <w:t>cost of</w:t>
      </w:r>
      <w:r>
        <w:br/>
      </w:r>
      <w:r>
        <w:tab/>
        <w:t>installation</w:t>
      </w:r>
    </w:p>
    <w:p>
      <w:pPr>
        <w:pStyle w:val="yMiscellaneousBody"/>
        <w:tabs>
          <w:tab w:val="left" w:pos="910"/>
          <w:tab w:val="right" w:leader="dot" w:pos="6804"/>
        </w:tabs>
        <w:ind w:left="896" w:hanging="560"/>
      </w:pPr>
      <w:r>
        <w:t>(2)</w:t>
      </w:r>
      <w:r>
        <w:tab/>
        <w:t>For installing a water supply connection in</w:t>
      </w:r>
      <w:r>
        <w:br/>
        <w:t>relation to land in the metropolitan area in</w:t>
      </w:r>
      <w:r>
        <w:br/>
        <w:t xml:space="preserve">the central business districts, the charge is </w:t>
      </w:r>
      <w:r>
        <w:tab/>
        <w:t>an amount</w:t>
      </w:r>
    </w:p>
    <w:p>
      <w:pPr>
        <w:pStyle w:val="yMiscellaneousBody"/>
        <w:tabs>
          <w:tab w:val="right" w:pos="6804"/>
        </w:tabs>
        <w:spacing w:before="0"/>
      </w:pPr>
      <w:r>
        <w:tab/>
        <w:t>equal to the</w:t>
      </w:r>
      <w:r>
        <w:br/>
      </w:r>
      <w:r>
        <w:tab/>
        <w:t>cost of</w:t>
      </w:r>
      <w:r>
        <w:br/>
      </w:r>
      <w:r>
        <w:tab/>
        <w:t>installation</w:t>
      </w:r>
    </w:p>
    <w:p>
      <w:pPr>
        <w:pStyle w:val="yMiscellaneousBody"/>
        <w:tabs>
          <w:tab w:val="left" w:pos="910"/>
          <w:tab w:val="right" w:leader="dot" w:pos="6804"/>
        </w:tabs>
        <w:ind w:left="896" w:hanging="560"/>
      </w:pPr>
      <w:r>
        <w:t>(3)</w:t>
      </w:r>
      <w:r>
        <w:tab/>
        <w:t>For installing a water supply connection in</w:t>
      </w:r>
      <w:r>
        <w:br/>
        <w:t>relation to land in the non</w:t>
      </w:r>
      <w:r>
        <w:noBreakHyphen/>
        <w:t>metropolitan</w:t>
      </w:r>
      <w:r>
        <w:br/>
        <w:t xml:space="preserve">area, the charge is </w:t>
      </w:r>
      <w:r>
        <w:tab/>
        <w:t>an amount</w:t>
      </w:r>
    </w:p>
    <w:p>
      <w:pPr>
        <w:pStyle w:val="yMiscellaneousBody"/>
        <w:tabs>
          <w:tab w:val="right" w:pos="6804"/>
        </w:tabs>
        <w:spacing w:before="0"/>
      </w:pPr>
      <w:r>
        <w:tab/>
        <w:t>equal to the</w:t>
      </w:r>
      <w:r>
        <w:br/>
      </w:r>
      <w:r>
        <w:tab/>
        <w:t>cost of</w:t>
      </w:r>
      <w:r>
        <w:br/>
      </w:r>
      <w:r>
        <w:tab/>
        <w:t>installation</w:t>
      </w:r>
    </w:p>
    <w:p>
      <w:pPr>
        <w:pStyle w:val="zyHeading5"/>
      </w:pPr>
      <w:bookmarkStart w:id="349" w:name="_Toc169797296"/>
      <w:bookmarkStart w:id="350" w:name="_Toc170213207"/>
      <w:r>
        <w:t>5.</w:t>
      </w:r>
      <w:r>
        <w:tab/>
        <w:t>Activating water supply connection</w:t>
      </w:r>
      <w:bookmarkEnd w:id="349"/>
      <w:bookmarkEnd w:id="350"/>
    </w:p>
    <w:p>
      <w:pPr>
        <w:pStyle w:val="ySubsection"/>
        <w:tabs>
          <w:tab w:val="right" w:leader="dot" w:pos="6804"/>
        </w:tabs>
      </w:pPr>
      <w:r>
        <w:tab/>
        <w:t>(1)</w:t>
      </w:r>
      <w:r>
        <w:tab/>
        <w:t xml:space="preserve">For activating a water supply connection </w:t>
      </w:r>
      <w:r>
        <w:br/>
        <w:t xml:space="preserve">to land, whether or not at the same time </w:t>
      </w:r>
      <w:r>
        <w:br/>
        <w:t xml:space="preserve">as installing the connection, the charge is </w:t>
      </w:r>
      <w:r>
        <w:tab/>
      </w:r>
      <w:r>
        <w:rPr>
          <w:szCs w:val="22"/>
        </w:rPr>
        <w:t>$210.05</w:t>
      </w:r>
    </w:p>
    <w:p>
      <w:pPr>
        <w:pStyle w:val="ySubsection"/>
      </w:pPr>
      <w:r>
        <w:tab/>
        <w:t>(2)</w:t>
      </w:r>
      <w:r>
        <w:tab/>
        <w:t>The charge under this item covers the supply of a meter, stopcock and, if required, a temporary standpipe.</w:t>
      </w:r>
    </w:p>
    <w:p>
      <w:pPr>
        <w:pStyle w:val="zyHeading5"/>
      </w:pPr>
      <w:bookmarkStart w:id="351" w:name="_Toc169797297"/>
      <w:bookmarkStart w:id="352" w:name="_Toc170213208"/>
      <w:r>
        <w:t>6.</w:t>
      </w:r>
      <w:r>
        <w:tab/>
        <w:t>Disconnecting water supply connection</w:t>
      </w:r>
      <w:bookmarkEnd w:id="351"/>
      <w:bookmarkEnd w:id="352"/>
    </w:p>
    <w:p>
      <w:pPr>
        <w:pStyle w:val="ySubsection"/>
        <w:tabs>
          <w:tab w:val="right" w:leader="dot" w:pos="6804"/>
        </w:tabs>
      </w:pPr>
      <w:r>
        <w:tab/>
        <w:t>(1)</w:t>
      </w:r>
      <w:r>
        <w:tab/>
        <w:t xml:space="preserve">For disconnecting a water supply connection </w:t>
      </w:r>
      <w:r>
        <w:br/>
        <w:t xml:space="preserve">to land, the charge is </w:t>
      </w:r>
      <w:r>
        <w:tab/>
      </w:r>
      <w:r>
        <w:rPr>
          <w:szCs w:val="22"/>
        </w:rPr>
        <w:t>$1 265.60</w:t>
      </w:r>
    </w:p>
    <w:p>
      <w:pPr>
        <w:pStyle w:val="ySubsection"/>
      </w:pPr>
      <w:r>
        <w:tab/>
        <w:t>(2)</w:t>
      </w:r>
      <w:r>
        <w:tab/>
        <w:t>For the purposes of this item, cutting off or reducing the rate of flow of a supply of water under section 95 of the Act is not disconnecting a water supply connection.</w:t>
      </w:r>
    </w:p>
    <w:p>
      <w:pPr>
        <w:pStyle w:val="zyHeading5"/>
      </w:pPr>
      <w:bookmarkStart w:id="353" w:name="_Toc169797298"/>
      <w:bookmarkStart w:id="354" w:name="_Toc170213209"/>
      <w:r>
        <w:lastRenderedPageBreak/>
        <w:t>7.</w:t>
      </w:r>
      <w:r>
        <w:tab/>
        <w:t>Relocating water supply connection</w:t>
      </w:r>
      <w:bookmarkEnd w:id="353"/>
      <w:bookmarkEnd w:id="354"/>
    </w:p>
    <w:p>
      <w:pPr>
        <w:pStyle w:val="ySubsection"/>
      </w:pPr>
      <w:r>
        <w:tab/>
        <w:t>(1)</w:t>
      </w:r>
      <w:r>
        <w:tab/>
        <w:t>For relocating a water supply connection in relation to land in the metropolitan area (other than in the central business districts) up to 500 mm from its existing position, the charge, according to the size of the connection, is —</w:t>
      </w:r>
    </w:p>
    <w:p>
      <w:pPr>
        <w:pStyle w:val="yMiscellaneousBody"/>
        <w:tabs>
          <w:tab w:val="right" w:leader="dot" w:pos="6804"/>
        </w:tabs>
        <w:ind w:left="993"/>
      </w:pPr>
      <w:r>
        <w:t xml:space="preserve">20 mm </w:t>
      </w:r>
      <w:r>
        <w:tab/>
        <w:t>$995.55</w:t>
      </w:r>
    </w:p>
    <w:p>
      <w:pPr>
        <w:pStyle w:val="yMiscellaneousBody"/>
        <w:tabs>
          <w:tab w:val="right" w:leader="dot" w:pos="6804"/>
        </w:tabs>
        <w:ind w:left="993"/>
      </w:pPr>
      <w:r>
        <w:t xml:space="preserve">25 mm </w:t>
      </w:r>
      <w:r>
        <w:tab/>
        <w:t>$1 268.82</w:t>
      </w:r>
    </w:p>
    <w:p>
      <w:pPr>
        <w:pStyle w:val="yMiscellaneousBody"/>
        <w:tabs>
          <w:tab w:val="right" w:leader="dot" w:pos="6804"/>
        </w:tabs>
        <w:ind w:left="993"/>
      </w:pPr>
      <w:r>
        <w:t xml:space="preserve">40 mm </w:t>
      </w:r>
      <w:r>
        <w:tab/>
        <w:t>$2 231.15</w:t>
      </w:r>
    </w:p>
    <w:p>
      <w:pPr>
        <w:pStyle w:val="yMiscellaneousBody"/>
        <w:tabs>
          <w:tab w:val="right" w:leader="dot" w:pos="6804"/>
        </w:tabs>
        <w:ind w:left="993"/>
      </w:pPr>
      <w:r>
        <w:t xml:space="preserve">50 mm </w:t>
      </w:r>
      <w:r>
        <w:tab/>
        <w:t>$2 997.37</w:t>
      </w:r>
    </w:p>
    <w:p>
      <w:pPr>
        <w:pStyle w:val="yMiscellaneousBody"/>
        <w:tabs>
          <w:tab w:val="right" w:leader="dot" w:pos="6804"/>
        </w:tabs>
        <w:ind w:left="993"/>
      </w:pPr>
      <w:r>
        <w:t xml:space="preserve">more than 50 mm </w:t>
      </w:r>
      <w:r>
        <w:tab/>
        <w:t>an amount</w:t>
      </w:r>
    </w:p>
    <w:p>
      <w:pPr>
        <w:pStyle w:val="yMiscellaneousBody"/>
        <w:tabs>
          <w:tab w:val="right" w:pos="6804"/>
        </w:tabs>
        <w:spacing w:before="0"/>
      </w:pPr>
      <w:r>
        <w:tab/>
        <w:t>equal to</w:t>
      </w:r>
      <w:r>
        <w:br/>
      </w:r>
      <w:r>
        <w:tab/>
        <w:t>the cost of</w:t>
      </w:r>
      <w:r>
        <w:br/>
      </w:r>
      <w:r>
        <w:tab/>
        <w:t>relocation</w:t>
      </w:r>
    </w:p>
    <w:p>
      <w:pPr>
        <w:pStyle w:val="ySubsection"/>
      </w:pPr>
      <w:r>
        <w:tab/>
        <w:t>(2)</w:t>
      </w:r>
      <w:r>
        <w:tab/>
        <w:t>For relocating a water supply connection in relation to land in the metropolitan area (other than in the central business districts) more than 500 mm from its existing position, the charge, according to the size of the connection, is —</w:t>
      </w:r>
    </w:p>
    <w:p>
      <w:pPr>
        <w:pStyle w:val="yMiscellaneousBody"/>
        <w:tabs>
          <w:tab w:val="right" w:leader="dot" w:pos="6804"/>
        </w:tabs>
        <w:ind w:left="993"/>
      </w:pPr>
      <w:r>
        <w:t xml:space="preserve">20 mm </w:t>
      </w:r>
      <w:r>
        <w:tab/>
        <w:t>$1 967.53</w:t>
      </w:r>
    </w:p>
    <w:p>
      <w:pPr>
        <w:pStyle w:val="yMiscellaneousBody"/>
        <w:tabs>
          <w:tab w:val="right" w:leader="dot" w:pos="6804"/>
        </w:tabs>
        <w:ind w:left="993"/>
      </w:pPr>
      <w:r>
        <w:t xml:space="preserve">25 mm </w:t>
      </w:r>
      <w:r>
        <w:tab/>
        <w:t>$2 467.98</w:t>
      </w:r>
    </w:p>
    <w:p>
      <w:pPr>
        <w:pStyle w:val="yMiscellaneousBody"/>
        <w:tabs>
          <w:tab w:val="right" w:leader="dot" w:pos="6804"/>
        </w:tabs>
        <w:ind w:left="993"/>
      </w:pPr>
      <w:r>
        <w:t xml:space="preserve">40 mm </w:t>
      </w:r>
      <w:r>
        <w:tab/>
        <w:t>$4 224.40</w:t>
      </w:r>
    </w:p>
    <w:p>
      <w:pPr>
        <w:pStyle w:val="yMiscellaneousBody"/>
        <w:tabs>
          <w:tab w:val="right" w:leader="dot" w:pos="6804"/>
        </w:tabs>
        <w:ind w:left="993"/>
      </w:pPr>
      <w:r>
        <w:t xml:space="preserve">50 mm </w:t>
      </w:r>
      <w:r>
        <w:tab/>
        <w:t>$5 619.67</w:t>
      </w:r>
    </w:p>
    <w:p>
      <w:pPr>
        <w:pStyle w:val="yMiscellaneousBody"/>
        <w:tabs>
          <w:tab w:val="right" w:leader="dot" w:pos="6804"/>
        </w:tabs>
        <w:ind w:left="993"/>
      </w:pPr>
      <w:r>
        <w:t>80</w:t>
      </w:r>
      <w:r>
        <w:noBreakHyphen/>
        <w:t xml:space="preserve">100 mm </w:t>
      </w:r>
      <w:r>
        <w:tab/>
        <w:t>$9 460.42</w:t>
      </w:r>
    </w:p>
    <w:p>
      <w:pPr>
        <w:pStyle w:val="yMiscellaneousBody"/>
        <w:tabs>
          <w:tab w:val="right" w:leader="dot" w:pos="6804"/>
        </w:tabs>
        <w:ind w:left="993"/>
      </w:pPr>
      <w:r>
        <w:t xml:space="preserve">150 mm </w:t>
      </w:r>
      <w:r>
        <w:tab/>
        <w:t>$12 378.48</w:t>
      </w:r>
    </w:p>
    <w:p>
      <w:pPr>
        <w:pStyle w:val="yMiscellaneousBody"/>
        <w:tabs>
          <w:tab w:val="right" w:leader="dot" w:pos="6804"/>
        </w:tabs>
        <w:ind w:left="993"/>
      </w:pPr>
      <w:r>
        <w:t xml:space="preserve">more than 150 mm </w:t>
      </w:r>
      <w:r>
        <w:tab/>
        <w:t>an amount</w:t>
      </w:r>
    </w:p>
    <w:p>
      <w:pPr>
        <w:pStyle w:val="yMiscellaneousBody"/>
        <w:tabs>
          <w:tab w:val="right" w:pos="6804"/>
        </w:tabs>
        <w:spacing w:before="0"/>
      </w:pPr>
      <w:r>
        <w:tab/>
        <w:t>equal to</w:t>
      </w:r>
      <w:r>
        <w:br/>
      </w:r>
      <w:r>
        <w:tab/>
        <w:t xml:space="preserve"> the cost of</w:t>
      </w:r>
      <w:r>
        <w:br/>
      </w:r>
      <w:r>
        <w:tab/>
        <w:t xml:space="preserve"> relocation</w:t>
      </w:r>
    </w:p>
    <w:p>
      <w:pPr>
        <w:pStyle w:val="ySubsection"/>
        <w:keepNext/>
        <w:tabs>
          <w:tab w:val="right" w:leader="dot" w:pos="6804"/>
        </w:tabs>
      </w:pPr>
      <w:r>
        <w:lastRenderedPageBreak/>
        <w:tab/>
        <w:t>(3)</w:t>
      </w:r>
      <w:r>
        <w:tab/>
        <w:t xml:space="preserve">For relocating a water supply connection </w:t>
      </w:r>
      <w:r>
        <w:br/>
        <w:t xml:space="preserve">in relation to land in the central business </w:t>
      </w:r>
      <w:r>
        <w:br/>
        <w:t xml:space="preserve">districts, the charge is </w:t>
      </w:r>
      <w:r>
        <w:tab/>
        <w:t>an amount</w:t>
      </w:r>
    </w:p>
    <w:p>
      <w:pPr>
        <w:pStyle w:val="yMiscellaneousBody"/>
        <w:tabs>
          <w:tab w:val="right" w:pos="6804"/>
        </w:tabs>
        <w:spacing w:before="0"/>
      </w:pPr>
      <w:r>
        <w:tab/>
        <w:t>equal to the</w:t>
      </w:r>
      <w:r>
        <w:br/>
      </w:r>
      <w:r>
        <w:tab/>
        <w:t>cost of</w:t>
      </w:r>
      <w:r>
        <w:br/>
      </w:r>
      <w:r>
        <w:tab/>
        <w:t>installation</w:t>
      </w:r>
    </w:p>
    <w:p>
      <w:pPr>
        <w:pStyle w:val="ySubsection"/>
        <w:tabs>
          <w:tab w:val="right" w:leader="dot" w:pos="6804"/>
        </w:tabs>
      </w:pPr>
      <w:r>
        <w:tab/>
        <w:t>(4)</w:t>
      </w:r>
      <w:r>
        <w:tab/>
        <w:t xml:space="preserve">For relocating a water supply connection </w:t>
      </w:r>
      <w:r>
        <w:br/>
        <w:t>in relation to land in the non</w:t>
      </w:r>
      <w:r>
        <w:noBreakHyphen/>
        <w:t>metropolitan</w:t>
      </w:r>
      <w:r>
        <w:br/>
        <w:t xml:space="preserve">area, the charge is </w:t>
      </w:r>
      <w:r>
        <w:tab/>
        <w:t>an amount</w:t>
      </w:r>
    </w:p>
    <w:p>
      <w:pPr>
        <w:pStyle w:val="yMiscellaneousBody"/>
        <w:tabs>
          <w:tab w:val="right" w:pos="6804"/>
        </w:tabs>
        <w:spacing w:before="0"/>
      </w:pPr>
      <w:r>
        <w:tab/>
        <w:t>equal to the</w:t>
      </w:r>
      <w:r>
        <w:br/>
      </w:r>
      <w:r>
        <w:tab/>
        <w:t>cost of</w:t>
      </w:r>
      <w:r>
        <w:br/>
      </w:r>
      <w:r>
        <w:tab/>
        <w:t>installation</w:t>
      </w:r>
    </w:p>
    <w:p>
      <w:pPr>
        <w:pStyle w:val="zyHeading5"/>
      </w:pPr>
      <w:bookmarkStart w:id="355" w:name="_Toc169797299"/>
      <w:bookmarkStart w:id="356" w:name="_Toc170213210"/>
      <w:r>
        <w:t>8.</w:t>
      </w:r>
      <w:r>
        <w:tab/>
        <w:t>Proposal to connect to sewer</w:t>
      </w:r>
      <w:bookmarkEnd w:id="355"/>
      <w:bookmarkEnd w:id="356"/>
    </w:p>
    <w:p>
      <w:pPr>
        <w:pStyle w:val="ySubsection"/>
        <w:tabs>
          <w:tab w:val="right" w:leader="dot" w:pos="6804"/>
        </w:tabs>
      </w:pPr>
      <w:r>
        <w:tab/>
      </w:r>
      <w:r>
        <w:tab/>
        <w:t xml:space="preserve">For assessing a proposal to connect a </w:t>
      </w:r>
      <w:r>
        <w:br/>
        <w:t xml:space="preserve">wastewater inlet on land to a sewer, the </w:t>
      </w:r>
      <w:r>
        <w:br/>
        <w:t xml:space="preserve">charge is </w:t>
      </w:r>
      <w:r>
        <w:tab/>
      </w:r>
      <w:r>
        <w:rPr>
          <w:szCs w:val="22"/>
        </w:rPr>
        <w:t>$36.18</w:t>
      </w:r>
    </w:p>
    <w:p>
      <w:pPr>
        <w:pStyle w:val="zyHeading5"/>
      </w:pPr>
      <w:bookmarkStart w:id="357" w:name="_Toc169797300"/>
      <w:bookmarkStart w:id="358" w:name="_Toc170213211"/>
      <w:r>
        <w:t>9.</w:t>
      </w:r>
      <w:r>
        <w:tab/>
        <w:t>Installing sewer junction</w:t>
      </w:r>
      <w:bookmarkEnd w:id="357"/>
      <w:bookmarkEnd w:id="358"/>
    </w:p>
    <w:p>
      <w:pPr>
        <w:pStyle w:val="ySubsection"/>
      </w:pPr>
      <w:r>
        <w:tab/>
      </w:r>
      <w:r>
        <w:tab/>
        <w:t xml:space="preserve">For </w:t>
      </w:r>
      <w:r>
        <w:rPr>
          <w:szCs w:val="22"/>
        </w:rPr>
        <w:t>installing</w:t>
      </w:r>
      <w:r>
        <w:t xml:space="preserve"> a sewer junction for land, the charge, according to the size of the sewer, is —</w:t>
      </w:r>
    </w:p>
    <w:p>
      <w:pPr>
        <w:pStyle w:val="yMiscellaneousBody"/>
        <w:tabs>
          <w:tab w:val="right" w:leader="dot" w:pos="6804"/>
        </w:tabs>
        <w:ind w:left="993"/>
      </w:pPr>
      <w:r>
        <w:t xml:space="preserve">100 mm </w:t>
      </w:r>
      <w:r>
        <w:tab/>
        <w:t>$927.25</w:t>
      </w:r>
    </w:p>
    <w:p>
      <w:pPr>
        <w:pStyle w:val="yMiscellaneousBody"/>
        <w:tabs>
          <w:tab w:val="right" w:leader="dot" w:pos="6804"/>
        </w:tabs>
        <w:ind w:left="993"/>
      </w:pPr>
      <w:r>
        <w:t xml:space="preserve">150 mm </w:t>
      </w:r>
      <w:r>
        <w:tab/>
        <w:t>$1 136.40</w:t>
      </w:r>
    </w:p>
    <w:p>
      <w:pPr>
        <w:pStyle w:val="zyHeading5"/>
      </w:pPr>
      <w:bookmarkStart w:id="359" w:name="_Toc169797301"/>
      <w:bookmarkStart w:id="360" w:name="_Toc170213212"/>
      <w:r>
        <w:t>10.</w:t>
      </w:r>
      <w:r>
        <w:tab/>
        <w:t>Hire of standpipe for fire hydrant</w:t>
      </w:r>
      <w:bookmarkEnd w:id="359"/>
      <w:bookmarkEnd w:id="360"/>
    </w:p>
    <w:p>
      <w:pPr>
        <w:pStyle w:val="ySubsection"/>
        <w:tabs>
          <w:tab w:val="right" w:leader="dot" w:pos="6804"/>
        </w:tabs>
      </w:pPr>
      <w:r>
        <w:tab/>
        <w:t>(1)</w:t>
      </w:r>
      <w:r>
        <w:tab/>
        <w:t xml:space="preserve">For an application to hire a standpipe from </w:t>
      </w:r>
      <w:r>
        <w:br/>
        <w:t xml:space="preserve">the Water Corporation for attachment to a </w:t>
      </w:r>
      <w:r>
        <w:br/>
        <w:t xml:space="preserve">fire hydrant connected to water supply </w:t>
      </w:r>
      <w:r>
        <w:br/>
        <w:t xml:space="preserve">works of the Water Corporation in the </w:t>
      </w:r>
      <w:r>
        <w:br/>
        <w:t xml:space="preserve">metropolitan area, the charge is </w:t>
      </w:r>
      <w:r>
        <w:tab/>
      </w:r>
      <w:r>
        <w:rPr>
          <w:szCs w:val="22"/>
        </w:rPr>
        <w:t>$129.21</w:t>
      </w:r>
    </w:p>
    <w:p>
      <w:pPr>
        <w:pStyle w:val="ySubsection"/>
        <w:keepNext/>
      </w:pPr>
      <w:r>
        <w:tab/>
        <w:t>(2)</w:t>
      </w:r>
      <w:r>
        <w:tab/>
        <w:t xml:space="preserve">For the hire of a standpipe from the Water Corporation for attachment to a fire hydrant connected to water supply works of the Water </w:t>
      </w:r>
      <w:r>
        <w:lastRenderedPageBreak/>
        <w:t>Corporation in the metropolitan area, the charge, according to the size of the standpipe’s meter, is —</w:t>
      </w:r>
    </w:p>
    <w:p>
      <w:pPr>
        <w:pStyle w:val="yMiscellaneousBody"/>
        <w:keepNext/>
        <w:tabs>
          <w:tab w:val="right" w:leader="dot" w:pos="6804"/>
        </w:tabs>
        <w:ind w:left="993"/>
      </w:pPr>
      <w:r>
        <w:t xml:space="preserve">25 mm or less </w:t>
      </w:r>
      <w:r>
        <w:tab/>
      </w:r>
      <w:r>
        <w:rPr>
          <w:szCs w:val="22"/>
        </w:rPr>
        <w:t>$265.73</w:t>
      </w:r>
      <w:r>
        <w:t>/month</w:t>
      </w:r>
    </w:p>
    <w:p>
      <w:pPr>
        <w:pStyle w:val="yMiscellaneousBody"/>
        <w:tabs>
          <w:tab w:val="right" w:pos="6804"/>
        </w:tabs>
        <w:spacing w:before="0"/>
      </w:pPr>
      <w:r>
        <w:tab/>
        <w:t>pro </w:t>
      </w:r>
      <w:r>
        <w:rPr>
          <w:szCs w:val="22"/>
        </w:rPr>
        <w:t>rata</w:t>
      </w:r>
    </w:p>
    <w:p>
      <w:pPr>
        <w:pStyle w:val="yMiscellaneousBody"/>
        <w:tabs>
          <w:tab w:val="right" w:leader="dot" w:pos="6804"/>
        </w:tabs>
        <w:ind w:left="993"/>
      </w:pPr>
      <w:r>
        <w:t xml:space="preserve">more than 25 mm </w:t>
      </w:r>
      <w:r>
        <w:tab/>
      </w:r>
      <w:r>
        <w:rPr>
          <w:szCs w:val="22"/>
        </w:rPr>
        <w:t>$444.69</w:t>
      </w:r>
      <w:r>
        <w:t>/month</w:t>
      </w:r>
    </w:p>
    <w:p>
      <w:pPr>
        <w:pStyle w:val="yMiscellaneousBody"/>
        <w:tabs>
          <w:tab w:val="right" w:pos="6804"/>
        </w:tabs>
        <w:spacing w:before="0"/>
      </w:pPr>
      <w:r>
        <w:tab/>
        <w:t>pro </w:t>
      </w:r>
      <w:r>
        <w:rPr>
          <w:szCs w:val="22"/>
        </w:rPr>
        <w:t>rata</w:t>
      </w:r>
    </w:p>
    <w:p>
      <w:pPr>
        <w:pStyle w:val="zyHeading5"/>
      </w:pPr>
      <w:bookmarkStart w:id="361" w:name="_Toc169797302"/>
      <w:bookmarkStart w:id="362" w:name="_Toc170213213"/>
      <w:r>
        <w:t>11.</w:t>
      </w:r>
      <w:r>
        <w:tab/>
        <w:t>Trade waste: services in relation to discharge</w:t>
      </w:r>
      <w:bookmarkEnd w:id="361"/>
      <w:bookmarkEnd w:id="362"/>
    </w:p>
    <w:p>
      <w:pPr>
        <w:pStyle w:val="ySubsection"/>
      </w:pPr>
      <w:r>
        <w:tab/>
        <w:t>(1)</w:t>
      </w:r>
      <w:r>
        <w:tab/>
        <w:t xml:space="preserve">In this item — </w:t>
      </w:r>
    </w:p>
    <w:p>
      <w:pPr>
        <w:pStyle w:val="yDefstart"/>
      </w:pPr>
      <w:r>
        <w:tab/>
      </w:r>
      <w:r>
        <w:rPr>
          <w:rStyle w:val="CharDefText"/>
        </w:rPr>
        <w:t>additional analysis</w:t>
      </w:r>
      <w:r>
        <w:t xml:space="preserve"> means the analysis of samples for water quality parameters, other than the analysis normally conducted by the Water Corporation in relation to the discharge of trade waste into a sewer of the Water Corporation.</w:t>
      </w:r>
    </w:p>
    <w:p>
      <w:pPr>
        <w:pStyle w:val="ySubsection"/>
      </w:pPr>
      <w:r>
        <w:tab/>
        <w:t>(2)</w:t>
      </w:r>
      <w:r>
        <w:tab/>
        <w:t>For the following services in relation to the discharge of trade waste into a sewer of the Water Corporation, the charge is —</w:t>
      </w:r>
    </w:p>
    <w:p>
      <w:pPr>
        <w:pStyle w:val="yIndenta"/>
        <w:tabs>
          <w:tab w:val="right" w:leader="dot" w:pos="6804"/>
        </w:tabs>
      </w:pPr>
      <w:r>
        <w:tab/>
        <w:t>(a)</w:t>
      </w:r>
      <w:r>
        <w:tab/>
        <w:t xml:space="preserve">for inspection </w:t>
      </w:r>
      <w:r>
        <w:tab/>
        <w:t>$165.00/hour</w:t>
      </w:r>
    </w:p>
    <w:p>
      <w:pPr>
        <w:pStyle w:val="yIndenta"/>
        <w:tabs>
          <w:tab w:val="right" w:leader="dot" w:pos="6804"/>
        </w:tabs>
      </w:pPr>
      <w:r>
        <w:tab/>
        <w:t>(b)</w:t>
      </w:r>
      <w:r>
        <w:tab/>
        <w:t xml:space="preserve">for a meter reading </w:t>
      </w:r>
      <w:r>
        <w:tab/>
        <w:t>$45.03</w:t>
      </w:r>
    </w:p>
    <w:p>
      <w:pPr>
        <w:pStyle w:val="yIndenta"/>
        <w:tabs>
          <w:tab w:val="right" w:leader="dot" w:pos="6804"/>
        </w:tabs>
      </w:pPr>
      <w:r>
        <w:tab/>
        <w:t>(c)</w:t>
      </w:r>
      <w:r>
        <w:tab/>
        <w:t xml:space="preserve">for a grab sample </w:t>
      </w:r>
      <w:r>
        <w:tab/>
        <w:t>$508.97</w:t>
      </w:r>
    </w:p>
    <w:p>
      <w:pPr>
        <w:pStyle w:val="yIndenta"/>
        <w:tabs>
          <w:tab w:val="right" w:leader="dot" w:pos="6804"/>
        </w:tabs>
      </w:pPr>
      <w:r>
        <w:tab/>
        <w:t>(d)</w:t>
      </w:r>
      <w:r>
        <w:tab/>
        <w:t xml:space="preserve">for a composite sample </w:t>
      </w:r>
      <w:r>
        <w:tab/>
        <w:t>$806.30</w:t>
      </w:r>
    </w:p>
    <w:p>
      <w:pPr>
        <w:pStyle w:val="yIndenta"/>
        <w:tabs>
          <w:tab w:val="right" w:leader="dot" w:pos="6804"/>
        </w:tabs>
        <w:rPr>
          <w:szCs w:val="22"/>
        </w:rPr>
      </w:pPr>
      <w:r>
        <w:tab/>
        <w:t>(e)</w:t>
      </w:r>
      <w:r>
        <w:tab/>
        <w:t xml:space="preserve">for additional analysis </w:t>
      </w:r>
      <w:r>
        <w:tab/>
      </w:r>
      <w:r>
        <w:rPr>
          <w:szCs w:val="22"/>
        </w:rPr>
        <w:t xml:space="preserve">an amount equal to </w:t>
      </w:r>
    </w:p>
    <w:p>
      <w:pPr>
        <w:pStyle w:val="ySubsectionRight"/>
      </w:pPr>
      <w:r>
        <w:t xml:space="preserve">the actual cost to the </w:t>
      </w:r>
      <w:r>
        <w:br/>
        <w:t xml:space="preserve">Water Corporation </w:t>
      </w:r>
      <w:r>
        <w:br/>
        <w:t xml:space="preserve">of conducting the </w:t>
      </w:r>
      <w:r>
        <w:br/>
        <w:t>additional analysis</w:t>
      </w:r>
    </w:p>
    <w:p>
      <w:pPr>
        <w:pStyle w:val="yIndenta"/>
        <w:tabs>
          <w:tab w:val="right" w:leader="dot" w:pos="6804"/>
        </w:tabs>
      </w:pPr>
      <w:r>
        <w:tab/>
        <w:t>(f)</w:t>
      </w:r>
      <w:r>
        <w:tab/>
        <w:t>for assessing an application to</w:t>
      </w:r>
      <w:r>
        <w:br/>
        <w:t xml:space="preserve">discharge </w:t>
      </w:r>
      <w:r>
        <w:tab/>
      </w:r>
      <w:r>
        <w:rPr>
          <w:szCs w:val="22"/>
        </w:rPr>
        <w:t>$150.13/hour</w:t>
      </w:r>
    </w:p>
    <w:p>
      <w:pPr>
        <w:pStyle w:val="zyHeading5"/>
      </w:pPr>
      <w:bookmarkStart w:id="363" w:name="_Toc169797303"/>
      <w:bookmarkStart w:id="364" w:name="_Toc170213214"/>
      <w:r>
        <w:t>12.</w:t>
      </w:r>
      <w:r>
        <w:tab/>
        <w:t>Trade waste: product evaluation services</w:t>
      </w:r>
      <w:bookmarkEnd w:id="363"/>
      <w:bookmarkEnd w:id="364"/>
    </w:p>
    <w:p>
      <w:pPr>
        <w:pStyle w:val="ySubsection"/>
      </w:pPr>
      <w:r>
        <w:tab/>
        <w:t>(1)</w:t>
      </w:r>
      <w:r>
        <w:tab/>
        <w:t xml:space="preserve">In this item — </w:t>
      </w:r>
    </w:p>
    <w:p>
      <w:pPr>
        <w:pStyle w:val="yDefstart"/>
      </w:pPr>
      <w:r>
        <w:tab/>
      </w:r>
      <w:r>
        <w:rPr>
          <w:rStyle w:val="CharDefText"/>
        </w:rPr>
        <w:t>product evaluation</w:t>
      </w:r>
      <w:r>
        <w:t xml:space="preserve"> means reviewing a fitting, fixture or substance to determine whether it can be appropriately used in relation to the discharge of trade waste.</w:t>
      </w:r>
    </w:p>
    <w:p>
      <w:pPr>
        <w:pStyle w:val="ySubsection"/>
        <w:tabs>
          <w:tab w:val="right" w:leader="dot" w:pos="6804"/>
        </w:tabs>
      </w:pPr>
      <w:r>
        <w:lastRenderedPageBreak/>
        <w:tab/>
        <w:t>(2)</w:t>
      </w:r>
      <w:r>
        <w:tab/>
        <w:t>For product evaluation in relation to the</w:t>
      </w:r>
      <w:r>
        <w:br/>
        <w:t>discharge of trade waste into a sewer of</w:t>
      </w:r>
      <w:r>
        <w:br/>
        <w:t xml:space="preserve">the Water Corporation, the charge is </w:t>
      </w:r>
      <w:r>
        <w:tab/>
      </w:r>
      <w:r>
        <w:rPr>
          <w:szCs w:val="22"/>
        </w:rPr>
        <w:t>$197.04</w:t>
      </w:r>
      <w:r>
        <w:t>/hour</w:t>
      </w:r>
    </w:p>
    <w:p>
      <w:pPr>
        <w:pStyle w:val="zyHeading5"/>
      </w:pPr>
      <w:bookmarkStart w:id="365" w:name="_Toc169797304"/>
      <w:bookmarkStart w:id="366" w:name="_Toc170213215"/>
      <w:r>
        <w:t>13.</w:t>
      </w:r>
      <w:r>
        <w:tab/>
        <w:t>Trade waste: one</w:t>
      </w:r>
      <w:r>
        <w:noBreakHyphen/>
        <w:t>off discharge services</w:t>
      </w:r>
      <w:bookmarkEnd w:id="365"/>
      <w:bookmarkEnd w:id="366"/>
    </w:p>
    <w:p>
      <w:pPr>
        <w:pStyle w:val="ySubsection"/>
        <w:tabs>
          <w:tab w:val="right" w:leader="dot" w:pos="6804"/>
        </w:tabs>
      </w:pPr>
      <w:r>
        <w:tab/>
      </w:r>
      <w:r>
        <w:tab/>
        <w:t>For a one</w:t>
      </w:r>
      <w:r>
        <w:noBreakHyphen/>
        <w:t xml:space="preserve">off discharge of trade waste </w:t>
      </w:r>
      <w:r>
        <w:br/>
        <w:t xml:space="preserve">into a sewer of the Water Corporation, </w:t>
      </w:r>
      <w:r>
        <w:br/>
        <w:t xml:space="preserve">the charge is </w:t>
      </w:r>
      <w:r>
        <w:tab/>
      </w:r>
      <w:r>
        <w:rPr>
          <w:szCs w:val="22"/>
        </w:rPr>
        <w:t>$150.13</w:t>
      </w:r>
      <w:r>
        <w:t>/hour</w:t>
      </w:r>
    </w:p>
    <w:p>
      <w:pPr>
        <w:pStyle w:val="zyHeading5"/>
      </w:pPr>
      <w:bookmarkStart w:id="367" w:name="_Toc169797305"/>
      <w:bookmarkStart w:id="368" w:name="_Toc170213216"/>
      <w:r>
        <w:t>14.</w:t>
      </w:r>
      <w:r>
        <w:tab/>
        <w:t>Meter reading and other information</w:t>
      </w:r>
      <w:bookmarkEnd w:id="367"/>
      <w:bookmarkEnd w:id="368"/>
    </w:p>
    <w:p>
      <w:pPr>
        <w:pStyle w:val="ySubsection"/>
      </w:pPr>
      <w:r>
        <w:tab/>
      </w:r>
      <w:r>
        <w:tab/>
        <w:t xml:space="preserve">For — </w:t>
      </w:r>
    </w:p>
    <w:p>
      <w:pPr>
        <w:pStyle w:val="yIndenta"/>
        <w:tabs>
          <w:tab w:val="right" w:leader="dot" w:pos="6804"/>
        </w:tabs>
      </w:pPr>
      <w:r>
        <w:tab/>
        <w:t>(a)</w:t>
      </w:r>
      <w:r>
        <w:tab/>
        <w:t xml:space="preserve">a meter reading, the charge is </w:t>
      </w:r>
      <w:r>
        <w:tab/>
        <w:t>$24.03</w:t>
      </w:r>
    </w:p>
    <w:p>
      <w:pPr>
        <w:pStyle w:val="yIndenta"/>
        <w:tabs>
          <w:tab w:val="right" w:leader="dot" w:pos="6804"/>
        </w:tabs>
      </w:pPr>
      <w:r>
        <w:tab/>
        <w:t>(b)</w:t>
      </w:r>
      <w:r>
        <w:tab/>
        <w:t xml:space="preserve">an urgent meter reading, the charge is </w:t>
      </w:r>
      <w:r>
        <w:tab/>
        <w:t>$36.86</w:t>
      </w:r>
    </w:p>
    <w:p>
      <w:pPr>
        <w:pStyle w:val="yIndenta"/>
        <w:tabs>
          <w:tab w:val="right" w:leader="dot" w:pos="6804"/>
        </w:tabs>
      </w:pPr>
      <w:r>
        <w:tab/>
        <w:t>(c)</w:t>
      </w:r>
      <w:r>
        <w:tab/>
        <w:t xml:space="preserve">the provision of information in relation </w:t>
      </w:r>
      <w:r>
        <w:br/>
        <w:t xml:space="preserve">to water services for land and a meter </w:t>
      </w:r>
      <w:r>
        <w:br/>
        <w:t xml:space="preserve">reading, the charge is </w:t>
      </w:r>
      <w:r>
        <w:tab/>
        <w:t>$32.91</w:t>
      </w:r>
    </w:p>
    <w:p>
      <w:pPr>
        <w:pStyle w:val="yIndenta"/>
        <w:tabs>
          <w:tab w:val="right" w:leader="dot" w:pos="6804"/>
        </w:tabs>
      </w:pPr>
      <w:r>
        <w:tab/>
        <w:t>(d)</w:t>
      </w:r>
      <w:r>
        <w:tab/>
        <w:t xml:space="preserve">the provision of information in relation </w:t>
      </w:r>
      <w:r>
        <w:br/>
        <w:t xml:space="preserve">to water services for land and an urgent </w:t>
      </w:r>
      <w:r>
        <w:br/>
        <w:t xml:space="preserve">meter reading, the charge is </w:t>
      </w:r>
      <w:r>
        <w:tab/>
        <w:t>$45.74</w:t>
      </w:r>
    </w:p>
    <w:p>
      <w:pPr>
        <w:pStyle w:val="yIndenta"/>
        <w:tabs>
          <w:tab w:val="right" w:leader="dot" w:pos="6804"/>
        </w:tabs>
      </w:pPr>
      <w:r>
        <w:tab/>
        <w:t>(e)</w:t>
      </w:r>
      <w:r>
        <w:tab/>
        <w:t xml:space="preserve">the provision of information not </w:t>
      </w:r>
      <w:r>
        <w:br/>
        <w:t xml:space="preserve">covered by paragraphs (a) to (d), </w:t>
      </w:r>
      <w:r>
        <w:br/>
        <w:t xml:space="preserve">involving research or investigation </w:t>
      </w:r>
      <w:r>
        <w:br/>
        <w:t xml:space="preserve">of more than 15 minutes, the </w:t>
      </w:r>
      <w:r>
        <w:br/>
        <w:t xml:space="preserve">charge is </w:t>
      </w:r>
      <w:r>
        <w:tab/>
      </w:r>
      <w:r>
        <w:rPr>
          <w:szCs w:val="22"/>
        </w:rPr>
        <w:t>$102.72</w:t>
      </w:r>
      <w:r>
        <w:t>/hour</w:t>
      </w:r>
    </w:p>
    <w:p>
      <w:pPr>
        <w:pStyle w:val="yIndenta"/>
        <w:spacing w:before="0"/>
        <w:ind w:right="284"/>
        <w:jc w:val="right"/>
      </w:pPr>
      <w:r>
        <w:t>or part hour</w:t>
      </w:r>
    </w:p>
    <w:p>
      <w:pPr>
        <w:pStyle w:val="zyHeading5"/>
      </w:pPr>
      <w:bookmarkStart w:id="369" w:name="_Toc169797306"/>
      <w:bookmarkStart w:id="370" w:name="_Toc170213217"/>
      <w:r>
        <w:t>15.</w:t>
      </w:r>
      <w:r>
        <w:tab/>
        <w:t>Copies of records</w:t>
      </w:r>
      <w:bookmarkEnd w:id="369"/>
      <w:bookmarkEnd w:id="370"/>
    </w:p>
    <w:p>
      <w:pPr>
        <w:pStyle w:val="ySubsection"/>
        <w:tabs>
          <w:tab w:val="right" w:leader="dot" w:pos="6804"/>
        </w:tabs>
      </w:pPr>
      <w:r>
        <w:tab/>
      </w:r>
      <w:r>
        <w:tab/>
        <w:t xml:space="preserve">For a copy of records under the </w:t>
      </w:r>
      <w:r>
        <w:br/>
      </w:r>
      <w:r>
        <w:rPr>
          <w:i/>
          <w:iCs/>
        </w:rPr>
        <w:t>Water Services Regulations 2013</w:t>
      </w:r>
      <w:r>
        <w:t xml:space="preserve"> </w:t>
      </w:r>
      <w:r>
        <w:br/>
        <w:t xml:space="preserve">regulation 65(4)(b), the charge is </w:t>
      </w:r>
      <w:r>
        <w:tab/>
        <w:t>$19.80 per record</w:t>
      </w:r>
    </w:p>
    <w:p>
      <w:pPr>
        <w:pStyle w:val="BlankClose"/>
      </w:pPr>
    </w:p>
    <w:p>
      <w:pPr>
        <w:pStyle w:val="Heading5"/>
      </w:pPr>
      <w:bookmarkStart w:id="371" w:name="_Toc169797307"/>
      <w:bookmarkStart w:id="372" w:name="_Toc170213218"/>
      <w:r>
        <w:rPr>
          <w:rStyle w:val="CharSectno"/>
        </w:rPr>
        <w:lastRenderedPageBreak/>
        <w:t>10</w:t>
      </w:r>
      <w:r>
        <w:t>.</w:t>
      </w:r>
      <w:r>
        <w:tab/>
        <w:t>Schedule 10 amended</w:t>
      </w:r>
      <w:bookmarkEnd w:id="371"/>
      <w:bookmarkEnd w:id="372"/>
    </w:p>
    <w:p>
      <w:pPr>
        <w:pStyle w:val="Subsection"/>
        <w:keepNext/>
      </w:pPr>
      <w:r>
        <w:tab/>
      </w:r>
      <w:r>
        <w:tab/>
        <w:t>In Schedule 10 in the Table in the row relating to Porongurup delete “</w:t>
      </w:r>
      <w:r>
        <w:rPr>
          <w:sz w:val="22"/>
        </w:rPr>
        <w:t>14</w:t>
      </w:r>
      <w:r>
        <w:t>” and insert:</w:t>
      </w:r>
    </w:p>
    <w:p>
      <w:pPr>
        <w:pStyle w:val="BlankOpen"/>
      </w:pPr>
    </w:p>
    <w:p>
      <w:pPr>
        <w:pStyle w:val="Subsection"/>
        <w:keepNext/>
      </w:pPr>
      <w:r>
        <w:tab/>
      </w:r>
      <w:r>
        <w:tab/>
      </w:r>
      <w:r>
        <w:rPr>
          <w:sz w:val="22"/>
        </w:rPr>
        <w:t>15</w:t>
      </w:r>
    </w:p>
    <w:p>
      <w:pPr>
        <w:pStyle w:val="BlankClose"/>
      </w:pPr>
    </w:p>
    <w:p>
      <w:pPr>
        <w:pStyle w:val="Heading5"/>
      </w:pPr>
      <w:bookmarkStart w:id="373" w:name="_Toc169797308"/>
      <w:bookmarkStart w:id="374" w:name="_Toc170213219"/>
      <w:r>
        <w:rPr>
          <w:rStyle w:val="CharSectno"/>
        </w:rPr>
        <w:t>11</w:t>
      </w:r>
      <w:r>
        <w:t>.</w:t>
      </w:r>
      <w:r>
        <w:tab/>
        <w:t>Schedule 11 amended</w:t>
      </w:r>
      <w:bookmarkEnd w:id="373"/>
      <w:bookmarkEnd w:id="374"/>
    </w:p>
    <w:p>
      <w:pPr>
        <w:pStyle w:val="Subsection"/>
        <w:keepNext/>
      </w:pPr>
      <w:r>
        <w:tab/>
      </w:r>
      <w:r>
        <w:tab/>
        <w:t>In Schedule 11 in the Table in the row relating to Porongurup delete “</w:t>
      </w:r>
      <w:r>
        <w:rPr>
          <w:sz w:val="22"/>
          <w:szCs w:val="18"/>
        </w:rPr>
        <w:t>12</w:t>
      </w:r>
      <w:r>
        <w:t>” and insert:</w:t>
      </w:r>
    </w:p>
    <w:p>
      <w:pPr>
        <w:pStyle w:val="BlankOpen"/>
      </w:pPr>
    </w:p>
    <w:p>
      <w:pPr>
        <w:pStyle w:val="Subsection"/>
        <w:keepNext/>
      </w:pPr>
      <w:r>
        <w:tab/>
      </w:r>
      <w:r>
        <w:tab/>
      </w:r>
      <w:r>
        <w:rPr>
          <w:sz w:val="22"/>
          <w:szCs w:val="18"/>
        </w:rPr>
        <w:t>14</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6BAA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A9B7BA9" w14:textId="6237660F" w:rsidR="00E146E0" w:rsidRDefault="00E146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7E05">
                        <w:rPr>
                          <w:sz w:val="16"/>
                        </w:rPr>
                        <w:t>2024</w:t>
                      </w:r>
                      <w:r>
                        <w:rPr>
                          <w:sz w:val="16"/>
                        </w:rPr>
                        <w:fldChar w:fldCharType="end"/>
                      </w:r>
                      <w:r>
                        <w:rPr>
                          <w:sz w:val="16"/>
                        </w:rPr>
                        <w:t>.</w:t>
                      </w:r>
                    </w:p>
                    <w:p w14:paraId="39E40525" w14:textId="77777777" w:rsidR="00E146E0" w:rsidRDefault="00E146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A634EE" w14:textId="75256F90" w:rsidR="00E146E0" w:rsidRDefault="00E146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7E05">
                        <w:rPr>
                          <w:sz w:val="16"/>
                        </w:rPr>
                        <w:t>2024</w:t>
                      </w:r>
                      <w:r>
                        <w:rPr>
                          <w:sz w:val="16"/>
                        </w:rPr>
                        <w:fldChar w:fldCharType="end"/>
                      </w:r>
                      <w:r>
                        <w:rPr>
                          <w:sz w:val="16"/>
                        </w:rPr>
                        <w:t>.</w:t>
                      </w:r>
                    </w:p>
                    <w:p w14:paraId="32497C28" w14:textId="77777777" w:rsidR="00E146E0" w:rsidRDefault="00E146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2024/117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2024/117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284"/>
      <w:gridCol w:w="175"/>
    </w:tblGrid>
    <w:tr>
      <w:trPr>
        <w:gridAfter w:val="1"/>
        <w:wAfter w:w="175" w:type="dxa"/>
        <w:cantSplit/>
        <w:jc w:val="center"/>
      </w:trPr>
      <w:tc>
        <w:tcPr>
          <w:tcW w:w="7088" w:type="dxa"/>
          <w:gridSpan w:val="3"/>
        </w:tcPr>
        <w:p>
          <w:pPr>
            <w:pStyle w:val="Header"/>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2024</w:t>
          </w:r>
          <w:r>
            <w:rPr>
              <w:b/>
              <w:i/>
            </w:rPr>
            <w:fldChar w:fldCharType="end"/>
          </w:r>
        </w:p>
      </w:tc>
    </w:tr>
    <w:tr>
      <w:trPr>
        <w:gridAfter w:val="2"/>
        <w:wAfter w:w="459"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256"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3"/>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4"/>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2024</w:t>
          </w:r>
          <w:r>
            <w:rPr>
              <w:b/>
              <w:i/>
            </w:rPr>
            <w:fldChar w:fldCharType="end"/>
          </w:r>
        </w:p>
      </w:tc>
    </w:tr>
    <w:tr>
      <w:trPr>
        <w:gridBefore w:val="1"/>
        <w:wBefore w:w="426" w:type="dxa"/>
        <w:jc w:val="center"/>
      </w:trPr>
      <w:tc>
        <w:tcPr>
          <w:tcW w:w="5289"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5" w:name="Coversheet"/>
    <w:bookmarkEnd w:id="3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4"/>
  </w:num>
  <w:num w:numId="3">
    <w:abstractNumId w:val="9"/>
  </w:num>
  <w:num w:numId="4">
    <w:abstractNumId w:val="22"/>
  </w:num>
  <w:num w:numId="5">
    <w:abstractNumId w:val="11"/>
  </w:num>
  <w:num w:numId="6">
    <w:abstractNumId w:val="16"/>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1"/>
  </w:num>
  <w:num w:numId="18">
    <w:abstractNumId w:val="17"/>
  </w:num>
  <w:num w:numId="19">
    <w:abstractNumId w:val="24"/>
  </w:num>
  <w:num w:numId="20">
    <w:abstractNumId w:val="23"/>
  </w:num>
  <w:num w:numId="21">
    <w:abstractNumId w:val="27"/>
  </w:num>
  <w:num w:numId="22">
    <w:abstractNumId w:val="12"/>
  </w:num>
  <w:num w:numId="23">
    <w:abstractNumId w:val="20"/>
  </w:num>
  <w:num w:numId="24">
    <w:abstractNumId w:val="25"/>
  </w:num>
  <w:num w:numId="25">
    <w:abstractNumId w:val="1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731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0909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9094849_GUID" w:val="d9e5e759-2063-4b65-8f08-95ad44a75ad5"/>
    <w:docVar w:name="WAFER_20240528101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8101236_GUID" w:val="0ea88033-3f3a-4759-9af3-575d2be84657"/>
    <w:docVar w:name="WAFER_2024053013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30133310_GUID" w:val="ad3e1c08-a7b5-46dd-8c71-8a6724f5c870"/>
    <w:docVar w:name="WAFER_2024062017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73154_GUID" w:val="343a1713-1b59-46d4-9341-95c2699e9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D044E967-3E42-47C9-81B3-5E72AAB3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MiscellaneousBodyLeft1cm">
    <w:name w:val="yMiscellaneous Body + Left:  1 cm"/>
    <w:aliases w:val="Hanging:  2 cm"/>
    <w:basedOn w:val="zyMiscellaneousBody"/>
    <w:pPr>
      <w:tabs>
        <w:tab w:val="right" w:leader="dot" w:pos="6803"/>
      </w:tabs>
      <w:ind w:left="1701" w:hanging="1134"/>
    </w:pPr>
  </w:style>
  <w:style w:type="paragraph" w:customStyle="1" w:styleId="yMiscellaneousBodyLeft425cm">
    <w:name w:val="yMiscellaneous Body + Left:  4.25 cm"/>
    <w:basedOn w:val="zyMiscellaneousBody"/>
    <w:pPr>
      <w:tabs>
        <w:tab w:val="right" w:leader="dot" w:pos="6803"/>
      </w:tabs>
      <w:ind w:left="2410"/>
    </w:pPr>
  </w:style>
  <w:style w:type="paragraph" w:customStyle="1" w:styleId="yMiscellaneousBodyLeft3cm">
    <w:name w:val="yMiscellaneous Body + Left:  3 cm"/>
    <w:basedOn w:val="zyMiscellaneousBody"/>
    <w:pPr>
      <w:tabs>
        <w:tab w:val="right" w:leader="dot" w:pos="6803"/>
      </w:tabs>
      <w:ind w:left="1701"/>
    </w:pPr>
  </w:style>
  <w:style w:type="paragraph" w:customStyle="1" w:styleId="ySubsectionRight">
    <w:name w:val="ySubsection + Right"/>
    <w:aliases w:val="Before:  0 pt"/>
    <w:basedOn w:val="zyIndenta"/>
    <w:pPr>
      <w:tabs>
        <w:tab w:val="right" w:leader="dot" w:pos="6803"/>
      </w:tabs>
      <w:spacing w:before="0"/>
      <w:jc w:val="right"/>
    </w:pPr>
  </w:style>
  <w:style w:type="paragraph" w:customStyle="1" w:styleId="yTableNAmLeft-005cm">
    <w:name w:val="yTableNAm + Left:  -0.05 cm"/>
    <w:aliases w:val="Hanging:  0.57 cm"/>
    <w:basedOn w:val="zyTableNAm"/>
    <w:pPr>
      <w:tabs>
        <w:tab w:val="clear" w:pos="567"/>
      </w:tabs>
      <w:ind w:left="294" w:hanging="322"/>
    </w:pPr>
    <w:rPr>
      <w:szCs w:val="22"/>
    </w:rPr>
  </w:style>
  <w:style w:type="paragraph" w:customStyle="1" w:styleId="yTHeadingNAmLeft25cm">
    <w:name w:val="yTHeadingNAm + Left:  2.5 cm"/>
    <w:basedOn w:val="zyTHeadingNAm"/>
    <w:pPr>
      <w:ind w:left="1418"/>
    </w:pPr>
  </w:style>
  <w:style w:type="paragraph" w:customStyle="1" w:styleId="yTableNAmLeft0cm">
    <w:name w:val="yTableNAm + Left:  0 cm"/>
    <w:aliases w:val="Hanging:  0.58 cm"/>
    <w:basedOn w:val="zyTableNAm"/>
    <w:pPr>
      <w:tabs>
        <w:tab w:val="clear" w:pos="567"/>
      </w:tabs>
      <w:ind w:left="327" w:hanging="327"/>
    </w:pPr>
  </w:style>
  <w:style w:type="paragraph" w:customStyle="1" w:styleId="yTHeadingNAmLeft175cm">
    <w:name w:val="yTHeadingNAm + Left:  1.75 cm"/>
    <w:basedOn w:val="zyTHeadingNAm"/>
    <w:pPr>
      <w:ind w:left="993"/>
    </w:pPr>
  </w:style>
  <w:style w:type="paragraph" w:customStyle="1" w:styleId="yTableNAmLeft-065cm">
    <w:name w:val="yTableNAm + Left:  -0.65 cm"/>
    <w:aliases w:val="Hanging:  0.75 cm,Right:  -0.1 cm"/>
    <w:basedOn w:val="zyTableNAm"/>
    <w:pPr>
      <w:tabs>
        <w:tab w:val="clear" w:pos="567"/>
      </w:tabs>
      <w:ind w:left="397" w:right="-57" w:hanging="425"/>
    </w:pPr>
  </w:style>
  <w:style w:type="paragraph" w:customStyle="1" w:styleId="yTableNAmBold">
    <w:name w:val="yTableNAm + Bold"/>
    <w:aliases w:val="Centered"/>
    <w:basedOn w:val="zyTableNAm"/>
    <w:pPr>
      <w:jc w:val="center"/>
    </w:pPr>
    <w:rPr>
      <w:b/>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4005">
      <w:bodyDiv w:val="1"/>
      <w:marLeft w:val="0"/>
      <w:marRight w:val="0"/>
      <w:marTop w:val="0"/>
      <w:marBottom w:val="0"/>
      <w:divBdr>
        <w:top w:val="none" w:sz="0" w:space="0" w:color="auto"/>
        <w:left w:val="none" w:sz="0" w:space="0" w:color="auto"/>
        <w:bottom w:val="none" w:sz="0" w:space="0" w:color="auto"/>
        <w:right w:val="none" w:sz="0" w:space="0" w:color="auto"/>
      </w:divBdr>
    </w:div>
    <w:div w:id="16858197">
      <w:bodyDiv w:val="1"/>
      <w:marLeft w:val="0"/>
      <w:marRight w:val="0"/>
      <w:marTop w:val="0"/>
      <w:marBottom w:val="0"/>
      <w:divBdr>
        <w:top w:val="none" w:sz="0" w:space="0" w:color="auto"/>
        <w:left w:val="none" w:sz="0" w:space="0" w:color="auto"/>
        <w:bottom w:val="none" w:sz="0" w:space="0" w:color="auto"/>
        <w:right w:val="none" w:sz="0" w:space="0" w:color="auto"/>
      </w:divBdr>
    </w:div>
    <w:div w:id="17901124">
      <w:bodyDiv w:val="1"/>
      <w:marLeft w:val="0"/>
      <w:marRight w:val="0"/>
      <w:marTop w:val="0"/>
      <w:marBottom w:val="0"/>
      <w:divBdr>
        <w:top w:val="none" w:sz="0" w:space="0" w:color="auto"/>
        <w:left w:val="none" w:sz="0" w:space="0" w:color="auto"/>
        <w:bottom w:val="none" w:sz="0" w:space="0" w:color="auto"/>
        <w:right w:val="none" w:sz="0" w:space="0" w:color="auto"/>
      </w:divBdr>
    </w:div>
    <w:div w:id="26413771">
      <w:bodyDiv w:val="1"/>
      <w:marLeft w:val="0"/>
      <w:marRight w:val="0"/>
      <w:marTop w:val="0"/>
      <w:marBottom w:val="0"/>
      <w:divBdr>
        <w:top w:val="none" w:sz="0" w:space="0" w:color="auto"/>
        <w:left w:val="none" w:sz="0" w:space="0" w:color="auto"/>
        <w:bottom w:val="none" w:sz="0" w:space="0" w:color="auto"/>
        <w:right w:val="none" w:sz="0" w:space="0" w:color="auto"/>
      </w:divBdr>
    </w:div>
    <w:div w:id="28798424">
      <w:bodyDiv w:val="1"/>
      <w:marLeft w:val="0"/>
      <w:marRight w:val="0"/>
      <w:marTop w:val="0"/>
      <w:marBottom w:val="0"/>
      <w:divBdr>
        <w:top w:val="none" w:sz="0" w:space="0" w:color="auto"/>
        <w:left w:val="none" w:sz="0" w:space="0" w:color="auto"/>
        <w:bottom w:val="none" w:sz="0" w:space="0" w:color="auto"/>
        <w:right w:val="none" w:sz="0" w:space="0" w:color="auto"/>
      </w:divBdr>
    </w:div>
    <w:div w:id="32191860">
      <w:bodyDiv w:val="1"/>
      <w:marLeft w:val="0"/>
      <w:marRight w:val="0"/>
      <w:marTop w:val="0"/>
      <w:marBottom w:val="0"/>
      <w:divBdr>
        <w:top w:val="none" w:sz="0" w:space="0" w:color="auto"/>
        <w:left w:val="none" w:sz="0" w:space="0" w:color="auto"/>
        <w:bottom w:val="none" w:sz="0" w:space="0" w:color="auto"/>
        <w:right w:val="none" w:sz="0" w:space="0" w:color="auto"/>
      </w:divBdr>
    </w:div>
    <w:div w:id="64181374">
      <w:bodyDiv w:val="1"/>
      <w:marLeft w:val="0"/>
      <w:marRight w:val="0"/>
      <w:marTop w:val="0"/>
      <w:marBottom w:val="0"/>
      <w:divBdr>
        <w:top w:val="none" w:sz="0" w:space="0" w:color="auto"/>
        <w:left w:val="none" w:sz="0" w:space="0" w:color="auto"/>
        <w:bottom w:val="none" w:sz="0" w:space="0" w:color="auto"/>
        <w:right w:val="none" w:sz="0" w:space="0" w:color="auto"/>
      </w:divBdr>
    </w:div>
    <w:div w:id="73094759">
      <w:bodyDiv w:val="1"/>
      <w:marLeft w:val="0"/>
      <w:marRight w:val="0"/>
      <w:marTop w:val="0"/>
      <w:marBottom w:val="0"/>
      <w:divBdr>
        <w:top w:val="none" w:sz="0" w:space="0" w:color="auto"/>
        <w:left w:val="none" w:sz="0" w:space="0" w:color="auto"/>
        <w:bottom w:val="none" w:sz="0" w:space="0" w:color="auto"/>
        <w:right w:val="none" w:sz="0" w:space="0" w:color="auto"/>
      </w:divBdr>
    </w:div>
    <w:div w:id="85468030">
      <w:bodyDiv w:val="1"/>
      <w:marLeft w:val="0"/>
      <w:marRight w:val="0"/>
      <w:marTop w:val="0"/>
      <w:marBottom w:val="0"/>
      <w:divBdr>
        <w:top w:val="none" w:sz="0" w:space="0" w:color="auto"/>
        <w:left w:val="none" w:sz="0" w:space="0" w:color="auto"/>
        <w:bottom w:val="none" w:sz="0" w:space="0" w:color="auto"/>
        <w:right w:val="none" w:sz="0" w:space="0" w:color="auto"/>
      </w:divBdr>
    </w:div>
    <w:div w:id="90246658">
      <w:bodyDiv w:val="1"/>
      <w:marLeft w:val="0"/>
      <w:marRight w:val="0"/>
      <w:marTop w:val="0"/>
      <w:marBottom w:val="0"/>
      <w:divBdr>
        <w:top w:val="none" w:sz="0" w:space="0" w:color="auto"/>
        <w:left w:val="none" w:sz="0" w:space="0" w:color="auto"/>
        <w:bottom w:val="none" w:sz="0" w:space="0" w:color="auto"/>
        <w:right w:val="none" w:sz="0" w:space="0" w:color="auto"/>
      </w:divBdr>
    </w:div>
    <w:div w:id="91320846">
      <w:bodyDiv w:val="1"/>
      <w:marLeft w:val="0"/>
      <w:marRight w:val="0"/>
      <w:marTop w:val="0"/>
      <w:marBottom w:val="0"/>
      <w:divBdr>
        <w:top w:val="none" w:sz="0" w:space="0" w:color="auto"/>
        <w:left w:val="none" w:sz="0" w:space="0" w:color="auto"/>
        <w:bottom w:val="none" w:sz="0" w:space="0" w:color="auto"/>
        <w:right w:val="none" w:sz="0" w:space="0" w:color="auto"/>
      </w:divBdr>
    </w:div>
    <w:div w:id="103154829">
      <w:bodyDiv w:val="1"/>
      <w:marLeft w:val="0"/>
      <w:marRight w:val="0"/>
      <w:marTop w:val="0"/>
      <w:marBottom w:val="0"/>
      <w:divBdr>
        <w:top w:val="none" w:sz="0" w:space="0" w:color="auto"/>
        <w:left w:val="none" w:sz="0" w:space="0" w:color="auto"/>
        <w:bottom w:val="none" w:sz="0" w:space="0" w:color="auto"/>
        <w:right w:val="none" w:sz="0" w:space="0" w:color="auto"/>
      </w:divBdr>
    </w:div>
    <w:div w:id="104010686">
      <w:bodyDiv w:val="1"/>
      <w:marLeft w:val="0"/>
      <w:marRight w:val="0"/>
      <w:marTop w:val="0"/>
      <w:marBottom w:val="0"/>
      <w:divBdr>
        <w:top w:val="none" w:sz="0" w:space="0" w:color="auto"/>
        <w:left w:val="none" w:sz="0" w:space="0" w:color="auto"/>
        <w:bottom w:val="none" w:sz="0" w:space="0" w:color="auto"/>
        <w:right w:val="none" w:sz="0" w:space="0" w:color="auto"/>
      </w:divBdr>
    </w:div>
    <w:div w:id="109979478">
      <w:bodyDiv w:val="1"/>
      <w:marLeft w:val="0"/>
      <w:marRight w:val="0"/>
      <w:marTop w:val="0"/>
      <w:marBottom w:val="0"/>
      <w:divBdr>
        <w:top w:val="none" w:sz="0" w:space="0" w:color="auto"/>
        <w:left w:val="none" w:sz="0" w:space="0" w:color="auto"/>
        <w:bottom w:val="none" w:sz="0" w:space="0" w:color="auto"/>
        <w:right w:val="none" w:sz="0" w:space="0" w:color="auto"/>
      </w:divBdr>
    </w:div>
    <w:div w:id="118764235">
      <w:bodyDiv w:val="1"/>
      <w:marLeft w:val="0"/>
      <w:marRight w:val="0"/>
      <w:marTop w:val="0"/>
      <w:marBottom w:val="0"/>
      <w:divBdr>
        <w:top w:val="none" w:sz="0" w:space="0" w:color="auto"/>
        <w:left w:val="none" w:sz="0" w:space="0" w:color="auto"/>
        <w:bottom w:val="none" w:sz="0" w:space="0" w:color="auto"/>
        <w:right w:val="none" w:sz="0" w:space="0" w:color="auto"/>
      </w:divBdr>
    </w:div>
    <w:div w:id="126514158">
      <w:bodyDiv w:val="1"/>
      <w:marLeft w:val="0"/>
      <w:marRight w:val="0"/>
      <w:marTop w:val="0"/>
      <w:marBottom w:val="0"/>
      <w:divBdr>
        <w:top w:val="none" w:sz="0" w:space="0" w:color="auto"/>
        <w:left w:val="none" w:sz="0" w:space="0" w:color="auto"/>
        <w:bottom w:val="none" w:sz="0" w:space="0" w:color="auto"/>
        <w:right w:val="none" w:sz="0" w:space="0" w:color="auto"/>
      </w:divBdr>
    </w:div>
    <w:div w:id="141391871">
      <w:bodyDiv w:val="1"/>
      <w:marLeft w:val="0"/>
      <w:marRight w:val="0"/>
      <w:marTop w:val="0"/>
      <w:marBottom w:val="0"/>
      <w:divBdr>
        <w:top w:val="none" w:sz="0" w:space="0" w:color="auto"/>
        <w:left w:val="none" w:sz="0" w:space="0" w:color="auto"/>
        <w:bottom w:val="none" w:sz="0" w:space="0" w:color="auto"/>
        <w:right w:val="none" w:sz="0" w:space="0" w:color="auto"/>
      </w:divBdr>
    </w:div>
    <w:div w:id="148134077">
      <w:bodyDiv w:val="1"/>
      <w:marLeft w:val="0"/>
      <w:marRight w:val="0"/>
      <w:marTop w:val="0"/>
      <w:marBottom w:val="0"/>
      <w:divBdr>
        <w:top w:val="none" w:sz="0" w:space="0" w:color="auto"/>
        <w:left w:val="none" w:sz="0" w:space="0" w:color="auto"/>
        <w:bottom w:val="none" w:sz="0" w:space="0" w:color="auto"/>
        <w:right w:val="none" w:sz="0" w:space="0" w:color="auto"/>
      </w:divBdr>
    </w:div>
    <w:div w:id="148525849">
      <w:bodyDiv w:val="1"/>
      <w:marLeft w:val="0"/>
      <w:marRight w:val="0"/>
      <w:marTop w:val="0"/>
      <w:marBottom w:val="0"/>
      <w:divBdr>
        <w:top w:val="none" w:sz="0" w:space="0" w:color="auto"/>
        <w:left w:val="none" w:sz="0" w:space="0" w:color="auto"/>
        <w:bottom w:val="none" w:sz="0" w:space="0" w:color="auto"/>
        <w:right w:val="none" w:sz="0" w:space="0" w:color="auto"/>
      </w:divBdr>
    </w:div>
    <w:div w:id="167642684">
      <w:bodyDiv w:val="1"/>
      <w:marLeft w:val="0"/>
      <w:marRight w:val="0"/>
      <w:marTop w:val="0"/>
      <w:marBottom w:val="0"/>
      <w:divBdr>
        <w:top w:val="none" w:sz="0" w:space="0" w:color="auto"/>
        <w:left w:val="none" w:sz="0" w:space="0" w:color="auto"/>
        <w:bottom w:val="none" w:sz="0" w:space="0" w:color="auto"/>
        <w:right w:val="none" w:sz="0" w:space="0" w:color="auto"/>
      </w:divBdr>
    </w:div>
    <w:div w:id="174996698">
      <w:bodyDiv w:val="1"/>
      <w:marLeft w:val="0"/>
      <w:marRight w:val="0"/>
      <w:marTop w:val="0"/>
      <w:marBottom w:val="0"/>
      <w:divBdr>
        <w:top w:val="none" w:sz="0" w:space="0" w:color="auto"/>
        <w:left w:val="none" w:sz="0" w:space="0" w:color="auto"/>
        <w:bottom w:val="none" w:sz="0" w:space="0" w:color="auto"/>
        <w:right w:val="none" w:sz="0" w:space="0" w:color="auto"/>
      </w:divBdr>
    </w:div>
    <w:div w:id="178662135">
      <w:bodyDiv w:val="1"/>
      <w:marLeft w:val="0"/>
      <w:marRight w:val="0"/>
      <w:marTop w:val="0"/>
      <w:marBottom w:val="0"/>
      <w:divBdr>
        <w:top w:val="none" w:sz="0" w:space="0" w:color="auto"/>
        <w:left w:val="none" w:sz="0" w:space="0" w:color="auto"/>
        <w:bottom w:val="none" w:sz="0" w:space="0" w:color="auto"/>
        <w:right w:val="none" w:sz="0" w:space="0" w:color="auto"/>
      </w:divBdr>
    </w:div>
    <w:div w:id="203759150">
      <w:bodyDiv w:val="1"/>
      <w:marLeft w:val="0"/>
      <w:marRight w:val="0"/>
      <w:marTop w:val="0"/>
      <w:marBottom w:val="0"/>
      <w:divBdr>
        <w:top w:val="none" w:sz="0" w:space="0" w:color="auto"/>
        <w:left w:val="none" w:sz="0" w:space="0" w:color="auto"/>
        <w:bottom w:val="none" w:sz="0" w:space="0" w:color="auto"/>
        <w:right w:val="none" w:sz="0" w:space="0" w:color="auto"/>
      </w:divBdr>
    </w:div>
    <w:div w:id="209001074">
      <w:bodyDiv w:val="1"/>
      <w:marLeft w:val="0"/>
      <w:marRight w:val="0"/>
      <w:marTop w:val="0"/>
      <w:marBottom w:val="0"/>
      <w:divBdr>
        <w:top w:val="none" w:sz="0" w:space="0" w:color="auto"/>
        <w:left w:val="none" w:sz="0" w:space="0" w:color="auto"/>
        <w:bottom w:val="none" w:sz="0" w:space="0" w:color="auto"/>
        <w:right w:val="none" w:sz="0" w:space="0" w:color="auto"/>
      </w:divBdr>
    </w:div>
    <w:div w:id="218248349">
      <w:bodyDiv w:val="1"/>
      <w:marLeft w:val="0"/>
      <w:marRight w:val="0"/>
      <w:marTop w:val="0"/>
      <w:marBottom w:val="0"/>
      <w:divBdr>
        <w:top w:val="none" w:sz="0" w:space="0" w:color="auto"/>
        <w:left w:val="none" w:sz="0" w:space="0" w:color="auto"/>
        <w:bottom w:val="none" w:sz="0" w:space="0" w:color="auto"/>
        <w:right w:val="none" w:sz="0" w:space="0" w:color="auto"/>
      </w:divBdr>
    </w:div>
    <w:div w:id="220484911">
      <w:bodyDiv w:val="1"/>
      <w:marLeft w:val="0"/>
      <w:marRight w:val="0"/>
      <w:marTop w:val="0"/>
      <w:marBottom w:val="0"/>
      <w:divBdr>
        <w:top w:val="none" w:sz="0" w:space="0" w:color="auto"/>
        <w:left w:val="none" w:sz="0" w:space="0" w:color="auto"/>
        <w:bottom w:val="none" w:sz="0" w:space="0" w:color="auto"/>
        <w:right w:val="none" w:sz="0" w:space="0" w:color="auto"/>
      </w:divBdr>
    </w:div>
    <w:div w:id="231241187">
      <w:bodyDiv w:val="1"/>
      <w:marLeft w:val="0"/>
      <w:marRight w:val="0"/>
      <w:marTop w:val="0"/>
      <w:marBottom w:val="0"/>
      <w:divBdr>
        <w:top w:val="none" w:sz="0" w:space="0" w:color="auto"/>
        <w:left w:val="none" w:sz="0" w:space="0" w:color="auto"/>
        <w:bottom w:val="none" w:sz="0" w:space="0" w:color="auto"/>
        <w:right w:val="none" w:sz="0" w:space="0" w:color="auto"/>
      </w:divBdr>
    </w:div>
    <w:div w:id="242955837">
      <w:bodyDiv w:val="1"/>
      <w:marLeft w:val="0"/>
      <w:marRight w:val="0"/>
      <w:marTop w:val="0"/>
      <w:marBottom w:val="0"/>
      <w:divBdr>
        <w:top w:val="none" w:sz="0" w:space="0" w:color="auto"/>
        <w:left w:val="none" w:sz="0" w:space="0" w:color="auto"/>
        <w:bottom w:val="none" w:sz="0" w:space="0" w:color="auto"/>
        <w:right w:val="none" w:sz="0" w:space="0" w:color="auto"/>
      </w:divBdr>
    </w:div>
    <w:div w:id="267196518">
      <w:bodyDiv w:val="1"/>
      <w:marLeft w:val="0"/>
      <w:marRight w:val="0"/>
      <w:marTop w:val="0"/>
      <w:marBottom w:val="0"/>
      <w:divBdr>
        <w:top w:val="none" w:sz="0" w:space="0" w:color="auto"/>
        <w:left w:val="none" w:sz="0" w:space="0" w:color="auto"/>
        <w:bottom w:val="none" w:sz="0" w:space="0" w:color="auto"/>
        <w:right w:val="none" w:sz="0" w:space="0" w:color="auto"/>
      </w:divBdr>
    </w:div>
    <w:div w:id="280311275">
      <w:bodyDiv w:val="1"/>
      <w:marLeft w:val="0"/>
      <w:marRight w:val="0"/>
      <w:marTop w:val="0"/>
      <w:marBottom w:val="0"/>
      <w:divBdr>
        <w:top w:val="none" w:sz="0" w:space="0" w:color="auto"/>
        <w:left w:val="none" w:sz="0" w:space="0" w:color="auto"/>
        <w:bottom w:val="none" w:sz="0" w:space="0" w:color="auto"/>
        <w:right w:val="none" w:sz="0" w:space="0" w:color="auto"/>
      </w:divBdr>
    </w:div>
    <w:div w:id="280649988">
      <w:bodyDiv w:val="1"/>
      <w:marLeft w:val="0"/>
      <w:marRight w:val="0"/>
      <w:marTop w:val="0"/>
      <w:marBottom w:val="0"/>
      <w:divBdr>
        <w:top w:val="none" w:sz="0" w:space="0" w:color="auto"/>
        <w:left w:val="none" w:sz="0" w:space="0" w:color="auto"/>
        <w:bottom w:val="none" w:sz="0" w:space="0" w:color="auto"/>
        <w:right w:val="none" w:sz="0" w:space="0" w:color="auto"/>
      </w:divBdr>
    </w:div>
    <w:div w:id="286283792">
      <w:bodyDiv w:val="1"/>
      <w:marLeft w:val="0"/>
      <w:marRight w:val="0"/>
      <w:marTop w:val="0"/>
      <w:marBottom w:val="0"/>
      <w:divBdr>
        <w:top w:val="none" w:sz="0" w:space="0" w:color="auto"/>
        <w:left w:val="none" w:sz="0" w:space="0" w:color="auto"/>
        <w:bottom w:val="none" w:sz="0" w:space="0" w:color="auto"/>
        <w:right w:val="none" w:sz="0" w:space="0" w:color="auto"/>
      </w:divBdr>
    </w:div>
    <w:div w:id="291717161">
      <w:bodyDiv w:val="1"/>
      <w:marLeft w:val="0"/>
      <w:marRight w:val="0"/>
      <w:marTop w:val="0"/>
      <w:marBottom w:val="0"/>
      <w:divBdr>
        <w:top w:val="none" w:sz="0" w:space="0" w:color="auto"/>
        <w:left w:val="none" w:sz="0" w:space="0" w:color="auto"/>
        <w:bottom w:val="none" w:sz="0" w:space="0" w:color="auto"/>
        <w:right w:val="none" w:sz="0" w:space="0" w:color="auto"/>
      </w:divBdr>
    </w:div>
    <w:div w:id="295524461">
      <w:bodyDiv w:val="1"/>
      <w:marLeft w:val="0"/>
      <w:marRight w:val="0"/>
      <w:marTop w:val="0"/>
      <w:marBottom w:val="0"/>
      <w:divBdr>
        <w:top w:val="none" w:sz="0" w:space="0" w:color="auto"/>
        <w:left w:val="none" w:sz="0" w:space="0" w:color="auto"/>
        <w:bottom w:val="none" w:sz="0" w:space="0" w:color="auto"/>
        <w:right w:val="none" w:sz="0" w:space="0" w:color="auto"/>
      </w:divBdr>
    </w:div>
    <w:div w:id="297417192">
      <w:bodyDiv w:val="1"/>
      <w:marLeft w:val="0"/>
      <w:marRight w:val="0"/>
      <w:marTop w:val="0"/>
      <w:marBottom w:val="0"/>
      <w:divBdr>
        <w:top w:val="none" w:sz="0" w:space="0" w:color="auto"/>
        <w:left w:val="none" w:sz="0" w:space="0" w:color="auto"/>
        <w:bottom w:val="none" w:sz="0" w:space="0" w:color="auto"/>
        <w:right w:val="none" w:sz="0" w:space="0" w:color="auto"/>
      </w:divBdr>
    </w:div>
    <w:div w:id="300816099">
      <w:bodyDiv w:val="1"/>
      <w:marLeft w:val="0"/>
      <w:marRight w:val="0"/>
      <w:marTop w:val="0"/>
      <w:marBottom w:val="0"/>
      <w:divBdr>
        <w:top w:val="none" w:sz="0" w:space="0" w:color="auto"/>
        <w:left w:val="none" w:sz="0" w:space="0" w:color="auto"/>
        <w:bottom w:val="none" w:sz="0" w:space="0" w:color="auto"/>
        <w:right w:val="none" w:sz="0" w:space="0" w:color="auto"/>
      </w:divBdr>
    </w:div>
    <w:div w:id="306512760">
      <w:bodyDiv w:val="1"/>
      <w:marLeft w:val="0"/>
      <w:marRight w:val="0"/>
      <w:marTop w:val="0"/>
      <w:marBottom w:val="0"/>
      <w:divBdr>
        <w:top w:val="none" w:sz="0" w:space="0" w:color="auto"/>
        <w:left w:val="none" w:sz="0" w:space="0" w:color="auto"/>
        <w:bottom w:val="none" w:sz="0" w:space="0" w:color="auto"/>
        <w:right w:val="none" w:sz="0" w:space="0" w:color="auto"/>
      </w:divBdr>
    </w:div>
    <w:div w:id="318653372">
      <w:bodyDiv w:val="1"/>
      <w:marLeft w:val="0"/>
      <w:marRight w:val="0"/>
      <w:marTop w:val="0"/>
      <w:marBottom w:val="0"/>
      <w:divBdr>
        <w:top w:val="none" w:sz="0" w:space="0" w:color="auto"/>
        <w:left w:val="none" w:sz="0" w:space="0" w:color="auto"/>
        <w:bottom w:val="none" w:sz="0" w:space="0" w:color="auto"/>
        <w:right w:val="none" w:sz="0" w:space="0" w:color="auto"/>
      </w:divBdr>
    </w:div>
    <w:div w:id="319702645">
      <w:bodyDiv w:val="1"/>
      <w:marLeft w:val="0"/>
      <w:marRight w:val="0"/>
      <w:marTop w:val="0"/>
      <w:marBottom w:val="0"/>
      <w:divBdr>
        <w:top w:val="none" w:sz="0" w:space="0" w:color="auto"/>
        <w:left w:val="none" w:sz="0" w:space="0" w:color="auto"/>
        <w:bottom w:val="none" w:sz="0" w:space="0" w:color="auto"/>
        <w:right w:val="none" w:sz="0" w:space="0" w:color="auto"/>
      </w:divBdr>
    </w:div>
    <w:div w:id="320305985">
      <w:bodyDiv w:val="1"/>
      <w:marLeft w:val="0"/>
      <w:marRight w:val="0"/>
      <w:marTop w:val="0"/>
      <w:marBottom w:val="0"/>
      <w:divBdr>
        <w:top w:val="none" w:sz="0" w:space="0" w:color="auto"/>
        <w:left w:val="none" w:sz="0" w:space="0" w:color="auto"/>
        <w:bottom w:val="none" w:sz="0" w:space="0" w:color="auto"/>
        <w:right w:val="none" w:sz="0" w:space="0" w:color="auto"/>
      </w:divBdr>
    </w:div>
    <w:div w:id="324213046">
      <w:bodyDiv w:val="1"/>
      <w:marLeft w:val="0"/>
      <w:marRight w:val="0"/>
      <w:marTop w:val="0"/>
      <w:marBottom w:val="0"/>
      <w:divBdr>
        <w:top w:val="none" w:sz="0" w:space="0" w:color="auto"/>
        <w:left w:val="none" w:sz="0" w:space="0" w:color="auto"/>
        <w:bottom w:val="none" w:sz="0" w:space="0" w:color="auto"/>
        <w:right w:val="none" w:sz="0" w:space="0" w:color="auto"/>
      </w:divBdr>
    </w:div>
    <w:div w:id="331489202">
      <w:bodyDiv w:val="1"/>
      <w:marLeft w:val="0"/>
      <w:marRight w:val="0"/>
      <w:marTop w:val="0"/>
      <w:marBottom w:val="0"/>
      <w:divBdr>
        <w:top w:val="none" w:sz="0" w:space="0" w:color="auto"/>
        <w:left w:val="none" w:sz="0" w:space="0" w:color="auto"/>
        <w:bottom w:val="none" w:sz="0" w:space="0" w:color="auto"/>
        <w:right w:val="none" w:sz="0" w:space="0" w:color="auto"/>
      </w:divBdr>
    </w:div>
    <w:div w:id="336425561">
      <w:bodyDiv w:val="1"/>
      <w:marLeft w:val="0"/>
      <w:marRight w:val="0"/>
      <w:marTop w:val="0"/>
      <w:marBottom w:val="0"/>
      <w:divBdr>
        <w:top w:val="none" w:sz="0" w:space="0" w:color="auto"/>
        <w:left w:val="none" w:sz="0" w:space="0" w:color="auto"/>
        <w:bottom w:val="none" w:sz="0" w:space="0" w:color="auto"/>
        <w:right w:val="none" w:sz="0" w:space="0" w:color="auto"/>
      </w:divBdr>
    </w:div>
    <w:div w:id="339283858">
      <w:bodyDiv w:val="1"/>
      <w:marLeft w:val="0"/>
      <w:marRight w:val="0"/>
      <w:marTop w:val="0"/>
      <w:marBottom w:val="0"/>
      <w:divBdr>
        <w:top w:val="none" w:sz="0" w:space="0" w:color="auto"/>
        <w:left w:val="none" w:sz="0" w:space="0" w:color="auto"/>
        <w:bottom w:val="none" w:sz="0" w:space="0" w:color="auto"/>
        <w:right w:val="none" w:sz="0" w:space="0" w:color="auto"/>
      </w:divBdr>
    </w:div>
    <w:div w:id="341444427">
      <w:bodyDiv w:val="1"/>
      <w:marLeft w:val="0"/>
      <w:marRight w:val="0"/>
      <w:marTop w:val="0"/>
      <w:marBottom w:val="0"/>
      <w:divBdr>
        <w:top w:val="none" w:sz="0" w:space="0" w:color="auto"/>
        <w:left w:val="none" w:sz="0" w:space="0" w:color="auto"/>
        <w:bottom w:val="none" w:sz="0" w:space="0" w:color="auto"/>
        <w:right w:val="none" w:sz="0" w:space="0" w:color="auto"/>
      </w:divBdr>
    </w:div>
    <w:div w:id="364335939">
      <w:bodyDiv w:val="1"/>
      <w:marLeft w:val="0"/>
      <w:marRight w:val="0"/>
      <w:marTop w:val="0"/>
      <w:marBottom w:val="0"/>
      <w:divBdr>
        <w:top w:val="none" w:sz="0" w:space="0" w:color="auto"/>
        <w:left w:val="none" w:sz="0" w:space="0" w:color="auto"/>
        <w:bottom w:val="none" w:sz="0" w:space="0" w:color="auto"/>
        <w:right w:val="none" w:sz="0" w:space="0" w:color="auto"/>
      </w:divBdr>
    </w:div>
    <w:div w:id="370225684">
      <w:bodyDiv w:val="1"/>
      <w:marLeft w:val="0"/>
      <w:marRight w:val="0"/>
      <w:marTop w:val="0"/>
      <w:marBottom w:val="0"/>
      <w:divBdr>
        <w:top w:val="none" w:sz="0" w:space="0" w:color="auto"/>
        <w:left w:val="none" w:sz="0" w:space="0" w:color="auto"/>
        <w:bottom w:val="none" w:sz="0" w:space="0" w:color="auto"/>
        <w:right w:val="none" w:sz="0" w:space="0" w:color="auto"/>
      </w:divBdr>
    </w:div>
    <w:div w:id="380325869">
      <w:bodyDiv w:val="1"/>
      <w:marLeft w:val="0"/>
      <w:marRight w:val="0"/>
      <w:marTop w:val="0"/>
      <w:marBottom w:val="0"/>
      <w:divBdr>
        <w:top w:val="none" w:sz="0" w:space="0" w:color="auto"/>
        <w:left w:val="none" w:sz="0" w:space="0" w:color="auto"/>
        <w:bottom w:val="none" w:sz="0" w:space="0" w:color="auto"/>
        <w:right w:val="none" w:sz="0" w:space="0" w:color="auto"/>
      </w:divBdr>
    </w:div>
    <w:div w:id="389111966">
      <w:bodyDiv w:val="1"/>
      <w:marLeft w:val="0"/>
      <w:marRight w:val="0"/>
      <w:marTop w:val="0"/>
      <w:marBottom w:val="0"/>
      <w:divBdr>
        <w:top w:val="none" w:sz="0" w:space="0" w:color="auto"/>
        <w:left w:val="none" w:sz="0" w:space="0" w:color="auto"/>
        <w:bottom w:val="none" w:sz="0" w:space="0" w:color="auto"/>
        <w:right w:val="none" w:sz="0" w:space="0" w:color="auto"/>
      </w:divBdr>
    </w:div>
    <w:div w:id="427041567">
      <w:bodyDiv w:val="1"/>
      <w:marLeft w:val="0"/>
      <w:marRight w:val="0"/>
      <w:marTop w:val="0"/>
      <w:marBottom w:val="0"/>
      <w:divBdr>
        <w:top w:val="none" w:sz="0" w:space="0" w:color="auto"/>
        <w:left w:val="none" w:sz="0" w:space="0" w:color="auto"/>
        <w:bottom w:val="none" w:sz="0" w:space="0" w:color="auto"/>
        <w:right w:val="none" w:sz="0" w:space="0" w:color="auto"/>
      </w:divBdr>
    </w:div>
    <w:div w:id="443500162">
      <w:bodyDiv w:val="1"/>
      <w:marLeft w:val="0"/>
      <w:marRight w:val="0"/>
      <w:marTop w:val="0"/>
      <w:marBottom w:val="0"/>
      <w:divBdr>
        <w:top w:val="none" w:sz="0" w:space="0" w:color="auto"/>
        <w:left w:val="none" w:sz="0" w:space="0" w:color="auto"/>
        <w:bottom w:val="none" w:sz="0" w:space="0" w:color="auto"/>
        <w:right w:val="none" w:sz="0" w:space="0" w:color="auto"/>
      </w:divBdr>
    </w:div>
    <w:div w:id="448477064">
      <w:bodyDiv w:val="1"/>
      <w:marLeft w:val="0"/>
      <w:marRight w:val="0"/>
      <w:marTop w:val="0"/>
      <w:marBottom w:val="0"/>
      <w:divBdr>
        <w:top w:val="none" w:sz="0" w:space="0" w:color="auto"/>
        <w:left w:val="none" w:sz="0" w:space="0" w:color="auto"/>
        <w:bottom w:val="none" w:sz="0" w:space="0" w:color="auto"/>
        <w:right w:val="none" w:sz="0" w:space="0" w:color="auto"/>
      </w:divBdr>
    </w:div>
    <w:div w:id="451746133">
      <w:bodyDiv w:val="1"/>
      <w:marLeft w:val="0"/>
      <w:marRight w:val="0"/>
      <w:marTop w:val="0"/>
      <w:marBottom w:val="0"/>
      <w:divBdr>
        <w:top w:val="none" w:sz="0" w:space="0" w:color="auto"/>
        <w:left w:val="none" w:sz="0" w:space="0" w:color="auto"/>
        <w:bottom w:val="none" w:sz="0" w:space="0" w:color="auto"/>
        <w:right w:val="none" w:sz="0" w:space="0" w:color="auto"/>
      </w:divBdr>
    </w:div>
    <w:div w:id="456146383">
      <w:bodyDiv w:val="1"/>
      <w:marLeft w:val="0"/>
      <w:marRight w:val="0"/>
      <w:marTop w:val="0"/>
      <w:marBottom w:val="0"/>
      <w:divBdr>
        <w:top w:val="none" w:sz="0" w:space="0" w:color="auto"/>
        <w:left w:val="none" w:sz="0" w:space="0" w:color="auto"/>
        <w:bottom w:val="none" w:sz="0" w:space="0" w:color="auto"/>
        <w:right w:val="none" w:sz="0" w:space="0" w:color="auto"/>
      </w:divBdr>
    </w:div>
    <w:div w:id="480080028">
      <w:bodyDiv w:val="1"/>
      <w:marLeft w:val="0"/>
      <w:marRight w:val="0"/>
      <w:marTop w:val="0"/>
      <w:marBottom w:val="0"/>
      <w:divBdr>
        <w:top w:val="none" w:sz="0" w:space="0" w:color="auto"/>
        <w:left w:val="none" w:sz="0" w:space="0" w:color="auto"/>
        <w:bottom w:val="none" w:sz="0" w:space="0" w:color="auto"/>
        <w:right w:val="none" w:sz="0" w:space="0" w:color="auto"/>
      </w:divBdr>
    </w:div>
    <w:div w:id="485822816">
      <w:bodyDiv w:val="1"/>
      <w:marLeft w:val="0"/>
      <w:marRight w:val="0"/>
      <w:marTop w:val="0"/>
      <w:marBottom w:val="0"/>
      <w:divBdr>
        <w:top w:val="none" w:sz="0" w:space="0" w:color="auto"/>
        <w:left w:val="none" w:sz="0" w:space="0" w:color="auto"/>
        <w:bottom w:val="none" w:sz="0" w:space="0" w:color="auto"/>
        <w:right w:val="none" w:sz="0" w:space="0" w:color="auto"/>
      </w:divBdr>
    </w:div>
    <w:div w:id="501899971">
      <w:bodyDiv w:val="1"/>
      <w:marLeft w:val="0"/>
      <w:marRight w:val="0"/>
      <w:marTop w:val="0"/>
      <w:marBottom w:val="0"/>
      <w:divBdr>
        <w:top w:val="none" w:sz="0" w:space="0" w:color="auto"/>
        <w:left w:val="none" w:sz="0" w:space="0" w:color="auto"/>
        <w:bottom w:val="none" w:sz="0" w:space="0" w:color="auto"/>
        <w:right w:val="none" w:sz="0" w:space="0" w:color="auto"/>
      </w:divBdr>
    </w:div>
    <w:div w:id="506410287">
      <w:bodyDiv w:val="1"/>
      <w:marLeft w:val="0"/>
      <w:marRight w:val="0"/>
      <w:marTop w:val="0"/>
      <w:marBottom w:val="0"/>
      <w:divBdr>
        <w:top w:val="none" w:sz="0" w:space="0" w:color="auto"/>
        <w:left w:val="none" w:sz="0" w:space="0" w:color="auto"/>
        <w:bottom w:val="none" w:sz="0" w:space="0" w:color="auto"/>
        <w:right w:val="none" w:sz="0" w:space="0" w:color="auto"/>
      </w:divBdr>
    </w:div>
    <w:div w:id="524363421">
      <w:bodyDiv w:val="1"/>
      <w:marLeft w:val="0"/>
      <w:marRight w:val="0"/>
      <w:marTop w:val="0"/>
      <w:marBottom w:val="0"/>
      <w:divBdr>
        <w:top w:val="none" w:sz="0" w:space="0" w:color="auto"/>
        <w:left w:val="none" w:sz="0" w:space="0" w:color="auto"/>
        <w:bottom w:val="none" w:sz="0" w:space="0" w:color="auto"/>
        <w:right w:val="none" w:sz="0" w:space="0" w:color="auto"/>
      </w:divBdr>
    </w:div>
    <w:div w:id="528448457">
      <w:bodyDiv w:val="1"/>
      <w:marLeft w:val="0"/>
      <w:marRight w:val="0"/>
      <w:marTop w:val="0"/>
      <w:marBottom w:val="0"/>
      <w:divBdr>
        <w:top w:val="none" w:sz="0" w:space="0" w:color="auto"/>
        <w:left w:val="none" w:sz="0" w:space="0" w:color="auto"/>
        <w:bottom w:val="none" w:sz="0" w:space="0" w:color="auto"/>
        <w:right w:val="none" w:sz="0" w:space="0" w:color="auto"/>
      </w:divBdr>
    </w:div>
    <w:div w:id="530459965">
      <w:bodyDiv w:val="1"/>
      <w:marLeft w:val="0"/>
      <w:marRight w:val="0"/>
      <w:marTop w:val="0"/>
      <w:marBottom w:val="0"/>
      <w:divBdr>
        <w:top w:val="none" w:sz="0" w:space="0" w:color="auto"/>
        <w:left w:val="none" w:sz="0" w:space="0" w:color="auto"/>
        <w:bottom w:val="none" w:sz="0" w:space="0" w:color="auto"/>
        <w:right w:val="none" w:sz="0" w:space="0" w:color="auto"/>
      </w:divBdr>
    </w:div>
    <w:div w:id="544565620">
      <w:bodyDiv w:val="1"/>
      <w:marLeft w:val="0"/>
      <w:marRight w:val="0"/>
      <w:marTop w:val="0"/>
      <w:marBottom w:val="0"/>
      <w:divBdr>
        <w:top w:val="none" w:sz="0" w:space="0" w:color="auto"/>
        <w:left w:val="none" w:sz="0" w:space="0" w:color="auto"/>
        <w:bottom w:val="none" w:sz="0" w:space="0" w:color="auto"/>
        <w:right w:val="none" w:sz="0" w:space="0" w:color="auto"/>
      </w:divBdr>
    </w:div>
    <w:div w:id="550456397">
      <w:bodyDiv w:val="1"/>
      <w:marLeft w:val="0"/>
      <w:marRight w:val="0"/>
      <w:marTop w:val="0"/>
      <w:marBottom w:val="0"/>
      <w:divBdr>
        <w:top w:val="none" w:sz="0" w:space="0" w:color="auto"/>
        <w:left w:val="none" w:sz="0" w:space="0" w:color="auto"/>
        <w:bottom w:val="none" w:sz="0" w:space="0" w:color="auto"/>
        <w:right w:val="none" w:sz="0" w:space="0" w:color="auto"/>
      </w:divBdr>
    </w:div>
    <w:div w:id="552547539">
      <w:bodyDiv w:val="1"/>
      <w:marLeft w:val="0"/>
      <w:marRight w:val="0"/>
      <w:marTop w:val="0"/>
      <w:marBottom w:val="0"/>
      <w:divBdr>
        <w:top w:val="none" w:sz="0" w:space="0" w:color="auto"/>
        <w:left w:val="none" w:sz="0" w:space="0" w:color="auto"/>
        <w:bottom w:val="none" w:sz="0" w:space="0" w:color="auto"/>
        <w:right w:val="none" w:sz="0" w:space="0" w:color="auto"/>
      </w:divBdr>
    </w:div>
    <w:div w:id="556942202">
      <w:bodyDiv w:val="1"/>
      <w:marLeft w:val="0"/>
      <w:marRight w:val="0"/>
      <w:marTop w:val="0"/>
      <w:marBottom w:val="0"/>
      <w:divBdr>
        <w:top w:val="none" w:sz="0" w:space="0" w:color="auto"/>
        <w:left w:val="none" w:sz="0" w:space="0" w:color="auto"/>
        <w:bottom w:val="none" w:sz="0" w:space="0" w:color="auto"/>
        <w:right w:val="none" w:sz="0" w:space="0" w:color="auto"/>
      </w:divBdr>
    </w:div>
    <w:div w:id="584386001">
      <w:bodyDiv w:val="1"/>
      <w:marLeft w:val="0"/>
      <w:marRight w:val="0"/>
      <w:marTop w:val="0"/>
      <w:marBottom w:val="0"/>
      <w:divBdr>
        <w:top w:val="none" w:sz="0" w:space="0" w:color="auto"/>
        <w:left w:val="none" w:sz="0" w:space="0" w:color="auto"/>
        <w:bottom w:val="none" w:sz="0" w:space="0" w:color="auto"/>
        <w:right w:val="none" w:sz="0" w:space="0" w:color="auto"/>
      </w:divBdr>
    </w:div>
    <w:div w:id="589003521">
      <w:bodyDiv w:val="1"/>
      <w:marLeft w:val="0"/>
      <w:marRight w:val="0"/>
      <w:marTop w:val="0"/>
      <w:marBottom w:val="0"/>
      <w:divBdr>
        <w:top w:val="none" w:sz="0" w:space="0" w:color="auto"/>
        <w:left w:val="none" w:sz="0" w:space="0" w:color="auto"/>
        <w:bottom w:val="none" w:sz="0" w:space="0" w:color="auto"/>
        <w:right w:val="none" w:sz="0" w:space="0" w:color="auto"/>
      </w:divBdr>
    </w:div>
    <w:div w:id="604072086">
      <w:bodyDiv w:val="1"/>
      <w:marLeft w:val="0"/>
      <w:marRight w:val="0"/>
      <w:marTop w:val="0"/>
      <w:marBottom w:val="0"/>
      <w:divBdr>
        <w:top w:val="none" w:sz="0" w:space="0" w:color="auto"/>
        <w:left w:val="none" w:sz="0" w:space="0" w:color="auto"/>
        <w:bottom w:val="none" w:sz="0" w:space="0" w:color="auto"/>
        <w:right w:val="none" w:sz="0" w:space="0" w:color="auto"/>
      </w:divBdr>
    </w:div>
    <w:div w:id="606230708">
      <w:bodyDiv w:val="1"/>
      <w:marLeft w:val="0"/>
      <w:marRight w:val="0"/>
      <w:marTop w:val="0"/>
      <w:marBottom w:val="0"/>
      <w:divBdr>
        <w:top w:val="none" w:sz="0" w:space="0" w:color="auto"/>
        <w:left w:val="none" w:sz="0" w:space="0" w:color="auto"/>
        <w:bottom w:val="none" w:sz="0" w:space="0" w:color="auto"/>
        <w:right w:val="none" w:sz="0" w:space="0" w:color="auto"/>
      </w:divBdr>
    </w:div>
    <w:div w:id="624508773">
      <w:bodyDiv w:val="1"/>
      <w:marLeft w:val="0"/>
      <w:marRight w:val="0"/>
      <w:marTop w:val="0"/>
      <w:marBottom w:val="0"/>
      <w:divBdr>
        <w:top w:val="none" w:sz="0" w:space="0" w:color="auto"/>
        <w:left w:val="none" w:sz="0" w:space="0" w:color="auto"/>
        <w:bottom w:val="none" w:sz="0" w:space="0" w:color="auto"/>
        <w:right w:val="none" w:sz="0" w:space="0" w:color="auto"/>
      </w:divBdr>
    </w:div>
    <w:div w:id="638193454">
      <w:bodyDiv w:val="1"/>
      <w:marLeft w:val="0"/>
      <w:marRight w:val="0"/>
      <w:marTop w:val="0"/>
      <w:marBottom w:val="0"/>
      <w:divBdr>
        <w:top w:val="none" w:sz="0" w:space="0" w:color="auto"/>
        <w:left w:val="none" w:sz="0" w:space="0" w:color="auto"/>
        <w:bottom w:val="none" w:sz="0" w:space="0" w:color="auto"/>
        <w:right w:val="none" w:sz="0" w:space="0" w:color="auto"/>
      </w:divBdr>
    </w:div>
    <w:div w:id="640958347">
      <w:bodyDiv w:val="1"/>
      <w:marLeft w:val="0"/>
      <w:marRight w:val="0"/>
      <w:marTop w:val="0"/>
      <w:marBottom w:val="0"/>
      <w:divBdr>
        <w:top w:val="none" w:sz="0" w:space="0" w:color="auto"/>
        <w:left w:val="none" w:sz="0" w:space="0" w:color="auto"/>
        <w:bottom w:val="none" w:sz="0" w:space="0" w:color="auto"/>
        <w:right w:val="none" w:sz="0" w:space="0" w:color="auto"/>
      </w:divBdr>
    </w:div>
    <w:div w:id="656157160">
      <w:bodyDiv w:val="1"/>
      <w:marLeft w:val="0"/>
      <w:marRight w:val="0"/>
      <w:marTop w:val="0"/>
      <w:marBottom w:val="0"/>
      <w:divBdr>
        <w:top w:val="none" w:sz="0" w:space="0" w:color="auto"/>
        <w:left w:val="none" w:sz="0" w:space="0" w:color="auto"/>
        <w:bottom w:val="none" w:sz="0" w:space="0" w:color="auto"/>
        <w:right w:val="none" w:sz="0" w:space="0" w:color="auto"/>
      </w:divBdr>
    </w:div>
    <w:div w:id="666710469">
      <w:bodyDiv w:val="1"/>
      <w:marLeft w:val="0"/>
      <w:marRight w:val="0"/>
      <w:marTop w:val="0"/>
      <w:marBottom w:val="0"/>
      <w:divBdr>
        <w:top w:val="none" w:sz="0" w:space="0" w:color="auto"/>
        <w:left w:val="none" w:sz="0" w:space="0" w:color="auto"/>
        <w:bottom w:val="none" w:sz="0" w:space="0" w:color="auto"/>
        <w:right w:val="none" w:sz="0" w:space="0" w:color="auto"/>
      </w:divBdr>
    </w:div>
    <w:div w:id="687566793">
      <w:bodyDiv w:val="1"/>
      <w:marLeft w:val="0"/>
      <w:marRight w:val="0"/>
      <w:marTop w:val="0"/>
      <w:marBottom w:val="0"/>
      <w:divBdr>
        <w:top w:val="none" w:sz="0" w:space="0" w:color="auto"/>
        <w:left w:val="none" w:sz="0" w:space="0" w:color="auto"/>
        <w:bottom w:val="none" w:sz="0" w:space="0" w:color="auto"/>
        <w:right w:val="none" w:sz="0" w:space="0" w:color="auto"/>
      </w:divBdr>
    </w:div>
    <w:div w:id="699009069">
      <w:bodyDiv w:val="1"/>
      <w:marLeft w:val="0"/>
      <w:marRight w:val="0"/>
      <w:marTop w:val="0"/>
      <w:marBottom w:val="0"/>
      <w:divBdr>
        <w:top w:val="none" w:sz="0" w:space="0" w:color="auto"/>
        <w:left w:val="none" w:sz="0" w:space="0" w:color="auto"/>
        <w:bottom w:val="none" w:sz="0" w:space="0" w:color="auto"/>
        <w:right w:val="none" w:sz="0" w:space="0" w:color="auto"/>
      </w:divBdr>
    </w:div>
    <w:div w:id="709695460">
      <w:bodyDiv w:val="1"/>
      <w:marLeft w:val="0"/>
      <w:marRight w:val="0"/>
      <w:marTop w:val="0"/>
      <w:marBottom w:val="0"/>
      <w:divBdr>
        <w:top w:val="none" w:sz="0" w:space="0" w:color="auto"/>
        <w:left w:val="none" w:sz="0" w:space="0" w:color="auto"/>
        <w:bottom w:val="none" w:sz="0" w:space="0" w:color="auto"/>
        <w:right w:val="none" w:sz="0" w:space="0" w:color="auto"/>
      </w:divBdr>
    </w:div>
    <w:div w:id="723873538">
      <w:bodyDiv w:val="1"/>
      <w:marLeft w:val="0"/>
      <w:marRight w:val="0"/>
      <w:marTop w:val="0"/>
      <w:marBottom w:val="0"/>
      <w:divBdr>
        <w:top w:val="none" w:sz="0" w:space="0" w:color="auto"/>
        <w:left w:val="none" w:sz="0" w:space="0" w:color="auto"/>
        <w:bottom w:val="none" w:sz="0" w:space="0" w:color="auto"/>
        <w:right w:val="none" w:sz="0" w:space="0" w:color="auto"/>
      </w:divBdr>
    </w:div>
    <w:div w:id="749427931">
      <w:bodyDiv w:val="1"/>
      <w:marLeft w:val="0"/>
      <w:marRight w:val="0"/>
      <w:marTop w:val="0"/>
      <w:marBottom w:val="0"/>
      <w:divBdr>
        <w:top w:val="none" w:sz="0" w:space="0" w:color="auto"/>
        <w:left w:val="none" w:sz="0" w:space="0" w:color="auto"/>
        <w:bottom w:val="none" w:sz="0" w:space="0" w:color="auto"/>
        <w:right w:val="none" w:sz="0" w:space="0" w:color="auto"/>
      </w:divBdr>
    </w:div>
    <w:div w:id="760297886">
      <w:bodyDiv w:val="1"/>
      <w:marLeft w:val="0"/>
      <w:marRight w:val="0"/>
      <w:marTop w:val="0"/>
      <w:marBottom w:val="0"/>
      <w:divBdr>
        <w:top w:val="none" w:sz="0" w:space="0" w:color="auto"/>
        <w:left w:val="none" w:sz="0" w:space="0" w:color="auto"/>
        <w:bottom w:val="none" w:sz="0" w:space="0" w:color="auto"/>
        <w:right w:val="none" w:sz="0" w:space="0" w:color="auto"/>
      </w:divBdr>
    </w:div>
    <w:div w:id="765463918">
      <w:bodyDiv w:val="1"/>
      <w:marLeft w:val="0"/>
      <w:marRight w:val="0"/>
      <w:marTop w:val="0"/>
      <w:marBottom w:val="0"/>
      <w:divBdr>
        <w:top w:val="none" w:sz="0" w:space="0" w:color="auto"/>
        <w:left w:val="none" w:sz="0" w:space="0" w:color="auto"/>
        <w:bottom w:val="none" w:sz="0" w:space="0" w:color="auto"/>
        <w:right w:val="none" w:sz="0" w:space="0" w:color="auto"/>
      </w:divBdr>
    </w:div>
    <w:div w:id="780030031">
      <w:bodyDiv w:val="1"/>
      <w:marLeft w:val="0"/>
      <w:marRight w:val="0"/>
      <w:marTop w:val="0"/>
      <w:marBottom w:val="0"/>
      <w:divBdr>
        <w:top w:val="none" w:sz="0" w:space="0" w:color="auto"/>
        <w:left w:val="none" w:sz="0" w:space="0" w:color="auto"/>
        <w:bottom w:val="none" w:sz="0" w:space="0" w:color="auto"/>
        <w:right w:val="none" w:sz="0" w:space="0" w:color="auto"/>
      </w:divBdr>
    </w:div>
    <w:div w:id="782461341">
      <w:bodyDiv w:val="1"/>
      <w:marLeft w:val="0"/>
      <w:marRight w:val="0"/>
      <w:marTop w:val="0"/>
      <w:marBottom w:val="0"/>
      <w:divBdr>
        <w:top w:val="none" w:sz="0" w:space="0" w:color="auto"/>
        <w:left w:val="none" w:sz="0" w:space="0" w:color="auto"/>
        <w:bottom w:val="none" w:sz="0" w:space="0" w:color="auto"/>
        <w:right w:val="none" w:sz="0" w:space="0" w:color="auto"/>
      </w:divBdr>
    </w:div>
    <w:div w:id="789784657">
      <w:bodyDiv w:val="1"/>
      <w:marLeft w:val="0"/>
      <w:marRight w:val="0"/>
      <w:marTop w:val="0"/>
      <w:marBottom w:val="0"/>
      <w:divBdr>
        <w:top w:val="none" w:sz="0" w:space="0" w:color="auto"/>
        <w:left w:val="none" w:sz="0" w:space="0" w:color="auto"/>
        <w:bottom w:val="none" w:sz="0" w:space="0" w:color="auto"/>
        <w:right w:val="none" w:sz="0" w:space="0" w:color="auto"/>
      </w:divBdr>
    </w:div>
    <w:div w:id="790511678">
      <w:bodyDiv w:val="1"/>
      <w:marLeft w:val="0"/>
      <w:marRight w:val="0"/>
      <w:marTop w:val="0"/>
      <w:marBottom w:val="0"/>
      <w:divBdr>
        <w:top w:val="none" w:sz="0" w:space="0" w:color="auto"/>
        <w:left w:val="none" w:sz="0" w:space="0" w:color="auto"/>
        <w:bottom w:val="none" w:sz="0" w:space="0" w:color="auto"/>
        <w:right w:val="none" w:sz="0" w:space="0" w:color="auto"/>
      </w:divBdr>
    </w:div>
    <w:div w:id="806314565">
      <w:bodyDiv w:val="1"/>
      <w:marLeft w:val="0"/>
      <w:marRight w:val="0"/>
      <w:marTop w:val="0"/>
      <w:marBottom w:val="0"/>
      <w:divBdr>
        <w:top w:val="none" w:sz="0" w:space="0" w:color="auto"/>
        <w:left w:val="none" w:sz="0" w:space="0" w:color="auto"/>
        <w:bottom w:val="none" w:sz="0" w:space="0" w:color="auto"/>
        <w:right w:val="none" w:sz="0" w:space="0" w:color="auto"/>
      </w:divBdr>
    </w:div>
    <w:div w:id="834611386">
      <w:bodyDiv w:val="1"/>
      <w:marLeft w:val="0"/>
      <w:marRight w:val="0"/>
      <w:marTop w:val="0"/>
      <w:marBottom w:val="0"/>
      <w:divBdr>
        <w:top w:val="none" w:sz="0" w:space="0" w:color="auto"/>
        <w:left w:val="none" w:sz="0" w:space="0" w:color="auto"/>
        <w:bottom w:val="none" w:sz="0" w:space="0" w:color="auto"/>
        <w:right w:val="none" w:sz="0" w:space="0" w:color="auto"/>
      </w:divBdr>
    </w:div>
    <w:div w:id="843320477">
      <w:bodyDiv w:val="1"/>
      <w:marLeft w:val="0"/>
      <w:marRight w:val="0"/>
      <w:marTop w:val="0"/>
      <w:marBottom w:val="0"/>
      <w:divBdr>
        <w:top w:val="none" w:sz="0" w:space="0" w:color="auto"/>
        <w:left w:val="none" w:sz="0" w:space="0" w:color="auto"/>
        <w:bottom w:val="none" w:sz="0" w:space="0" w:color="auto"/>
        <w:right w:val="none" w:sz="0" w:space="0" w:color="auto"/>
      </w:divBdr>
    </w:div>
    <w:div w:id="843588605">
      <w:bodyDiv w:val="1"/>
      <w:marLeft w:val="0"/>
      <w:marRight w:val="0"/>
      <w:marTop w:val="0"/>
      <w:marBottom w:val="0"/>
      <w:divBdr>
        <w:top w:val="none" w:sz="0" w:space="0" w:color="auto"/>
        <w:left w:val="none" w:sz="0" w:space="0" w:color="auto"/>
        <w:bottom w:val="none" w:sz="0" w:space="0" w:color="auto"/>
        <w:right w:val="none" w:sz="0" w:space="0" w:color="auto"/>
      </w:divBdr>
    </w:div>
    <w:div w:id="850804732">
      <w:bodyDiv w:val="1"/>
      <w:marLeft w:val="0"/>
      <w:marRight w:val="0"/>
      <w:marTop w:val="0"/>
      <w:marBottom w:val="0"/>
      <w:divBdr>
        <w:top w:val="none" w:sz="0" w:space="0" w:color="auto"/>
        <w:left w:val="none" w:sz="0" w:space="0" w:color="auto"/>
        <w:bottom w:val="none" w:sz="0" w:space="0" w:color="auto"/>
        <w:right w:val="none" w:sz="0" w:space="0" w:color="auto"/>
      </w:divBdr>
    </w:div>
    <w:div w:id="853307516">
      <w:bodyDiv w:val="1"/>
      <w:marLeft w:val="0"/>
      <w:marRight w:val="0"/>
      <w:marTop w:val="0"/>
      <w:marBottom w:val="0"/>
      <w:divBdr>
        <w:top w:val="none" w:sz="0" w:space="0" w:color="auto"/>
        <w:left w:val="none" w:sz="0" w:space="0" w:color="auto"/>
        <w:bottom w:val="none" w:sz="0" w:space="0" w:color="auto"/>
        <w:right w:val="none" w:sz="0" w:space="0" w:color="auto"/>
      </w:divBdr>
    </w:div>
    <w:div w:id="863787615">
      <w:bodyDiv w:val="1"/>
      <w:marLeft w:val="0"/>
      <w:marRight w:val="0"/>
      <w:marTop w:val="0"/>
      <w:marBottom w:val="0"/>
      <w:divBdr>
        <w:top w:val="none" w:sz="0" w:space="0" w:color="auto"/>
        <w:left w:val="none" w:sz="0" w:space="0" w:color="auto"/>
        <w:bottom w:val="none" w:sz="0" w:space="0" w:color="auto"/>
        <w:right w:val="none" w:sz="0" w:space="0" w:color="auto"/>
      </w:divBdr>
    </w:div>
    <w:div w:id="863906075">
      <w:bodyDiv w:val="1"/>
      <w:marLeft w:val="0"/>
      <w:marRight w:val="0"/>
      <w:marTop w:val="0"/>
      <w:marBottom w:val="0"/>
      <w:divBdr>
        <w:top w:val="none" w:sz="0" w:space="0" w:color="auto"/>
        <w:left w:val="none" w:sz="0" w:space="0" w:color="auto"/>
        <w:bottom w:val="none" w:sz="0" w:space="0" w:color="auto"/>
        <w:right w:val="none" w:sz="0" w:space="0" w:color="auto"/>
      </w:divBdr>
    </w:div>
    <w:div w:id="887184354">
      <w:bodyDiv w:val="1"/>
      <w:marLeft w:val="0"/>
      <w:marRight w:val="0"/>
      <w:marTop w:val="0"/>
      <w:marBottom w:val="0"/>
      <w:divBdr>
        <w:top w:val="none" w:sz="0" w:space="0" w:color="auto"/>
        <w:left w:val="none" w:sz="0" w:space="0" w:color="auto"/>
        <w:bottom w:val="none" w:sz="0" w:space="0" w:color="auto"/>
        <w:right w:val="none" w:sz="0" w:space="0" w:color="auto"/>
      </w:divBdr>
    </w:div>
    <w:div w:id="927808778">
      <w:bodyDiv w:val="1"/>
      <w:marLeft w:val="0"/>
      <w:marRight w:val="0"/>
      <w:marTop w:val="0"/>
      <w:marBottom w:val="0"/>
      <w:divBdr>
        <w:top w:val="none" w:sz="0" w:space="0" w:color="auto"/>
        <w:left w:val="none" w:sz="0" w:space="0" w:color="auto"/>
        <w:bottom w:val="none" w:sz="0" w:space="0" w:color="auto"/>
        <w:right w:val="none" w:sz="0" w:space="0" w:color="auto"/>
      </w:divBdr>
    </w:div>
    <w:div w:id="936789021">
      <w:bodyDiv w:val="1"/>
      <w:marLeft w:val="0"/>
      <w:marRight w:val="0"/>
      <w:marTop w:val="0"/>
      <w:marBottom w:val="0"/>
      <w:divBdr>
        <w:top w:val="none" w:sz="0" w:space="0" w:color="auto"/>
        <w:left w:val="none" w:sz="0" w:space="0" w:color="auto"/>
        <w:bottom w:val="none" w:sz="0" w:space="0" w:color="auto"/>
        <w:right w:val="none" w:sz="0" w:space="0" w:color="auto"/>
      </w:divBdr>
    </w:div>
    <w:div w:id="944770984">
      <w:bodyDiv w:val="1"/>
      <w:marLeft w:val="0"/>
      <w:marRight w:val="0"/>
      <w:marTop w:val="0"/>
      <w:marBottom w:val="0"/>
      <w:divBdr>
        <w:top w:val="none" w:sz="0" w:space="0" w:color="auto"/>
        <w:left w:val="none" w:sz="0" w:space="0" w:color="auto"/>
        <w:bottom w:val="none" w:sz="0" w:space="0" w:color="auto"/>
        <w:right w:val="none" w:sz="0" w:space="0" w:color="auto"/>
      </w:divBdr>
    </w:div>
    <w:div w:id="945308388">
      <w:bodyDiv w:val="1"/>
      <w:marLeft w:val="0"/>
      <w:marRight w:val="0"/>
      <w:marTop w:val="0"/>
      <w:marBottom w:val="0"/>
      <w:divBdr>
        <w:top w:val="none" w:sz="0" w:space="0" w:color="auto"/>
        <w:left w:val="none" w:sz="0" w:space="0" w:color="auto"/>
        <w:bottom w:val="none" w:sz="0" w:space="0" w:color="auto"/>
        <w:right w:val="none" w:sz="0" w:space="0" w:color="auto"/>
      </w:divBdr>
    </w:div>
    <w:div w:id="948051354">
      <w:bodyDiv w:val="1"/>
      <w:marLeft w:val="0"/>
      <w:marRight w:val="0"/>
      <w:marTop w:val="0"/>
      <w:marBottom w:val="0"/>
      <w:divBdr>
        <w:top w:val="none" w:sz="0" w:space="0" w:color="auto"/>
        <w:left w:val="none" w:sz="0" w:space="0" w:color="auto"/>
        <w:bottom w:val="none" w:sz="0" w:space="0" w:color="auto"/>
        <w:right w:val="none" w:sz="0" w:space="0" w:color="auto"/>
      </w:divBdr>
    </w:div>
    <w:div w:id="951472641">
      <w:bodyDiv w:val="1"/>
      <w:marLeft w:val="0"/>
      <w:marRight w:val="0"/>
      <w:marTop w:val="0"/>
      <w:marBottom w:val="0"/>
      <w:divBdr>
        <w:top w:val="none" w:sz="0" w:space="0" w:color="auto"/>
        <w:left w:val="none" w:sz="0" w:space="0" w:color="auto"/>
        <w:bottom w:val="none" w:sz="0" w:space="0" w:color="auto"/>
        <w:right w:val="none" w:sz="0" w:space="0" w:color="auto"/>
      </w:divBdr>
    </w:div>
    <w:div w:id="957032921">
      <w:bodyDiv w:val="1"/>
      <w:marLeft w:val="0"/>
      <w:marRight w:val="0"/>
      <w:marTop w:val="0"/>
      <w:marBottom w:val="0"/>
      <w:divBdr>
        <w:top w:val="none" w:sz="0" w:space="0" w:color="auto"/>
        <w:left w:val="none" w:sz="0" w:space="0" w:color="auto"/>
        <w:bottom w:val="none" w:sz="0" w:space="0" w:color="auto"/>
        <w:right w:val="none" w:sz="0" w:space="0" w:color="auto"/>
      </w:divBdr>
    </w:div>
    <w:div w:id="957567941">
      <w:bodyDiv w:val="1"/>
      <w:marLeft w:val="0"/>
      <w:marRight w:val="0"/>
      <w:marTop w:val="0"/>
      <w:marBottom w:val="0"/>
      <w:divBdr>
        <w:top w:val="none" w:sz="0" w:space="0" w:color="auto"/>
        <w:left w:val="none" w:sz="0" w:space="0" w:color="auto"/>
        <w:bottom w:val="none" w:sz="0" w:space="0" w:color="auto"/>
        <w:right w:val="none" w:sz="0" w:space="0" w:color="auto"/>
      </w:divBdr>
    </w:div>
    <w:div w:id="961494977">
      <w:bodyDiv w:val="1"/>
      <w:marLeft w:val="0"/>
      <w:marRight w:val="0"/>
      <w:marTop w:val="0"/>
      <w:marBottom w:val="0"/>
      <w:divBdr>
        <w:top w:val="none" w:sz="0" w:space="0" w:color="auto"/>
        <w:left w:val="none" w:sz="0" w:space="0" w:color="auto"/>
        <w:bottom w:val="none" w:sz="0" w:space="0" w:color="auto"/>
        <w:right w:val="none" w:sz="0" w:space="0" w:color="auto"/>
      </w:divBdr>
    </w:div>
    <w:div w:id="977102157">
      <w:bodyDiv w:val="1"/>
      <w:marLeft w:val="0"/>
      <w:marRight w:val="0"/>
      <w:marTop w:val="0"/>
      <w:marBottom w:val="0"/>
      <w:divBdr>
        <w:top w:val="none" w:sz="0" w:space="0" w:color="auto"/>
        <w:left w:val="none" w:sz="0" w:space="0" w:color="auto"/>
        <w:bottom w:val="none" w:sz="0" w:space="0" w:color="auto"/>
        <w:right w:val="none" w:sz="0" w:space="0" w:color="auto"/>
      </w:divBdr>
    </w:div>
    <w:div w:id="1032337881">
      <w:bodyDiv w:val="1"/>
      <w:marLeft w:val="0"/>
      <w:marRight w:val="0"/>
      <w:marTop w:val="0"/>
      <w:marBottom w:val="0"/>
      <w:divBdr>
        <w:top w:val="none" w:sz="0" w:space="0" w:color="auto"/>
        <w:left w:val="none" w:sz="0" w:space="0" w:color="auto"/>
        <w:bottom w:val="none" w:sz="0" w:space="0" w:color="auto"/>
        <w:right w:val="none" w:sz="0" w:space="0" w:color="auto"/>
      </w:divBdr>
    </w:div>
    <w:div w:id="1064720957">
      <w:bodyDiv w:val="1"/>
      <w:marLeft w:val="0"/>
      <w:marRight w:val="0"/>
      <w:marTop w:val="0"/>
      <w:marBottom w:val="0"/>
      <w:divBdr>
        <w:top w:val="none" w:sz="0" w:space="0" w:color="auto"/>
        <w:left w:val="none" w:sz="0" w:space="0" w:color="auto"/>
        <w:bottom w:val="none" w:sz="0" w:space="0" w:color="auto"/>
        <w:right w:val="none" w:sz="0" w:space="0" w:color="auto"/>
      </w:divBdr>
    </w:div>
    <w:div w:id="1073310064">
      <w:bodyDiv w:val="1"/>
      <w:marLeft w:val="0"/>
      <w:marRight w:val="0"/>
      <w:marTop w:val="0"/>
      <w:marBottom w:val="0"/>
      <w:divBdr>
        <w:top w:val="none" w:sz="0" w:space="0" w:color="auto"/>
        <w:left w:val="none" w:sz="0" w:space="0" w:color="auto"/>
        <w:bottom w:val="none" w:sz="0" w:space="0" w:color="auto"/>
        <w:right w:val="none" w:sz="0" w:space="0" w:color="auto"/>
      </w:divBdr>
    </w:div>
    <w:div w:id="1078018763">
      <w:bodyDiv w:val="1"/>
      <w:marLeft w:val="0"/>
      <w:marRight w:val="0"/>
      <w:marTop w:val="0"/>
      <w:marBottom w:val="0"/>
      <w:divBdr>
        <w:top w:val="none" w:sz="0" w:space="0" w:color="auto"/>
        <w:left w:val="none" w:sz="0" w:space="0" w:color="auto"/>
        <w:bottom w:val="none" w:sz="0" w:space="0" w:color="auto"/>
        <w:right w:val="none" w:sz="0" w:space="0" w:color="auto"/>
      </w:divBdr>
    </w:div>
    <w:div w:id="1078402999">
      <w:bodyDiv w:val="1"/>
      <w:marLeft w:val="0"/>
      <w:marRight w:val="0"/>
      <w:marTop w:val="0"/>
      <w:marBottom w:val="0"/>
      <w:divBdr>
        <w:top w:val="none" w:sz="0" w:space="0" w:color="auto"/>
        <w:left w:val="none" w:sz="0" w:space="0" w:color="auto"/>
        <w:bottom w:val="none" w:sz="0" w:space="0" w:color="auto"/>
        <w:right w:val="none" w:sz="0" w:space="0" w:color="auto"/>
      </w:divBdr>
    </w:div>
    <w:div w:id="1089274429">
      <w:bodyDiv w:val="1"/>
      <w:marLeft w:val="0"/>
      <w:marRight w:val="0"/>
      <w:marTop w:val="0"/>
      <w:marBottom w:val="0"/>
      <w:divBdr>
        <w:top w:val="none" w:sz="0" w:space="0" w:color="auto"/>
        <w:left w:val="none" w:sz="0" w:space="0" w:color="auto"/>
        <w:bottom w:val="none" w:sz="0" w:space="0" w:color="auto"/>
        <w:right w:val="none" w:sz="0" w:space="0" w:color="auto"/>
      </w:divBdr>
    </w:div>
    <w:div w:id="1091581847">
      <w:bodyDiv w:val="1"/>
      <w:marLeft w:val="0"/>
      <w:marRight w:val="0"/>
      <w:marTop w:val="0"/>
      <w:marBottom w:val="0"/>
      <w:divBdr>
        <w:top w:val="none" w:sz="0" w:space="0" w:color="auto"/>
        <w:left w:val="none" w:sz="0" w:space="0" w:color="auto"/>
        <w:bottom w:val="none" w:sz="0" w:space="0" w:color="auto"/>
        <w:right w:val="none" w:sz="0" w:space="0" w:color="auto"/>
      </w:divBdr>
    </w:div>
    <w:div w:id="1100493878">
      <w:bodyDiv w:val="1"/>
      <w:marLeft w:val="0"/>
      <w:marRight w:val="0"/>
      <w:marTop w:val="0"/>
      <w:marBottom w:val="0"/>
      <w:divBdr>
        <w:top w:val="none" w:sz="0" w:space="0" w:color="auto"/>
        <w:left w:val="none" w:sz="0" w:space="0" w:color="auto"/>
        <w:bottom w:val="none" w:sz="0" w:space="0" w:color="auto"/>
        <w:right w:val="none" w:sz="0" w:space="0" w:color="auto"/>
      </w:divBdr>
    </w:div>
    <w:div w:id="1119179890">
      <w:bodyDiv w:val="1"/>
      <w:marLeft w:val="0"/>
      <w:marRight w:val="0"/>
      <w:marTop w:val="0"/>
      <w:marBottom w:val="0"/>
      <w:divBdr>
        <w:top w:val="none" w:sz="0" w:space="0" w:color="auto"/>
        <w:left w:val="none" w:sz="0" w:space="0" w:color="auto"/>
        <w:bottom w:val="none" w:sz="0" w:space="0" w:color="auto"/>
        <w:right w:val="none" w:sz="0" w:space="0" w:color="auto"/>
      </w:divBdr>
    </w:div>
    <w:div w:id="1121265605">
      <w:bodyDiv w:val="1"/>
      <w:marLeft w:val="0"/>
      <w:marRight w:val="0"/>
      <w:marTop w:val="0"/>
      <w:marBottom w:val="0"/>
      <w:divBdr>
        <w:top w:val="none" w:sz="0" w:space="0" w:color="auto"/>
        <w:left w:val="none" w:sz="0" w:space="0" w:color="auto"/>
        <w:bottom w:val="none" w:sz="0" w:space="0" w:color="auto"/>
        <w:right w:val="none" w:sz="0" w:space="0" w:color="auto"/>
      </w:divBdr>
    </w:div>
    <w:div w:id="1124276948">
      <w:bodyDiv w:val="1"/>
      <w:marLeft w:val="0"/>
      <w:marRight w:val="0"/>
      <w:marTop w:val="0"/>
      <w:marBottom w:val="0"/>
      <w:divBdr>
        <w:top w:val="none" w:sz="0" w:space="0" w:color="auto"/>
        <w:left w:val="none" w:sz="0" w:space="0" w:color="auto"/>
        <w:bottom w:val="none" w:sz="0" w:space="0" w:color="auto"/>
        <w:right w:val="none" w:sz="0" w:space="0" w:color="auto"/>
      </w:divBdr>
    </w:div>
    <w:div w:id="1131362353">
      <w:bodyDiv w:val="1"/>
      <w:marLeft w:val="0"/>
      <w:marRight w:val="0"/>
      <w:marTop w:val="0"/>
      <w:marBottom w:val="0"/>
      <w:divBdr>
        <w:top w:val="none" w:sz="0" w:space="0" w:color="auto"/>
        <w:left w:val="none" w:sz="0" w:space="0" w:color="auto"/>
        <w:bottom w:val="none" w:sz="0" w:space="0" w:color="auto"/>
        <w:right w:val="none" w:sz="0" w:space="0" w:color="auto"/>
      </w:divBdr>
    </w:div>
    <w:div w:id="1135367040">
      <w:bodyDiv w:val="1"/>
      <w:marLeft w:val="0"/>
      <w:marRight w:val="0"/>
      <w:marTop w:val="0"/>
      <w:marBottom w:val="0"/>
      <w:divBdr>
        <w:top w:val="none" w:sz="0" w:space="0" w:color="auto"/>
        <w:left w:val="none" w:sz="0" w:space="0" w:color="auto"/>
        <w:bottom w:val="none" w:sz="0" w:space="0" w:color="auto"/>
        <w:right w:val="none" w:sz="0" w:space="0" w:color="auto"/>
      </w:divBdr>
    </w:div>
    <w:div w:id="1144390247">
      <w:bodyDiv w:val="1"/>
      <w:marLeft w:val="0"/>
      <w:marRight w:val="0"/>
      <w:marTop w:val="0"/>
      <w:marBottom w:val="0"/>
      <w:divBdr>
        <w:top w:val="none" w:sz="0" w:space="0" w:color="auto"/>
        <w:left w:val="none" w:sz="0" w:space="0" w:color="auto"/>
        <w:bottom w:val="none" w:sz="0" w:space="0" w:color="auto"/>
        <w:right w:val="none" w:sz="0" w:space="0" w:color="auto"/>
      </w:divBdr>
    </w:div>
    <w:div w:id="1163087638">
      <w:bodyDiv w:val="1"/>
      <w:marLeft w:val="0"/>
      <w:marRight w:val="0"/>
      <w:marTop w:val="0"/>
      <w:marBottom w:val="0"/>
      <w:divBdr>
        <w:top w:val="none" w:sz="0" w:space="0" w:color="auto"/>
        <w:left w:val="none" w:sz="0" w:space="0" w:color="auto"/>
        <w:bottom w:val="none" w:sz="0" w:space="0" w:color="auto"/>
        <w:right w:val="none" w:sz="0" w:space="0" w:color="auto"/>
      </w:divBdr>
    </w:div>
    <w:div w:id="1169099107">
      <w:bodyDiv w:val="1"/>
      <w:marLeft w:val="0"/>
      <w:marRight w:val="0"/>
      <w:marTop w:val="0"/>
      <w:marBottom w:val="0"/>
      <w:divBdr>
        <w:top w:val="none" w:sz="0" w:space="0" w:color="auto"/>
        <w:left w:val="none" w:sz="0" w:space="0" w:color="auto"/>
        <w:bottom w:val="none" w:sz="0" w:space="0" w:color="auto"/>
        <w:right w:val="none" w:sz="0" w:space="0" w:color="auto"/>
      </w:divBdr>
    </w:div>
    <w:div w:id="1189175713">
      <w:bodyDiv w:val="1"/>
      <w:marLeft w:val="0"/>
      <w:marRight w:val="0"/>
      <w:marTop w:val="0"/>
      <w:marBottom w:val="0"/>
      <w:divBdr>
        <w:top w:val="none" w:sz="0" w:space="0" w:color="auto"/>
        <w:left w:val="none" w:sz="0" w:space="0" w:color="auto"/>
        <w:bottom w:val="none" w:sz="0" w:space="0" w:color="auto"/>
        <w:right w:val="none" w:sz="0" w:space="0" w:color="auto"/>
      </w:divBdr>
    </w:div>
    <w:div w:id="1195575143">
      <w:bodyDiv w:val="1"/>
      <w:marLeft w:val="0"/>
      <w:marRight w:val="0"/>
      <w:marTop w:val="0"/>
      <w:marBottom w:val="0"/>
      <w:divBdr>
        <w:top w:val="none" w:sz="0" w:space="0" w:color="auto"/>
        <w:left w:val="none" w:sz="0" w:space="0" w:color="auto"/>
        <w:bottom w:val="none" w:sz="0" w:space="0" w:color="auto"/>
        <w:right w:val="none" w:sz="0" w:space="0" w:color="auto"/>
      </w:divBdr>
    </w:div>
    <w:div w:id="1201284322">
      <w:bodyDiv w:val="1"/>
      <w:marLeft w:val="0"/>
      <w:marRight w:val="0"/>
      <w:marTop w:val="0"/>
      <w:marBottom w:val="0"/>
      <w:divBdr>
        <w:top w:val="none" w:sz="0" w:space="0" w:color="auto"/>
        <w:left w:val="none" w:sz="0" w:space="0" w:color="auto"/>
        <w:bottom w:val="none" w:sz="0" w:space="0" w:color="auto"/>
        <w:right w:val="none" w:sz="0" w:space="0" w:color="auto"/>
      </w:divBdr>
    </w:div>
    <w:div w:id="1202941552">
      <w:bodyDiv w:val="1"/>
      <w:marLeft w:val="0"/>
      <w:marRight w:val="0"/>
      <w:marTop w:val="0"/>
      <w:marBottom w:val="0"/>
      <w:divBdr>
        <w:top w:val="none" w:sz="0" w:space="0" w:color="auto"/>
        <w:left w:val="none" w:sz="0" w:space="0" w:color="auto"/>
        <w:bottom w:val="none" w:sz="0" w:space="0" w:color="auto"/>
        <w:right w:val="none" w:sz="0" w:space="0" w:color="auto"/>
      </w:divBdr>
    </w:div>
    <w:div w:id="1203397895">
      <w:bodyDiv w:val="1"/>
      <w:marLeft w:val="0"/>
      <w:marRight w:val="0"/>
      <w:marTop w:val="0"/>
      <w:marBottom w:val="0"/>
      <w:divBdr>
        <w:top w:val="none" w:sz="0" w:space="0" w:color="auto"/>
        <w:left w:val="none" w:sz="0" w:space="0" w:color="auto"/>
        <w:bottom w:val="none" w:sz="0" w:space="0" w:color="auto"/>
        <w:right w:val="none" w:sz="0" w:space="0" w:color="auto"/>
      </w:divBdr>
    </w:div>
    <w:div w:id="1204441140">
      <w:bodyDiv w:val="1"/>
      <w:marLeft w:val="0"/>
      <w:marRight w:val="0"/>
      <w:marTop w:val="0"/>
      <w:marBottom w:val="0"/>
      <w:divBdr>
        <w:top w:val="none" w:sz="0" w:space="0" w:color="auto"/>
        <w:left w:val="none" w:sz="0" w:space="0" w:color="auto"/>
        <w:bottom w:val="none" w:sz="0" w:space="0" w:color="auto"/>
        <w:right w:val="none" w:sz="0" w:space="0" w:color="auto"/>
      </w:divBdr>
    </w:div>
    <w:div w:id="1214779602">
      <w:bodyDiv w:val="1"/>
      <w:marLeft w:val="0"/>
      <w:marRight w:val="0"/>
      <w:marTop w:val="0"/>
      <w:marBottom w:val="0"/>
      <w:divBdr>
        <w:top w:val="none" w:sz="0" w:space="0" w:color="auto"/>
        <w:left w:val="none" w:sz="0" w:space="0" w:color="auto"/>
        <w:bottom w:val="none" w:sz="0" w:space="0" w:color="auto"/>
        <w:right w:val="none" w:sz="0" w:space="0" w:color="auto"/>
      </w:divBdr>
    </w:div>
    <w:div w:id="1218934936">
      <w:bodyDiv w:val="1"/>
      <w:marLeft w:val="0"/>
      <w:marRight w:val="0"/>
      <w:marTop w:val="0"/>
      <w:marBottom w:val="0"/>
      <w:divBdr>
        <w:top w:val="none" w:sz="0" w:space="0" w:color="auto"/>
        <w:left w:val="none" w:sz="0" w:space="0" w:color="auto"/>
        <w:bottom w:val="none" w:sz="0" w:space="0" w:color="auto"/>
        <w:right w:val="none" w:sz="0" w:space="0" w:color="auto"/>
      </w:divBdr>
    </w:div>
    <w:div w:id="1232808085">
      <w:bodyDiv w:val="1"/>
      <w:marLeft w:val="0"/>
      <w:marRight w:val="0"/>
      <w:marTop w:val="0"/>
      <w:marBottom w:val="0"/>
      <w:divBdr>
        <w:top w:val="none" w:sz="0" w:space="0" w:color="auto"/>
        <w:left w:val="none" w:sz="0" w:space="0" w:color="auto"/>
        <w:bottom w:val="none" w:sz="0" w:space="0" w:color="auto"/>
        <w:right w:val="none" w:sz="0" w:space="0" w:color="auto"/>
      </w:divBdr>
    </w:div>
    <w:div w:id="1233544539">
      <w:bodyDiv w:val="1"/>
      <w:marLeft w:val="0"/>
      <w:marRight w:val="0"/>
      <w:marTop w:val="0"/>
      <w:marBottom w:val="0"/>
      <w:divBdr>
        <w:top w:val="none" w:sz="0" w:space="0" w:color="auto"/>
        <w:left w:val="none" w:sz="0" w:space="0" w:color="auto"/>
        <w:bottom w:val="none" w:sz="0" w:space="0" w:color="auto"/>
        <w:right w:val="none" w:sz="0" w:space="0" w:color="auto"/>
      </w:divBdr>
    </w:div>
    <w:div w:id="1242373491">
      <w:bodyDiv w:val="1"/>
      <w:marLeft w:val="0"/>
      <w:marRight w:val="0"/>
      <w:marTop w:val="0"/>
      <w:marBottom w:val="0"/>
      <w:divBdr>
        <w:top w:val="none" w:sz="0" w:space="0" w:color="auto"/>
        <w:left w:val="none" w:sz="0" w:space="0" w:color="auto"/>
        <w:bottom w:val="none" w:sz="0" w:space="0" w:color="auto"/>
        <w:right w:val="none" w:sz="0" w:space="0" w:color="auto"/>
      </w:divBdr>
    </w:div>
    <w:div w:id="1246259887">
      <w:bodyDiv w:val="1"/>
      <w:marLeft w:val="0"/>
      <w:marRight w:val="0"/>
      <w:marTop w:val="0"/>
      <w:marBottom w:val="0"/>
      <w:divBdr>
        <w:top w:val="none" w:sz="0" w:space="0" w:color="auto"/>
        <w:left w:val="none" w:sz="0" w:space="0" w:color="auto"/>
        <w:bottom w:val="none" w:sz="0" w:space="0" w:color="auto"/>
        <w:right w:val="none" w:sz="0" w:space="0" w:color="auto"/>
      </w:divBdr>
    </w:div>
    <w:div w:id="1246308343">
      <w:bodyDiv w:val="1"/>
      <w:marLeft w:val="0"/>
      <w:marRight w:val="0"/>
      <w:marTop w:val="0"/>
      <w:marBottom w:val="0"/>
      <w:divBdr>
        <w:top w:val="none" w:sz="0" w:space="0" w:color="auto"/>
        <w:left w:val="none" w:sz="0" w:space="0" w:color="auto"/>
        <w:bottom w:val="none" w:sz="0" w:space="0" w:color="auto"/>
        <w:right w:val="none" w:sz="0" w:space="0" w:color="auto"/>
      </w:divBdr>
    </w:div>
    <w:div w:id="1252397165">
      <w:bodyDiv w:val="1"/>
      <w:marLeft w:val="0"/>
      <w:marRight w:val="0"/>
      <w:marTop w:val="0"/>
      <w:marBottom w:val="0"/>
      <w:divBdr>
        <w:top w:val="none" w:sz="0" w:space="0" w:color="auto"/>
        <w:left w:val="none" w:sz="0" w:space="0" w:color="auto"/>
        <w:bottom w:val="none" w:sz="0" w:space="0" w:color="auto"/>
        <w:right w:val="none" w:sz="0" w:space="0" w:color="auto"/>
      </w:divBdr>
    </w:div>
    <w:div w:id="1264414812">
      <w:bodyDiv w:val="1"/>
      <w:marLeft w:val="0"/>
      <w:marRight w:val="0"/>
      <w:marTop w:val="0"/>
      <w:marBottom w:val="0"/>
      <w:divBdr>
        <w:top w:val="none" w:sz="0" w:space="0" w:color="auto"/>
        <w:left w:val="none" w:sz="0" w:space="0" w:color="auto"/>
        <w:bottom w:val="none" w:sz="0" w:space="0" w:color="auto"/>
        <w:right w:val="none" w:sz="0" w:space="0" w:color="auto"/>
      </w:divBdr>
    </w:div>
    <w:div w:id="1275016033">
      <w:bodyDiv w:val="1"/>
      <w:marLeft w:val="0"/>
      <w:marRight w:val="0"/>
      <w:marTop w:val="0"/>
      <w:marBottom w:val="0"/>
      <w:divBdr>
        <w:top w:val="none" w:sz="0" w:space="0" w:color="auto"/>
        <w:left w:val="none" w:sz="0" w:space="0" w:color="auto"/>
        <w:bottom w:val="none" w:sz="0" w:space="0" w:color="auto"/>
        <w:right w:val="none" w:sz="0" w:space="0" w:color="auto"/>
      </w:divBdr>
    </w:div>
    <w:div w:id="1276710685">
      <w:bodyDiv w:val="1"/>
      <w:marLeft w:val="0"/>
      <w:marRight w:val="0"/>
      <w:marTop w:val="0"/>
      <w:marBottom w:val="0"/>
      <w:divBdr>
        <w:top w:val="none" w:sz="0" w:space="0" w:color="auto"/>
        <w:left w:val="none" w:sz="0" w:space="0" w:color="auto"/>
        <w:bottom w:val="none" w:sz="0" w:space="0" w:color="auto"/>
        <w:right w:val="none" w:sz="0" w:space="0" w:color="auto"/>
      </w:divBdr>
    </w:div>
    <w:div w:id="1282105073">
      <w:bodyDiv w:val="1"/>
      <w:marLeft w:val="0"/>
      <w:marRight w:val="0"/>
      <w:marTop w:val="0"/>
      <w:marBottom w:val="0"/>
      <w:divBdr>
        <w:top w:val="none" w:sz="0" w:space="0" w:color="auto"/>
        <w:left w:val="none" w:sz="0" w:space="0" w:color="auto"/>
        <w:bottom w:val="none" w:sz="0" w:space="0" w:color="auto"/>
        <w:right w:val="none" w:sz="0" w:space="0" w:color="auto"/>
      </w:divBdr>
    </w:div>
    <w:div w:id="1284114636">
      <w:bodyDiv w:val="1"/>
      <w:marLeft w:val="0"/>
      <w:marRight w:val="0"/>
      <w:marTop w:val="0"/>
      <w:marBottom w:val="0"/>
      <w:divBdr>
        <w:top w:val="none" w:sz="0" w:space="0" w:color="auto"/>
        <w:left w:val="none" w:sz="0" w:space="0" w:color="auto"/>
        <w:bottom w:val="none" w:sz="0" w:space="0" w:color="auto"/>
        <w:right w:val="none" w:sz="0" w:space="0" w:color="auto"/>
      </w:divBdr>
    </w:div>
    <w:div w:id="1297175220">
      <w:bodyDiv w:val="1"/>
      <w:marLeft w:val="0"/>
      <w:marRight w:val="0"/>
      <w:marTop w:val="0"/>
      <w:marBottom w:val="0"/>
      <w:divBdr>
        <w:top w:val="none" w:sz="0" w:space="0" w:color="auto"/>
        <w:left w:val="none" w:sz="0" w:space="0" w:color="auto"/>
        <w:bottom w:val="none" w:sz="0" w:space="0" w:color="auto"/>
        <w:right w:val="none" w:sz="0" w:space="0" w:color="auto"/>
      </w:divBdr>
    </w:div>
    <w:div w:id="1297755211">
      <w:bodyDiv w:val="1"/>
      <w:marLeft w:val="0"/>
      <w:marRight w:val="0"/>
      <w:marTop w:val="0"/>
      <w:marBottom w:val="0"/>
      <w:divBdr>
        <w:top w:val="none" w:sz="0" w:space="0" w:color="auto"/>
        <w:left w:val="none" w:sz="0" w:space="0" w:color="auto"/>
        <w:bottom w:val="none" w:sz="0" w:space="0" w:color="auto"/>
        <w:right w:val="none" w:sz="0" w:space="0" w:color="auto"/>
      </w:divBdr>
    </w:div>
    <w:div w:id="1338001331">
      <w:bodyDiv w:val="1"/>
      <w:marLeft w:val="0"/>
      <w:marRight w:val="0"/>
      <w:marTop w:val="0"/>
      <w:marBottom w:val="0"/>
      <w:divBdr>
        <w:top w:val="none" w:sz="0" w:space="0" w:color="auto"/>
        <w:left w:val="none" w:sz="0" w:space="0" w:color="auto"/>
        <w:bottom w:val="none" w:sz="0" w:space="0" w:color="auto"/>
        <w:right w:val="none" w:sz="0" w:space="0" w:color="auto"/>
      </w:divBdr>
    </w:div>
    <w:div w:id="1345551955">
      <w:bodyDiv w:val="1"/>
      <w:marLeft w:val="0"/>
      <w:marRight w:val="0"/>
      <w:marTop w:val="0"/>
      <w:marBottom w:val="0"/>
      <w:divBdr>
        <w:top w:val="none" w:sz="0" w:space="0" w:color="auto"/>
        <w:left w:val="none" w:sz="0" w:space="0" w:color="auto"/>
        <w:bottom w:val="none" w:sz="0" w:space="0" w:color="auto"/>
        <w:right w:val="none" w:sz="0" w:space="0" w:color="auto"/>
      </w:divBdr>
    </w:div>
    <w:div w:id="1354646331">
      <w:bodyDiv w:val="1"/>
      <w:marLeft w:val="0"/>
      <w:marRight w:val="0"/>
      <w:marTop w:val="0"/>
      <w:marBottom w:val="0"/>
      <w:divBdr>
        <w:top w:val="none" w:sz="0" w:space="0" w:color="auto"/>
        <w:left w:val="none" w:sz="0" w:space="0" w:color="auto"/>
        <w:bottom w:val="none" w:sz="0" w:space="0" w:color="auto"/>
        <w:right w:val="none" w:sz="0" w:space="0" w:color="auto"/>
      </w:divBdr>
    </w:div>
    <w:div w:id="1361854835">
      <w:bodyDiv w:val="1"/>
      <w:marLeft w:val="0"/>
      <w:marRight w:val="0"/>
      <w:marTop w:val="0"/>
      <w:marBottom w:val="0"/>
      <w:divBdr>
        <w:top w:val="none" w:sz="0" w:space="0" w:color="auto"/>
        <w:left w:val="none" w:sz="0" w:space="0" w:color="auto"/>
        <w:bottom w:val="none" w:sz="0" w:space="0" w:color="auto"/>
        <w:right w:val="none" w:sz="0" w:space="0" w:color="auto"/>
      </w:divBdr>
    </w:div>
    <w:div w:id="1393653601">
      <w:bodyDiv w:val="1"/>
      <w:marLeft w:val="0"/>
      <w:marRight w:val="0"/>
      <w:marTop w:val="0"/>
      <w:marBottom w:val="0"/>
      <w:divBdr>
        <w:top w:val="none" w:sz="0" w:space="0" w:color="auto"/>
        <w:left w:val="none" w:sz="0" w:space="0" w:color="auto"/>
        <w:bottom w:val="none" w:sz="0" w:space="0" w:color="auto"/>
        <w:right w:val="none" w:sz="0" w:space="0" w:color="auto"/>
      </w:divBdr>
    </w:div>
    <w:div w:id="1394891950">
      <w:bodyDiv w:val="1"/>
      <w:marLeft w:val="0"/>
      <w:marRight w:val="0"/>
      <w:marTop w:val="0"/>
      <w:marBottom w:val="0"/>
      <w:divBdr>
        <w:top w:val="none" w:sz="0" w:space="0" w:color="auto"/>
        <w:left w:val="none" w:sz="0" w:space="0" w:color="auto"/>
        <w:bottom w:val="none" w:sz="0" w:space="0" w:color="auto"/>
        <w:right w:val="none" w:sz="0" w:space="0" w:color="auto"/>
      </w:divBdr>
    </w:div>
    <w:div w:id="1407804215">
      <w:bodyDiv w:val="1"/>
      <w:marLeft w:val="0"/>
      <w:marRight w:val="0"/>
      <w:marTop w:val="0"/>
      <w:marBottom w:val="0"/>
      <w:divBdr>
        <w:top w:val="none" w:sz="0" w:space="0" w:color="auto"/>
        <w:left w:val="none" w:sz="0" w:space="0" w:color="auto"/>
        <w:bottom w:val="none" w:sz="0" w:space="0" w:color="auto"/>
        <w:right w:val="none" w:sz="0" w:space="0" w:color="auto"/>
      </w:divBdr>
    </w:div>
    <w:div w:id="1430084370">
      <w:bodyDiv w:val="1"/>
      <w:marLeft w:val="0"/>
      <w:marRight w:val="0"/>
      <w:marTop w:val="0"/>
      <w:marBottom w:val="0"/>
      <w:divBdr>
        <w:top w:val="none" w:sz="0" w:space="0" w:color="auto"/>
        <w:left w:val="none" w:sz="0" w:space="0" w:color="auto"/>
        <w:bottom w:val="none" w:sz="0" w:space="0" w:color="auto"/>
        <w:right w:val="none" w:sz="0" w:space="0" w:color="auto"/>
      </w:divBdr>
    </w:div>
    <w:div w:id="1439368090">
      <w:bodyDiv w:val="1"/>
      <w:marLeft w:val="0"/>
      <w:marRight w:val="0"/>
      <w:marTop w:val="0"/>
      <w:marBottom w:val="0"/>
      <w:divBdr>
        <w:top w:val="none" w:sz="0" w:space="0" w:color="auto"/>
        <w:left w:val="none" w:sz="0" w:space="0" w:color="auto"/>
        <w:bottom w:val="none" w:sz="0" w:space="0" w:color="auto"/>
        <w:right w:val="none" w:sz="0" w:space="0" w:color="auto"/>
      </w:divBdr>
    </w:div>
    <w:div w:id="1450196666">
      <w:bodyDiv w:val="1"/>
      <w:marLeft w:val="0"/>
      <w:marRight w:val="0"/>
      <w:marTop w:val="0"/>
      <w:marBottom w:val="0"/>
      <w:divBdr>
        <w:top w:val="none" w:sz="0" w:space="0" w:color="auto"/>
        <w:left w:val="none" w:sz="0" w:space="0" w:color="auto"/>
        <w:bottom w:val="none" w:sz="0" w:space="0" w:color="auto"/>
        <w:right w:val="none" w:sz="0" w:space="0" w:color="auto"/>
      </w:divBdr>
    </w:div>
    <w:div w:id="1456024617">
      <w:bodyDiv w:val="1"/>
      <w:marLeft w:val="0"/>
      <w:marRight w:val="0"/>
      <w:marTop w:val="0"/>
      <w:marBottom w:val="0"/>
      <w:divBdr>
        <w:top w:val="none" w:sz="0" w:space="0" w:color="auto"/>
        <w:left w:val="none" w:sz="0" w:space="0" w:color="auto"/>
        <w:bottom w:val="none" w:sz="0" w:space="0" w:color="auto"/>
        <w:right w:val="none" w:sz="0" w:space="0" w:color="auto"/>
      </w:divBdr>
    </w:div>
    <w:div w:id="1456828402">
      <w:bodyDiv w:val="1"/>
      <w:marLeft w:val="0"/>
      <w:marRight w:val="0"/>
      <w:marTop w:val="0"/>
      <w:marBottom w:val="0"/>
      <w:divBdr>
        <w:top w:val="none" w:sz="0" w:space="0" w:color="auto"/>
        <w:left w:val="none" w:sz="0" w:space="0" w:color="auto"/>
        <w:bottom w:val="none" w:sz="0" w:space="0" w:color="auto"/>
        <w:right w:val="none" w:sz="0" w:space="0" w:color="auto"/>
      </w:divBdr>
    </w:div>
    <w:div w:id="1465923886">
      <w:bodyDiv w:val="1"/>
      <w:marLeft w:val="0"/>
      <w:marRight w:val="0"/>
      <w:marTop w:val="0"/>
      <w:marBottom w:val="0"/>
      <w:divBdr>
        <w:top w:val="none" w:sz="0" w:space="0" w:color="auto"/>
        <w:left w:val="none" w:sz="0" w:space="0" w:color="auto"/>
        <w:bottom w:val="none" w:sz="0" w:space="0" w:color="auto"/>
        <w:right w:val="none" w:sz="0" w:space="0" w:color="auto"/>
      </w:divBdr>
    </w:div>
    <w:div w:id="1476676915">
      <w:bodyDiv w:val="1"/>
      <w:marLeft w:val="0"/>
      <w:marRight w:val="0"/>
      <w:marTop w:val="0"/>
      <w:marBottom w:val="0"/>
      <w:divBdr>
        <w:top w:val="none" w:sz="0" w:space="0" w:color="auto"/>
        <w:left w:val="none" w:sz="0" w:space="0" w:color="auto"/>
        <w:bottom w:val="none" w:sz="0" w:space="0" w:color="auto"/>
        <w:right w:val="none" w:sz="0" w:space="0" w:color="auto"/>
      </w:divBdr>
    </w:div>
    <w:div w:id="1477527025">
      <w:bodyDiv w:val="1"/>
      <w:marLeft w:val="0"/>
      <w:marRight w:val="0"/>
      <w:marTop w:val="0"/>
      <w:marBottom w:val="0"/>
      <w:divBdr>
        <w:top w:val="none" w:sz="0" w:space="0" w:color="auto"/>
        <w:left w:val="none" w:sz="0" w:space="0" w:color="auto"/>
        <w:bottom w:val="none" w:sz="0" w:space="0" w:color="auto"/>
        <w:right w:val="none" w:sz="0" w:space="0" w:color="auto"/>
      </w:divBdr>
    </w:div>
    <w:div w:id="1498300348">
      <w:bodyDiv w:val="1"/>
      <w:marLeft w:val="0"/>
      <w:marRight w:val="0"/>
      <w:marTop w:val="0"/>
      <w:marBottom w:val="0"/>
      <w:divBdr>
        <w:top w:val="none" w:sz="0" w:space="0" w:color="auto"/>
        <w:left w:val="none" w:sz="0" w:space="0" w:color="auto"/>
        <w:bottom w:val="none" w:sz="0" w:space="0" w:color="auto"/>
        <w:right w:val="none" w:sz="0" w:space="0" w:color="auto"/>
      </w:divBdr>
    </w:div>
    <w:div w:id="1507596600">
      <w:bodyDiv w:val="1"/>
      <w:marLeft w:val="0"/>
      <w:marRight w:val="0"/>
      <w:marTop w:val="0"/>
      <w:marBottom w:val="0"/>
      <w:divBdr>
        <w:top w:val="none" w:sz="0" w:space="0" w:color="auto"/>
        <w:left w:val="none" w:sz="0" w:space="0" w:color="auto"/>
        <w:bottom w:val="none" w:sz="0" w:space="0" w:color="auto"/>
        <w:right w:val="none" w:sz="0" w:space="0" w:color="auto"/>
      </w:divBdr>
    </w:div>
    <w:div w:id="1526626755">
      <w:bodyDiv w:val="1"/>
      <w:marLeft w:val="0"/>
      <w:marRight w:val="0"/>
      <w:marTop w:val="0"/>
      <w:marBottom w:val="0"/>
      <w:divBdr>
        <w:top w:val="none" w:sz="0" w:space="0" w:color="auto"/>
        <w:left w:val="none" w:sz="0" w:space="0" w:color="auto"/>
        <w:bottom w:val="none" w:sz="0" w:space="0" w:color="auto"/>
        <w:right w:val="none" w:sz="0" w:space="0" w:color="auto"/>
      </w:divBdr>
    </w:div>
    <w:div w:id="1527210427">
      <w:bodyDiv w:val="1"/>
      <w:marLeft w:val="0"/>
      <w:marRight w:val="0"/>
      <w:marTop w:val="0"/>
      <w:marBottom w:val="0"/>
      <w:divBdr>
        <w:top w:val="none" w:sz="0" w:space="0" w:color="auto"/>
        <w:left w:val="none" w:sz="0" w:space="0" w:color="auto"/>
        <w:bottom w:val="none" w:sz="0" w:space="0" w:color="auto"/>
        <w:right w:val="none" w:sz="0" w:space="0" w:color="auto"/>
      </w:divBdr>
    </w:div>
    <w:div w:id="1538466645">
      <w:bodyDiv w:val="1"/>
      <w:marLeft w:val="0"/>
      <w:marRight w:val="0"/>
      <w:marTop w:val="0"/>
      <w:marBottom w:val="0"/>
      <w:divBdr>
        <w:top w:val="none" w:sz="0" w:space="0" w:color="auto"/>
        <w:left w:val="none" w:sz="0" w:space="0" w:color="auto"/>
        <w:bottom w:val="none" w:sz="0" w:space="0" w:color="auto"/>
        <w:right w:val="none" w:sz="0" w:space="0" w:color="auto"/>
      </w:divBdr>
    </w:div>
    <w:div w:id="1544515246">
      <w:bodyDiv w:val="1"/>
      <w:marLeft w:val="0"/>
      <w:marRight w:val="0"/>
      <w:marTop w:val="0"/>
      <w:marBottom w:val="0"/>
      <w:divBdr>
        <w:top w:val="none" w:sz="0" w:space="0" w:color="auto"/>
        <w:left w:val="none" w:sz="0" w:space="0" w:color="auto"/>
        <w:bottom w:val="none" w:sz="0" w:space="0" w:color="auto"/>
        <w:right w:val="none" w:sz="0" w:space="0" w:color="auto"/>
      </w:divBdr>
    </w:div>
    <w:div w:id="1547109203">
      <w:bodyDiv w:val="1"/>
      <w:marLeft w:val="0"/>
      <w:marRight w:val="0"/>
      <w:marTop w:val="0"/>
      <w:marBottom w:val="0"/>
      <w:divBdr>
        <w:top w:val="none" w:sz="0" w:space="0" w:color="auto"/>
        <w:left w:val="none" w:sz="0" w:space="0" w:color="auto"/>
        <w:bottom w:val="none" w:sz="0" w:space="0" w:color="auto"/>
        <w:right w:val="none" w:sz="0" w:space="0" w:color="auto"/>
      </w:divBdr>
    </w:div>
    <w:div w:id="1562671145">
      <w:bodyDiv w:val="1"/>
      <w:marLeft w:val="0"/>
      <w:marRight w:val="0"/>
      <w:marTop w:val="0"/>
      <w:marBottom w:val="0"/>
      <w:divBdr>
        <w:top w:val="none" w:sz="0" w:space="0" w:color="auto"/>
        <w:left w:val="none" w:sz="0" w:space="0" w:color="auto"/>
        <w:bottom w:val="none" w:sz="0" w:space="0" w:color="auto"/>
        <w:right w:val="none" w:sz="0" w:space="0" w:color="auto"/>
      </w:divBdr>
    </w:div>
    <w:div w:id="1567103990">
      <w:bodyDiv w:val="1"/>
      <w:marLeft w:val="0"/>
      <w:marRight w:val="0"/>
      <w:marTop w:val="0"/>
      <w:marBottom w:val="0"/>
      <w:divBdr>
        <w:top w:val="none" w:sz="0" w:space="0" w:color="auto"/>
        <w:left w:val="none" w:sz="0" w:space="0" w:color="auto"/>
        <w:bottom w:val="none" w:sz="0" w:space="0" w:color="auto"/>
        <w:right w:val="none" w:sz="0" w:space="0" w:color="auto"/>
      </w:divBdr>
    </w:div>
    <w:div w:id="1569463281">
      <w:bodyDiv w:val="1"/>
      <w:marLeft w:val="0"/>
      <w:marRight w:val="0"/>
      <w:marTop w:val="0"/>
      <w:marBottom w:val="0"/>
      <w:divBdr>
        <w:top w:val="none" w:sz="0" w:space="0" w:color="auto"/>
        <w:left w:val="none" w:sz="0" w:space="0" w:color="auto"/>
        <w:bottom w:val="none" w:sz="0" w:space="0" w:color="auto"/>
        <w:right w:val="none" w:sz="0" w:space="0" w:color="auto"/>
      </w:divBdr>
    </w:div>
    <w:div w:id="1588153795">
      <w:bodyDiv w:val="1"/>
      <w:marLeft w:val="0"/>
      <w:marRight w:val="0"/>
      <w:marTop w:val="0"/>
      <w:marBottom w:val="0"/>
      <w:divBdr>
        <w:top w:val="none" w:sz="0" w:space="0" w:color="auto"/>
        <w:left w:val="none" w:sz="0" w:space="0" w:color="auto"/>
        <w:bottom w:val="none" w:sz="0" w:space="0" w:color="auto"/>
        <w:right w:val="none" w:sz="0" w:space="0" w:color="auto"/>
      </w:divBdr>
    </w:div>
    <w:div w:id="1590046533">
      <w:bodyDiv w:val="1"/>
      <w:marLeft w:val="0"/>
      <w:marRight w:val="0"/>
      <w:marTop w:val="0"/>
      <w:marBottom w:val="0"/>
      <w:divBdr>
        <w:top w:val="none" w:sz="0" w:space="0" w:color="auto"/>
        <w:left w:val="none" w:sz="0" w:space="0" w:color="auto"/>
        <w:bottom w:val="none" w:sz="0" w:space="0" w:color="auto"/>
        <w:right w:val="none" w:sz="0" w:space="0" w:color="auto"/>
      </w:divBdr>
    </w:div>
    <w:div w:id="1602102090">
      <w:bodyDiv w:val="1"/>
      <w:marLeft w:val="0"/>
      <w:marRight w:val="0"/>
      <w:marTop w:val="0"/>
      <w:marBottom w:val="0"/>
      <w:divBdr>
        <w:top w:val="none" w:sz="0" w:space="0" w:color="auto"/>
        <w:left w:val="none" w:sz="0" w:space="0" w:color="auto"/>
        <w:bottom w:val="none" w:sz="0" w:space="0" w:color="auto"/>
        <w:right w:val="none" w:sz="0" w:space="0" w:color="auto"/>
      </w:divBdr>
    </w:div>
    <w:div w:id="1624850143">
      <w:bodyDiv w:val="1"/>
      <w:marLeft w:val="0"/>
      <w:marRight w:val="0"/>
      <w:marTop w:val="0"/>
      <w:marBottom w:val="0"/>
      <w:divBdr>
        <w:top w:val="none" w:sz="0" w:space="0" w:color="auto"/>
        <w:left w:val="none" w:sz="0" w:space="0" w:color="auto"/>
        <w:bottom w:val="none" w:sz="0" w:space="0" w:color="auto"/>
        <w:right w:val="none" w:sz="0" w:space="0" w:color="auto"/>
      </w:divBdr>
    </w:div>
    <w:div w:id="1631395307">
      <w:bodyDiv w:val="1"/>
      <w:marLeft w:val="0"/>
      <w:marRight w:val="0"/>
      <w:marTop w:val="0"/>
      <w:marBottom w:val="0"/>
      <w:divBdr>
        <w:top w:val="none" w:sz="0" w:space="0" w:color="auto"/>
        <w:left w:val="none" w:sz="0" w:space="0" w:color="auto"/>
        <w:bottom w:val="none" w:sz="0" w:space="0" w:color="auto"/>
        <w:right w:val="none" w:sz="0" w:space="0" w:color="auto"/>
      </w:divBdr>
    </w:div>
    <w:div w:id="1638417036">
      <w:bodyDiv w:val="1"/>
      <w:marLeft w:val="0"/>
      <w:marRight w:val="0"/>
      <w:marTop w:val="0"/>
      <w:marBottom w:val="0"/>
      <w:divBdr>
        <w:top w:val="none" w:sz="0" w:space="0" w:color="auto"/>
        <w:left w:val="none" w:sz="0" w:space="0" w:color="auto"/>
        <w:bottom w:val="none" w:sz="0" w:space="0" w:color="auto"/>
        <w:right w:val="none" w:sz="0" w:space="0" w:color="auto"/>
      </w:divBdr>
    </w:div>
    <w:div w:id="1656884013">
      <w:bodyDiv w:val="1"/>
      <w:marLeft w:val="0"/>
      <w:marRight w:val="0"/>
      <w:marTop w:val="0"/>
      <w:marBottom w:val="0"/>
      <w:divBdr>
        <w:top w:val="none" w:sz="0" w:space="0" w:color="auto"/>
        <w:left w:val="none" w:sz="0" w:space="0" w:color="auto"/>
        <w:bottom w:val="none" w:sz="0" w:space="0" w:color="auto"/>
        <w:right w:val="none" w:sz="0" w:space="0" w:color="auto"/>
      </w:divBdr>
    </w:div>
    <w:div w:id="1657146978">
      <w:bodyDiv w:val="1"/>
      <w:marLeft w:val="0"/>
      <w:marRight w:val="0"/>
      <w:marTop w:val="0"/>
      <w:marBottom w:val="0"/>
      <w:divBdr>
        <w:top w:val="none" w:sz="0" w:space="0" w:color="auto"/>
        <w:left w:val="none" w:sz="0" w:space="0" w:color="auto"/>
        <w:bottom w:val="none" w:sz="0" w:space="0" w:color="auto"/>
        <w:right w:val="none" w:sz="0" w:space="0" w:color="auto"/>
      </w:divBdr>
    </w:div>
    <w:div w:id="1665665273">
      <w:bodyDiv w:val="1"/>
      <w:marLeft w:val="0"/>
      <w:marRight w:val="0"/>
      <w:marTop w:val="0"/>
      <w:marBottom w:val="0"/>
      <w:divBdr>
        <w:top w:val="none" w:sz="0" w:space="0" w:color="auto"/>
        <w:left w:val="none" w:sz="0" w:space="0" w:color="auto"/>
        <w:bottom w:val="none" w:sz="0" w:space="0" w:color="auto"/>
        <w:right w:val="none" w:sz="0" w:space="0" w:color="auto"/>
      </w:divBdr>
    </w:div>
    <w:div w:id="1708943510">
      <w:bodyDiv w:val="1"/>
      <w:marLeft w:val="0"/>
      <w:marRight w:val="0"/>
      <w:marTop w:val="0"/>
      <w:marBottom w:val="0"/>
      <w:divBdr>
        <w:top w:val="none" w:sz="0" w:space="0" w:color="auto"/>
        <w:left w:val="none" w:sz="0" w:space="0" w:color="auto"/>
        <w:bottom w:val="none" w:sz="0" w:space="0" w:color="auto"/>
        <w:right w:val="none" w:sz="0" w:space="0" w:color="auto"/>
      </w:divBdr>
    </w:div>
    <w:div w:id="1715083973">
      <w:bodyDiv w:val="1"/>
      <w:marLeft w:val="0"/>
      <w:marRight w:val="0"/>
      <w:marTop w:val="0"/>
      <w:marBottom w:val="0"/>
      <w:divBdr>
        <w:top w:val="none" w:sz="0" w:space="0" w:color="auto"/>
        <w:left w:val="none" w:sz="0" w:space="0" w:color="auto"/>
        <w:bottom w:val="none" w:sz="0" w:space="0" w:color="auto"/>
        <w:right w:val="none" w:sz="0" w:space="0" w:color="auto"/>
      </w:divBdr>
    </w:div>
    <w:div w:id="1720779526">
      <w:bodyDiv w:val="1"/>
      <w:marLeft w:val="0"/>
      <w:marRight w:val="0"/>
      <w:marTop w:val="0"/>
      <w:marBottom w:val="0"/>
      <w:divBdr>
        <w:top w:val="none" w:sz="0" w:space="0" w:color="auto"/>
        <w:left w:val="none" w:sz="0" w:space="0" w:color="auto"/>
        <w:bottom w:val="none" w:sz="0" w:space="0" w:color="auto"/>
        <w:right w:val="none" w:sz="0" w:space="0" w:color="auto"/>
      </w:divBdr>
    </w:div>
    <w:div w:id="1738935567">
      <w:bodyDiv w:val="1"/>
      <w:marLeft w:val="0"/>
      <w:marRight w:val="0"/>
      <w:marTop w:val="0"/>
      <w:marBottom w:val="0"/>
      <w:divBdr>
        <w:top w:val="none" w:sz="0" w:space="0" w:color="auto"/>
        <w:left w:val="none" w:sz="0" w:space="0" w:color="auto"/>
        <w:bottom w:val="none" w:sz="0" w:space="0" w:color="auto"/>
        <w:right w:val="none" w:sz="0" w:space="0" w:color="auto"/>
      </w:divBdr>
    </w:div>
    <w:div w:id="1739398617">
      <w:bodyDiv w:val="1"/>
      <w:marLeft w:val="0"/>
      <w:marRight w:val="0"/>
      <w:marTop w:val="0"/>
      <w:marBottom w:val="0"/>
      <w:divBdr>
        <w:top w:val="none" w:sz="0" w:space="0" w:color="auto"/>
        <w:left w:val="none" w:sz="0" w:space="0" w:color="auto"/>
        <w:bottom w:val="none" w:sz="0" w:space="0" w:color="auto"/>
        <w:right w:val="none" w:sz="0" w:space="0" w:color="auto"/>
      </w:divBdr>
    </w:div>
    <w:div w:id="1739858288">
      <w:bodyDiv w:val="1"/>
      <w:marLeft w:val="0"/>
      <w:marRight w:val="0"/>
      <w:marTop w:val="0"/>
      <w:marBottom w:val="0"/>
      <w:divBdr>
        <w:top w:val="none" w:sz="0" w:space="0" w:color="auto"/>
        <w:left w:val="none" w:sz="0" w:space="0" w:color="auto"/>
        <w:bottom w:val="none" w:sz="0" w:space="0" w:color="auto"/>
        <w:right w:val="none" w:sz="0" w:space="0" w:color="auto"/>
      </w:divBdr>
    </w:div>
    <w:div w:id="1771974023">
      <w:bodyDiv w:val="1"/>
      <w:marLeft w:val="0"/>
      <w:marRight w:val="0"/>
      <w:marTop w:val="0"/>
      <w:marBottom w:val="0"/>
      <w:divBdr>
        <w:top w:val="none" w:sz="0" w:space="0" w:color="auto"/>
        <w:left w:val="none" w:sz="0" w:space="0" w:color="auto"/>
        <w:bottom w:val="none" w:sz="0" w:space="0" w:color="auto"/>
        <w:right w:val="none" w:sz="0" w:space="0" w:color="auto"/>
      </w:divBdr>
    </w:div>
    <w:div w:id="1772237167">
      <w:bodyDiv w:val="1"/>
      <w:marLeft w:val="0"/>
      <w:marRight w:val="0"/>
      <w:marTop w:val="0"/>
      <w:marBottom w:val="0"/>
      <w:divBdr>
        <w:top w:val="none" w:sz="0" w:space="0" w:color="auto"/>
        <w:left w:val="none" w:sz="0" w:space="0" w:color="auto"/>
        <w:bottom w:val="none" w:sz="0" w:space="0" w:color="auto"/>
        <w:right w:val="none" w:sz="0" w:space="0" w:color="auto"/>
      </w:divBdr>
    </w:div>
    <w:div w:id="1777210104">
      <w:bodyDiv w:val="1"/>
      <w:marLeft w:val="0"/>
      <w:marRight w:val="0"/>
      <w:marTop w:val="0"/>
      <w:marBottom w:val="0"/>
      <w:divBdr>
        <w:top w:val="none" w:sz="0" w:space="0" w:color="auto"/>
        <w:left w:val="none" w:sz="0" w:space="0" w:color="auto"/>
        <w:bottom w:val="none" w:sz="0" w:space="0" w:color="auto"/>
        <w:right w:val="none" w:sz="0" w:space="0" w:color="auto"/>
      </w:divBdr>
    </w:div>
    <w:div w:id="1782021292">
      <w:bodyDiv w:val="1"/>
      <w:marLeft w:val="0"/>
      <w:marRight w:val="0"/>
      <w:marTop w:val="0"/>
      <w:marBottom w:val="0"/>
      <w:divBdr>
        <w:top w:val="none" w:sz="0" w:space="0" w:color="auto"/>
        <w:left w:val="none" w:sz="0" w:space="0" w:color="auto"/>
        <w:bottom w:val="none" w:sz="0" w:space="0" w:color="auto"/>
        <w:right w:val="none" w:sz="0" w:space="0" w:color="auto"/>
      </w:divBdr>
    </w:div>
    <w:div w:id="1784303767">
      <w:bodyDiv w:val="1"/>
      <w:marLeft w:val="0"/>
      <w:marRight w:val="0"/>
      <w:marTop w:val="0"/>
      <w:marBottom w:val="0"/>
      <w:divBdr>
        <w:top w:val="none" w:sz="0" w:space="0" w:color="auto"/>
        <w:left w:val="none" w:sz="0" w:space="0" w:color="auto"/>
        <w:bottom w:val="none" w:sz="0" w:space="0" w:color="auto"/>
        <w:right w:val="none" w:sz="0" w:space="0" w:color="auto"/>
      </w:divBdr>
    </w:div>
    <w:div w:id="1784960730">
      <w:bodyDiv w:val="1"/>
      <w:marLeft w:val="0"/>
      <w:marRight w:val="0"/>
      <w:marTop w:val="0"/>
      <w:marBottom w:val="0"/>
      <w:divBdr>
        <w:top w:val="none" w:sz="0" w:space="0" w:color="auto"/>
        <w:left w:val="none" w:sz="0" w:space="0" w:color="auto"/>
        <w:bottom w:val="none" w:sz="0" w:space="0" w:color="auto"/>
        <w:right w:val="none" w:sz="0" w:space="0" w:color="auto"/>
      </w:divBdr>
    </w:div>
    <w:div w:id="1787962185">
      <w:bodyDiv w:val="1"/>
      <w:marLeft w:val="0"/>
      <w:marRight w:val="0"/>
      <w:marTop w:val="0"/>
      <w:marBottom w:val="0"/>
      <w:divBdr>
        <w:top w:val="none" w:sz="0" w:space="0" w:color="auto"/>
        <w:left w:val="none" w:sz="0" w:space="0" w:color="auto"/>
        <w:bottom w:val="none" w:sz="0" w:space="0" w:color="auto"/>
        <w:right w:val="none" w:sz="0" w:space="0" w:color="auto"/>
      </w:divBdr>
    </w:div>
    <w:div w:id="1788622194">
      <w:bodyDiv w:val="1"/>
      <w:marLeft w:val="0"/>
      <w:marRight w:val="0"/>
      <w:marTop w:val="0"/>
      <w:marBottom w:val="0"/>
      <w:divBdr>
        <w:top w:val="none" w:sz="0" w:space="0" w:color="auto"/>
        <w:left w:val="none" w:sz="0" w:space="0" w:color="auto"/>
        <w:bottom w:val="none" w:sz="0" w:space="0" w:color="auto"/>
        <w:right w:val="none" w:sz="0" w:space="0" w:color="auto"/>
      </w:divBdr>
    </w:div>
    <w:div w:id="1788892033">
      <w:bodyDiv w:val="1"/>
      <w:marLeft w:val="0"/>
      <w:marRight w:val="0"/>
      <w:marTop w:val="0"/>
      <w:marBottom w:val="0"/>
      <w:divBdr>
        <w:top w:val="none" w:sz="0" w:space="0" w:color="auto"/>
        <w:left w:val="none" w:sz="0" w:space="0" w:color="auto"/>
        <w:bottom w:val="none" w:sz="0" w:space="0" w:color="auto"/>
        <w:right w:val="none" w:sz="0" w:space="0" w:color="auto"/>
      </w:divBdr>
    </w:div>
    <w:div w:id="1809861175">
      <w:bodyDiv w:val="1"/>
      <w:marLeft w:val="0"/>
      <w:marRight w:val="0"/>
      <w:marTop w:val="0"/>
      <w:marBottom w:val="0"/>
      <w:divBdr>
        <w:top w:val="none" w:sz="0" w:space="0" w:color="auto"/>
        <w:left w:val="none" w:sz="0" w:space="0" w:color="auto"/>
        <w:bottom w:val="none" w:sz="0" w:space="0" w:color="auto"/>
        <w:right w:val="none" w:sz="0" w:space="0" w:color="auto"/>
      </w:divBdr>
    </w:div>
    <w:div w:id="1843624943">
      <w:bodyDiv w:val="1"/>
      <w:marLeft w:val="0"/>
      <w:marRight w:val="0"/>
      <w:marTop w:val="0"/>
      <w:marBottom w:val="0"/>
      <w:divBdr>
        <w:top w:val="none" w:sz="0" w:space="0" w:color="auto"/>
        <w:left w:val="none" w:sz="0" w:space="0" w:color="auto"/>
        <w:bottom w:val="none" w:sz="0" w:space="0" w:color="auto"/>
        <w:right w:val="none" w:sz="0" w:space="0" w:color="auto"/>
      </w:divBdr>
    </w:div>
    <w:div w:id="1845509502">
      <w:bodyDiv w:val="1"/>
      <w:marLeft w:val="0"/>
      <w:marRight w:val="0"/>
      <w:marTop w:val="0"/>
      <w:marBottom w:val="0"/>
      <w:divBdr>
        <w:top w:val="none" w:sz="0" w:space="0" w:color="auto"/>
        <w:left w:val="none" w:sz="0" w:space="0" w:color="auto"/>
        <w:bottom w:val="none" w:sz="0" w:space="0" w:color="auto"/>
        <w:right w:val="none" w:sz="0" w:space="0" w:color="auto"/>
      </w:divBdr>
    </w:div>
    <w:div w:id="1850633061">
      <w:bodyDiv w:val="1"/>
      <w:marLeft w:val="0"/>
      <w:marRight w:val="0"/>
      <w:marTop w:val="0"/>
      <w:marBottom w:val="0"/>
      <w:divBdr>
        <w:top w:val="none" w:sz="0" w:space="0" w:color="auto"/>
        <w:left w:val="none" w:sz="0" w:space="0" w:color="auto"/>
        <w:bottom w:val="none" w:sz="0" w:space="0" w:color="auto"/>
        <w:right w:val="none" w:sz="0" w:space="0" w:color="auto"/>
      </w:divBdr>
    </w:div>
    <w:div w:id="1852142969">
      <w:bodyDiv w:val="1"/>
      <w:marLeft w:val="0"/>
      <w:marRight w:val="0"/>
      <w:marTop w:val="0"/>
      <w:marBottom w:val="0"/>
      <w:divBdr>
        <w:top w:val="none" w:sz="0" w:space="0" w:color="auto"/>
        <w:left w:val="none" w:sz="0" w:space="0" w:color="auto"/>
        <w:bottom w:val="none" w:sz="0" w:space="0" w:color="auto"/>
        <w:right w:val="none" w:sz="0" w:space="0" w:color="auto"/>
      </w:divBdr>
    </w:div>
    <w:div w:id="1870025403">
      <w:bodyDiv w:val="1"/>
      <w:marLeft w:val="0"/>
      <w:marRight w:val="0"/>
      <w:marTop w:val="0"/>
      <w:marBottom w:val="0"/>
      <w:divBdr>
        <w:top w:val="none" w:sz="0" w:space="0" w:color="auto"/>
        <w:left w:val="none" w:sz="0" w:space="0" w:color="auto"/>
        <w:bottom w:val="none" w:sz="0" w:space="0" w:color="auto"/>
        <w:right w:val="none" w:sz="0" w:space="0" w:color="auto"/>
      </w:divBdr>
    </w:div>
    <w:div w:id="1882939863">
      <w:bodyDiv w:val="1"/>
      <w:marLeft w:val="0"/>
      <w:marRight w:val="0"/>
      <w:marTop w:val="0"/>
      <w:marBottom w:val="0"/>
      <w:divBdr>
        <w:top w:val="none" w:sz="0" w:space="0" w:color="auto"/>
        <w:left w:val="none" w:sz="0" w:space="0" w:color="auto"/>
        <w:bottom w:val="none" w:sz="0" w:space="0" w:color="auto"/>
        <w:right w:val="none" w:sz="0" w:space="0" w:color="auto"/>
      </w:divBdr>
    </w:div>
    <w:div w:id="1887374361">
      <w:bodyDiv w:val="1"/>
      <w:marLeft w:val="0"/>
      <w:marRight w:val="0"/>
      <w:marTop w:val="0"/>
      <w:marBottom w:val="0"/>
      <w:divBdr>
        <w:top w:val="none" w:sz="0" w:space="0" w:color="auto"/>
        <w:left w:val="none" w:sz="0" w:space="0" w:color="auto"/>
        <w:bottom w:val="none" w:sz="0" w:space="0" w:color="auto"/>
        <w:right w:val="none" w:sz="0" w:space="0" w:color="auto"/>
      </w:divBdr>
    </w:div>
    <w:div w:id="1893806975">
      <w:bodyDiv w:val="1"/>
      <w:marLeft w:val="0"/>
      <w:marRight w:val="0"/>
      <w:marTop w:val="0"/>
      <w:marBottom w:val="0"/>
      <w:divBdr>
        <w:top w:val="none" w:sz="0" w:space="0" w:color="auto"/>
        <w:left w:val="none" w:sz="0" w:space="0" w:color="auto"/>
        <w:bottom w:val="none" w:sz="0" w:space="0" w:color="auto"/>
        <w:right w:val="none" w:sz="0" w:space="0" w:color="auto"/>
      </w:divBdr>
    </w:div>
    <w:div w:id="1909876249">
      <w:bodyDiv w:val="1"/>
      <w:marLeft w:val="0"/>
      <w:marRight w:val="0"/>
      <w:marTop w:val="0"/>
      <w:marBottom w:val="0"/>
      <w:divBdr>
        <w:top w:val="none" w:sz="0" w:space="0" w:color="auto"/>
        <w:left w:val="none" w:sz="0" w:space="0" w:color="auto"/>
        <w:bottom w:val="none" w:sz="0" w:space="0" w:color="auto"/>
        <w:right w:val="none" w:sz="0" w:space="0" w:color="auto"/>
      </w:divBdr>
    </w:div>
    <w:div w:id="1918707033">
      <w:bodyDiv w:val="1"/>
      <w:marLeft w:val="0"/>
      <w:marRight w:val="0"/>
      <w:marTop w:val="0"/>
      <w:marBottom w:val="0"/>
      <w:divBdr>
        <w:top w:val="none" w:sz="0" w:space="0" w:color="auto"/>
        <w:left w:val="none" w:sz="0" w:space="0" w:color="auto"/>
        <w:bottom w:val="none" w:sz="0" w:space="0" w:color="auto"/>
        <w:right w:val="none" w:sz="0" w:space="0" w:color="auto"/>
      </w:divBdr>
    </w:div>
    <w:div w:id="1930768818">
      <w:bodyDiv w:val="1"/>
      <w:marLeft w:val="0"/>
      <w:marRight w:val="0"/>
      <w:marTop w:val="0"/>
      <w:marBottom w:val="0"/>
      <w:divBdr>
        <w:top w:val="none" w:sz="0" w:space="0" w:color="auto"/>
        <w:left w:val="none" w:sz="0" w:space="0" w:color="auto"/>
        <w:bottom w:val="none" w:sz="0" w:space="0" w:color="auto"/>
        <w:right w:val="none" w:sz="0" w:space="0" w:color="auto"/>
      </w:divBdr>
    </w:div>
    <w:div w:id="1934822633">
      <w:bodyDiv w:val="1"/>
      <w:marLeft w:val="0"/>
      <w:marRight w:val="0"/>
      <w:marTop w:val="0"/>
      <w:marBottom w:val="0"/>
      <w:divBdr>
        <w:top w:val="none" w:sz="0" w:space="0" w:color="auto"/>
        <w:left w:val="none" w:sz="0" w:space="0" w:color="auto"/>
        <w:bottom w:val="none" w:sz="0" w:space="0" w:color="auto"/>
        <w:right w:val="none" w:sz="0" w:space="0" w:color="auto"/>
      </w:divBdr>
    </w:div>
    <w:div w:id="1952973151">
      <w:bodyDiv w:val="1"/>
      <w:marLeft w:val="0"/>
      <w:marRight w:val="0"/>
      <w:marTop w:val="0"/>
      <w:marBottom w:val="0"/>
      <w:divBdr>
        <w:top w:val="none" w:sz="0" w:space="0" w:color="auto"/>
        <w:left w:val="none" w:sz="0" w:space="0" w:color="auto"/>
        <w:bottom w:val="none" w:sz="0" w:space="0" w:color="auto"/>
        <w:right w:val="none" w:sz="0" w:space="0" w:color="auto"/>
      </w:divBdr>
    </w:div>
    <w:div w:id="1961261210">
      <w:bodyDiv w:val="1"/>
      <w:marLeft w:val="0"/>
      <w:marRight w:val="0"/>
      <w:marTop w:val="0"/>
      <w:marBottom w:val="0"/>
      <w:divBdr>
        <w:top w:val="none" w:sz="0" w:space="0" w:color="auto"/>
        <w:left w:val="none" w:sz="0" w:space="0" w:color="auto"/>
        <w:bottom w:val="none" w:sz="0" w:space="0" w:color="auto"/>
        <w:right w:val="none" w:sz="0" w:space="0" w:color="auto"/>
      </w:divBdr>
    </w:div>
    <w:div w:id="2003774023">
      <w:bodyDiv w:val="1"/>
      <w:marLeft w:val="0"/>
      <w:marRight w:val="0"/>
      <w:marTop w:val="0"/>
      <w:marBottom w:val="0"/>
      <w:divBdr>
        <w:top w:val="none" w:sz="0" w:space="0" w:color="auto"/>
        <w:left w:val="none" w:sz="0" w:space="0" w:color="auto"/>
        <w:bottom w:val="none" w:sz="0" w:space="0" w:color="auto"/>
        <w:right w:val="none" w:sz="0" w:space="0" w:color="auto"/>
      </w:divBdr>
    </w:div>
    <w:div w:id="2012219123">
      <w:bodyDiv w:val="1"/>
      <w:marLeft w:val="0"/>
      <w:marRight w:val="0"/>
      <w:marTop w:val="0"/>
      <w:marBottom w:val="0"/>
      <w:divBdr>
        <w:top w:val="none" w:sz="0" w:space="0" w:color="auto"/>
        <w:left w:val="none" w:sz="0" w:space="0" w:color="auto"/>
        <w:bottom w:val="none" w:sz="0" w:space="0" w:color="auto"/>
        <w:right w:val="none" w:sz="0" w:space="0" w:color="auto"/>
      </w:divBdr>
    </w:div>
    <w:div w:id="2035886037">
      <w:bodyDiv w:val="1"/>
      <w:marLeft w:val="0"/>
      <w:marRight w:val="0"/>
      <w:marTop w:val="0"/>
      <w:marBottom w:val="0"/>
      <w:divBdr>
        <w:top w:val="none" w:sz="0" w:space="0" w:color="auto"/>
        <w:left w:val="none" w:sz="0" w:space="0" w:color="auto"/>
        <w:bottom w:val="none" w:sz="0" w:space="0" w:color="auto"/>
        <w:right w:val="none" w:sz="0" w:space="0" w:color="auto"/>
      </w:divBdr>
    </w:div>
    <w:div w:id="2040429581">
      <w:bodyDiv w:val="1"/>
      <w:marLeft w:val="0"/>
      <w:marRight w:val="0"/>
      <w:marTop w:val="0"/>
      <w:marBottom w:val="0"/>
      <w:divBdr>
        <w:top w:val="none" w:sz="0" w:space="0" w:color="auto"/>
        <w:left w:val="none" w:sz="0" w:space="0" w:color="auto"/>
        <w:bottom w:val="none" w:sz="0" w:space="0" w:color="auto"/>
        <w:right w:val="none" w:sz="0" w:space="0" w:color="auto"/>
      </w:divBdr>
    </w:div>
    <w:div w:id="2042707374">
      <w:bodyDiv w:val="1"/>
      <w:marLeft w:val="0"/>
      <w:marRight w:val="0"/>
      <w:marTop w:val="0"/>
      <w:marBottom w:val="0"/>
      <w:divBdr>
        <w:top w:val="none" w:sz="0" w:space="0" w:color="auto"/>
        <w:left w:val="none" w:sz="0" w:space="0" w:color="auto"/>
        <w:bottom w:val="none" w:sz="0" w:space="0" w:color="auto"/>
        <w:right w:val="none" w:sz="0" w:space="0" w:color="auto"/>
      </w:divBdr>
    </w:div>
    <w:div w:id="2063946356">
      <w:bodyDiv w:val="1"/>
      <w:marLeft w:val="0"/>
      <w:marRight w:val="0"/>
      <w:marTop w:val="0"/>
      <w:marBottom w:val="0"/>
      <w:divBdr>
        <w:top w:val="none" w:sz="0" w:space="0" w:color="auto"/>
        <w:left w:val="none" w:sz="0" w:space="0" w:color="auto"/>
        <w:bottom w:val="none" w:sz="0" w:space="0" w:color="auto"/>
        <w:right w:val="none" w:sz="0" w:space="0" w:color="auto"/>
      </w:divBdr>
    </w:div>
    <w:div w:id="2067213601">
      <w:bodyDiv w:val="1"/>
      <w:marLeft w:val="0"/>
      <w:marRight w:val="0"/>
      <w:marTop w:val="0"/>
      <w:marBottom w:val="0"/>
      <w:divBdr>
        <w:top w:val="none" w:sz="0" w:space="0" w:color="auto"/>
        <w:left w:val="none" w:sz="0" w:space="0" w:color="auto"/>
        <w:bottom w:val="none" w:sz="0" w:space="0" w:color="auto"/>
        <w:right w:val="none" w:sz="0" w:space="0" w:color="auto"/>
      </w:divBdr>
    </w:div>
    <w:div w:id="2075739030">
      <w:bodyDiv w:val="1"/>
      <w:marLeft w:val="0"/>
      <w:marRight w:val="0"/>
      <w:marTop w:val="0"/>
      <w:marBottom w:val="0"/>
      <w:divBdr>
        <w:top w:val="none" w:sz="0" w:space="0" w:color="auto"/>
        <w:left w:val="none" w:sz="0" w:space="0" w:color="auto"/>
        <w:bottom w:val="none" w:sz="0" w:space="0" w:color="auto"/>
        <w:right w:val="none" w:sz="0" w:space="0" w:color="auto"/>
      </w:divBdr>
    </w:div>
    <w:div w:id="2075930680">
      <w:bodyDiv w:val="1"/>
      <w:marLeft w:val="0"/>
      <w:marRight w:val="0"/>
      <w:marTop w:val="0"/>
      <w:marBottom w:val="0"/>
      <w:divBdr>
        <w:top w:val="none" w:sz="0" w:space="0" w:color="auto"/>
        <w:left w:val="none" w:sz="0" w:space="0" w:color="auto"/>
        <w:bottom w:val="none" w:sz="0" w:space="0" w:color="auto"/>
        <w:right w:val="none" w:sz="0" w:space="0" w:color="auto"/>
      </w:divBdr>
    </w:div>
    <w:div w:id="2097821160">
      <w:bodyDiv w:val="1"/>
      <w:marLeft w:val="0"/>
      <w:marRight w:val="0"/>
      <w:marTop w:val="0"/>
      <w:marBottom w:val="0"/>
      <w:divBdr>
        <w:top w:val="none" w:sz="0" w:space="0" w:color="auto"/>
        <w:left w:val="none" w:sz="0" w:space="0" w:color="auto"/>
        <w:bottom w:val="none" w:sz="0" w:space="0" w:color="auto"/>
        <w:right w:val="none" w:sz="0" w:space="0" w:color="auto"/>
      </w:divBdr>
    </w:div>
    <w:div w:id="2104496266">
      <w:bodyDiv w:val="1"/>
      <w:marLeft w:val="0"/>
      <w:marRight w:val="0"/>
      <w:marTop w:val="0"/>
      <w:marBottom w:val="0"/>
      <w:divBdr>
        <w:top w:val="none" w:sz="0" w:space="0" w:color="auto"/>
        <w:left w:val="none" w:sz="0" w:space="0" w:color="auto"/>
        <w:bottom w:val="none" w:sz="0" w:space="0" w:color="auto"/>
        <w:right w:val="none" w:sz="0" w:space="0" w:color="auto"/>
      </w:divBdr>
    </w:div>
    <w:div w:id="2110617119">
      <w:bodyDiv w:val="1"/>
      <w:marLeft w:val="0"/>
      <w:marRight w:val="0"/>
      <w:marTop w:val="0"/>
      <w:marBottom w:val="0"/>
      <w:divBdr>
        <w:top w:val="none" w:sz="0" w:space="0" w:color="auto"/>
        <w:left w:val="none" w:sz="0" w:space="0" w:color="auto"/>
        <w:bottom w:val="none" w:sz="0" w:space="0" w:color="auto"/>
        <w:right w:val="none" w:sz="0" w:space="0" w:color="auto"/>
      </w:divBdr>
    </w:div>
    <w:div w:id="2120292576">
      <w:bodyDiv w:val="1"/>
      <w:marLeft w:val="0"/>
      <w:marRight w:val="0"/>
      <w:marTop w:val="0"/>
      <w:marBottom w:val="0"/>
      <w:divBdr>
        <w:top w:val="none" w:sz="0" w:space="0" w:color="auto"/>
        <w:left w:val="none" w:sz="0" w:space="0" w:color="auto"/>
        <w:bottom w:val="none" w:sz="0" w:space="0" w:color="auto"/>
        <w:right w:val="none" w:sz="0" w:space="0" w:color="auto"/>
      </w:divBdr>
    </w:div>
    <w:div w:id="2120374964">
      <w:bodyDiv w:val="1"/>
      <w:marLeft w:val="0"/>
      <w:marRight w:val="0"/>
      <w:marTop w:val="0"/>
      <w:marBottom w:val="0"/>
      <w:divBdr>
        <w:top w:val="none" w:sz="0" w:space="0" w:color="auto"/>
        <w:left w:val="none" w:sz="0" w:space="0" w:color="auto"/>
        <w:bottom w:val="none" w:sz="0" w:space="0" w:color="auto"/>
        <w:right w:val="none" w:sz="0" w:space="0" w:color="auto"/>
      </w:divBdr>
    </w:div>
    <w:div w:id="2126920244">
      <w:bodyDiv w:val="1"/>
      <w:marLeft w:val="0"/>
      <w:marRight w:val="0"/>
      <w:marTop w:val="0"/>
      <w:marBottom w:val="0"/>
      <w:divBdr>
        <w:top w:val="none" w:sz="0" w:space="0" w:color="auto"/>
        <w:left w:val="none" w:sz="0" w:space="0" w:color="auto"/>
        <w:bottom w:val="none" w:sz="0" w:space="0" w:color="auto"/>
        <w:right w:val="none" w:sz="0" w:space="0" w:color="auto"/>
      </w:divBdr>
    </w:div>
    <w:div w:id="212974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11365</Words>
  <Characters>55351</Characters>
  <Application>Microsoft Office Word</Application>
  <DocSecurity>0</DocSecurity>
  <Lines>2515</Lines>
  <Paragraphs>2084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Amendment (Fees and Charges) Regulations 2024 - 00-00-00</dc:title>
  <dc:subject/>
  <dc:creator/>
  <cp:keywords/>
  <dc:description/>
  <cp:lastModifiedBy>Master Repository Process</cp:lastModifiedBy>
  <cp:revision>4</cp:revision>
  <cp:lastPrinted>2024-05-27T07:36:00Z</cp:lastPrinted>
  <dcterms:created xsi:type="dcterms:W3CDTF">2025-06-18T02:18:00Z</dcterms:created>
  <dcterms:modified xsi:type="dcterms:W3CDTF">2025-06-18T02:19:00Z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54850</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2024/117</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