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_Toc169877079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_Toc169877080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_Toc169877081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_Toc169877082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_Toc169877083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_Toc169877084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_Toc169877085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_Toc169877086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_Toc169877087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_Toc169877088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_Toc169877089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_Toc169877090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_Toc169877091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_Toc169877092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_Toc169877093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_Toc169877094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_Toc169877095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_Toc169877096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_Toc169877097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_Toc169877098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_Toc169877099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_Toc169877100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_Toc169877101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_Toc169877102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_Toc169877103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_Toc169877104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_Toc169877105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_Toc169877106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_Toc169877107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_Toc169877108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_Toc169877109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_Toc169877110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_Toc169877111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_Toc169877112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_Toc169877113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_Toc169877114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_Toc169877115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_Toc169877116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_Toc169877117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_Toc169877118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_Toc169877119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_Toc169877120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_Toc169877121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_Toc169877122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_Toc169877123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_Toc169877124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_Toc169877125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_Toc169877126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_Toc169877127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_Toc169877128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_Toc169877129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_Toc169877130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_Toc169877131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_Toc169877132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_Toc169877133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_Toc169877134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_Toc169877135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_Toc169877136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_Toc169877137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_Toc169877138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_Toc169877139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_Toc169877140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_Toc169877141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_Toc169877142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_Toc169877143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_Toc169877144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_Toc169877145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_Toc169877146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_Toc169877147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_Toc169877148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_Toc169877149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_Toc169877150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_Toc169877151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_Toc169877152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_Toc169877153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_Toc169877154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_Toc169877155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_Toc169877156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_Toc169877157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_Toc169877158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_Toc169877159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_Toc169877160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_Toc169877161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_Toc169877162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_Toc169877163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_Toc169877164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_Toc169877165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_Toc169877166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_Toc169877167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_Toc169877168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_Toc169877169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_Toc169877170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_Toc169877171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_Toc169877172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_Toc169877173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_Toc169877174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_Toc169877175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_Toc169877176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_Toc169877177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_Toc169877178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_Toc169877179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_Toc169877180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_Toc169877181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_Toc169877182 \h </w:instrText>
      </w:r>
      <w:r>
        <w:fldChar w:fldCharType="separate"/>
      </w:r>
      <w:r>
        <w:t>96</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_Toc169877183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_Toc169877190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_Toc169877191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_Toc169877192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_Toc169877193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_Toc169877194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_Toc169877196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_Toc169877197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_Toc169877198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169877079"/>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69877080"/>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169877081"/>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169877082"/>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6" w:name="_Toc169877083"/>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169877084"/>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169877085"/>
      <w:r>
        <w:rPr>
          <w:rStyle w:val="CharSectno"/>
        </w:rPr>
        <w:lastRenderedPageBreak/>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169877086"/>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16987708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169877088"/>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169877089"/>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169877090"/>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169877091"/>
      <w:r>
        <w:rPr>
          <w:rStyle w:val="CharSectno"/>
        </w:rPr>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169877092"/>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169877093"/>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169877094"/>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169877095"/>
      <w:r>
        <w:rPr>
          <w:rStyle w:val="CharSectno"/>
        </w:rPr>
        <w:lastRenderedPageBreak/>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169877096"/>
      <w:r>
        <w:rPr>
          <w:rStyle w:val="CharSectno"/>
        </w:rPr>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169877097"/>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169877098"/>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169877099"/>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169877100"/>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169877101"/>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169877102"/>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169877103"/>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169877104"/>
      <w:r>
        <w:rPr>
          <w:rStyle w:val="CharSectno"/>
        </w:rPr>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169877105"/>
      <w:r>
        <w:rPr>
          <w:rStyle w:val="CharSectno"/>
        </w:rPr>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169877106"/>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169877107"/>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169877108"/>
      <w:r>
        <w:rPr>
          <w:rStyle w:val="CharSectno"/>
        </w:rPr>
        <w:t>9AA</w:t>
      </w:r>
      <w:r>
        <w:t>.</w:t>
      </w:r>
      <w:r>
        <w:tab/>
        <w:t xml:space="preserve">Distance prescribed </w:t>
      </w:r>
      <w:r>
        <w:rPr>
          <w:snapToGrid w:val="0"/>
        </w:rPr>
        <w:t>(Act s.</w:t>
      </w:r>
      <w:r>
        <w:t> 36A(2)(b))</w:t>
      </w:r>
      <w:bookmarkEnd w:id="3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169877109"/>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169877110"/>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169877111"/>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lastRenderedPageBreak/>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w:t>
      </w:r>
      <w:r>
        <w:lastRenderedPageBreak/>
        <w:t xml:space="preserve">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lastRenderedPageBreak/>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lastRenderedPageBreak/>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169877112"/>
      <w:r>
        <w:rPr>
          <w:rStyle w:val="CharSectno"/>
        </w:rPr>
        <w:lastRenderedPageBreak/>
        <w:t>9AB</w:t>
      </w:r>
      <w:r>
        <w:t>.</w:t>
      </w:r>
      <w:r>
        <w:tab/>
        <w:t xml:space="preserve">Kind of extended trading permit prescribed </w:t>
      </w:r>
      <w:r>
        <w:rPr>
          <w:snapToGrid w:val="0"/>
        </w:rPr>
        <w:t>(Act s.</w:t>
      </w:r>
      <w:r>
        <w:t> 25(5a))</w:t>
      </w:r>
      <w:bookmarkEnd w:id="35"/>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169877113"/>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169877114"/>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8" w:name="_Toc169877115"/>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169877116"/>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169877117"/>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1" w:name="_Toc169877118"/>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169877119"/>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169877120"/>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169877121"/>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169877122"/>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6" w:name="_Toc169877123"/>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169877124"/>
      <w:r>
        <w:rPr>
          <w:rStyle w:val="CharSectno"/>
        </w:rPr>
        <w:lastRenderedPageBreak/>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169877125"/>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169877126"/>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169877127"/>
      <w:r>
        <w:rPr>
          <w:rStyle w:val="CharSectno"/>
        </w:rPr>
        <w:lastRenderedPageBreak/>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169877128"/>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169877129"/>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169877130"/>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169877131"/>
      <w:r>
        <w:rPr>
          <w:rStyle w:val="CharSectno"/>
        </w:rPr>
        <w:lastRenderedPageBreak/>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169877132"/>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169877133"/>
      <w:r>
        <w:rPr>
          <w:rStyle w:val="CharSectno"/>
        </w:rPr>
        <w:lastRenderedPageBreak/>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169877134"/>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169877135"/>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169877136"/>
      <w:r>
        <w:rPr>
          <w:rStyle w:val="CharSectno"/>
        </w:rPr>
        <w:lastRenderedPageBreak/>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169877137"/>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169877138"/>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169877139"/>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169877140"/>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169877141"/>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169877142"/>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169877143"/>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7" w:name="_Toc169877144"/>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169877145"/>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169877146"/>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169877147"/>
      <w:r>
        <w:rPr>
          <w:rStyle w:val="CharSectno"/>
        </w:rPr>
        <w:lastRenderedPageBreak/>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169877148"/>
      <w:r>
        <w:rPr>
          <w:rStyle w:val="CharSectno"/>
        </w:rPr>
        <w:lastRenderedPageBreak/>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169877149"/>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169877150"/>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169877151"/>
      <w:r>
        <w:rPr>
          <w:rStyle w:val="CharSectno"/>
        </w:rPr>
        <w:lastRenderedPageBreak/>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169877152"/>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169877153"/>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169877154"/>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169877155"/>
      <w:r>
        <w:rPr>
          <w:rStyle w:val="CharSectno"/>
        </w:rPr>
        <w:lastRenderedPageBreak/>
        <w:t>18EBB</w:t>
      </w:r>
      <w:r>
        <w:t>.</w:t>
      </w:r>
      <w:r>
        <w:tab/>
        <w:t>Prescribed class of persons (Act s. 115AC(1AA)(b))</w:t>
      </w:r>
      <w:bookmarkEnd w:id="78"/>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79" w:name="_Toc169877156"/>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0" w:name="_Toc169877157"/>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169877158"/>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169877159"/>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169877160"/>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169877161"/>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169877162"/>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169877163"/>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169877164"/>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o:ole="">
            <v:imagedata r:id="rId21" o:title=""/>
          </v:shape>
          <o:OLEObject Type="Embed" ProgID="Equation.3" ShapeID="_x0000_i1025" DrawAspect="Content" ObjectID="_1812181720"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169877165"/>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169877166"/>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169877167"/>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169877168"/>
      <w:r>
        <w:rPr>
          <w:rStyle w:val="CharSectno"/>
        </w:rPr>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169877169"/>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169877170"/>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169877171"/>
      <w:r>
        <w:rPr>
          <w:rStyle w:val="CharSectno"/>
        </w:rPr>
        <w:t>24AA</w:t>
      </w:r>
      <w:r>
        <w:t>.</w:t>
      </w:r>
      <w:r>
        <w:tab/>
        <w:t>Prescribed class of persons (Act s. 152K(2AA)(b))</w:t>
      </w:r>
      <w:bookmarkEnd w:id="94"/>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5" w:name="_Toc169877172"/>
      <w:r>
        <w:rPr>
          <w:rStyle w:val="CharSectno"/>
        </w:rPr>
        <w:t>24A</w:t>
      </w:r>
      <w:r>
        <w:t>.</w:t>
      </w:r>
      <w:r>
        <w:tab/>
        <w:t>Electronic means of service of documents under Part 5AA of Act (Act s. 152NZQ(4)(c))</w:t>
      </w:r>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6" w:name="_Toc169877173"/>
      <w:r>
        <w:rPr>
          <w:rStyle w:val="CharSectno"/>
        </w:rPr>
        <w:t>24B</w:t>
      </w:r>
      <w:r>
        <w:t>.</w:t>
      </w:r>
      <w:r>
        <w:tab/>
        <w:t>Consent to service of documents under Part 5AA of Act (Act s. 152NZQ(5))</w:t>
      </w:r>
      <w:bookmarkEnd w:id="9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7" w:name="_Toc169877174"/>
      <w:r>
        <w:rPr>
          <w:rStyle w:val="CharSectno"/>
        </w:rPr>
        <w:lastRenderedPageBreak/>
        <w:t>24C</w:t>
      </w:r>
      <w:r>
        <w:t>.</w:t>
      </w:r>
      <w:r>
        <w:tab/>
        <w:t>Time when documents under Part 5AA of Act are served (Act s. 152NZR(6))</w:t>
      </w:r>
      <w:bookmarkEnd w:id="97"/>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8" w:name="_Toc169877175"/>
      <w:r>
        <w:rPr>
          <w:rStyle w:val="CharSectno"/>
        </w:rPr>
        <w:t>25A</w:t>
      </w:r>
      <w:r>
        <w:t>.</w:t>
      </w:r>
      <w:r>
        <w:tab/>
        <w:t>Class of persons prescribed (Act s. 152P(4)(b))</w:t>
      </w:r>
      <w:bookmarkEnd w:id="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99" w:name="_Toc169877176"/>
      <w:r>
        <w:rPr>
          <w:rStyle w:val="CharSectno"/>
        </w:rPr>
        <w:t>25B</w:t>
      </w:r>
      <w:r>
        <w:t>.</w:t>
      </w:r>
      <w:r>
        <w:tab/>
        <w:t>Fee payable for review of decision related to banned drinker orders (Act s. 152YY(1))</w:t>
      </w:r>
      <w:bookmarkEnd w:id="99"/>
    </w:p>
    <w:p>
      <w:pPr>
        <w:pStyle w:val="Subsection"/>
      </w:pPr>
      <w:r>
        <w:tab/>
        <w:t>(1)</w:t>
      </w:r>
      <w:r>
        <w:tab/>
        <w:t>A fee of $272.50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w:t>
      </w:r>
    </w:p>
    <w:p>
      <w:pPr>
        <w:pStyle w:val="Heading5"/>
      </w:pPr>
      <w:bookmarkStart w:id="100" w:name="_Toc169877177"/>
      <w:r>
        <w:rPr>
          <w:rStyle w:val="CharSectno"/>
        </w:rPr>
        <w:t>25C</w:t>
      </w:r>
      <w:r>
        <w:t>.</w:t>
      </w:r>
      <w:r>
        <w:tab/>
        <w:t>Disclosure of information about banned drinker order and banned drinker (Act s. 152ZC(2)(d))</w:t>
      </w:r>
      <w:bookmarkEnd w:id="100"/>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1" w:name="_Toc169877178"/>
      <w:r>
        <w:rPr>
          <w:rStyle w:val="CharSectno"/>
        </w:rPr>
        <w:lastRenderedPageBreak/>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169877179"/>
      <w:r>
        <w:rPr>
          <w:rStyle w:val="CharSectno"/>
        </w:rPr>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$311.50; or</w:t>
      </w:r>
    </w:p>
    <w:p>
      <w:pPr>
        <w:pStyle w:val="Indenta"/>
      </w:pPr>
      <w:r>
        <w:tab/>
        <w:t>(b)</w:t>
      </w:r>
      <w:r>
        <w:tab/>
        <w:t>if 3 or more such permits have been issued — an additional amount of $628.</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w:t>
      </w:r>
    </w:p>
    <w:p>
      <w:pPr>
        <w:pStyle w:val="Heading5"/>
      </w:pPr>
      <w:bookmarkStart w:id="103" w:name="_Toc169877180"/>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169877181"/>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lastRenderedPageBreak/>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lastRenderedPageBreak/>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t>s. 119(11)</w:t>
            </w:r>
          </w:p>
          <w:p>
            <w:pPr>
              <w:pStyle w:val="TableNAm"/>
              <w:spacing w:before="100"/>
            </w:pPr>
            <w:r>
              <w:lastRenderedPageBreak/>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lastRenderedPageBreak/>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lastRenderedPageBreak/>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w:t>
      </w:r>
    </w:p>
    <w:p>
      <w:pPr>
        <w:pStyle w:val="Heading5"/>
      </w:pPr>
      <w:bookmarkStart w:id="105" w:name="_Toc169877182"/>
      <w:r>
        <w:rPr>
          <w:rStyle w:val="CharSectno"/>
        </w:rPr>
        <w:lastRenderedPageBreak/>
        <w:t>28</w:t>
      </w:r>
      <w:r>
        <w:t>.</w:t>
      </w:r>
      <w:r>
        <w:tab/>
        <w:t>Protected entertainment precincts (Act s. 175(1E))</w:t>
      </w:r>
      <w:bookmarkEnd w:id="105"/>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106" w:name="_Toc169877183"/>
      <w:r>
        <w:rPr>
          <w:rStyle w:val="CharSectno"/>
        </w:rPr>
        <w:lastRenderedPageBreak/>
        <w:t>29</w:t>
      </w:r>
      <w:r>
        <w:t>.</w:t>
      </w:r>
      <w:r>
        <w:tab/>
        <w:t>Banned drinker areas (Act s. 175(1G))</w:t>
      </w:r>
      <w:bookmarkEnd w:id="106"/>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7" w:name="_Toc169875781"/>
      <w:bookmarkStart w:id="108" w:name="_Toc169875902"/>
      <w:bookmarkStart w:id="109" w:name="_Toc169877184"/>
      <w:r>
        <w:rPr>
          <w:rStyle w:val="CharSchNo"/>
        </w:rPr>
        <w:lastRenderedPageBreak/>
        <w:t>Schedule 1</w:t>
      </w:r>
      <w:bookmarkEnd w:id="107"/>
      <w:bookmarkEnd w:id="108"/>
      <w:bookmarkEnd w:id="109"/>
    </w:p>
    <w:p>
      <w:pPr>
        <w:pStyle w:val="yShoulderClause"/>
        <w:spacing w:before="60"/>
        <w:rPr>
          <w:snapToGrid w:val="0"/>
        </w:rPr>
      </w:pPr>
      <w:r>
        <w:rPr>
          <w:snapToGrid w:val="0"/>
        </w:rPr>
        <w:t>[Regulation 3]</w:t>
      </w:r>
    </w:p>
    <w:p>
      <w:pPr>
        <w:pStyle w:val="yHeading2"/>
        <w:outlineLvl w:val="9"/>
      </w:pPr>
      <w:bookmarkStart w:id="110" w:name="_Toc169875782"/>
      <w:bookmarkStart w:id="111" w:name="_Toc169875903"/>
      <w:bookmarkStart w:id="112" w:name="_Toc169877185"/>
      <w:r>
        <w:rPr>
          <w:rStyle w:val="CharSchText"/>
        </w:rPr>
        <w:t>Forms</w:t>
      </w:r>
      <w:bookmarkEnd w:id="110"/>
      <w:bookmarkEnd w:id="111"/>
      <w:bookmarkEnd w:id="11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lastRenderedPageBreak/>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13" w:name="_Toc169875783"/>
      <w:bookmarkStart w:id="114" w:name="_Toc169875904"/>
      <w:bookmarkStart w:id="115" w:name="_Toc169877186"/>
      <w:r>
        <w:rPr>
          <w:rStyle w:val="CharSchNo"/>
        </w:rPr>
        <w:lastRenderedPageBreak/>
        <w:t>Schedule 2</w:t>
      </w:r>
      <w:bookmarkEnd w:id="113"/>
      <w:bookmarkEnd w:id="114"/>
      <w:bookmarkEnd w:id="115"/>
    </w:p>
    <w:p>
      <w:pPr>
        <w:pStyle w:val="yShoulderClause"/>
        <w:spacing w:before="60"/>
        <w:rPr>
          <w:snapToGrid w:val="0"/>
        </w:rPr>
      </w:pPr>
      <w:r>
        <w:rPr>
          <w:snapToGrid w:val="0"/>
        </w:rPr>
        <w:t>[Regulation 13]</w:t>
      </w:r>
    </w:p>
    <w:p>
      <w:pPr>
        <w:pStyle w:val="yHeading2"/>
        <w:spacing w:before="120" w:after="80"/>
      </w:pPr>
      <w:bookmarkStart w:id="116" w:name="_Toc169875784"/>
      <w:bookmarkStart w:id="117" w:name="_Toc169875905"/>
      <w:bookmarkStart w:id="118" w:name="_Toc169877187"/>
      <w:r>
        <w:rPr>
          <w:rStyle w:val="CharSchText"/>
        </w:rPr>
        <w:t>Details of applicant</w:t>
      </w:r>
      <w:bookmarkEnd w:id="116"/>
      <w:bookmarkEnd w:id="117"/>
      <w:bookmarkEnd w:id="11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9" w:name="_Toc169875785"/>
      <w:bookmarkStart w:id="120" w:name="_Toc169875906"/>
      <w:bookmarkStart w:id="121" w:name="_Toc169877188"/>
      <w:r>
        <w:rPr>
          <w:rStyle w:val="CharSchNo"/>
        </w:rPr>
        <w:lastRenderedPageBreak/>
        <w:t>Schedule 3</w:t>
      </w:r>
      <w:r>
        <w:t> — </w:t>
      </w:r>
      <w:r>
        <w:rPr>
          <w:rStyle w:val="CharSchText"/>
        </w:rPr>
        <w:t>Fees</w:t>
      </w:r>
      <w:bookmarkEnd w:id="119"/>
      <w:bookmarkEnd w:id="120"/>
      <w:bookmarkEnd w:id="121"/>
    </w:p>
    <w:p>
      <w:pPr>
        <w:pStyle w:val="yShoulderClause"/>
      </w:pPr>
      <w:r>
        <w:t>[r. 11, 14ADF, 18B, 26 and 27A]</w:t>
      </w:r>
    </w:p>
    <w:p>
      <w:pPr>
        <w:pStyle w:val="yFootnoteheading"/>
      </w:pPr>
      <w:r>
        <w:tab/>
        <w:t>[Heading inserted: SL 2023/156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3 911.50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1 003</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960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660.50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324.50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58.50</w:t>
            </w:r>
          </w:p>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253</w:t>
            </w:r>
            <w:r>
              <w:t>.00</w:t>
            </w:r>
          </w:p>
          <w:p>
            <w:pPr>
              <w:pStyle w:val="yTableNAm"/>
              <w:tabs>
                <w:tab w:val="clear" w:pos="567"/>
                <w:tab w:val="right" w:pos="659"/>
              </w:tabs>
              <w:ind w:right="48"/>
              <w:jc w:val="right"/>
            </w:pPr>
            <w:r>
              <w:rPr>
                <w:szCs w:val="22"/>
              </w:rPr>
              <w:t>1 285.50</w:t>
            </w:r>
          </w:p>
          <w:p>
            <w:pPr>
              <w:pStyle w:val="yTableNAm"/>
              <w:tabs>
                <w:tab w:val="clear" w:pos="567"/>
                <w:tab w:val="right" w:pos="659"/>
              </w:tabs>
              <w:ind w:right="48"/>
              <w:jc w:val="right"/>
            </w:pPr>
            <w:r>
              <w:rPr>
                <w:szCs w:val="22"/>
              </w:rPr>
              <w:t>2 575.50</w:t>
            </w:r>
          </w:p>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16" w:hanging="516"/>
            </w:pPr>
            <w:r>
              <w:t>(a)</w:t>
            </w:r>
            <w:r>
              <w:tab/>
              <w:t xml:space="preserve">issued for the purpose referred to in </w:t>
            </w:r>
            <w:r>
              <w:br/>
              <w:t xml:space="preserve">section 60(4)(e) </w:t>
            </w:r>
            <w:r>
              <w:tab/>
            </w:r>
          </w:p>
          <w:p>
            <w:pPr>
              <w:pStyle w:val="yTableNAm"/>
              <w:tabs>
                <w:tab w:val="clear" w:pos="567"/>
                <w:tab w:val="right" w:leader="dot" w:pos="6237"/>
              </w:tabs>
              <w:ind w:left="516" w:hanging="516"/>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br/>
              <w:t>392.50</w:t>
            </w:r>
          </w:p>
          <w:p>
            <w:pPr>
              <w:pStyle w:val="yTableNAm"/>
              <w:tabs>
                <w:tab w:val="clear" w:pos="567"/>
                <w:tab w:val="right" w:pos="659"/>
              </w:tabs>
              <w:ind w:right="48"/>
              <w:jc w:val="right"/>
            </w:pPr>
            <w:r>
              <w:br/>
            </w:r>
            <w:r>
              <w:rPr>
                <w:szCs w:val="22"/>
              </w:rPr>
              <w:t>392.50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943"/>
              </w:tabs>
              <w:ind w:left="518" w:hanging="518"/>
            </w:pPr>
            <w:r>
              <w:t>(c)</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392.50</w:t>
            </w:r>
          </w:p>
          <w:p>
            <w:pPr>
              <w:pStyle w:val="yTableNAm"/>
              <w:tabs>
                <w:tab w:val="clear" w:pos="567"/>
                <w:tab w:val="right" w:pos="659"/>
              </w:tabs>
              <w:ind w:right="48"/>
              <w:jc w:val="right"/>
              <w:rPr>
                <w:szCs w:val="22"/>
              </w:rPr>
            </w:pPr>
            <w:r>
              <w:rPr>
                <w:szCs w:val="22"/>
              </w:rPr>
              <w:t>330.50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rPr>
                <w:szCs w:val="22"/>
              </w:rPr>
            </w:pPr>
            <w:r>
              <w:rPr>
                <w:szCs w:val="22"/>
              </w:rPr>
              <w:t>1 322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48</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201.00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66.00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17.00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181</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141.50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57.00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pPr>
            <w:r>
              <w:rPr>
                <w:szCs w:val="22"/>
              </w:rPr>
              <w:t>178</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122</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450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t>39.00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82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268</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49</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lastRenderedPageBreak/>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rPr>
                <w:szCs w:val="22"/>
              </w:rPr>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248</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297.50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keepNext/>
            </w:pPr>
            <w:r>
              <w:t>26.</w:t>
            </w:r>
          </w:p>
        </w:tc>
        <w:tc>
          <w:tcPr>
            <w:tcW w:w="52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 w:val="right" w:leader="dot" w:pos="6237"/>
              </w:tabs>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right" w:pos="659"/>
              </w:tabs>
              <w:ind w:right="48"/>
              <w:jc w:val="right"/>
            </w:pPr>
            <w:r>
              <w:rPr>
                <w:szCs w:val="22"/>
              </w:rPr>
              <w:t>71.50</w:t>
            </w:r>
          </w:p>
        </w:tc>
      </w:tr>
      <w:tr>
        <w:tc>
          <w:tcPr>
            <w:tcW w:w="684" w:type="dxa"/>
            <w:noWrap/>
          </w:tcPr>
          <w:p>
            <w:pPr>
              <w:pStyle w:val="yTableNAm"/>
            </w:pPr>
            <w:r>
              <w:t>27.</w:t>
            </w:r>
          </w:p>
        </w:tc>
        <w:tc>
          <w:tcPr>
            <w:tcW w:w="5270" w:type="dxa"/>
            <w:noWrap/>
          </w:tcPr>
          <w:p>
            <w:pPr>
              <w:pStyle w:val="yTableNAm"/>
              <w:tabs>
                <w:tab w:val="clear" w:pos="567"/>
                <w:tab w:val="right" w:leader="dot" w:pos="6237"/>
              </w:tabs>
            </w:pPr>
            <w:r>
              <w:t xml:space="preserve">Supply of list of licensed premises, or list of owners of licensed premises, in electronic form </w:t>
            </w:r>
          </w:p>
        </w:tc>
        <w:tc>
          <w:tcPr>
            <w:tcW w:w="1114" w:type="dxa"/>
            <w:noWrap/>
            <w:vAlign w:val="bottom"/>
          </w:tcPr>
          <w:p>
            <w:pPr>
              <w:pStyle w:val="yTableNAm"/>
              <w:tabs>
                <w:tab w:val="clear" w:pos="567"/>
                <w:tab w:val="right" w:pos="659"/>
              </w:tabs>
              <w:ind w:right="48"/>
              <w:jc w:val="right"/>
            </w:pPr>
            <w:r>
              <w:rPr>
                <w:szCs w:val="22"/>
              </w:rPr>
              <w:t>65</w:t>
            </w:r>
            <w:r>
              <w:t>.00</w:t>
            </w:r>
          </w:p>
        </w:tc>
      </w:tr>
      <w:tr>
        <w:tc>
          <w:tcPr>
            <w:tcW w:w="684" w:type="dxa"/>
            <w:noWrap/>
          </w:tcPr>
          <w:p>
            <w:pPr>
              <w:pStyle w:val="yTableNAm"/>
            </w:pPr>
            <w:r>
              <w:t>28.</w:t>
            </w:r>
          </w:p>
        </w:tc>
        <w:tc>
          <w:tcPr>
            <w:tcW w:w="5270" w:type="dxa"/>
            <w:noWrap/>
          </w:tcPr>
          <w:p>
            <w:pPr>
              <w:pStyle w:val="yTableNAm"/>
              <w:tabs>
                <w:tab w:val="clear" w:pos="567"/>
                <w:tab w:val="right" w:leader="dot" w:pos="6237"/>
              </w:tabs>
            </w:pPr>
            <w:r>
              <w:t xml:space="preserve">Supply of address labels for licensed premises </w:t>
            </w:r>
          </w:p>
        </w:tc>
        <w:tc>
          <w:tcPr>
            <w:tcW w:w="1114" w:type="dxa"/>
            <w:noWrap/>
          </w:tcPr>
          <w:p>
            <w:pPr>
              <w:pStyle w:val="yTableNAm"/>
              <w:tabs>
                <w:tab w:val="clear" w:pos="567"/>
                <w:tab w:val="right" w:pos="659"/>
              </w:tabs>
              <w:ind w:right="48"/>
              <w:jc w:val="right"/>
            </w:pPr>
            <w:r>
              <w:rPr>
                <w:szCs w:val="22"/>
              </w:rPr>
              <w:t>159.50</w:t>
            </w:r>
          </w:p>
        </w:tc>
      </w:tr>
      <w:tr>
        <w:tc>
          <w:tcPr>
            <w:tcW w:w="684" w:type="dxa"/>
            <w:noWrap/>
          </w:tcPr>
          <w:p>
            <w:pPr>
              <w:pStyle w:val="yTableNAm"/>
            </w:pPr>
            <w:r>
              <w:t>29.</w:t>
            </w:r>
          </w:p>
        </w:tc>
        <w:tc>
          <w:tcPr>
            <w:tcW w:w="5270" w:type="dxa"/>
            <w:noWrap/>
          </w:tcPr>
          <w:p>
            <w:pPr>
              <w:pStyle w:val="yTableNAm"/>
              <w:tabs>
                <w:tab w:val="clear" w:pos="567"/>
                <w:tab w:val="right" w:leader="dot" w:pos="6237"/>
              </w:tabs>
            </w:pPr>
            <w:r>
              <w:t xml:space="preserve">Supply of approved heading for advertising an application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30.</w:t>
            </w:r>
          </w:p>
        </w:tc>
        <w:tc>
          <w:tcPr>
            <w:tcW w:w="5270" w:type="dxa"/>
            <w:noWrap/>
          </w:tcPr>
          <w:p>
            <w:pPr>
              <w:pStyle w:val="yTableNAm"/>
              <w:tabs>
                <w:tab w:val="clear" w:pos="567"/>
                <w:tab w:val="right" w:leader="dot" w:pos="6237"/>
              </w:tabs>
            </w:pPr>
            <w:r>
              <w:t xml:space="preserve">Supply of copy of plan — per sheet </w:t>
            </w:r>
          </w:p>
        </w:tc>
        <w:tc>
          <w:tcPr>
            <w:tcW w:w="1114" w:type="dxa"/>
            <w:noWrap/>
          </w:tcPr>
          <w:p>
            <w:pPr>
              <w:pStyle w:val="yTableNAm"/>
              <w:tabs>
                <w:tab w:val="clear" w:pos="567"/>
                <w:tab w:val="right" w:pos="659"/>
              </w:tabs>
              <w:ind w:right="48"/>
              <w:jc w:val="right"/>
            </w:pPr>
            <w:r>
              <w:t>29.50</w:t>
            </w:r>
            <w:r>
              <w:br/>
              <w:t>(up to a max. of 236.00)</w:t>
            </w:r>
          </w:p>
        </w:tc>
      </w:tr>
      <w:tr>
        <w:tc>
          <w:tcPr>
            <w:tcW w:w="684" w:type="dxa"/>
            <w:noWrap/>
          </w:tcPr>
          <w:p>
            <w:pPr>
              <w:pStyle w:val="yTableNAm"/>
            </w:pPr>
            <w:r>
              <w:t>31.</w:t>
            </w:r>
          </w:p>
        </w:tc>
        <w:tc>
          <w:tcPr>
            <w:tcW w:w="5270" w:type="dxa"/>
            <w:noWrap/>
          </w:tcPr>
          <w:p>
            <w:pPr>
              <w:pStyle w:val="yTableNAm"/>
              <w:tabs>
                <w:tab w:val="clear" w:pos="567"/>
                <w:tab w:val="right" w:leader="dot" w:pos="6237"/>
              </w:tabs>
            </w:pPr>
            <w:r>
              <w:t xml:space="preserve">Supply of certified copy of plan defining licensed premises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32.</w:t>
            </w:r>
          </w:p>
        </w:tc>
        <w:tc>
          <w:tcPr>
            <w:tcW w:w="5270" w:type="dxa"/>
            <w:noWrap/>
          </w:tcPr>
          <w:p>
            <w:pPr>
              <w:pStyle w:val="yTableNAm"/>
              <w:tabs>
                <w:tab w:val="clear" w:pos="567"/>
                <w:tab w:val="right" w:leader="dot" w:pos="6237"/>
              </w:tabs>
            </w:pPr>
            <w:r>
              <w:t xml:space="preserve">Supply of copy of a licence, a permit or a decision of the Commission (or the former Liquor Licensing Court) or the Director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33.</w:t>
            </w:r>
          </w:p>
        </w:tc>
        <w:tc>
          <w:tcPr>
            <w:tcW w:w="5270" w:type="dxa"/>
            <w:noWrap/>
          </w:tcPr>
          <w:p>
            <w:pPr>
              <w:pStyle w:val="yTableNAm"/>
              <w:tabs>
                <w:tab w:val="clear" w:pos="567"/>
                <w:tab w:val="right" w:leader="dot" w:pos="6237"/>
              </w:tabs>
            </w:pPr>
            <w:r>
              <w:t xml:space="preserve">Certification of a copy of a licence, a permit or a decision of the Commission (or the former Liquor Licensing Court) or the Director </w:t>
            </w:r>
          </w:p>
          <w:p>
            <w:pPr>
              <w:pStyle w:val="yTableNAm"/>
              <w:tabs>
                <w:tab w:val="clear" w:pos="567"/>
                <w:tab w:val="right" w:leader="dot" w:pos="6237"/>
              </w:tabs>
              <w:rPr>
                <w:sz w:val="20"/>
              </w:rPr>
            </w:pPr>
            <w:r>
              <w:rPr>
                <w:sz w:val="20"/>
              </w:rPr>
              <w:t>[In addition to the fee under item 32]</w:t>
            </w:r>
          </w:p>
        </w:tc>
        <w:tc>
          <w:tcPr>
            <w:tcW w:w="1114" w:type="dxa"/>
            <w:noWrap/>
          </w:tcPr>
          <w:p>
            <w:pPr>
              <w:pStyle w:val="yTableNAm"/>
              <w:tabs>
                <w:tab w:val="clear" w:pos="567"/>
                <w:tab w:val="right" w:pos="659"/>
              </w:tabs>
              <w:ind w:right="48"/>
              <w:jc w:val="right"/>
            </w:pPr>
            <w:r>
              <w:br/>
            </w:r>
            <w:r>
              <w:br/>
              <w:t>29.50</w:t>
            </w:r>
          </w:p>
        </w:tc>
      </w:tr>
      <w:tr>
        <w:tc>
          <w:tcPr>
            <w:tcW w:w="684" w:type="dxa"/>
            <w:noWrap/>
          </w:tcPr>
          <w:p>
            <w:pPr>
              <w:pStyle w:val="yTableNAm"/>
            </w:pPr>
            <w:r>
              <w:lastRenderedPageBreak/>
              <w:t>34.</w:t>
            </w:r>
          </w:p>
        </w:tc>
        <w:tc>
          <w:tcPr>
            <w:tcW w:w="5270" w:type="dxa"/>
            <w:noWrap/>
          </w:tcPr>
          <w:p>
            <w:pPr>
              <w:pStyle w:val="yTableNAm"/>
              <w:tabs>
                <w:tab w:val="clear" w:pos="567"/>
                <w:tab w:val="right" w:leader="dot" w:pos="6237"/>
              </w:tabs>
            </w:pPr>
            <w:r>
              <w:t xml:space="preserve">Supply of copy of documentation, other than that already prescribed — per page </w:t>
            </w:r>
          </w:p>
        </w:tc>
        <w:tc>
          <w:tcPr>
            <w:tcW w:w="1114" w:type="dxa"/>
            <w:noWrap/>
            <w:vAlign w:val="bottom"/>
          </w:tcPr>
          <w:p>
            <w:pPr>
              <w:pStyle w:val="yTableNAm"/>
              <w:tabs>
                <w:tab w:val="clear" w:pos="567"/>
                <w:tab w:val="right" w:pos="659"/>
              </w:tabs>
              <w:ind w:right="48"/>
              <w:jc w:val="right"/>
            </w:pPr>
            <w:r>
              <w:t>4.00</w:t>
            </w:r>
          </w:p>
        </w:tc>
      </w:tr>
      <w:tr>
        <w:tc>
          <w:tcPr>
            <w:tcW w:w="684" w:type="dxa"/>
            <w:noWrap/>
          </w:tcPr>
          <w:p>
            <w:pPr>
              <w:pStyle w:val="yTableNAm"/>
            </w:pPr>
            <w:r>
              <w:t>35.</w:t>
            </w:r>
          </w:p>
        </w:tc>
        <w:tc>
          <w:tcPr>
            <w:tcW w:w="5270" w:type="dxa"/>
            <w:noWrap/>
          </w:tcPr>
          <w:p>
            <w:pPr>
              <w:pStyle w:val="yTableNAm"/>
              <w:tabs>
                <w:tab w:val="clear" w:pos="567"/>
                <w:tab w:val="right" w:leader="dot" w:pos="6237"/>
              </w:tabs>
            </w:pPr>
            <w:r>
              <w:t xml:space="preserve">Issue of a summons to a witness </w:t>
            </w:r>
          </w:p>
        </w:tc>
        <w:tc>
          <w:tcPr>
            <w:tcW w:w="1114" w:type="dxa"/>
            <w:noWrap/>
          </w:tcPr>
          <w:p>
            <w:pPr>
              <w:pStyle w:val="yTableNAm"/>
              <w:tabs>
                <w:tab w:val="clear" w:pos="567"/>
                <w:tab w:val="right" w:pos="659"/>
              </w:tabs>
              <w:ind w:right="48"/>
              <w:jc w:val="right"/>
            </w:pPr>
            <w:r>
              <w:t>24.50</w:t>
            </w:r>
          </w:p>
        </w:tc>
      </w:tr>
      <w:tr>
        <w:tc>
          <w:tcPr>
            <w:tcW w:w="684" w:type="dxa"/>
            <w:noWrap/>
          </w:tcPr>
          <w:p>
            <w:pPr>
              <w:pStyle w:val="yTableNAm"/>
            </w:pPr>
            <w:r>
              <w:t>36.</w:t>
            </w:r>
          </w:p>
        </w:tc>
        <w:tc>
          <w:tcPr>
            <w:tcW w:w="5270" w:type="dxa"/>
            <w:noWrap/>
          </w:tcPr>
          <w:p>
            <w:pPr>
              <w:pStyle w:val="yTableNAm"/>
              <w:tabs>
                <w:tab w:val="clear" w:pos="567"/>
                <w:tab w:val="right" w:leader="dot" w:pos="6237"/>
              </w:tabs>
            </w:pPr>
            <w:r>
              <w:t xml:space="preserve">Search of the database of records of licences — per licence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37.</w:t>
            </w:r>
          </w:p>
        </w:tc>
        <w:tc>
          <w:tcPr>
            <w:tcW w:w="5270" w:type="dxa"/>
            <w:noWrap/>
          </w:tcPr>
          <w:p>
            <w:pPr>
              <w:pStyle w:val="yTableNAm"/>
              <w:tabs>
                <w:tab w:val="clear" w:pos="567"/>
                <w:tab w:val="right" w:leader="dot" w:pos="6237"/>
              </w:tabs>
            </w:pPr>
            <w:r>
              <w:t xml:space="preserve">Full search of a licence record </w:t>
            </w:r>
          </w:p>
        </w:tc>
        <w:tc>
          <w:tcPr>
            <w:tcW w:w="1114" w:type="dxa"/>
            <w:noWrap/>
          </w:tcPr>
          <w:p>
            <w:pPr>
              <w:pStyle w:val="yTableNAm"/>
              <w:tabs>
                <w:tab w:val="clear" w:pos="567"/>
                <w:tab w:val="right" w:pos="659"/>
              </w:tabs>
              <w:ind w:right="48"/>
              <w:jc w:val="right"/>
            </w:pPr>
            <w:r>
              <w:rPr>
                <w:szCs w:val="22"/>
              </w:rPr>
              <w:t>57</w:t>
            </w:r>
            <w:r>
              <w:t>.00</w:t>
            </w:r>
          </w:p>
        </w:tc>
      </w:tr>
      <w:tr>
        <w:tc>
          <w:tcPr>
            <w:tcW w:w="684" w:type="dxa"/>
            <w:tcBorders>
              <w:bottom w:val="nil"/>
            </w:tcBorders>
            <w:noWrap/>
          </w:tcPr>
          <w:p>
            <w:pPr>
              <w:pStyle w:val="yTableNAm"/>
            </w:pPr>
            <w:r>
              <w:t>38.</w:t>
            </w:r>
          </w:p>
        </w:tc>
        <w:tc>
          <w:tcPr>
            <w:tcW w:w="5270" w:type="dxa"/>
            <w:tcBorders>
              <w:bottom w:val="nil"/>
            </w:tcBorders>
            <w:noWrap/>
          </w:tcPr>
          <w:p>
            <w:pPr>
              <w:pStyle w:val="yTableNAm"/>
              <w:tabs>
                <w:tab w:val="clear" w:pos="567"/>
                <w:tab w:val="right" w:leader="dot" w:pos="6237"/>
              </w:tabs>
            </w:pPr>
            <w:r>
              <w:t xml:space="preserve">Search of postcodes — </w:t>
            </w:r>
          </w:p>
        </w:tc>
        <w:tc>
          <w:tcPr>
            <w:tcW w:w="1114" w:type="dxa"/>
            <w:tcBorders>
              <w:bottom w:val="nil"/>
            </w:tcBorders>
            <w:noWrap/>
          </w:tcPr>
          <w:p>
            <w:pPr>
              <w:pStyle w:val="yTableNAm"/>
              <w:tabs>
                <w:tab w:val="clear" w:pos="567"/>
                <w:tab w:val="right" w:pos="659"/>
              </w:tabs>
              <w:ind w:right="48"/>
              <w:jc w:val="right"/>
            </w:pPr>
          </w:p>
        </w:tc>
      </w:tr>
      <w:tr>
        <w:tc>
          <w:tcPr>
            <w:tcW w:w="684" w:type="dxa"/>
            <w:tcBorders>
              <w:top w:val="nil"/>
              <w:bottom w:val="nil"/>
            </w:tcBorders>
            <w:noWrap/>
          </w:tcPr>
          <w:p>
            <w:pPr>
              <w:pStyle w:val="yTableNAm"/>
            </w:pPr>
          </w:p>
        </w:tc>
        <w:tc>
          <w:tcPr>
            <w:tcW w:w="5270" w:type="dxa"/>
            <w:tcBorders>
              <w:top w:val="nil"/>
              <w:bottom w:val="nil"/>
            </w:tcBorders>
            <w:noWrap/>
          </w:tcPr>
          <w:p>
            <w:pPr>
              <w:pStyle w:val="yTableNAm"/>
              <w:tabs>
                <w:tab w:val="right" w:leader="dot" w:pos="6237"/>
              </w:tabs>
            </w:pPr>
            <w:r>
              <w:t>(a)</w:t>
            </w:r>
            <w:r>
              <w:tab/>
              <w:t xml:space="preserve">1 to 10 postcodes </w:t>
            </w:r>
            <w:r>
              <w:tab/>
            </w:r>
          </w:p>
        </w:tc>
        <w:tc>
          <w:tcPr>
            <w:tcW w:w="1114" w:type="dxa"/>
            <w:tcBorders>
              <w:top w:val="nil"/>
              <w:bottom w:val="nil"/>
            </w:tcBorders>
            <w:noWrap/>
          </w:tcPr>
          <w:p>
            <w:pPr>
              <w:pStyle w:val="yTableNAm"/>
              <w:tabs>
                <w:tab w:val="clear" w:pos="567"/>
                <w:tab w:val="right" w:pos="659"/>
              </w:tabs>
              <w:ind w:right="48"/>
              <w:jc w:val="right"/>
            </w:pPr>
            <w:r>
              <w:t>44.00</w:t>
            </w:r>
          </w:p>
        </w:tc>
      </w:tr>
      <w:tr>
        <w:tc>
          <w:tcPr>
            <w:tcW w:w="684" w:type="dxa"/>
            <w:tcBorders>
              <w:top w:val="nil"/>
            </w:tcBorders>
            <w:noWrap/>
          </w:tcPr>
          <w:p>
            <w:pPr>
              <w:pStyle w:val="yTableNAm"/>
            </w:pPr>
          </w:p>
        </w:tc>
        <w:tc>
          <w:tcPr>
            <w:tcW w:w="5270" w:type="dxa"/>
            <w:tcBorders>
              <w:top w:val="nil"/>
            </w:tcBorders>
            <w:noWrap/>
          </w:tcPr>
          <w:p>
            <w:pPr>
              <w:pStyle w:val="yTableNAm"/>
              <w:tabs>
                <w:tab w:val="right" w:leader="dot" w:pos="6237"/>
              </w:tabs>
            </w:pPr>
            <w:r>
              <w:t>(b)</w:t>
            </w:r>
            <w:r>
              <w:tab/>
              <w:t xml:space="preserve">more than 10 postcodes </w:t>
            </w:r>
            <w:r>
              <w:tab/>
            </w:r>
          </w:p>
        </w:tc>
        <w:tc>
          <w:tcPr>
            <w:tcW w:w="1114" w:type="dxa"/>
            <w:tcBorders>
              <w:top w:val="nil"/>
            </w:tcBorders>
            <w:noWrap/>
          </w:tcPr>
          <w:p>
            <w:pPr>
              <w:pStyle w:val="yTableNAm"/>
              <w:tabs>
                <w:tab w:val="clear" w:pos="567"/>
                <w:tab w:val="right" w:pos="659"/>
              </w:tabs>
              <w:ind w:right="48"/>
              <w:jc w:val="right"/>
            </w:pPr>
            <w:r>
              <w:rPr>
                <w:szCs w:val="22"/>
              </w:rPr>
              <w:t>98</w:t>
            </w:r>
            <w:r>
              <w:t>.00</w:t>
            </w:r>
          </w:p>
        </w:tc>
      </w:tr>
      <w:tr>
        <w:tc>
          <w:tcPr>
            <w:tcW w:w="684" w:type="dxa"/>
            <w:tcBorders>
              <w:top w:val="nil"/>
              <w:left w:val="single" w:sz="4" w:space="0" w:color="auto"/>
              <w:bottom w:val="single" w:sz="4" w:space="0" w:color="auto"/>
              <w:right w:val="single" w:sz="4" w:space="0" w:color="auto"/>
            </w:tcBorders>
            <w:noWrap/>
          </w:tcPr>
          <w:p>
            <w:pPr>
              <w:pStyle w:val="yTableNAm"/>
            </w:pPr>
            <w:r>
              <w:t>39.</w:t>
            </w: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t>166.00</w:t>
            </w:r>
          </w:p>
        </w:tc>
      </w:tr>
    </w:tbl>
    <w:p>
      <w:pPr>
        <w:pStyle w:val="yFootnotesection"/>
      </w:pPr>
      <w:r>
        <w:tab/>
        <w:t>[Schedule 3 inserted: SL 2023/156 r. 13.]</w:t>
      </w:r>
    </w:p>
    <w:p>
      <w:pPr>
        <w:pStyle w:val="yFootnoteheading"/>
      </w:pP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22" w:name="_Toc169875786"/>
      <w:bookmarkStart w:id="123" w:name="_Toc169875907"/>
      <w:bookmarkStart w:id="124" w:name="_Toc169877189"/>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22"/>
      <w:bookmarkEnd w:id="123"/>
      <w:bookmarkEnd w:id="124"/>
    </w:p>
    <w:p>
      <w:pPr>
        <w:pStyle w:val="yShoulderClause"/>
      </w:pPr>
      <w:r>
        <w:t>[r. 28(3)]</w:t>
      </w:r>
    </w:p>
    <w:p>
      <w:pPr>
        <w:pStyle w:val="yHeading5"/>
      </w:pPr>
      <w:bookmarkStart w:id="125" w:name="_Toc169877190"/>
      <w:r>
        <w:rPr>
          <w:rStyle w:val="CharSClsNo"/>
        </w:rPr>
        <w:t>1</w:t>
      </w:r>
      <w:r>
        <w:t>.</w:t>
      </w:r>
      <w:r>
        <w:tab/>
        <w:t>Fremantle</w:t>
      </w:r>
      <w:bookmarkEnd w:id="125"/>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26" w:name="_Toc169877191"/>
      <w:r>
        <w:rPr>
          <w:rStyle w:val="CharSClsNo"/>
        </w:rPr>
        <w:lastRenderedPageBreak/>
        <w:t>2</w:t>
      </w:r>
      <w:r>
        <w:t>.</w:t>
      </w:r>
      <w:r>
        <w:tab/>
        <w:t>Hillarys</w:t>
      </w:r>
      <w:bookmarkEnd w:id="126"/>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27" w:name="_Toc169877192"/>
      <w:r>
        <w:rPr>
          <w:rStyle w:val="CharSClsNo"/>
        </w:rPr>
        <w:lastRenderedPageBreak/>
        <w:t>3</w:t>
      </w:r>
      <w:r>
        <w:t>.</w:t>
      </w:r>
      <w:r>
        <w:tab/>
        <w:t>Mandurah</w:t>
      </w:r>
      <w:bookmarkEnd w:id="127"/>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28" w:name="_Toc169877193"/>
      <w:r>
        <w:rPr>
          <w:rStyle w:val="CharSClsNo"/>
        </w:rPr>
        <w:lastRenderedPageBreak/>
        <w:t>4</w:t>
      </w:r>
      <w:r>
        <w:t>.</w:t>
      </w:r>
      <w:r>
        <w:tab/>
        <w:t>Perth and Northbridge</w:t>
      </w:r>
      <w:bookmarkEnd w:id="128"/>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29" w:name="_Toc169877194"/>
      <w:r>
        <w:rPr>
          <w:rStyle w:val="CharSClsNo"/>
        </w:rPr>
        <w:lastRenderedPageBreak/>
        <w:t>5</w:t>
      </w:r>
      <w:r>
        <w:t>.</w:t>
      </w:r>
      <w:r>
        <w:tab/>
        <w:t>Scarborough</w:t>
      </w:r>
      <w:bookmarkEnd w:id="129"/>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30" w:name="_Toc169875792"/>
      <w:bookmarkStart w:id="131" w:name="_Toc169875913"/>
      <w:bookmarkStart w:id="132" w:name="_Toc169877195"/>
      <w:r>
        <w:lastRenderedPageBreak/>
        <w:t>Notes</w:t>
      </w:r>
      <w:bookmarkEnd w:id="130"/>
      <w:bookmarkEnd w:id="131"/>
      <w:bookmarkEnd w:id="132"/>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 w:name="_Toc169877196"/>
      <w:r>
        <w:t>Compilation table</w:t>
      </w:r>
      <w:bookmarkEnd w:id="13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single" w:sz="4" w:space="0" w:color="auto"/>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single" w:sz="4" w:space="0" w:color="auto"/>
            </w:tcBorders>
            <w:shd w:val="clear" w:color="auto" w:fill="auto"/>
          </w:tcPr>
          <w:p>
            <w:pPr>
              <w:pStyle w:val="nTable"/>
              <w:spacing w:after="40"/>
            </w:pPr>
            <w:r>
              <w:t>SL 2024/138 26 Jun 2024</w:t>
            </w:r>
          </w:p>
        </w:tc>
        <w:tc>
          <w:tcPr>
            <w:tcW w:w="2693" w:type="dxa"/>
            <w:tcBorders>
              <w:top w:val="nil"/>
              <w:bottom w:val="single" w:sz="4" w:space="0" w:color="auto"/>
            </w:tcBorders>
            <w:shd w:val="clear" w:color="auto" w:fill="auto"/>
          </w:tcPr>
          <w:p>
            <w:pPr>
              <w:pStyle w:val="nTable"/>
              <w:spacing w:after="40"/>
            </w:pPr>
            <w:r>
              <w:t>27 Jun 2024 (see r. 2(b))</w:t>
            </w:r>
          </w:p>
        </w:tc>
      </w:tr>
    </w:tbl>
    <w:p>
      <w:pPr>
        <w:pStyle w:val="nHeading3"/>
      </w:pPr>
      <w:bookmarkStart w:id="134" w:name="_Toc169877197"/>
      <w:r>
        <w:t>Uncommenced provisions table</w:t>
      </w:r>
      <w:bookmarkEnd w:id="1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nil"/>
              <w:bottom w:val="single" w:sz="4" w:space="0" w:color="auto"/>
            </w:tcBorders>
          </w:tcPr>
          <w:p>
            <w:pPr>
              <w:pStyle w:val="nTable"/>
              <w:spacing w:after="40"/>
            </w:pPr>
            <w:r>
              <w:t>SL 2023/196 13 Dec 2023</w:t>
            </w:r>
          </w:p>
        </w:tc>
        <w:tc>
          <w:tcPr>
            <w:tcW w:w="2693" w:type="dxa"/>
            <w:tcBorders>
              <w:top w:val="nil"/>
              <w:bottom w:val="single" w:sz="4" w:space="0" w:color="auto"/>
            </w:tcBorders>
          </w:tcPr>
          <w:p>
            <w:pPr>
              <w:pStyle w:val="nTable"/>
              <w:spacing w:after="40"/>
            </w:pPr>
            <w:r>
              <w:t>14 Dec 2025 (see r. 2(d))</w:t>
            </w:r>
          </w:p>
        </w:tc>
      </w:tr>
    </w:tbl>
    <w:p>
      <w:pPr>
        <w:pStyle w:val="nHeading3"/>
        <w:keepLines/>
        <w:widowControl w:val="0"/>
      </w:pPr>
      <w:bookmarkStart w:id="135" w:name="_Toc169877198"/>
      <w:r>
        <w:lastRenderedPageBreak/>
        <w:t>Other notes</w:t>
      </w:r>
      <w:bookmarkEnd w:id="135"/>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37" w:name="_Toc169875796"/>
      <w:bookmarkStart w:id="138" w:name="_Toc169875917"/>
      <w:bookmarkStart w:id="139" w:name="_Toc169877199"/>
      <w:r>
        <w:rPr>
          <w:sz w:val="28"/>
        </w:rPr>
        <w:lastRenderedPageBreak/>
        <w:t>Defined terms</w:t>
      </w:r>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209BBC"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01096D3B" w14:textId="3128639E" w:rsidR="00BF45EB" w:rsidRDefault="000634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75AA7">
                        <w:rPr>
                          <w:sz w:val="16"/>
                        </w:rPr>
                        <w:t>2024</w:t>
                      </w:r>
                      <w:r>
                        <w:rPr>
                          <w:sz w:val="16"/>
                        </w:rPr>
                        <w:fldChar w:fldCharType="end"/>
                      </w:r>
                      <w:r>
                        <w:rPr>
                          <w:sz w:val="16"/>
                        </w:rPr>
                        <w:t>.</w:t>
                      </w:r>
                    </w:p>
                    <w:p w14:paraId="61B0160C" w14:textId="77777777" w:rsidR="00BF45EB" w:rsidRDefault="000634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4AAB3E" w14:textId="61A58A5D" w:rsidR="00BF45EB" w:rsidRDefault="000634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75AA7">
                        <w:rPr>
                          <w:sz w:val="16"/>
                        </w:rPr>
                        <w:t>2024</w:t>
                      </w:r>
                      <w:r>
                        <w:rPr>
                          <w:sz w:val="16"/>
                        </w:rPr>
                        <w:fldChar w:fldCharType="end"/>
                      </w:r>
                      <w:r>
                        <w:rPr>
                          <w:sz w:val="16"/>
                        </w:rPr>
                        <w:t>.</w:t>
                      </w:r>
                    </w:p>
                    <w:p w14:paraId="3A984982" w14:textId="77777777" w:rsidR="00BF45EB" w:rsidRDefault="0006340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0" w:name="DefinedTerms"/>
    <w:bookmarkEnd w:id="14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9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5123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249"/>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31872</Words>
  <Characters>152353</Characters>
  <Application>Microsoft Office Word</Application>
  <DocSecurity>0</DocSecurity>
  <Lines>5253</Lines>
  <Paragraphs>3122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1989 - 14-al0-00</dc:title>
  <dc:subject/>
  <dc:creator/>
  <cp:keywords/>
  <dc:description/>
  <cp:lastModifiedBy>Master Repository Process</cp:lastModifiedBy>
  <cp:revision>4</cp:revision>
  <cp:lastPrinted>2019-12-05T02:25:00Z</cp:lastPrinted>
  <dcterms:created xsi:type="dcterms:W3CDTF">2025-06-23T03:02:00Z</dcterms:created>
  <dcterms:modified xsi:type="dcterms:W3CDTF">2025-06-23T03:02:00Z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AsAtDate">
    <vt:lpwstr>27 Jun 2024</vt:lpwstr>
  </property>
  <property fmtid="{D5CDD505-2E9C-101B-9397-08002B2CF9AE}" pid="11" name="Suffix">
    <vt:lpwstr>14-al0-00</vt:lpwstr>
  </property>
  <property fmtid="{D5CDD505-2E9C-101B-9397-08002B2CF9AE}" pid="12" name="Official">
    <vt:lpwstr/>
  </property>
</Properties>
</file>