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_Toc169875327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_Toc169875328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for licence, form of</w:t>
      </w:r>
      <w:r>
        <w:tab/>
      </w:r>
      <w:r>
        <w:fldChar w:fldCharType="begin"/>
      </w:r>
      <w:r>
        <w:instrText xml:space="preserve"> PAGEREF _Toc169875329 \h </w:instrText>
      </w:r>
      <w:r>
        <w:fldChar w:fldCharType="separate"/>
      </w:r>
      <w:r>
        <w:t>2</w:t>
      </w:r>
      <w:r>
        <w:fldChar w:fldCharType="end"/>
      </w:r>
    </w:p>
    <w:p>
      <w:pPr>
        <w:pStyle w:val="TOC8"/>
        <w:rPr>
          <w:rFonts w:asciiTheme="minorHAnsi" w:eastAsiaTheme="minorEastAsia" w:hAnsiTheme="minorHAnsi" w:cstheme="minorBidi"/>
          <w:szCs w:val="22"/>
        </w:rPr>
      </w:pPr>
      <w:r>
        <w:t>4.</w:t>
      </w:r>
      <w:r>
        <w:tab/>
        <w:t>Licence, form of</w:t>
      </w:r>
      <w:r>
        <w:tab/>
      </w:r>
      <w:r>
        <w:fldChar w:fldCharType="begin"/>
      </w:r>
      <w:r>
        <w:instrText xml:space="preserve"> PAGEREF _Toc169875330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_Toc169875331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_Toc169875332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_Toc169875333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_Toc169875334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Issue of replacement licence or permit</w:t>
      </w:r>
      <w:r>
        <w:tab/>
      </w:r>
      <w:r>
        <w:fldChar w:fldCharType="begin"/>
      </w:r>
      <w:r>
        <w:instrText xml:space="preserve"> PAGEREF _Toc169875335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_Toc169875336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_Toc169875337 \h </w:instrText>
      </w:r>
      <w:r>
        <w:fldChar w:fldCharType="separate"/>
      </w:r>
      <w:r>
        <w:t>5</w:t>
      </w:r>
      <w:r>
        <w:fldChar w:fldCharType="end"/>
      </w:r>
    </w:p>
    <w:p>
      <w:pPr>
        <w:pStyle w:val="TOC8"/>
        <w:rPr>
          <w:rFonts w:asciiTheme="minorHAnsi" w:eastAsiaTheme="minorEastAsia" w:hAnsiTheme="minorHAnsi" w:cstheme="minorBidi"/>
          <w:szCs w:val="22"/>
        </w:rPr>
      </w:pPr>
      <w:r>
        <w:t>12A.</w:t>
      </w:r>
      <w:r>
        <w:tab/>
        <w:t>Scope of licence or permit (Sch. 4)</w:t>
      </w:r>
      <w:r>
        <w:tab/>
      </w:r>
      <w:r>
        <w:fldChar w:fldCharType="begin"/>
      </w:r>
      <w:r>
        <w:instrText xml:space="preserve"> PAGEREF _Toc169875338 \h </w:instrText>
      </w:r>
      <w:r>
        <w:fldChar w:fldCharType="separate"/>
      </w:r>
      <w:r>
        <w:t>6</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_Toc169875339 \h </w:instrText>
      </w:r>
      <w:r>
        <w:fldChar w:fldCharType="separate"/>
      </w:r>
      <w:r>
        <w:t>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_Toc169875340 \h </w:instrText>
      </w:r>
      <w:r>
        <w:fldChar w:fldCharType="separate"/>
      </w:r>
      <w:r>
        <w:t>6</w:t>
      </w:r>
      <w:r>
        <w:fldChar w:fldCharType="end"/>
      </w:r>
    </w:p>
    <w:p>
      <w:pPr>
        <w:pStyle w:val="TOC8"/>
        <w:rPr>
          <w:rFonts w:asciiTheme="minorHAnsi" w:eastAsiaTheme="minorEastAsia" w:hAnsiTheme="minorHAnsi" w:cstheme="minorBidi"/>
          <w:szCs w:val="22"/>
        </w:rPr>
      </w:pPr>
      <w:r>
        <w:t>13B.</w:t>
      </w:r>
      <w:r>
        <w:tab/>
        <w:t>Exemptions from Act’s requirement to have licence or permit</w:t>
      </w:r>
      <w:r>
        <w:tab/>
      </w:r>
      <w:r>
        <w:fldChar w:fldCharType="begin"/>
      </w:r>
      <w:r>
        <w:instrText xml:space="preserve"> PAGEREF _Toc169875341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_Toc169875342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2"/>
        <w:keepNext w:val="0"/>
        <w:tabs>
          <w:tab w:val="right" w:leader="dot" w:pos="7077"/>
        </w:tabs>
        <w:rPr>
          <w:rFonts w:asciiTheme="minorHAnsi" w:eastAsiaTheme="minorEastAsia" w:hAnsiTheme="minorHAnsi" w:cstheme="minorBidi"/>
          <w:b w:val="0"/>
          <w:sz w:val="22"/>
          <w:szCs w:val="22"/>
        </w:rPr>
      </w:pPr>
      <w:r>
        <w:t>Schedule 2 — Prescribed bodies</w:t>
      </w:r>
    </w:p>
    <w:p>
      <w:pPr>
        <w:pStyle w:val="TOC2"/>
        <w:keepNext w:val="0"/>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lastRenderedPageBreak/>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_Toc169875348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_Toc169875349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pPr>
      <w:bookmarkStart w:id="2" w:name="_Toc169875327"/>
      <w:r>
        <w:rPr>
          <w:rStyle w:val="CharSectno"/>
        </w:rPr>
        <w:t>1</w:t>
      </w:r>
      <w:r>
        <w:t>.</w:t>
      </w:r>
      <w: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3" w:name="_Toc169875328"/>
      <w:r>
        <w:rPr>
          <w:rStyle w:val="CharSectno"/>
        </w:rPr>
        <w:t>2</w:t>
      </w:r>
      <w:r>
        <w:t>.</w:t>
      </w:r>
      <w:r>
        <w:tab/>
        <w:t>Terms used</w:t>
      </w:r>
      <w:bookmarkEnd w:id="3"/>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lastRenderedPageBreak/>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Gazette 27 Apr 2001 p. 2203</w:t>
      </w:r>
      <w:r>
        <w:noBreakHyphen/>
        <w:t>4; amended: Gazette 11 Jul 2006 p. 2545; 28 Nov 2006 p. 4894; 22 Jun 2007 p. 2876; 13 Jun 2008 p. 2525; 8 Jan 2015 p. 57</w:t>
      </w:r>
      <w:r>
        <w:noBreakHyphen/>
        <w:t xml:space="preserve">8.] </w:t>
      </w:r>
    </w:p>
    <w:p>
      <w:pPr>
        <w:pStyle w:val="Heading5"/>
      </w:pPr>
      <w:bookmarkStart w:id="4" w:name="_Toc169875329"/>
      <w:r>
        <w:rPr>
          <w:rStyle w:val="CharSectno"/>
        </w:rPr>
        <w:t>3</w:t>
      </w:r>
      <w:r>
        <w:t>.</w:t>
      </w:r>
      <w:r>
        <w:tab/>
        <w:t>Application for licence, form of</w:t>
      </w:r>
      <w:bookmarkEnd w:id="4"/>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pPr>
      <w:bookmarkStart w:id="5" w:name="_Toc169875330"/>
      <w:r>
        <w:rPr>
          <w:rStyle w:val="CharSectno"/>
        </w:rPr>
        <w:lastRenderedPageBreak/>
        <w:t>4</w:t>
      </w:r>
      <w:r>
        <w:t>.</w:t>
      </w:r>
      <w:r>
        <w:tab/>
        <w:t>Licence, form of</w:t>
      </w:r>
      <w:bookmarkEnd w:id="5"/>
    </w:p>
    <w:p>
      <w:pPr>
        <w:pStyle w:val="Subsection"/>
        <w:keepNext/>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6" w:name="_Toc169875331"/>
      <w:r>
        <w:rPr>
          <w:rStyle w:val="CharSectno"/>
        </w:rPr>
        <w:t>5</w:t>
      </w:r>
      <w:r>
        <w:rPr>
          <w:snapToGrid w:val="0"/>
        </w:rPr>
        <w:t>.</w:t>
      </w:r>
      <w:r>
        <w:rPr>
          <w:snapToGrid w:val="0"/>
        </w:rPr>
        <w:tab/>
        <w:t>Medical examinations</w:t>
      </w:r>
      <w:bookmarkEnd w:id="6"/>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7" w:name="_Toc169875332"/>
      <w:r>
        <w:rPr>
          <w:rStyle w:val="CharSectno"/>
        </w:rPr>
        <w:t>6</w:t>
      </w:r>
      <w:r>
        <w:rPr>
          <w:snapToGrid w:val="0"/>
        </w:rPr>
        <w:t>.</w:t>
      </w:r>
      <w:r>
        <w:rPr>
          <w:snapToGrid w:val="0"/>
        </w:rPr>
        <w:tab/>
        <w:t>Expired etc. licences etc. to be delivered to Director General</w:t>
      </w:r>
      <w:bookmarkEnd w:id="7"/>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8" w:name="_Toc169875333"/>
      <w:r>
        <w:rPr>
          <w:rStyle w:val="CharSectno"/>
        </w:rPr>
        <w:lastRenderedPageBreak/>
        <w:t>7</w:t>
      </w:r>
      <w:r>
        <w:rPr>
          <w:snapToGrid w:val="0"/>
        </w:rPr>
        <w:t>.</w:t>
      </w:r>
      <w:r>
        <w:rPr>
          <w:snapToGrid w:val="0"/>
        </w:rPr>
        <w:tab/>
        <w:t>Change of address to be notified to Director General</w:t>
      </w:r>
      <w:bookmarkEnd w:id="8"/>
    </w:p>
    <w:p>
      <w:pPr>
        <w:pStyle w:val="Subsection"/>
        <w:rPr>
          <w:snapToGrid w:val="0"/>
        </w:rPr>
      </w:pPr>
      <w:r>
        <w:rPr>
          <w:snapToGrid w:val="0"/>
        </w:rPr>
        <w:tab/>
      </w:r>
      <w:r>
        <w:rPr>
          <w:snapToGrid w:val="0"/>
        </w:rPr>
        <w:tab/>
        <w:t xml:space="preserve">Where, subsequent to the issue of the licence or permit, the holder changes </w:t>
      </w:r>
      <w:r>
        <w:t>their</w:t>
      </w:r>
      <w:r>
        <w:rPr>
          <w:snapToGrid w:val="0"/>
        </w:rPr>
        <w:t xml:space="preserve"> address, </w:t>
      </w:r>
      <w:r>
        <w:t>they</w:t>
      </w:r>
      <w:r>
        <w:rPr>
          <w:snapToGrid w:val="0"/>
        </w:rPr>
        <w:t xml:space="preserv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SL 2024/137 r. 6.] </w:t>
      </w:r>
    </w:p>
    <w:p>
      <w:pPr>
        <w:pStyle w:val="Heading5"/>
        <w:rPr>
          <w:snapToGrid w:val="0"/>
        </w:rPr>
      </w:pPr>
      <w:bookmarkStart w:id="9" w:name="_Toc169875334"/>
      <w:r>
        <w:rPr>
          <w:rStyle w:val="CharSectno"/>
        </w:rPr>
        <w:t>8</w:t>
      </w:r>
      <w:r>
        <w:rPr>
          <w:snapToGrid w:val="0"/>
        </w:rPr>
        <w:t>.</w:t>
      </w:r>
      <w:r>
        <w:rPr>
          <w:snapToGrid w:val="0"/>
        </w:rPr>
        <w:tab/>
        <w:t>Licence etc. to be produced on request by police officer etc.</w:t>
      </w:r>
      <w:bookmarkEnd w:id="9"/>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Gazette 30 May 1975 p. 1604; 9 Jul 1976 p. 2367; 2 Feb 1982 p. 397; 11 Jul 2006 p. 2545.] </w:t>
      </w:r>
    </w:p>
    <w:p>
      <w:pPr>
        <w:pStyle w:val="Heading5"/>
        <w:rPr>
          <w:snapToGrid w:val="0"/>
        </w:rPr>
      </w:pPr>
      <w:bookmarkStart w:id="10" w:name="_Toc169875335"/>
      <w:r>
        <w:rPr>
          <w:rStyle w:val="CharSectno"/>
        </w:rPr>
        <w:t>9</w:t>
      </w:r>
      <w:r>
        <w:rPr>
          <w:snapToGrid w:val="0"/>
        </w:rPr>
        <w:t>.</w:t>
      </w:r>
      <w:r>
        <w:rPr>
          <w:snapToGrid w:val="0"/>
        </w:rPr>
        <w:tab/>
      </w:r>
      <w:r>
        <w:t>Issue of replacement licence or permit</w:t>
      </w:r>
      <w:bookmarkEnd w:id="10"/>
    </w:p>
    <w:p>
      <w:pPr>
        <w:pStyle w:val="Subsection"/>
        <w:rPr>
          <w:snapToGrid w:val="0"/>
        </w:rPr>
      </w:pPr>
      <w:r>
        <w:rPr>
          <w:snapToGrid w:val="0"/>
        </w:rPr>
        <w:tab/>
      </w:r>
      <w:r>
        <w:rPr>
          <w:snapToGrid w:val="0"/>
        </w:rPr>
        <w:tab/>
        <w:t xml:space="preserve">Where the Director General is satisfied that a licence or permit has been lost, mutilated, or destroyed, </w:t>
      </w:r>
      <w:r>
        <w:t>the Director General</w:t>
      </w:r>
      <w:r>
        <w:rPr>
          <w:snapToGrid w:val="0"/>
        </w:rPr>
        <w:t xml:space="preserv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SL 2024/137 r. 6.] </w:t>
      </w:r>
    </w:p>
    <w:p>
      <w:pPr>
        <w:pStyle w:val="Heading5"/>
        <w:rPr>
          <w:snapToGrid w:val="0"/>
        </w:rPr>
      </w:pPr>
      <w:bookmarkStart w:id="11" w:name="_Toc169875336"/>
      <w:r>
        <w:rPr>
          <w:rStyle w:val="CharSectno"/>
        </w:rPr>
        <w:t>10</w:t>
      </w:r>
      <w:r>
        <w:rPr>
          <w:snapToGrid w:val="0"/>
        </w:rPr>
        <w:t>.</w:t>
      </w:r>
      <w:r>
        <w:rPr>
          <w:snapToGrid w:val="0"/>
        </w:rPr>
        <w:tab/>
        <w:t>Duplicate controls and mirrors, vehicles used for instruction to have</w:t>
      </w:r>
      <w:bookmarkEnd w:id="1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lastRenderedPageBreak/>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12" w:name="_Toc169875337"/>
      <w:r>
        <w:rPr>
          <w:rStyle w:val="CharSectno"/>
        </w:rPr>
        <w:t>12</w:t>
      </w:r>
      <w:r>
        <w:rPr>
          <w:snapToGrid w:val="0"/>
        </w:rPr>
        <w:t>.</w:t>
      </w:r>
      <w:r>
        <w:rPr>
          <w:snapToGrid w:val="0"/>
        </w:rPr>
        <w:tab/>
        <w:t>Bodies prescribed (Act s. 7(4)); classes of vehicle prescribed</w:t>
      </w:r>
      <w:bookmarkEnd w:id="12"/>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13" w:name="_Toc169875338"/>
      <w:r>
        <w:rPr>
          <w:rStyle w:val="CharSectno"/>
        </w:rPr>
        <w:lastRenderedPageBreak/>
        <w:t>12A</w:t>
      </w:r>
      <w:r>
        <w:t>.</w:t>
      </w:r>
      <w:r>
        <w:tab/>
        <w:t>Scope of licence or permit (Sch. 4)</w:t>
      </w:r>
      <w:bookmarkEnd w:id="13"/>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14" w:name="_Toc169875339"/>
      <w:r>
        <w:rPr>
          <w:rStyle w:val="CharSectno"/>
        </w:rPr>
        <w:t>13</w:t>
      </w:r>
      <w:r>
        <w:t>.</w:t>
      </w:r>
      <w:r>
        <w:tab/>
        <w:t>Fees</w:t>
      </w:r>
      <w:bookmarkEnd w:id="14"/>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15" w:name="_Toc169875340"/>
      <w:r>
        <w:rPr>
          <w:rStyle w:val="CharSectno"/>
        </w:rPr>
        <w:t>13A</w:t>
      </w:r>
      <w:r>
        <w:rPr>
          <w:snapToGrid w:val="0"/>
        </w:rPr>
        <w:t>.</w:t>
      </w:r>
      <w:r>
        <w:rPr>
          <w:snapToGrid w:val="0"/>
        </w:rPr>
        <w:tab/>
        <w:t>Exemption from Act’s requirements to pay fees</w:t>
      </w:r>
      <w:bookmarkEnd w:id="15"/>
    </w:p>
    <w:p>
      <w:pPr>
        <w:pStyle w:val="Subsection"/>
        <w:spacing w:before="120"/>
        <w:rPr>
          <w:snapToGrid w:val="0"/>
        </w:rPr>
      </w:pPr>
      <w:r>
        <w:rPr>
          <w:snapToGrid w:val="0"/>
        </w:rPr>
        <w:tab/>
        <w:t>(1)</w:t>
      </w:r>
      <w:r>
        <w:rPr>
          <w:snapToGrid w:val="0"/>
        </w:rPr>
        <w:tab/>
        <w:t xml:space="preserve">The Director General may exempt from the provisions of the Act relating to the payment of the prescribed fee an application </w:t>
      </w:r>
      <w:r>
        <w:rPr>
          <w:snapToGrid w:val="0"/>
        </w:rPr>
        <w:lastRenderedPageBreak/>
        <w:t>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 xml:space="preserve">Every licence or permit issued pursuant to this regulation shall have specified in it a condition that the holder will not, until the appropriate fee has been paid, act as a driving instructor other than in the course of </w:t>
      </w:r>
      <w:r>
        <w:t>their</w:t>
      </w:r>
      <w:r>
        <w:rPr>
          <w:snapToGrid w:val="0"/>
        </w:rPr>
        <w:t xml:space="preserve">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SL 2024/137 r. 6.] </w:t>
      </w:r>
    </w:p>
    <w:p>
      <w:pPr>
        <w:pStyle w:val="Heading5"/>
      </w:pPr>
      <w:bookmarkStart w:id="16" w:name="_Toc169803842"/>
      <w:bookmarkStart w:id="17" w:name="_Toc169803964"/>
      <w:bookmarkStart w:id="18" w:name="_Toc169875341"/>
      <w:r>
        <w:rPr>
          <w:rStyle w:val="CharSectno"/>
        </w:rPr>
        <w:t>13B</w:t>
      </w:r>
      <w:r>
        <w:t>.</w:t>
      </w:r>
      <w:r>
        <w:tab/>
        <w:t>Exemptions from Act’s requirement to have licence or permit</w:t>
      </w:r>
      <w:bookmarkEnd w:id="16"/>
      <w:bookmarkEnd w:id="17"/>
      <w:bookmarkEnd w:id="18"/>
    </w:p>
    <w:p>
      <w:pPr>
        <w:pStyle w:val="Subsection"/>
      </w:pPr>
      <w:r>
        <w:tab/>
        <w:t>(1)</w:t>
      </w:r>
      <w:r>
        <w:tab/>
        <w:t xml:space="preserve">A person is exempt from section 5(1) of the Act if — </w:t>
      </w:r>
    </w:p>
    <w:p>
      <w:pPr>
        <w:pStyle w:val="Indenta"/>
      </w:pPr>
      <w:r>
        <w:tab/>
        <w:t>(a)</w:t>
      </w:r>
      <w:r>
        <w:tab/>
        <w:t xml:space="preserve">the only consideration the person receives for acting as a driving instructor is 1 or more of the following — </w:t>
      </w:r>
    </w:p>
    <w:p>
      <w:pPr>
        <w:pStyle w:val="Indenti"/>
      </w:pPr>
      <w:r>
        <w:tab/>
        <w:t>(i)</w:t>
      </w:r>
      <w:r>
        <w:tab/>
        <w:t xml:space="preserve">the reimbursement of reasonable expenses the person incurs in so acting; </w:t>
      </w:r>
    </w:p>
    <w:p>
      <w:pPr>
        <w:pStyle w:val="Indenti"/>
      </w:pPr>
      <w:r>
        <w:lastRenderedPageBreak/>
        <w:tab/>
        <w:t>(ii)</w:t>
      </w:r>
      <w:r>
        <w:tab/>
        <w:t>remuneration that the person would receive even if the person did not so act;</w:t>
      </w:r>
    </w:p>
    <w:p>
      <w:pPr>
        <w:pStyle w:val="Indenti"/>
      </w:pPr>
      <w:r>
        <w:tab/>
        <w:t>(iii)</w:t>
      </w:r>
      <w:r>
        <w:tab/>
        <w:t>remuneration covered by a monetary grant, or a portion of a monetary grant, designated under subregulation (2);</w:t>
      </w:r>
    </w:p>
    <w:p>
      <w:pPr>
        <w:pStyle w:val="Indenta"/>
      </w:pPr>
      <w:r>
        <w:tab/>
      </w:r>
      <w:r>
        <w:tab/>
        <w:t>and</w:t>
      </w:r>
    </w:p>
    <w:p>
      <w:pPr>
        <w:pStyle w:val="Indenta"/>
      </w:pPr>
      <w:r>
        <w:tab/>
        <w:t>(b)</w:t>
      </w:r>
      <w:r>
        <w:tab/>
        <w:t>the person does not act as a driving instructor on a full</w:t>
      </w:r>
      <w:r>
        <w:noBreakHyphen/>
        <w:t>time basis unless the person only receives consideration of a kind referred to in paragraph (a)(iii).</w:t>
      </w:r>
    </w:p>
    <w:p>
      <w:pPr>
        <w:pStyle w:val="Subsection"/>
      </w:pPr>
      <w:r>
        <w:tab/>
        <w:t>(2)</w:t>
      </w:r>
      <w:r>
        <w:tab/>
        <w:t xml:space="preserve">The Director General may designate a monetary grant, or a portion of a monetary grant, for the purposes of this regulation if — </w:t>
      </w:r>
    </w:p>
    <w:p>
      <w:pPr>
        <w:pStyle w:val="Indenta"/>
      </w:pPr>
      <w:r>
        <w:tab/>
        <w:t>(a)</w:t>
      </w:r>
      <w:r>
        <w:tab/>
        <w:t xml:space="preserve">the monetary grant or portion is provided under an agreement between a person (the </w:t>
      </w:r>
      <w:r>
        <w:rPr>
          <w:rStyle w:val="CharDefText"/>
        </w:rPr>
        <w:t>grantee</w:t>
      </w:r>
      <w:r>
        <w:t>) and the State; and</w:t>
      </w:r>
    </w:p>
    <w:p>
      <w:pPr>
        <w:pStyle w:val="Indenta"/>
      </w:pPr>
      <w:r>
        <w:tab/>
        <w:t>(b)</w:t>
      </w:r>
      <w:r>
        <w:tab/>
        <w:t>under the agreement, the grantee is to use the monetary grant or portion to remunerate 1 or more other persons for acting as a driving instructor.</w:t>
      </w:r>
    </w:p>
    <w:p>
      <w:pPr>
        <w:pStyle w:val="Footnotesection"/>
      </w:pPr>
      <w:r>
        <w:tab/>
        <w:t>[Regulation 13B inserted: SL 2024/137 r. 4.]</w:t>
      </w:r>
    </w:p>
    <w:p>
      <w:pPr>
        <w:pStyle w:val="Heading5"/>
        <w:rPr>
          <w:snapToGrid w:val="0"/>
        </w:rPr>
      </w:pPr>
      <w:bookmarkStart w:id="19" w:name="_Toc169875342"/>
      <w:r>
        <w:rPr>
          <w:rStyle w:val="CharSectno"/>
        </w:rPr>
        <w:t>14</w:t>
      </w:r>
      <w:r>
        <w:rPr>
          <w:snapToGrid w:val="0"/>
        </w:rPr>
        <w:t>.</w:t>
      </w:r>
      <w:r>
        <w:rPr>
          <w:snapToGrid w:val="0"/>
        </w:rPr>
        <w:tab/>
        <w:t>Offence and penalty</w:t>
      </w:r>
      <w:bookmarkEnd w:id="1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0" w:name="_Toc169859959"/>
      <w:bookmarkStart w:id="21" w:name="_Toc169860628"/>
      <w:bookmarkStart w:id="22" w:name="_Toc169875343"/>
      <w:r>
        <w:rPr>
          <w:rStyle w:val="CharSchNo"/>
        </w:rPr>
        <w:lastRenderedPageBreak/>
        <w:t>Schedule 1 </w:t>
      </w:r>
      <w:r>
        <w:t>— </w:t>
      </w:r>
      <w:r>
        <w:rPr>
          <w:rStyle w:val="CharSchText"/>
        </w:rPr>
        <w:t>Forms</w:t>
      </w:r>
      <w:bookmarkEnd w:id="20"/>
      <w:bookmarkEnd w:id="21"/>
      <w:bookmarkEnd w:id="22"/>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lastRenderedPageBreak/>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lastRenderedPageBreak/>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lastRenderedPageBreak/>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lastRenderedPageBreak/>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lastRenderedPageBreak/>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4" w:name="_Toc169859960"/>
      <w:bookmarkStart w:id="25" w:name="_Toc169860629"/>
      <w:bookmarkStart w:id="26" w:name="_Toc169875344"/>
      <w:r>
        <w:rPr>
          <w:rStyle w:val="CharSchNo"/>
        </w:rPr>
        <w:lastRenderedPageBreak/>
        <w:t>Schedule 2</w:t>
      </w:r>
      <w:r>
        <w:t> — </w:t>
      </w:r>
      <w:r>
        <w:rPr>
          <w:rStyle w:val="CharSchText"/>
        </w:rPr>
        <w:t>Prescribed bodies</w:t>
      </w:r>
      <w:bookmarkEnd w:id="24"/>
      <w:bookmarkEnd w:id="25"/>
      <w:bookmarkEnd w:id="26"/>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Chisholm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NumberedItem"/>
      </w:pPr>
      <w:r>
        <w:t>22.</w:t>
      </w:r>
      <w:r>
        <w:tab/>
        <w:t>Shift Training Pty. Ltd. (ACN 168 567 280)</w:t>
      </w:r>
    </w:p>
    <w:p>
      <w:pPr>
        <w:pStyle w:val="yNumberedItem"/>
      </w:pPr>
      <w:r>
        <w:lastRenderedPageBreak/>
        <w:t>23.</w:t>
      </w:r>
      <w:r>
        <w:tab/>
        <w:t>Academy of Road Safety Pty Ltd (ACN 165 345 853)</w:t>
      </w:r>
    </w:p>
    <w:p>
      <w:pPr>
        <w:pStyle w:val="yNumberedItem"/>
      </w:pPr>
      <w:r>
        <w:t>24.</w:t>
      </w:r>
      <w:r>
        <w:tab/>
        <w:t>121 Training Pty Ltd (ACN 142 831 203)</w:t>
      </w:r>
    </w:p>
    <w:p>
      <w:pPr>
        <w:pStyle w:val="yNumberedItem"/>
      </w:pPr>
      <w:r>
        <w:t>25.</w:t>
      </w:r>
      <w:r>
        <w:tab/>
        <w:t>Webster College Pty Ltd (ACN 153 719 058) trading as East West Training</w:t>
      </w:r>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 SL 2023/181 r. 4; SL 2024/137 r. 5.]</w:t>
      </w:r>
    </w:p>
    <w:p>
      <w:pPr>
        <w:pStyle w:val="yScheduleHeading"/>
      </w:pPr>
      <w:bookmarkStart w:id="27" w:name="_Toc169859961"/>
      <w:bookmarkStart w:id="28" w:name="_Toc169860630"/>
      <w:bookmarkStart w:id="29" w:name="_Toc169875345"/>
      <w:r>
        <w:rPr>
          <w:rStyle w:val="CharSchNo"/>
        </w:rPr>
        <w:lastRenderedPageBreak/>
        <w:t>Schedule 3</w:t>
      </w:r>
      <w:r>
        <w:t> — </w:t>
      </w:r>
      <w:r>
        <w:rPr>
          <w:rStyle w:val="CharSchText"/>
        </w:rPr>
        <w:t>Classes of vehicles</w:t>
      </w:r>
      <w:bookmarkEnd w:id="27"/>
      <w:bookmarkEnd w:id="28"/>
      <w:bookmarkEnd w:id="29"/>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30" w:name="_Toc169859962"/>
      <w:bookmarkStart w:id="31" w:name="_Toc169860631"/>
      <w:bookmarkStart w:id="32" w:name="_Toc169875346"/>
      <w:r>
        <w:rPr>
          <w:rStyle w:val="CharSchNo"/>
        </w:rPr>
        <w:lastRenderedPageBreak/>
        <w:t>Schedule 4</w:t>
      </w:r>
      <w:r>
        <w:t> — </w:t>
      </w:r>
      <w:r>
        <w:rPr>
          <w:rStyle w:val="CharSchText"/>
        </w:rPr>
        <w:t>Scope of a licence or permit</w:t>
      </w:r>
      <w:bookmarkEnd w:id="30"/>
      <w:bookmarkEnd w:id="31"/>
      <w:bookmarkEnd w:id="3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33" w:name="_Toc169859963"/>
      <w:bookmarkStart w:id="34" w:name="_Toc169860632"/>
      <w:bookmarkStart w:id="35" w:name="_Toc169875347"/>
      <w:r>
        <w:lastRenderedPageBreak/>
        <w:t>Notes</w:t>
      </w:r>
      <w:bookmarkEnd w:id="33"/>
      <w:bookmarkEnd w:id="34"/>
      <w:bookmarkEnd w:id="35"/>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36" w:name="_Toc169875348"/>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lastRenderedPageBreak/>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lastRenderedPageBreak/>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2019</w:t>
            </w:r>
          </w:p>
        </w:tc>
        <w:tc>
          <w:tcPr>
            <w:tcW w:w="1276" w:type="dxa"/>
            <w:tcBorders>
              <w:top w:val="nil"/>
              <w:bottom w:val="nil"/>
            </w:tcBorders>
          </w:tcPr>
          <w:p>
            <w:pPr>
              <w:pStyle w:val="nTable"/>
              <w:spacing w:after="40"/>
            </w:pPr>
            <w:r>
              <w:t>31 Dec 2019 p. 4683-4</w:t>
            </w:r>
          </w:p>
        </w:tc>
        <w:tc>
          <w:tcPr>
            <w:tcW w:w="2721" w:type="dxa"/>
            <w:gridSpan w:val="2"/>
            <w:tcBorders>
              <w:top w:val="nil"/>
              <w:bottom w:val="nil"/>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2023</w:t>
            </w:r>
          </w:p>
        </w:tc>
        <w:tc>
          <w:tcPr>
            <w:tcW w:w="1276" w:type="dxa"/>
            <w:tcBorders>
              <w:top w:val="nil"/>
              <w:bottom w:val="nil"/>
            </w:tcBorders>
          </w:tcPr>
          <w:p>
            <w:pPr>
              <w:pStyle w:val="nTable"/>
              <w:spacing w:after="40"/>
            </w:pPr>
            <w:r>
              <w:t>SL 2023/181 15 Nov 2023</w:t>
            </w:r>
          </w:p>
        </w:tc>
        <w:tc>
          <w:tcPr>
            <w:tcW w:w="2721" w:type="dxa"/>
            <w:gridSpan w:val="2"/>
            <w:tcBorders>
              <w:top w:val="nil"/>
              <w:bottom w:val="nil"/>
            </w:tcBorders>
          </w:tcPr>
          <w:p>
            <w:pPr>
              <w:pStyle w:val="nTable"/>
              <w:spacing w:after="40"/>
              <w:rPr>
                <w:snapToGrid w:val="0"/>
                <w:spacing w:val="-2"/>
              </w:rPr>
            </w:pPr>
            <w:r>
              <w:rPr>
                <w:snapToGrid w:val="0"/>
                <w:spacing w:val="-2"/>
              </w:rPr>
              <w:t>r. 1 and 2: 15 Nov 2023 (see r. 2(a));</w:t>
            </w:r>
            <w:r>
              <w:rPr>
                <w:snapToGrid w:val="0"/>
                <w:spacing w:val="-2"/>
              </w:rPr>
              <w:br/>
              <w:t>Regulations other than r. 1 and 2: 16 Nov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lastRenderedPageBreak/>
              <w:t xml:space="preserve">Motor Vehicle Drivers Instructors Amendment Regulations 2024  </w:t>
            </w:r>
          </w:p>
        </w:tc>
        <w:tc>
          <w:tcPr>
            <w:tcW w:w="1276" w:type="dxa"/>
            <w:tcBorders>
              <w:top w:val="nil"/>
              <w:bottom w:val="single" w:sz="4" w:space="0" w:color="auto"/>
            </w:tcBorders>
          </w:tcPr>
          <w:p>
            <w:pPr>
              <w:pStyle w:val="nTable"/>
              <w:spacing w:after="40"/>
            </w:pPr>
            <w:r>
              <w:t>SL 2024/137 26 Jun 2024</w:t>
            </w:r>
          </w:p>
        </w:tc>
        <w:tc>
          <w:tcPr>
            <w:tcW w:w="2721" w:type="dxa"/>
            <w:gridSpan w:val="2"/>
            <w:tcBorders>
              <w:top w:val="nil"/>
              <w:bottom w:val="single" w:sz="4" w:space="0" w:color="auto"/>
            </w:tcBorders>
          </w:tcPr>
          <w:p>
            <w:pPr>
              <w:spacing w:before="40" w:after="40"/>
              <w:rPr>
                <w:snapToGrid w:val="0"/>
                <w:spacing w:val="-2"/>
              </w:rPr>
            </w:pPr>
            <w:r>
              <w:rPr>
                <w:sz w:val="19"/>
              </w:rPr>
              <w:t>r. 1 and 2: 26 Jun 2024 (see r. 2(a))</w:t>
            </w:r>
            <w:r>
              <w:rPr>
                <w:sz w:val="19"/>
              </w:rPr>
              <w:br/>
              <w:t>Regulations other than r. 1 and 2: 27 Jun 2024 (see r. 2(b))</w:t>
            </w:r>
          </w:p>
        </w:tc>
      </w:tr>
    </w:tbl>
    <w:p>
      <w:pPr>
        <w:pStyle w:val="nHeading3"/>
      </w:pPr>
      <w:bookmarkStart w:id="37" w:name="_Toc169875349"/>
      <w:r>
        <w:t>Other notes</w:t>
      </w:r>
      <w:bookmarkEnd w:id="37"/>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9" w:name="_Toc169875350"/>
      <w:r>
        <w:rPr>
          <w:sz w:val="28"/>
        </w:rPr>
        <w:lastRenderedPageBreak/>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grantee</w:t>
      </w:r>
      <w:r>
        <w:tab/>
        <w:t>13B(2)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semi-trailer</w:t>
      </w:r>
      <w:r>
        <w:tab/>
        <w:t>2</w:t>
      </w:r>
    </w:p>
    <w:p>
      <w:pPr>
        <w:pStyle w:val="DefinedTerms"/>
      </w:pPr>
      <w:r>
        <w:t>trailer</w:t>
      </w:r>
      <w:r>
        <w:tab/>
        <w:t>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B27BE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02A9BA8" w14:textId="0E235853" w:rsidR="006B3AEB" w:rsidRDefault="00E31E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7F3A">
                        <w:rPr>
                          <w:sz w:val="16"/>
                        </w:rPr>
                        <w:t>2024</w:t>
                      </w:r>
                      <w:r>
                        <w:rPr>
                          <w:sz w:val="16"/>
                        </w:rPr>
                        <w:fldChar w:fldCharType="end"/>
                      </w:r>
                      <w:r>
                        <w:rPr>
                          <w:sz w:val="16"/>
                        </w:rPr>
                        <w:t>.</w:t>
                      </w:r>
                    </w:p>
                    <w:p w14:paraId="6DA24CBA" w14:textId="77777777" w:rsidR="006B3AEB" w:rsidRDefault="00E31E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666D77" w14:textId="0BA33976" w:rsidR="006B3AEB" w:rsidRDefault="00E31E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7F3A">
                        <w:rPr>
                          <w:sz w:val="16"/>
                        </w:rPr>
                        <w:t>2024</w:t>
                      </w:r>
                      <w:r>
                        <w:rPr>
                          <w:sz w:val="16"/>
                        </w:rPr>
                        <w:fldChar w:fldCharType="end"/>
                      </w:r>
                      <w:r>
                        <w:rPr>
                          <w:sz w:val="16"/>
                        </w:rPr>
                        <w:t>.</w:t>
                      </w:r>
                    </w:p>
                    <w:p w14:paraId="2282254E" w14:textId="77777777" w:rsidR="006B3AEB" w:rsidRDefault="00E31E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05736"/>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 w:name="WAFER_2023111015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50834_GUID" w:val="f5c71788-bcc2-49d5-b967-9e95e9644bc5"/>
    <w:docVar w:name="WAFER_2023122812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22_GUID" w:val="751066b0-27a7-4fdb-bb24-59b8c4b9a751"/>
    <w:docVar w:name="WAFER_20240621105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5736_GUID" w:val="722ebd8d-857d-4f3d-9956-4dadabdde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88294C8B-C263-431C-B32E-174B278A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F39-0952-470E-9512-870967D31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5949</Words>
  <Characters>30343</Characters>
  <Application>Microsoft Office Word</Application>
  <DocSecurity>0</DocSecurity>
  <Lines>1167</Lines>
  <Paragraphs>740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1964 - 07-j0-00</dc:title>
  <dc:subject/>
  <dc:creator/>
  <cp:keywords/>
  <dc:description/>
  <cp:lastModifiedBy>Master Repository Process</cp:lastModifiedBy>
  <cp:revision>4</cp:revision>
  <cp:lastPrinted>2015-09-30T06:50:00Z</cp:lastPrinted>
  <dcterms:created xsi:type="dcterms:W3CDTF">2025-06-24T00:40:00Z</dcterms:created>
  <dcterms:modified xsi:type="dcterms:W3CDTF">2025-06-24T00:40:00Z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07-j0-00</vt:lpwstr>
  </property>
  <property fmtid="{D5CDD505-2E9C-101B-9397-08002B2CF9AE}" pid="12" name="Official">
    <vt:lpwstr/>
  </property>
</Properties>
</file>