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Classification (Publications, Films and Computer Games) Enforcement Act 1996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_Toc169880302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_Toc169880303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_Toc169880304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 of an infringement notice</w:t>
      </w:r>
      <w:r>
        <w:tab/>
      </w:r>
      <w:r>
        <w:fldChar w:fldCharType="begin"/>
      </w:r>
      <w:r>
        <w:instrText xml:space="preserve"> PAGEREF _Toc169880305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 of notice of withdrawal of an infringement notice</w:t>
      </w:r>
      <w:r>
        <w:tab/>
      </w:r>
      <w:r>
        <w:fldChar w:fldCharType="begin"/>
      </w:r>
      <w:r>
        <w:instrText xml:space="preserve"> PAGEREF _Toc169880306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r>
        <w:tab/>
      </w:r>
      <w:r>
        <w:fldChar w:fldCharType="begin"/>
      </w:r>
      <w:r>
        <w:instrText xml:space="preserve"> PAGEREF _Toc169880307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r>
        <w:tab/>
      </w:r>
      <w:r>
        <w:fldChar w:fldCharType="begin"/>
      </w:r>
      <w:r>
        <w:instrText xml:space="preserve"> PAGEREF _Toc169880308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 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_Toc169880312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_Toc169880313 \h </w:instrText>
      </w:r>
      <w:r>
        <w:fldChar w:fldCharType="separate"/>
      </w:r>
      <w:r>
        <w:t>9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Classification (Publications, Films and Computer Games) Enforcement Act 1996</w:t>
      </w:r>
    </w:p>
    <w:p>
      <w:pPr>
        <w:pStyle w:val="NameofActReg"/>
      </w:pPr>
      <w:r>
        <w:t>Classification (Publications, Films and Computer Games) Enforcement Regulations 1996</w:t>
      </w:r>
    </w:p>
    <w:p>
      <w:pPr>
        <w:pStyle w:val="Heading5"/>
        <w:rPr>
          <w:snapToGrid w:val="0"/>
        </w:rPr>
      </w:pPr>
      <w:bookmarkStart w:id="2" w:name="_Toc16988030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14 Dec 2012 p. 6202.]</w:t>
      </w:r>
    </w:p>
    <w:p>
      <w:pPr>
        <w:pStyle w:val="Heading5"/>
        <w:rPr>
          <w:snapToGrid w:val="0"/>
        </w:rPr>
      </w:pPr>
      <w:bookmarkStart w:id="3" w:name="_Toc16988030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comes into operation.</w:t>
      </w:r>
    </w:p>
    <w:p>
      <w:pPr>
        <w:pStyle w:val="Heading5"/>
      </w:pPr>
      <w:bookmarkStart w:id="4" w:name="_Toc169880304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4"/>
    </w:p>
    <w:p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>
      <w:pPr>
        <w:pStyle w:val="Heading5"/>
      </w:pPr>
      <w:bookmarkStart w:id="5" w:name="_Toc169880305"/>
      <w:r>
        <w:rPr>
          <w:rStyle w:val="CharSectno"/>
        </w:rPr>
        <w:lastRenderedPageBreak/>
        <w:t>4</w:t>
      </w:r>
      <w:r>
        <w:t>.</w:t>
      </w:r>
      <w:r>
        <w:tab/>
        <w:t>Form of an infringement notice</w:t>
      </w:r>
      <w:bookmarkEnd w:id="5"/>
    </w:p>
    <w:p>
      <w:pPr>
        <w:pStyle w:val="Subsection"/>
      </w:pPr>
      <w:r>
        <w:tab/>
      </w:r>
      <w:r>
        <w:tab/>
        <w:t>Schedule 2 Form 1 is prescribed for the purposes of section 117E(1) of the Act.</w:t>
      </w:r>
    </w:p>
    <w:p>
      <w:pPr>
        <w:pStyle w:val="Footnotesection"/>
      </w:pPr>
      <w:r>
        <w:tab/>
        <w:t>[Regulation 4 inserted: Gazette 4 Jun 2004 p. 1930.]</w:t>
      </w:r>
    </w:p>
    <w:p>
      <w:pPr>
        <w:pStyle w:val="Heading5"/>
      </w:pPr>
      <w:bookmarkStart w:id="6" w:name="_Toc169880306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6"/>
    </w:p>
    <w:p>
      <w:pPr>
        <w:pStyle w:val="Subsection"/>
      </w:pPr>
      <w:r>
        <w:tab/>
      </w:r>
      <w:r>
        <w:tab/>
        <w:t>Schedule 2 Form 2 is prescribed for the purposes of section 117G(1) of the Act.</w:t>
      </w:r>
    </w:p>
    <w:p>
      <w:pPr>
        <w:pStyle w:val="Footnotesection"/>
      </w:pPr>
      <w:r>
        <w:tab/>
        <w:t>[Regulation 5 inserted: Gazette 4 Jun 2004 p. 1930.]</w:t>
      </w:r>
    </w:p>
    <w:p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>
      <w:pPr>
        <w:pStyle w:val="Heading5"/>
        <w:rPr>
          <w:snapToGrid w:val="0"/>
        </w:rPr>
      </w:pPr>
      <w:bookmarkStart w:id="7" w:name="_Toc169880307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131(1)(d) of the Act a fee of </w:t>
      </w:r>
      <w:r>
        <w:t>$87</w:t>
      </w:r>
      <w:r>
        <w:rPr>
          <w:snapToGrid w:val="0"/>
        </w:rPr>
        <w:t xml:space="preserve"> in respect of each premises proposed to be registered, or registered, in the name of the applicant is prescribed.</w:t>
      </w:r>
    </w:p>
    <w:p>
      <w:pPr>
        <w:pStyle w:val="Footnotesection"/>
      </w:pPr>
      <w:r>
        <w:tab/>
        <w:t>[Regulation 9 amended: SL 2022/111 r. 10; SL 2023/120 r. 10; SL 2024/113 r. 10.]</w:t>
      </w:r>
    </w:p>
    <w:p>
      <w:pPr>
        <w:pStyle w:val="Heading5"/>
        <w:rPr>
          <w:snapToGrid w:val="0"/>
        </w:rPr>
      </w:pPr>
      <w:bookmarkStart w:id="8" w:name="_Toc169880308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fee of </w:t>
      </w:r>
      <w:r>
        <w:t>$5.50</w:t>
      </w:r>
      <w:r>
        <w:rPr>
          <w:snapToGrid w:val="0"/>
        </w:rPr>
        <w:t xml:space="preserve"> is prescribed for inspecting the register;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 fee of </w:t>
      </w:r>
      <w:r>
        <w:t>$1.10</w:t>
      </w:r>
      <w:r>
        <w:rPr>
          <w:snapToGrid w:val="0"/>
        </w:rPr>
        <w:t xml:space="preserve"> per page is prescribed for copies of the register.</w:t>
      </w:r>
    </w:p>
    <w:p>
      <w:pPr>
        <w:pStyle w:val="Footnotesection"/>
      </w:pPr>
      <w:r>
        <w:tab/>
        <w:t>[Regulation 10 amended: SL 2024/113 r. 11.]</w:t>
      </w:r>
    </w:p>
    <w:p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169868110"/>
      <w:bookmarkStart w:id="10" w:name="_Toc169868131"/>
      <w:bookmarkStart w:id="11" w:name="_Toc169868579"/>
      <w:bookmarkStart w:id="12" w:name="_Toc169880309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9"/>
      <w:bookmarkEnd w:id="10"/>
      <w:bookmarkEnd w:id="11"/>
      <w:bookmarkEnd w:id="12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>
        <w:trPr>
          <w:tblHeader/>
        </w:trPr>
        <w:tc>
          <w:tcPr>
            <w:tcW w:w="2045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lastRenderedPageBreak/>
              <w:t>s. 86(1)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>
      <w:pPr>
        <w:pStyle w:val="yScheduleHeading"/>
      </w:pPr>
      <w:bookmarkStart w:id="13" w:name="_Toc169868111"/>
      <w:bookmarkStart w:id="14" w:name="_Toc169868132"/>
      <w:bookmarkStart w:id="15" w:name="_Toc169868580"/>
      <w:bookmarkStart w:id="16" w:name="_Toc169880310"/>
      <w:r>
        <w:rPr>
          <w:rStyle w:val="CharSchNo"/>
        </w:rPr>
        <w:lastRenderedPageBreak/>
        <w:t>Schedule 2</w:t>
      </w:r>
      <w:r>
        <w:t> — </w:t>
      </w:r>
      <w:r>
        <w:rPr>
          <w:rStyle w:val="CharSchText"/>
        </w:rPr>
        <w:t>Forms</w:t>
      </w:r>
      <w:bookmarkEnd w:id="13"/>
      <w:bookmarkEnd w:id="14"/>
      <w:bookmarkEnd w:id="15"/>
      <w:bookmarkEnd w:id="16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4 Jun 2004 p. 1931.]</w:t>
      </w:r>
    </w:p>
    <w:p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>
        <w:trPr>
          <w:cantSplit/>
        </w:trP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What you must do</w:t>
            </w:r>
          </w:p>
        </w:tc>
        <w:tc>
          <w:tcPr>
            <w:tcW w:w="5812" w:type="dxa"/>
          </w:tcPr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vMerge w:val="restart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3860; SL 2020/162 r. 4.]</w:t>
      </w:r>
    </w:p>
    <w:p>
      <w:pPr>
        <w:pStyle w:val="yMiscellaneousHeading"/>
        <w:spacing w:before="400" w:after="120"/>
        <w:rPr>
          <w:b/>
        </w:rPr>
      </w:pPr>
      <w:r>
        <w:rPr>
          <w:b/>
        </w:rPr>
        <w:lastRenderedPageBreak/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6946" w:type="dxa"/>
            <w:gridSpan w:val="6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8" w:name="_Toc169868112"/>
      <w:bookmarkStart w:id="19" w:name="_Toc169868133"/>
      <w:bookmarkStart w:id="20" w:name="_Toc169868581"/>
      <w:bookmarkStart w:id="21" w:name="_Toc169880311"/>
      <w:r>
        <w:lastRenderedPageBreak/>
        <w:t>Notes</w:t>
      </w:r>
      <w:bookmarkEnd w:id="18"/>
      <w:bookmarkEnd w:id="19"/>
      <w:bookmarkEnd w:id="20"/>
      <w:bookmarkEnd w:id="2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2" w:name="_Toc169880312"/>
      <w:r>
        <w:t>Compilation table</w:t>
      </w:r>
      <w:bookmarkEnd w:id="22"/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Attorney General Regulations Amendment (Infringement Notices) Regulations 2020</w:t>
            </w:r>
            <w:r>
              <w:t xml:space="preserve"> Pt. 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2020/162 25 Sep 2020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29 Sep 2020 (see r. 2(b) and SL 2020/159 cl. 2(a))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2022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2022/111</w:t>
            </w:r>
            <w:r>
              <w:br/>
              <w:t>30 Jun 2022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2022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2023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2023/120 2 Aug 2023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t>3 Aug 2023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Attorney General Regulations Amendment (Fees and Charges) Regulations 2024</w:t>
            </w:r>
            <w:r>
              <w:t xml:space="preserve"> Pt. 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2024/113 26 Jun 2024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2024 (see. r 2(b))</w:t>
            </w:r>
          </w:p>
        </w:tc>
      </w:tr>
    </w:tbl>
    <w:p>
      <w:pPr>
        <w:pStyle w:val="nHeading3"/>
      </w:pPr>
      <w:bookmarkStart w:id="23" w:name="_Toc169880313"/>
      <w:r>
        <w:t>Other notes</w:t>
      </w:r>
      <w:bookmarkEnd w:id="23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63565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B392086" w14:textId="30E4E9CD" w:rsidR="00366B33" w:rsidRDefault="00C51A5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2529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A17172" w14:textId="77777777" w:rsidR="00366B33" w:rsidRDefault="00C51A5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8A082A" w14:textId="7F4FD8FB" w:rsidR="00366B33" w:rsidRDefault="00C51A5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2529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6826B9" w14:textId="77777777" w:rsidR="00366B33" w:rsidRDefault="00C51A5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ix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21130656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  <w:docVar w:name="WAFER_202206271603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60322_GUID" w:val="b1ba9a77-d8dc-4ac8-85a1-e79bf7e539dd"/>
    <w:docVar w:name="WAFER_202308011615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801161501_GUID" w:val="5371cecf-63f8-42f3-ae9d-df5dc6bb64eb"/>
    <w:docVar w:name="WAFER_202312271611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7161117_GUID" w:val="19b9a495-3364-4814-a09a-c777c343caff"/>
    <w:docVar w:name="WAFER_202406211306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1130656_GUID" w:val="bc95913a-3ff0-4489-8558-475fcfdd0e4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39DB7E-61C3-48AA-8567-49A1865B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1750</Words>
  <Characters>8366</Characters>
  <Application>Microsoft Office Word</Application>
  <DocSecurity>0</DocSecurity>
  <Lines>492</Lines>
  <Paragraphs>389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1996 - 02-f0-00</dc:title>
  <dc:subject/>
  <dc:creator/>
  <cp:keywords/>
  <dc:description/>
  <cp:lastModifiedBy>Master Repository Process</cp:lastModifiedBy>
  <cp:revision>4</cp:revision>
  <cp:lastPrinted>2013-04-15T00:30:00Z</cp:lastPrinted>
  <dcterms:created xsi:type="dcterms:W3CDTF">2025-05-28T05:42:00Z</dcterms:created>
  <dcterms:modified xsi:type="dcterms:W3CDTF">2025-05-28T05:42:00Z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CommencementDate">
    <vt:lpwstr>20240701</vt:lpwstr>
  </property>
  <property fmtid="{D5CDD505-2E9C-101B-9397-08002B2CF9AE}" pid="8" name="CommencementAsAt">
    <vt:filetime>2024-06-30T16:00:00Z</vt:filetime>
  </property>
  <property fmtid="{D5CDD505-2E9C-101B-9397-08002B2CF9AE}" pid="9" name="CommencementYear">
    <vt:lpwstr>2024</vt:lpwstr>
  </property>
  <property fmtid="{D5CDD505-2E9C-101B-9397-08002B2CF9AE}" pid="10" name="AsAtDate">
    <vt:lpwstr>01 Jul 2024</vt:lpwstr>
  </property>
  <property fmtid="{D5CDD505-2E9C-101B-9397-08002B2CF9AE}" pid="11" name="Suffix">
    <vt:lpwstr>02-f0-00</vt:lpwstr>
  </property>
  <property fmtid="{D5CDD505-2E9C-101B-9397-08002B2CF9AE}" pid="12" name="Official">
    <vt:lpwstr/>
  </property>
</Properties>
</file>