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_Toc170124871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_Toc170124872 \h </w:instrText>
      </w:r>
      <w:r>
        <w:fldChar w:fldCharType="separate"/>
      </w:r>
      <w:r>
        <w:t>1</w:t>
      </w:r>
      <w:r>
        <w:fldChar w:fldCharType="end"/>
      </w:r>
    </w:p>
    <w:p>
      <w:pPr>
        <w:pStyle w:val="TOC8"/>
        <w:rPr>
          <w:rFonts w:asciiTheme="minorHAnsi" w:eastAsiaTheme="minorEastAsia" w:hAnsiTheme="minorHAnsi" w:cstheme="minorBidi"/>
          <w:szCs w:val="22"/>
        </w:rPr>
      </w:pPr>
      <w:r>
        <w:t>2A.</w:t>
      </w:r>
      <w:r>
        <w:tab/>
        <w:t>Listed entity demergers and hybrid demergers</w:t>
      </w:r>
      <w:r>
        <w:tab/>
      </w:r>
      <w:r>
        <w:fldChar w:fldCharType="begin"/>
      </w:r>
      <w:r>
        <w:instrText xml:space="preserve"> PAGEREF _Toc170124873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_Toc170124874 \h </w:instrText>
      </w:r>
      <w:r>
        <w:fldChar w:fldCharType="separate"/>
      </w:r>
      <w:r>
        <w:t>3</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_Toc170124875 \h </w:instrText>
      </w:r>
      <w:r>
        <w:fldChar w:fldCharType="separate"/>
      </w:r>
      <w:r>
        <w:t>3</w:t>
      </w:r>
      <w:r>
        <w:fldChar w:fldCharType="end"/>
      </w:r>
    </w:p>
    <w:p>
      <w:pPr>
        <w:pStyle w:val="TOC8"/>
        <w:rPr>
          <w:rFonts w:asciiTheme="minorHAnsi" w:eastAsiaTheme="minorEastAsia" w:hAnsiTheme="minorHAnsi" w:cstheme="minorBidi"/>
          <w:szCs w:val="22"/>
        </w:rPr>
      </w:pPr>
      <w:r>
        <w:t>4A.</w:t>
      </w:r>
      <w:r>
        <w:tab/>
        <w:t>Special dutiable property prescribed (Act s. 18(h))</w:t>
      </w:r>
      <w:r>
        <w:tab/>
      </w:r>
      <w:r>
        <w:fldChar w:fldCharType="begin"/>
      </w:r>
      <w:r>
        <w:instrText xml:space="preserve"> PAGEREF _Toc170124876 \h </w:instrText>
      </w:r>
      <w:r>
        <w:fldChar w:fldCharType="separate"/>
      </w:r>
      <w:r>
        <w:t>6</w:t>
      </w:r>
      <w:r>
        <w:fldChar w:fldCharType="end"/>
      </w:r>
    </w:p>
    <w:p>
      <w:pPr>
        <w:pStyle w:val="TOC8"/>
        <w:rPr>
          <w:rFonts w:asciiTheme="minorHAnsi" w:eastAsiaTheme="minorEastAsia" w:hAnsiTheme="minorHAnsi" w:cstheme="minorBidi"/>
          <w:szCs w:val="22"/>
        </w:rPr>
      </w:pPr>
      <w:r>
        <w:t>4AAA.</w:t>
      </w:r>
      <w:r>
        <w:tab/>
        <w:t>Excluded classes of right (Act s. 91A(4))</w:t>
      </w:r>
      <w:r>
        <w:tab/>
      </w:r>
      <w:r>
        <w:fldChar w:fldCharType="begin"/>
      </w:r>
      <w:r>
        <w:instrText xml:space="preserve"> PAGEREF _Toc170124877 \h </w:instrText>
      </w:r>
      <w:r>
        <w:fldChar w:fldCharType="separate"/>
      </w:r>
      <w:r>
        <w:t>7</w:t>
      </w:r>
      <w:r>
        <w:fldChar w:fldCharType="end"/>
      </w:r>
    </w:p>
    <w:p>
      <w:pPr>
        <w:pStyle w:val="TOC8"/>
        <w:rPr>
          <w:rFonts w:asciiTheme="minorHAnsi" w:eastAsiaTheme="minorEastAsia" w:hAnsiTheme="minorHAnsi" w:cstheme="minorBidi"/>
          <w:szCs w:val="22"/>
        </w:rPr>
      </w:pPr>
      <w:r>
        <w:t>4AA.</w:t>
      </w:r>
      <w:r>
        <w:tab/>
        <w:t>Primary production prescribed (Act s. 101A(1)(e))</w:t>
      </w:r>
      <w:r>
        <w:tab/>
      </w:r>
      <w:r>
        <w:fldChar w:fldCharType="begin"/>
      </w:r>
      <w:r>
        <w:instrText xml:space="preserve"> PAGEREF _Toc170124878 \h </w:instrText>
      </w:r>
      <w:r>
        <w:fldChar w:fldCharType="separate"/>
      </w:r>
      <w:r>
        <w:t>8</w:t>
      </w:r>
      <w:r>
        <w:fldChar w:fldCharType="end"/>
      </w:r>
    </w:p>
    <w:p>
      <w:pPr>
        <w:pStyle w:val="TOC8"/>
        <w:rPr>
          <w:rFonts w:asciiTheme="minorHAnsi" w:eastAsiaTheme="minorEastAsia" w:hAnsiTheme="minorHAnsi" w:cstheme="minorBidi"/>
          <w:szCs w:val="22"/>
        </w:rPr>
      </w:pPr>
      <w:r>
        <w:t>4B.</w:t>
      </w:r>
      <w:r>
        <w:tab/>
        <w:t>Dutiable transactions on which nominal duty is chargeable prescribed (Act s. 140)</w:t>
      </w:r>
      <w:r>
        <w:tab/>
      </w:r>
      <w:r>
        <w:fldChar w:fldCharType="begin"/>
      </w:r>
      <w:r>
        <w:instrText xml:space="preserve"> PAGEREF _Toc170124879 \h </w:instrText>
      </w:r>
      <w:r>
        <w:fldChar w:fldCharType="separate"/>
      </w:r>
      <w:r>
        <w:t>8</w:t>
      </w:r>
      <w:r>
        <w:fldChar w:fldCharType="end"/>
      </w:r>
    </w:p>
    <w:p>
      <w:pPr>
        <w:pStyle w:val="TOC8"/>
        <w:rPr>
          <w:rFonts w:asciiTheme="minorHAnsi" w:eastAsiaTheme="minorEastAsia" w:hAnsiTheme="minorHAnsi" w:cstheme="minorBidi"/>
          <w:szCs w:val="22"/>
        </w:rPr>
      </w:pPr>
      <w:r>
        <w:t>4C.</w:t>
      </w:r>
      <w:r>
        <w:tab/>
        <w:t>Subdivisions of land excluded from s. 120A and 120B prescribed (Act s. 120D(b))</w:t>
      </w:r>
      <w:r>
        <w:tab/>
      </w:r>
      <w:r>
        <w:fldChar w:fldCharType="begin"/>
      </w:r>
      <w:r>
        <w:instrText xml:space="preserve"> PAGEREF _Toc170124880 \h </w:instrText>
      </w:r>
      <w:r>
        <w:fldChar w:fldCharType="separate"/>
      </w:r>
      <w:r>
        <w:t>9</w:t>
      </w:r>
      <w:r>
        <w:fldChar w:fldCharType="end"/>
      </w:r>
    </w:p>
    <w:p>
      <w:pPr>
        <w:pStyle w:val="TOC8"/>
        <w:rPr>
          <w:rFonts w:asciiTheme="minorHAnsi" w:eastAsiaTheme="minorEastAsia" w:hAnsiTheme="minorHAnsi" w:cstheme="minorBidi"/>
          <w:szCs w:val="22"/>
        </w:rPr>
      </w:pPr>
      <w:r>
        <w:t>5.</w:t>
      </w:r>
      <w:r>
        <w:tab/>
        <w:t>Circumstances in which persons acquiring interests under 1 arrangement or in concert are not related persons prescribed (Act s. 162(1A)(b))</w:t>
      </w:r>
      <w:r>
        <w:tab/>
      </w:r>
      <w:r>
        <w:fldChar w:fldCharType="begin"/>
      </w:r>
      <w:r>
        <w:instrText xml:space="preserve"> PAGEREF _Toc170124881 \h </w:instrText>
      </w:r>
      <w:r>
        <w:fldChar w:fldCharType="separate"/>
      </w:r>
      <w:r>
        <w:t>9</w:t>
      </w:r>
      <w:r>
        <w:fldChar w:fldCharType="end"/>
      </w:r>
    </w:p>
    <w:p>
      <w:pPr>
        <w:pStyle w:val="TOC8"/>
        <w:rPr>
          <w:rFonts w:asciiTheme="minorHAnsi" w:eastAsiaTheme="minorEastAsia" w:hAnsiTheme="minorHAnsi" w:cstheme="minorBidi"/>
          <w:szCs w:val="22"/>
        </w:rPr>
      </w:pPr>
      <w:r>
        <w:t>5A.</w:t>
      </w:r>
      <w:r>
        <w:tab/>
        <w:t>Insurance for liability to pay damages in respect of compensable injury prescribed (Act s. 209(2)(j))</w:t>
      </w:r>
      <w:r>
        <w:tab/>
      </w:r>
      <w:r>
        <w:fldChar w:fldCharType="begin"/>
      </w:r>
      <w:r>
        <w:instrText xml:space="preserve"> PAGEREF _Toc170124882 \h </w:instrText>
      </w:r>
      <w:r>
        <w:fldChar w:fldCharType="separate"/>
      </w:r>
      <w:r>
        <w:t>10</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_Toc170124883 \h </w:instrText>
      </w:r>
      <w:r>
        <w:fldChar w:fldCharType="separate"/>
      </w:r>
      <w:r>
        <w:t>10</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_Toc170124884 \h </w:instrText>
      </w:r>
      <w:r>
        <w:fldChar w:fldCharType="separate"/>
      </w:r>
      <w:r>
        <w:t>11</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_Toc170124885 \h </w:instrText>
      </w:r>
      <w:r>
        <w:fldChar w:fldCharType="separate"/>
      </w:r>
      <w:r>
        <w:t>13</w:t>
      </w:r>
      <w:r>
        <w:fldChar w:fldCharType="end"/>
      </w:r>
    </w:p>
    <w:p>
      <w:pPr>
        <w:pStyle w:val="TOC8"/>
        <w:rPr>
          <w:rFonts w:asciiTheme="minorHAnsi" w:eastAsiaTheme="minorEastAsia" w:hAnsiTheme="minorHAnsi" w:cstheme="minorBidi"/>
          <w:szCs w:val="22"/>
        </w:rPr>
      </w:pPr>
      <w:r>
        <w:t>8A.</w:t>
      </w:r>
      <w:r>
        <w:tab/>
        <w:t>Events that do not result in automatic revocation of exemption for relevant reconstruction transaction prescribed (Act s. 264A(3)(b))</w:t>
      </w:r>
      <w:r>
        <w:tab/>
      </w:r>
      <w:r>
        <w:fldChar w:fldCharType="begin"/>
      </w:r>
      <w:r>
        <w:instrText xml:space="preserve"> PAGEREF _Toc170124886 \h </w:instrText>
      </w:r>
      <w:r>
        <w:fldChar w:fldCharType="separate"/>
      </w:r>
      <w:r>
        <w:t>14</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_Toc170124887 \h </w:instrText>
      </w:r>
      <w:r>
        <w:fldChar w:fldCharType="separate"/>
      </w:r>
      <w:r>
        <w:t>14</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_Toc170124888 \h </w:instrText>
      </w:r>
      <w:r>
        <w:fldChar w:fldCharType="separate"/>
      </w:r>
      <w:r>
        <w:t>15</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_Toc170124889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_Toc170124891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_Toc170124892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Duties Act 2008</w:t>
      </w:r>
    </w:p>
    <w:p>
      <w:pPr>
        <w:pStyle w:val="NameofActReg"/>
      </w:pPr>
      <w:r>
        <w:t>Duties Regulations 2008</w:t>
      </w:r>
    </w:p>
    <w:p>
      <w:pPr>
        <w:pStyle w:val="Heading5"/>
      </w:pPr>
      <w:bookmarkStart w:id="2" w:name="_Toc17012487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4" w:name="_Toc17012487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 w:name="_Toc170124873"/>
      <w:r>
        <w:rPr>
          <w:rStyle w:val="CharSectno"/>
        </w:rPr>
        <w:t>2A</w:t>
      </w:r>
      <w:r>
        <w:t>.</w:t>
      </w:r>
      <w:r>
        <w:tab/>
        <w:t>Listed entity demergers and hybrid demergers</w:t>
      </w:r>
      <w:bookmarkEnd w:id="5"/>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lastRenderedPageBreak/>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6" w:name="_Toc170124874"/>
      <w:r>
        <w:rPr>
          <w:rStyle w:val="CharSectno"/>
        </w:rPr>
        <w:t>3</w:t>
      </w:r>
      <w:r>
        <w:t>.</w:t>
      </w:r>
      <w:r>
        <w:tab/>
        <w:t>Financial markets prescribed (Act s. 3)</w:t>
      </w:r>
      <w:bookmarkEnd w:id="6"/>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7" w:name="_Toc170124875"/>
      <w:r>
        <w:rPr>
          <w:rStyle w:val="CharSectno"/>
        </w:rPr>
        <w:t>4</w:t>
      </w:r>
      <w:r>
        <w:t>.</w:t>
      </w:r>
      <w:r>
        <w:tab/>
        <w:t>Excluded transactions prescribed (Act s. 11(2))</w:t>
      </w:r>
      <w:bookmarkEnd w:id="7"/>
    </w:p>
    <w:p>
      <w:pPr>
        <w:pStyle w:val="Subsection"/>
      </w:pPr>
      <w:r>
        <w:tab/>
        <w:t>(1A)</w:t>
      </w:r>
      <w:r>
        <w:tab/>
        <w:t>In this regulation —</w:t>
      </w:r>
    </w:p>
    <w:p>
      <w:pPr>
        <w:pStyle w:val="Defstart"/>
      </w:pPr>
      <w:r>
        <w:tab/>
      </w:r>
      <w:r>
        <w:rPr>
          <w:rStyle w:val="CharDefText"/>
        </w:rPr>
        <w:t>asset</w:t>
      </w:r>
      <w:r>
        <w:rPr>
          <w:rStyle w:val="CharDefText"/>
        </w:rPr>
        <w:noBreakHyphen/>
        <w:t>backed securitisation arrangement</w:t>
      </w:r>
      <w:r>
        <w:t xml:space="preserve"> means a unit trust scheme under which the profits, distributions of capital, or </w:t>
      </w:r>
      <w:r>
        <w:lastRenderedPageBreak/>
        <w:t>income in which beneficiaries participate arise or arises from the acquisition, holding, management or disposal of financial assets;</w:t>
      </w:r>
    </w:p>
    <w:p>
      <w:pPr>
        <w:pStyle w:val="Defstart"/>
      </w:pPr>
      <w:r>
        <w:tab/>
      </w:r>
      <w:r>
        <w:rPr>
          <w:rStyle w:val="CharDefText"/>
        </w:rPr>
        <w:t>financial asset</w:t>
      </w:r>
      <w:r>
        <w:t xml:space="preserve"> means any of the following —</w:t>
      </w:r>
    </w:p>
    <w:p>
      <w:pPr>
        <w:pStyle w:val="Defpara"/>
      </w:pPr>
      <w:r>
        <w:tab/>
        <w:t>(a)</w:t>
      </w:r>
      <w:r>
        <w:tab/>
        <w:t>a loan, including any security for the loan;</w:t>
      </w:r>
    </w:p>
    <w:p>
      <w:pPr>
        <w:pStyle w:val="Defpara"/>
      </w:pPr>
      <w:r>
        <w:tab/>
        <w:t>(b)</w:t>
      </w:r>
      <w:r>
        <w:tab/>
        <w:t>a credit card account;</w:t>
      </w:r>
    </w:p>
    <w:p>
      <w:pPr>
        <w:pStyle w:val="Defpara"/>
      </w:pPr>
      <w:r>
        <w:tab/>
        <w:t>(c)</w:t>
      </w:r>
      <w:r>
        <w:tab/>
        <w:t>a hire</w:t>
      </w:r>
      <w:r>
        <w:noBreakHyphen/>
        <w:t>purchase agreement;</w:t>
      </w:r>
    </w:p>
    <w:p>
      <w:pPr>
        <w:pStyle w:val="Defpara"/>
      </w:pPr>
      <w:r>
        <w:tab/>
        <w:t>(d)</w:t>
      </w:r>
      <w:r>
        <w:tab/>
        <w:t>a chattel lease, whether finance or operating;</w:t>
      </w:r>
    </w:p>
    <w:p>
      <w:pPr>
        <w:pStyle w:val="Defpara"/>
        <w:rPr>
          <w:rStyle w:val="DraftersNotes"/>
          <w:b w:val="0"/>
          <w:i w:val="0"/>
        </w:rPr>
      </w:pPr>
      <w:r>
        <w:tab/>
        <w:t>(e)</w:t>
      </w:r>
      <w:r>
        <w:tab/>
        <w:t>any rights of a lender or bailor that are —</w:t>
      </w:r>
    </w:p>
    <w:p>
      <w:pPr>
        <w:pStyle w:val="Defsubpara"/>
        <w:rPr>
          <w:rStyle w:val="DraftersNotes"/>
          <w:b w:val="0"/>
          <w:i w:val="0"/>
        </w:rPr>
      </w:pPr>
      <w:r>
        <w:tab/>
        <w:t>(i)</w:t>
      </w:r>
      <w:r>
        <w:tab/>
        <w:t>usually conferred in relation to a financial asset referred to in paragraphs (a) to (d); or</w:t>
      </w:r>
    </w:p>
    <w:p>
      <w:pPr>
        <w:pStyle w:val="Defsubpara"/>
      </w:pPr>
      <w:r>
        <w:tab/>
        <w:t>(ii)</w:t>
      </w:r>
      <w:r>
        <w:tab/>
        <w:t>incidental to a financial asset referred to in paragraphs (a) to (d);</w:t>
      </w:r>
    </w:p>
    <w:p>
      <w:pPr>
        <w:pStyle w:val="Defstart"/>
      </w:pPr>
      <w:r>
        <w:tab/>
      </w:r>
      <w:r>
        <w:rPr>
          <w:rStyle w:val="CharDefText"/>
        </w:rPr>
        <w:t>fixed infrastructure</w:t>
      </w:r>
      <w:r>
        <w:t xml:space="preserve"> has the meaning given in section 91A(1) of the Act;</w:t>
      </w:r>
    </w:p>
    <w:p>
      <w:pPr>
        <w:pStyle w:val="Defstart"/>
      </w:pPr>
      <w:r>
        <w:tab/>
      </w:r>
      <w:r>
        <w:rPr>
          <w:rStyle w:val="CharDefText"/>
        </w:rPr>
        <w:t>fixed to land financial asset</w:t>
      </w:r>
      <w:r>
        <w:t xml:space="preserve"> means dutiable property that is both —</w:t>
      </w:r>
    </w:p>
    <w:p>
      <w:pPr>
        <w:pStyle w:val="Defpara"/>
      </w:pPr>
      <w:r>
        <w:tab/>
        <w:t>(a)</w:t>
      </w:r>
      <w:r>
        <w:tab/>
        <w:t>an estate or interest in fixed infrastructure; and</w:t>
      </w:r>
    </w:p>
    <w:p>
      <w:pPr>
        <w:pStyle w:val="Defpara"/>
      </w:pPr>
      <w:r>
        <w:tab/>
        <w:t>(b)</w:t>
      </w:r>
      <w:r>
        <w:tab/>
        <w:t>a financial asset.</w:t>
      </w:r>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lastRenderedPageBreak/>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Indenta"/>
      </w:pPr>
      <w:r>
        <w:tab/>
        <w:t>(h)</w:t>
      </w:r>
      <w:r>
        <w:tab/>
        <w:t>a declaration of trust over dutiable property if —</w:t>
      </w:r>
    </w:p>
    <w:p>
      <w:pPr>
        <w:pStyle w:val="Indenti"/>
      </w:pPr>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p>
    <w:p>
      <w:pPr>
        <w:pStyle w:val="Indenti"/>
      </w:pPr>
      <w:r>
        <w:tab/>
        <w:t>(ii)</w:t>
      </w:r>
      <w:r>
        <w:tab/>
        <w:t>the declaration of trust is for the purposes of creating an asset</w:t>
      </w:r>
      <w:r>
        <w:noBreakHyphen/>
        <w:t>backed securitisation arrangement;</w:t>
      </w:r>
    </w:p>
    <w:p>
      <w:pPr>
        <w:pStyle w:val="Indenta"/>
      </w:pPr>
      <w:r>
        <w:tab/>
        <w:t>(i)</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lastRenderedPageBreak/>
        <w:tab/>
        <w:t>(ii)</w:t>
      </w:r>
      <w:r>
        <w:tab/>
        <w:t>the transfer, or agreement, directly relates to the creation or winding up of an asset</w:t>
      </w:r>
      <w:r>
        <w:noBreakHyphen/>
        <w:t xml:space="preserve">backed securitisation arrangement; </w:t>
      </w:r>
    </w:p>
    <w:p>
      <w:pPr>
        <w:pStyle w:val="Indenta"/>
      </w:pPr>
      <w:r>
        <w:tab/>
        <w:t>(j)</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is to, or the agreement is for the transfer to, an asset</w:t>
      </w:r>
      <w:r>
        <w:noBreakHyphen/>
        <w:t>backed securitisation arrangement.</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keepNext/>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pPr>
      <w:r>
        <w:tab/>
        <w:t>(5)</w:t>
      </w:r>
      <w:r>
        <w:tab/>
        <w:t>Subregulation (1)(h), (i) and (j) apply to a transaction that occurs on or after 13 June 2019.</w:t>
      </w:r>
    </w:p>
    <w:p>
      <w:pPr>
        <w:pStyle w:val="Footnotesection"/>
        <w:spacing w:before="100"/>
        <w:ind w:left="890" w:hanging="890"/>
      </w:pPr>
      <w:r>
        <w:tab/>
        <w:t>[Regulation 4 inserted: Gazette 20 Sep 2013 p. 4363</w:t>
      </w:r>
      <w:r>
        <w:noBreakHyphen/>
        <w:t>4; amended: Gazette 24 May 2016 p. 1536; SL 2023/12 r. 4.]</w:t>
      </w:r>
    </w:p>
    <w:p>
      <w:pPr>
        <w:pStyle w:val="Heading5"/>
      </w:pPr>
      <w:bookmarkStart w:id="8" w:name="_Toc170124876"/>
      <w:r>
        <w:rPr>
          <w:rStyle w:val="CharSectno"/>
        </w:rPr>
        <w:t>4A</w:t>
      </w:r>
      <w:r>
        <w:t>.</w:t>
      </w:r>
      <w:r>
        <w:tab/>
        <w:t>Special dutiable property prescribed (Act s. 18(h))</w:t>
      </w:r>
      <w:bookmarkEnd w:id="8"/>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lastRenderedPageBreak/>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9" w:name="_Toc170124877"/>
      <w:r>
        <w:rPr>
          <w:rStyle w:val="CharSectno"/>
        </w:rPr>
        <w:t>4AAA</w:t>
      </w:r>
      <w:r>
        <w:t>.</w:t>
      </w:r>
      <w:r>
        <w:tab/>
        <w:t>Excluded classes of right (Act s. 91A(4))</w:t>
      </w:r>
      <w:bookmarkEnd w:id="9"/>
    </w:p>
    <w:p>
      <w:pPr>
        <w:pStyle w:val="Subsection"/>
      </w:pPr>
      <w:r>
        <w:tab/>
        <w:t>(1)</w:t>
      </w:r>
      <w:r>
        <w:tab/>
        <w:t>In this regulation —</w:t>
      </w:r>
    </w:p>
    <w:p>
      <w:pPr>
        <w:pStyle w:val="Defstart"/>
      </w:pPr>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p>
    <w:p>
      <w:pPr>
        <w:pStyle w:val="Subsection"/>
      </w:pPr>
      <w:r>
        <w:tab/>
        <w:t>(2)</w:t>
      </w:r>
      <w:r>
        <w:tab/>
        <w:t xml:space="preserve">A right under a retirement village licence is, despite section 91A(1) of the Act, excluded from the definitions of </w:t>
      </w:r>
      <w:r>
        <w:rPr>
          <w:b/>
          <w:i/>
        </w:rPr>
        <w:t>fixed infrastructure access right</w:t>
      </w:r>
      <w:r>
        <w:t xml:space="preserve"> and </w:t>
      </w:r>
      <w:r>
        <w:rPr>
          <w:b/>
          <w:i/>
        </w:rPr>
        <w:t>fixed infrastructure control right</w:t>
      </w:r>
      <w:r>
        <w:t xml:space="preserve"> in that section.</w:t>
      </w:r>
    </w:p>
    <w:p>
      <w:pPr>
        <w:pStyle w:val="Subsection"/>
      </w:pPr>
      <w:r>
        <w:tab/>
        <w:t>(3)</w:t>
      </w:r>
      <w:r>
        <w:tab/>
        <w:t>Subregulation (2) applies to a transaction that occurs on or after 13 June 2019.</w:t>
      </w:r>
    </w:p>
    <w:p>
      <w:pPr>
        <w:pStyle w:val="Footnotesection"/>
      </w:pPr>
      <w:r>
        <w:tab/>
        <w:t>[Regulation 4AAA inserted: SL 2023/12 r. 5.]</w:t>
      </w:r>
    </w:p>
    <w:p>
      <w:pPr>
        <w:pStyle w:val="Heading5"/>
      </w:pPr>
      <w:bookmarkStart w:id="10" w:name="_Toc170124878"/>
      <w:r>
        <w:rPr>
          <w:rStyle w:val="CharSectno"/>
        </w:rPr>
        <w:lastRenderedPageBreak/>
        <w:t>4AA</w:t>
      </w:r>
      <w:r>
        <w:t>.</w:t>
      </w:r>
      <w:r>
        <w:tab/>
        <w:t>Primary production prescribed (Act s. 101A(1)(e))</w:t>
      </w:r>
      <w:bookmarkEnd w:id="10"/>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11" w:name="_Toc170124879"/>
      <w:r>
        <w:rPr>
          <w:rStyle w:val="CharSectno"/>
        </w:rPr>
        <w:t>4B</w:t>
      </w:r>
      <w:r>
        <w:t>.</w:t>
      </w:r>
      <w:r>
        <w:tab/>
        <w:t>Dutiable transactions on which nominal duty is chargeable prescribed (Act s. 140)</w:t>
      </w:r>
      <w:bookmarkEnd w:id="1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 xml:space="preserve">old profit à </w:t>
      </w:r>
      <w:r>
        <w:rPr>
          <w:rStyle w:val="CharDefText"/>
        </w:rPr>
        <w:lastRenderedPageBreak/>
        <w:t>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12" w:name="_Toc170124880"/>
      <w:r>
        <w:rPr>
          <w:rStyle w:val="CharSectno"/>
        </w:rPr>
        <w:t>4C</w:t>
      </w:r>
      <w:r>
        <w:t>.</w:t>
      </w:r>
      <w:r>
        <w:tab/>
        <w:t>Subdivisions of land excluded from s. 120A and 120B prescribed (Act s. 120D(b))</w:t>
      </w:r>
      <w:bookmarkEnd w:id="12"/>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13" w:name="_Toc170124881"/>
      <w:r>
        <w:rPr>
          <w:rStyle w:val="CharSectno"/>
        </w:rPr>
        <w:t>5</w:t>
      </w:r>
      <w:r>
        <w:t>.</w:t>
      </w:r>
      <w:r>
        <w:tab/>
        <w:t>Circumstances in which persons acquiring interests under 1 arrangement or in concert are not related persons prescribed (Act s. 162(1A)(b))</w:t>
      </w:r>
      <w:bookmarkEnd w:id="13"/>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lastRenderedPageBreak/>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14" w:name="_Toc170124882"/>
      <w:r>
        <w:rPr>
          <w:rStyle w:val="CharSectno"/>
        </w:rPr>
        <w:t>5A</w:t>
      </w:r>
      <w:r>
        <w:t>.</w:t>
      </w:r>
      <w:r>
        <w:tab/>
        <w:t>Insurance for liability to pay damages in respect of compensable injury prescribed (Act s. 209(2)(j))</w:t>
      </w:r>
      <w:bookmarkEnd w:id="14"/>
    </w:p>
    <w:p>
      <w:pPr>
        <w:pStyle w:val="Subsection"/>
      </w:pPr>
      <w:r>
        <w:tab/>
        <w:t>(1)</w:t>
      </w:r>
      <w:r>
        <w:tab/>
        <w:t xml:space="preserve">For the purposes of section 209(2)(j) of the Act, insurance required to be obtained and kept under the </w:t>
      </w:r>
      <w:r>
        <w:rPr>
          <w:i/>
          <w:iCs/>
        </w:rPr>
        <w:t>Workers Compensation and Injury Management Act 2023</w:t>
      </w:r>
      <w:r>
        <w:t xml:space="preserve"> section 202(2) that insures an employer for a liability referred to in paragraph (b) of the definition of </w:t>
      </w:r>
      <w:r>
        <w:rPr>
          <w:b/>
          <w:bCs/>
          <w:i/>
          <w:iCs/>
        </w:rPr>
        <w:t>workers compensation policy</w:t>
      </w:r>
      <w:r>
        <w:t xml:space="preserve"> in section 202(1) of that Act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 amended: SL 2024/134 r. 4.]</w:t>
      </w:r>
    </w:p>
    <w:p>
      <w:pPr>
        <w:pStyle w:val="Heading5"/>
      </w:pPr>
      <w:bookmarkStart w:id="15" w:name="_Toc170124883"/>
      <w:r>
        <w:rPr>
          <w:rStyle w:val="CharSectno"/>
        </w:rPr>
        <w:t>6</w:t>
      </w:r>
      <w:r>
        <w:t>.</w:t>
      </w:r>
      <w:r>
        <w:tab/>
        <w:t>Classes of new vehicles prescribed (Act s. 237(1)(b))</w:t>
      </w:r>
      <w:bookmarkEnd w:id="15"/>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lastRenderedPageBreak/>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6" w:name="_Toc170124884"/>
      <w:r>
        <w:rPr>
          <w:rStyle w:val="CharSectno"/>
        </w:rPr>
        <w:t>7</w:t>
      </w:r>
      <w:r>
        <w:t>.</w:t>
      </w:r>
      <w:r>
        <w:tab/>
        <w:t>Classes of vehicles, persons and purposes prescribed (Act s. 244)</w:t>
      </w:r>
      <w:bookmarkEnd w:id="16"/>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lastRenderedPageBreak/>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lastRenderedPageBreak/>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17" w:name="_Toc170124885"/>
      <w:r>
        <w:rPr>
          <w:rStyle w:val="CharSectno"/>
        </w:rPr>
        <w:t>8</w:t>
      </w:r>
      <w:r>
        <w:t>.</w:t>
      </w:r>
      <w:r>
        <w:tab/>
        <w:t>Records prescribed (Act s. 256(a))</w:t>
      </w:r>
      <w:bookmarkEnd w:id="17"/>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 xml:space="preserve">if the vehicle is loaned to an individual for a philanthropic purpose — a copy of the </w:t>
      </w:r>
      <w:r>
        <w:lastRenderedPageBreak/>
        <w:t>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8" w:name="_Toc170124886"/>
      <w:r>
        <w:rPr>
          <w:rStyle w:val="CharSectno"/>
        </w:rPr>
        <w:t>8A</w:t>
      </w:r>
      <w:r>
        <w:t>.</w:t>
      </w:r>
      <w:r>
        <w:tab/>
        <w:t>Events that do not result in automatic revocation of exemption for relevant reconstruction transaction prescribed (Act s. 264A(3)(b))</w:t>
      </w:r>
      <w:bookmarkEnd w:id="18"/>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19" w:name="_Toc170124887"/>
      <w:r>
        <w:rPr>
          <w:rStyle w:val="CharSectno"/>
        </w:rPr>
        <w:t>9A</w:t>
      </w:r>
      <w:r>
        <w:t>.</w:t>
      </w:r>
      <w:r>
        <w:tab/>
        <w:t>Records to be kept (Act s. 285(2))</w:t>
      </w:r>
      <w:bookmarkEnd w:id="19"/>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20" w:name="_Toc170124888"/>
      <w:r>
        <w:rPr>
          <w:rStyle w:val="CharSectno"/>
        </w:rPr>
        <w:lastRenderedPageBreak/>
        <w:t>9</w:t>
      </w:r>
      <w:r>
        <w:t>.</w:t>
      </w:r>
      <w:r>
        <w:tab/>
        <w:t>Act Sch. 3 cl. 13(1) varied (Act Sch. 3 cl. 27(1)(b))</w:t>
      </w:r>
      <w:bookmarkEnd w:id="20"/>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1" w:name="_Toc170124889"/>
      <w:r>
        <w:rPr>
          <w:rStyle w:val="CharSectno"/>
        </w:rPr>
        <w:t>10</w:t>
      </w:r>
      <w:r>
        <w:t>.</w:t>
      </w:r>
      <w:r>
        <w:tab/>
        <w:t>Consideration for the grant of a lease, ascertaining</w:t>
      </w:r>
      <w:bookmarkEnd w:id="21"/>
    </w:p>
    <w:p>
      <w:pPr>
        <w:pStyle w:val="Subsection"/>
      </w:pPr>
      <w:r>
        <w:tab/>
        <w:t>(1)</w:t>
      </w:r>
      <w:r>
        <w:tab/>
        <w:t xml:space="preserve">In ascertaining the amount of consideration for a dutiable transaction that is the grant of a lease, the value of any </w:t>
      </w:r>
      <w:r>
        <w:lastRenderedPageBreak/>
        <w:t>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70112234"/>
      <w:bookmarkStart w:id="23" w:name="_Toc170112860"/>
      <w:bookmarkStart w:id="24" w:name="_Toc170124890"/>
      <w:r>
        <w:lastRenderedPageBreak/>
        <w:t>Notes</w:t>
      </w:r>
      <w:bookmarkEnd w:id="22"/>
      <w:bookmarkEnd w:id="23"/>
      <w:bookmarkEnd w:id="24"/>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25" w:name="_Toc170124891"/>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lastRenderedPageBreak/>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c>
          <w:tcPr>
            <w:tcW w:w="3118" w:type="dxa"/>
            <w:tcBorders>
              <w:top w:val="nil"/>
              <w:bottom w:val="nil"/>
              <w:right w:val="nil"/>
            </w:tcBorders>
          </w:tcPr>
          <w:p>
            <w:pPr>
              <w:pStyle w:val="nTable"/>
              <w:keepNext/>
              <w:spacing w:after="40"/>
              <w:rPr>
                <w:i/>
              </w:rPr>
            </w:pPr>
            <w:r>
              <w:rPr>
                <w:i/>
              </w:rPr>
              <w:t>Duties Amendment Regulations 2023</w:t>
            </w:r>
          </w:p>
        </w:tc>
        <w:tc>
          <w:tcPr>
            <w:tcW w:w="1276" w:type="dxa"/>
            <w:tcBorders>
              <w:top w:val="nil"/>
              <w:left w:val="nil"/>
              <w:bottom w:val="nil"/>
              <w:right w:val="nil"/>
            </w:tcBorders>
          </w:tcPr>
          <w:p>
            <w:pPr>
              <w:pStyle w:val="nTable"/>
              <w:keepNext/>
              <w:spacing w:after="40"/>
            </w:pPr>
            <w:r>
              <w:t>SL 2023/12 24 Feb 2023</w:t>
            </w:r>
          </w:p>
        </w:tc>
        <w:tc>
          <w:tcPr>
            <w:tcW w:w="2693" w:type="dxa"/>
            <w:tcBorders>
              <w:top w:val="nil"/>
              <w:left w:val="nil"/>
              <w:bottom w:val="nil"/>
            </w:tcBorders>
          </w:tcPr>
          <w:p>
            <w:pPr>
              <w:pStyle w:val="nTable"/>
              <w:keepNext/>
              <w:spacing w:after="40"/>
            </w:pPr>
            <w:r>
              <w:t>r. 1 and 2: 24 Feb 2023 (see r. 2(a));</w:t>
            </w:r>
            <w:r>
              <w:br/>
              <w:t>Regulations other than r. 1 and 2: 25 Feb 2023 (see r. 2(b))</w:t>
            </w:r>
          </w:p>
        </w:tc>
      </w:tr>
      <w:tr>
        <w:tc>
          <w:tcPr>
            <w:tcW w:w="3118" w:type="dxa"/>
            <w:tcBorders>
              <w:top w:val="nil"/>
              <w:bottom w:val="single" w:sz="4" w:space="0" w:color="auto"/>
              <w:right w:val="nil"/>
            </w:tcBorders>
          </w:tcPr>
          <w:p>
            <w:pPr>
              <w:pStyle w:val="nTable"/>
              <w:keepNext/>
              <w:spacing w:after="40"/>
              <w:rPr>
                <w:i/>
              </w:rPr>
            </w:pPr>
            <w:r>
              <w:rPr>
                <w:i/>
              </w:rPr>
              <w:t xml:space="preserve">Finance Regulations Amendment (Workers Compensation) Regulations 2024 </w:t>
            </w:r>
            <w:r>
              <w:rPr>
                <w:iCs/>
              </w:rPr>
              <w:t>Pt. 2</w:t>
            </w:r>
          </w:p>
        </w:tc>
        <w:tc>
          <w:tcPr>
            <w:tcW w:w="1276" w:type="dxa"/>
            <w:tcBorders>
              <w:top w:val="nil"/>
              <w:left w:val="nil"/>
              <w:bottom w:val="single" w:sz="4" w:space="0" w:color="auto"/>
              <w:right w:val="nil"/>
            </w:tcBorders>
          </w:tcPr>
          <w:p>
            <w:pPr>
              <w:pStyle w:val="nTable"/>
              <w:keepNext/>
              <w:spacing w:after="40"/>
            </w:pPr>
            <w:r>
              <w:t>SL 2024/134 26 Jun 2024</w:t>
            </w:r>
          </w:p>
        </w:tc>
        <w:tc>
          <w:tcPr>
            <w:tcW w:w="2693" w:type="dxa"/>
            <w:tcBorders>
              <w:top w:val="nil"/>
              <w:left w:val="nil"/>
              <w:bottom w:val="single" w:sz="4" w:space="0" w:color="auto"/>
            </w:tcBorders>
          </w:tcPr>
          <w:p>
            <w:pPr>
              <w:pStyle w:val="nTable"/>
              <w:keepNext/>
              <w:spacing w:after="40"/>
            </w:pPr>
            <w:r>
              <w:t>1 Jul 2024 (see r. 2(b))</w:t>
            </w:r>
          </w:p>
        </w:tc>
      </w:tr>
    </w:tbl>
    <w:p>
      <w:pPr>
        <w:pStyle w:val="nHeading3"/>
      </w:pPr>
      <w:bookmarkStart w:id="26" w:name="_Toc170124892"/>
      <w:r>
        <w:t>Other notes</w:t>
      </w:r>
      <w:bookmarkEnd w:id="2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lastRenderedPageBreak/>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8" w:name="_Toc170112237"/>
      <w:bookmarkStart w:id="29" w:name="_Toc170112863"/>
      <w:bookmarkStart w:id="30" w:name="_Toc170124893"/>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asset-backed securitisation arrangement</w:t>
      </w:r>
      <w:r>
        <w:tab/>
        <w:t>4(1A)</w:t>
      </w:r>
    </w:p>
    <w:p>
      <w:pPr>
        <w:pStyle w:val="DefinedTerms"/>
      </w:pPr>
      <w:r>
        <w:t>demerged entity</w:t>
      </w:r>
      <w:r>
        <w:tab/>
        <w:t>2A(3) and (4)</w:t>
      </w:r>
    </w:p>
    <w:p>
      <w:pPr>
        <w:pStyle w:val="DefinedTerms"/>
      </w:pPr>
      <w:r>
        <w:t>entity</w:t>
      </w:r>
      <w:r>
        <w:tab/>
        <w:t>2A(1)</w:t>
      </w:r>
    </w:p>
    <w:p>
      <w:pPr>
        <w:pStyle w:val="DefinedTerms"/>
      </w:pPr>
      <w:r>
        <w:t>entity A</w:t>
      </w:r>
      <w:r>
        <w:tab/>
        <w:t>2A(2)</w:t>
      </w:r>
    </w:p>
    <w:p>
      <w:pPr>
        <w:pStyle w:val="DefinedTerms"/>
      </w:pPr>
      <w:r>
        <w:t>farming land</w:t>
      </w:r>
      <w:r>
        <w:tab/>
        <w:t>7(1)</w:t>
      </w:r>
    </w:p>
    <w:p>
      <w:pPr>
        <w:pStyle w:val="DefinedTerms"/>
      </w:pPr>
      <w:r>
        <w:t>financial asset</w:t>
      </w:r>
      <w:r>
        <w:tab/>
        <w:t>4(1A)</w:t>
      </w:r>
    </w:p>
    <w:p>
      <w:pPr>
        <w:pStyle w:val="DefinedTerms"/>
      </w:pPr>
      <w:r>
        <w:t>fixed infrastructure</w:t>
      </w:r>
      <w:r>
        <w:tab/>
        <w:t>4(1A)</w:t>
      </w:r>
    </w:p>
    <w:p>
      <w:pPr>
        <w:pStyle w:val="DefinedTerms"/>
      </w:pPr>
      <w:r>
        <w:t>fixed to land financial asset</w:t>
      </w:r>
      <w:r>
        <w:tab/>
        <w:t>4(1A)</w:t>
      </w:r>
    </w:p>
    <w:p>
      <w:pPr>
        <w:pStyle w:val="DefinedTerms"/>
      </w:pPr>
      <w:r>
        <w:t>hybrid demerger</w:t>
      </w:r>
      <w:r>
        <w:tab/>
        <w:t>2(4)</w:t>
      </w:r>
    </w:p>
    <w:p>
      <w:pPr>
        <w:pStyle w:val="DefinedTerms"/>
      </w:pPr>
      <w:r>
        <w:t>listed entity</w:t>
      </w:r>
      <w:r>
        <w:tab/>
        <w:t>2A(1)</w:t>
      </w:r>
    </w:p>
    <w:p>
      <w:pPr>
        <w:pStyle w:val="DefinedTerms"/>
      </w:pPr>
      <w:r>
        <w:t>listed entity demerger</w:t>
      </w:r>
      <w:r>
        <w:tab/>
        <w:t>2A(3)</w:t>
      </w:r>
    </w:p>
    <w:p>
      <w:pPr>
        <w:pStyle w:val="DefinedTerms"/>
      </w:pPr>
      <w:r>
        <w:t>listed entity security holder</w:t>
      </w:r>
      <w:r>
        <w:tab/>
        <w:t>2A(3) and (4)</w:t>
      </w:r>
    </w:p>
    <w:p>
      <w:pPr>
        <w:pStyle w:val="DefinedTerms"/>
      </w:pPr>
      <w:r>
        <w:t>lot</w:t>
      </w:r>
      <w:r>
        <w:tab/>
        <w:t>4B(1)</w:t>
      </w:r>
    </w:p>
    <w:p>
      <w:pPr>
        <w:pStyle w:val="DefinedTerms"/>
      </w:pPr>
      <w:r>
        <w:t>new profit à prendre</w:t>
      </w:r>
      <w:r>
        <w:tab/>
        <w:t>4B(2)</w:t>
      </w:r>
    </w:p>
    <w:p>
      <w:pPr>
        <w:pStyle w:val="DefinedTerms"/>
      </w:pPr>
      <w:r>
        <w:t>old profit à prendre</w:t>
      </w:r>
      <w:r>
        <w:tab/>
        <w:t>4B(2)</w:t>
      </w:r>
    </w:p>
    <w:p>
      <w:pPr>
        <w:pStyle w:val="DefinedTerms"/>
      </w:pPr>
      <w:r>
        <w:t>production-based agistment</w:t>
      </w:r>
      <w:r>
        <w:tab/>
        <w:t>4AA(1)</w:t>
      </w:r>
    </w:p>
    <w:p>
      <w:pPr>
        <w:pStyle w:val="DefinedTerms"/>
      </w:pPr>
      <w:r>
        <w:t>retirement village licence</w:t>
      </w:r>
      <w:r>
        <w:tab/>
        <w:t>4AAA(1)</w:t>
      </w:r>
    </w:p>
    <w:p>
      <w:pPr>
        <w:pStyle w:val="DefinedTerms"/>
      </w:pPr>
      <w:r>
        <w:t>security</w:t>
      </w:r>
      <w:r>
        <w:tab/>
        <w:t>2A(1)</w:t>
      </w:r>
    </w:p>
    <w:p>
      <w:pPr>
        <w:pStyle w:val="DefinedTerms"/>
      </w:pPr>
      <w:r>
        <w:t>timber sharefarming profit à prendre</w:t>
      </w:r>
      <w:r>
        <w:tab/>
        <w:t>4A(1), 4B(1)</w:t>
      </w:r>
    </w:p>
    <w:p>
      <w:pPr>
        <w:pStyle w:val="DefinedTerms"/>
      </w:pPr>
      <w:r>
        <w:t>tractor</w:t>
      </w:r>
      <w:r>
        <w:tab/>
        <w:t>7(1)</w:t>
      </w:r>
    </w:p>
    <w:p>
      <w:pPr>
        <w:pStyle w:val="DefinedTerms"/>
      </w:pPr>
      <w:r>
        <w:t>tractor plant</w:t>
      </w:r>
      <w:r>
        <w:tab/>
        <w:t>7(1)</w:t>
      </w:r>
    </w:p>
    <w:p>
      <w:pPr>
        <w:pStyle w:val="DefinedTerms"/>
      </w:pPr>
      <w:r>
        <w:t>wholly-owned subsidiary</w:t>
      </w:r>
      <w:r>
        <w:tab/>
        <w:t>2A(2)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40738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10B537" w14:textId="3B8E9C8F" w:rsidR="00BE1217" w:rsidRDefault="00BE12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A04EAA8" w14:textId="77777777" w:rsidR="00BE1217" w:rsidRDefault="00BE12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AAE32E" w14:textId="71AB90CC" w:rsidR="00BE1217" w:rsidRDefault="00BE12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BDA45BC" w14:textId="77777777" w:rsidR="00BE1217" w:rsidRDefault="00BE121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020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 w:name="WAFER_2024062409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090206_GUID" w:val="4790cf67-12df-4582-b61f-d3fb2d6963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4729</Words>
  <Characters>23267</Characters>
  <Application>Microsoft Office Word</Application>
  <DocSecurity>0</DocSecurity>
  <Lines>705</Lines>
  <Paragraphs>399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2008 - 01-i0-00</dc:title>
  <dc:subject/>
  <dc:creator/>
  <cp:keywords/>
  <dc:description/>
  <cp:lastModifiedBy>Master Repository Process</cp:lastModifiedBy>
  <cp:revision>4</cp:revision>
  <cp:lastPrinted>2019-10-08T04:53:00Z</cp:lastPrinted>
  <dcterms:created xsi:type="dcterms:W3CDTF">2025-06-16T04:03:00Z</dcterms:created>
  <dcterms:modified xsi:type="dcterms:W3CDTF">2025-06-16T04:03:00Z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01-i0-00</vt:lpwstr>
  </property>
  <property fmtid="{D5CDD505-2E9C-101B-9397-08002B2CF9AE}" pid="12" name="Official">
    <vt:lpwstr/>
  </property>
</Properties>
</file>