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_Toc170291789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_Toc170291790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_Toc170291791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_Toc170291792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_Toc170291793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_Toc170291794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_Toc170291795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_Toc170291796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_Toc170291797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_Toc170291798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_Toc170291799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_Toc170291801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_Toc170291802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 — low/medium voltage tariff)</w:t>
      </w:r>
      <w:r>
        <w:tab/>
      </w:r>
      <w:r>
        <w:fldChar w:fldCharType="begin"/>
      </w:r>
      <w:r>
        <w:instrText xml:space="preserve"> PAGEREF _Toc170291803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 — low/medium voltage tariff)</w:t>
      </w:r>
      <w:r>
        <w:tab/>
      </w:r>
      <w:r>
        <w:fldChar w:fldCharType="begin"/>
      </w:r>
      <w:r>
        <w:instrText xml:space="preserve"> PAGEREF _Toc170291804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_Toc170291805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_Toc170291806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_Toc170291807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_Toc170291808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_Toc170291809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10.</w:t>
      </w:r>
      <w:r>
        <w:tab/>
        <w:t>Tariff K1 (general supply with residential tariff)</w:t>
      </w:r>
      <w:r>
        <w:tab/>
      </w:r>
      <w:r>
        <w:fldChar w:fldCharType="begin"/>
      </w:r>
      <w:r>
        <w:instrText xml:space="preserve"> PAGEREF _Toc170291810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_Toc170291814 \h </w:instrText>
      </w:r>
      <w:r>
        <w:fldChar w:fldCharType="separate"/>
      </w:r>
      <w:r>
        <w:t>13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_Toc170291815 \h </w:instrText>
      </w:r>
      <w:r>
        <w:fldChar w:fldCharType="separate"/>
      </w:r>
      <w:r>
        <w:t>13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_Toc170291816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_Toc170291820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_Toc170291821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2" w:name="_Toc170291789"/>
      <w:r>
        <w:rPr>
          <w:rStyle w:val="CharSectno"/>
        </w:rPr>
        <w:t>1</w:t>
      </w:r>
      <w:r>
        <w:t>.</w:t>
      </w:r>
      <w:r>
        <w:tab/>
        <w:t>Citation</w:t>
      </w:r>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3" w:name="_Toc170291790"/>
      <w:r>
        <w:rPr>
          <w:rStyle w:val="CharSectno"/>
        </w:rPr>
        <w:t>2</w:t>
      </w:r>
      <w:r>
        <w:t>.</w:t>
      </w:r>
      <w:r>
        <w:tab/>
        <w:t>Commencement</w:t>
      </w:r>
      <w:bookmarkEnd w:id="3"/>
    </w:p>
    <w:p>
      <w:pPr>
        <w:pStyle w:val="Subsection"/>
      </w:pPr>
      <w:r>
        <w:tab/>
      </w:r>
      <w:r>
        <w:tab/>
        <w:t>These by</w:t>
      </w:r>
      <w:r>
        <w:noBreakHyphen/>
        <w:t>laws come into operation on 1 April 2006.</w:t>
      </w:r>
    </w:p>
    <w:p>
      <w:pPr>
        <w:pStyle w:val="Heading5"/>
        <w:rPr>
          <w:snapToGrid w:val="0"/>
        </w:rPr>
      </w:pPr>
      <w:bookmarkStart w:id="4" w:name="_Toc170291791"/>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5" w:name="_Toc170291792"/>
      <w:r>
        <w:rPr>
          <w:rStyle w:val="CharSectno"/>
        </w:rPr>
        <w:t>4</w:t>
      </w:r>
      <w:r>
        <w:t>.</w:t>
      </w:r>
      <w:r>
        <w:tab/>
      </w:r>
      <w:r>
        <w:rPr>
          <w:snapToGrid w:val="0"/>
        </w:rPr>
        <w:t>Electricity charges payable by consumers (Sch. 1, Sch. 2)</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6" w:name="_Toc170291793"/>
      <w:r>
        <w:rPr>
          <w:rStyle w:val="CharSectno"/>
        </w:rPr>
        <w:t>5</w:t>
      </w:r>
      <w:r>
        <w:t>.</w:t>
      </w:r>
      <w:r>
        <w:tab/>
        <w:t>Residential tariffs, when applicable</w:t>
      </w:r>
      <w:bookmarkEnd w:id="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 w:name="_Toc170291794"/>
      <w:r>
        <w:rPr>
          <w:rStyle w:val="CharSectno"/>
        </w:rPr>
        <w:t>6</w:t>
      </w:r>
      <w:r>
        <w:t>.</w:t>
      </w:r>
      <w:r>
        <w:tab/>
        <w:t>Subsidiary meters, rental for (Sch. 3)</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8" w:name="_Toc170291795"/>
      <w:r>
        <w:rPr>
          <w:rStyle w:val="CharSectno"/>
        </w:rPr>
        <w:t>7</w:t>
      </w:r>
      <w:r>
        <w:t>.</w:t>
      </w:r>
      <w:r>
        <w:tab/>
        <w:t>Fees (Sch. 4)</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170291796"/>
      <w:r>
        <w:rPr>
          <w:rStyle w:val="CharSectno"/>
        </w:rPr>
        <w:lastRenderedPageBreak/>
        <w:t>8</w:t>
      </w:r>
      <w:r>
        <w:t>.</w:t>
      </w:r>
      <w:r>
        <w:tab/>
        <w:t>When charges payable; interest on unpaid charges</w:t>
      </w:r>
      <w:bookmarkEnd w:id="9"/>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0" w:name="_Toc170291797"/>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1" w:name="_Toc170291798"/>
      <w:r>
        <w:rPr>
          <w:rStyle w:val="CharSectno"/>
        </w:rPr>
        <w:lastRenderedPageBreak/>
        <w:t>11</w:t>
      </w:r>
      <w:r>
        <w:t>.</w:t>
      </w:r>
      <w:r>
        <w:tab/>
        <w:t>Changes to rate of charges, adjustment for</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170291799"/>
      <w:r>
        <w:rPr>
          <w:rStyle w:val="CharSectno"/>
        </w:rPr>
        <w:t>12</w:t>
      </w:r>
      <w:r>
        <w:t>.</w:t>
      </w:r>
      <w:r>
        <w:tab/>
        <w:t>Interest rate prescribed (Act s. 62(16))</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 w:name="_Toc169167888"/>
      <w:bookmarkStart w:id="14" w:name="_Toc169167983"/>
      <w:bookmarkStart w:id="15" w:name="_Toc169168136"/>
      <w:bookmarkStart w:id="16" w:name="_Toc169168509"/>
      <w:bookmarkStart w:id="17" w:name="_Toc169170340"/>
      <w:bookmarkStart w:id="18" w:name="_Toc169170631"/>
      <w:bookmarkStart w:id="19" w:name="_Toc170208318"/>
      <w:bookmarkStart w:id="20" w:name="_Toc170210817"/>
      <w:bookmarkStart w:id="21" w:name="_Toc170291800"/>
      <w:bookmarkStart w:id="22" w:name="_Toc170205802"/>
      <w:bookmarkStart w:id="23" w:name="_Toc170205881"/>
      <w:r>
        <w:rPr>
          <w:rStyle w:val="CharSchNo"/>
        </w:rPr>
        <w:lastRenderedPageBreak/>
        <w:t>Schedule 1</w:t>
      </w:r>
      <w:r>
        <w:t> — </w:t>
      </w:r>
      <w:r>
        <w:rPr>
          <w:rStyle w:val="CharSchText"/>
        </w:rPr>
        <w:t>Supply charges</w:t>
      </w:r>
      <w:bookmarkEnd w:id="13"/>
      <w:bookmarkEnd w:id="14"/>
      <w:bookmarkEnd w:id="15"/>
      <w:bookmarkEnd w:id="16"/>
      <w:bookmarkEnd w:id="17"/>
      <w:bookmarkEnd w:id="18"/>
      <w:bookmarkEnd w:id="19"/>
      <w:bookmarkEnd w:id="20"/>
      <w:bookmarkEnd w:id="21"/>
    </w:p>
    <w:p>
      <w:pPr>
        <w:pStyle w:val="yShoulderClause"/>
      </w:pPr>
      <w:r>
        <w:t>[bl. 3, 4(1) and 10(1)]</w:t>
      </w:r>
    </w:p>
    <w:p>
      <w:pPr>
        <w:pStyle w:val="yFootnoteheading"/>
        <w:spacing w:after="120"/>
      </w:pPr>
      <w:r>
        <w:tab/>
        <w:t>[Heading inserted: SL 2024/102 bl. 4.]</w:t>
      </w:r>
    </w:p>
    <w:p>
      <w:pPr>
        <w:pStyle w:val="yHeading5"/>
      </w:pPr>
      <w:bookmarkStart w:id="24" w:name="_Toc169167889"/>
      <w:bookmarkStart w:id="25" w:name="_Toc169170632"/>
      <w:bookmarkStart w:id="26" w:name="_Toc170291801"/>
      <w:r>
        <w:rPr>
          <w:rStyle w:val="CharSClsNo"/>
        </w:rPr>
        <w:t>1</w:t>
      </w:r>
      <w:r>
        <w:t>.</w:t>
      </w:r>
      <w:r>
        <w:tab/>
        <w:t>Tariff L1 (general supply — low/medium voltage tariff)</w:t>
      </w:r>
      <w:bookmarkEnd w:id="24"/>
      <w:bookmarkEnd w:id="25"/>
      <w:bookmarkEnd w:id="26"/>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$2.0213 per day; and</w:t>
      </w:r>
    </w:p>
    <w:p>
      <w:pPr>
        <w:pStyle w:val="yIndenta"/>
      </w:pPr>
      <w:r>
        <w:tab/>
        <w:t>(b)</w:t>
      </w:r>
      <w:r>
        <w:tab/>
        <w:t xml:space="preserve">a charge for metered consumption at the rate of — </w:t>
      </w:r>
    </w:p>
    <w:p>
      <w:pPr>
        <w:pStyle w:val="yIndenti0"/>
      </w:pPr>
      <w:r>
        <w:tab/>
        <w:t>(i)</w:t>
      </w:r>
      <w:r>
        <w:tab/>
        <w:t>31.4548 cents per unit for the first 1 650 units per day; and</w:t>
      </w:r>
    </w:p>
    <w:p>
      <w:pPr>
        <w:pStyle w:val="yIndenti0"/>
      </w:pPr>
      <w:r>
        <w:tab/>
        <w:t>(ii)</w:t>
      </w:r>
      <w:r>
        <w:tab/>
        <w:t>35.4642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2024/102 bl. 4.]</w:t>
      </w:r>
    </w:p>
    <w:p>
      <w:pPr>
        <w:pStyle w:val="yHeading5"/>
      </w:pPr>
      <w:bookmarkStart w:id="27" w:name="_Toc169167890"/>
      <w:bookmarkStart w:id="28" w:name="_Toc169170633"/>
      <w:bookmarkStart w:id="29" w:name="_Toc170291802"/>
      <w:r>
        <w:rPr>
          <w:rStyle w:val="CharSClsNo"/>
        </w:rPr>
        <w:t>2</w:t>
      </w:r>
      <w:r>
        <w:t>.</w:t>
      </w:r>
      <w:r>
        <w:tab/>
        <w:t>Tariff L3 (general supply — low/medium voltage tariff)</w:t>
      </w:r>
      <w:bookmarkEnd w:id="27"/>
      <w:bookmarkEnd w:id="28"/>
      <w:bookmarkEnd w:id="2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$1.7886 per day; and</w:t>
      </w:r>
    </w:p>
    <w:p>
      <w:pPr>
        <w:pStyle w:val="yIndenta"/>
      </w:pPr>
      <w:r>
        <w:tab/>
        <w:t>(b)</w:t>
      </w:r>
      <w:r>
        <w:tab/>
        <w:t xml:space="preserve">a charge for metered consumption at the rate of — </w:t>
      </w:r>
    </w:p>
    <w:p>
      <w:pPr>
        <w:pStyle w:val="yIndenti0"/>
      </w:pPr>
      <w:r>
        <w:tab/>
        <w:t>(i)</w:t>
      </w:r>
      <w:r>
        <w:tab/>
        <w:t>36.3291</w:t>
      </w:r>
      <w:r>
        <w:rPr>
          <w:szCs w:val="22"/>
        </w:rPr>
        <w:t xml:space="preserve"> </w:t>
      </w:r>
      <w:r>
        <w:t>cents per unit for the first 1 650 units per day; and</w:t>
      </w:r>
    </w:p>
    <w:p>
      <w:pPr>
        <w:pStyle w:val="yIndenti0"/>
      </w:pPr>
      <w:r>
        <w:tab/>
        <w:t>(ii)</w:t>
      </w:r>
      <w:r>
        <w:tab/>
        <w:t>30.8265</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2024/102 bl. 4.]</w:t>
      </w:r>
    </w:p>
    <w:p>
      <w:pPr>
        <w:pStyle w:val="yHeading5"/>
      </w:pPr>
      <w:bookmarkStart w:id="30" w:name="_Toc169167891"/>
      <w:bookmarkStart w:id="31" w:name="_Toc169170634"/>
      <w:bookmarkStart w:id="32" w:name="_Toc170291803"/>
      <w:r>
        <w:rPr>
          <w:rStyle w:val="CharSClsNo"/>
        </w:rPr>
        <w:lastRenderedPageBreak/>
        <w:t>3</w:t>
      </w:r>
      <w:r>
        <w:t>.</w:t>
      </w:r>
      <w:r>
        <w:tab/>
        <w:t>Tariff R1 (time</w:t>
      </w:r>
      <w:r>
        <w:noBreakHyphen/>
        <w:t>of</w:t>
      </w:r>
      <w:r>
        <w:noBreakHyphen/>
        <w:t>use tariff — low/medium voltage tariff)</w:t>
      </w:r>
      <w:bookmarkEnd w:id="30"/>
      <w:bookmarkEnd w:id="31"/>
      <w:bookmarkEnd w:id="32"/>
    </w:p>
    <w:p>
      <w:pPr>
        <w:pStyle w:val="ySubsection"/>
      </w:pPr>
      <w:r>
        <w:tab/>
        <w:t>(1)</w:t>
      </w:r>
      <w:r>
        <w:tab/>
        <w:t>Tariff R1 is available for low/medium voltage supply.</w:t>
      </w:r>
    </w:p>
    <w:p>
      <w:pPr>
        <w:pStyle w:val="ySubsection"/>
      </w:pPr>
      <w:r>
        <w:tab/>
        <w:t>(2)</w:t>
      </w:r>
      <w:r>
        <w:tab/>
        <w:t>Tariff R1 comprises —</w:t>
      </w:r>
    </w:p>
    <w:p>
      <w:pPr>
        <w:pStyle w:val="yIndenta"/>
      </w:pPr>
      <w:r>
        <w:tab/>
        <w:t>(a)</w:t>
      </w:r>
      <w:r>
        <w:tab/>
        <w:t>a fixed charge at the rate of $3.7796 per day; and</w:t>
      </w:r>
    </w:p>
    <w:p>
      <w:pPr>
        <w:pStyle w:val="yIndenta"/>
      </w:pPr>
      <w:r>
        <w:tab/>
        <w:t>(b)</w:t>
      </w:r>
      <w:r>
        <w:tab/>
        <w:t>an energy charge consisting of — </w:t>
      </w:r>
    </w:p>
    <w:p>
      <w:pPr>
        <w:pStyle w:val="yIndenti0"/>
      </w:pPr>
      <w:r>
        <w:tab/>
        <w:t>(i)</w:t>
      </w:r>
      <w:r>
        <w:tab/>
        <w:t>an on peak energy charge at the rate of 40.9930 cents per unit; and</w:t>
      </w:r>
    </w:p>
    <w:p>
      <w:pPr>
        <w:pStyle w:val="yIndenti0"/>
      </w:pPr>
      <w:r>
        <w:tab/>
        <w:t>(ii)</w:t>
      </w:r>
      <w:r>
        <w:tab/>
        <w:t>an off peak energy charge at the rate of 12.2978 cents per unit.</w:t>
      </w:r>
    </w:p>
    <w:p>
      <w:pPr>
        <w:pStyle w:val="ySubsection"/>
      </w:pPr>
      <w:r>
        <w:tab/>
        <w:t>(3)</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2024/102 bl. 4.]</w:t>
      </w:r>
    </w:p>
    <w:p>
      <w:pPr>
        <w:pStyle w:val="yHeading5"/>
      </w:pPr>
      <w:bookmarkStart w:id="33" w:name="_Toc169167892"/>
      <w:bookmarkStart w:id="34" w:name="_Toc169170635"/>
      <w:bookmarkStart w:id="35" w:name="_Toc170291804"/>
      <w:r>
        <w:rPr>
          <w:rStyle w:val="CharSClsNo"/>
        </w:rPr>
        <w:t>4</w:t>
      </w:r>
      <w:r>
        <w:t>.</w:t>
      </w:r>
      <w:r>
        <w:tab/>
        <w:t>Tariff R3 (time</w:t>
      </w:r>
      <w:r>
        <w:noBreakHyphen/>
        <w:t>of</w:t>
      </w:r>
      <w:r>
        <w:noBreakHyphen/>
        <w:t>use tariff — low/medium voltage tariff)</w:t>
      </w:r>
      <w:bookmarkEnd w:id="33"/>
      <w:bookmarkEnd w:id="34"/>
      <w:bookmarkEnd w:id="35"/>
    </w:p>
    <w:p>
      <w:pPr>
        <w:pStyle w:val="ySubsection"/>
      </w:pPr>
      <w:r>
        <w:tab/>
        <w:t>(1)</w:t>
      </w:r>
      <w:r>
        <w:tab/>
        <w:t>Tariff R3 is available for low/medium voltage supply.</w:t>
      </w:r>
    </w:p>
    <w:p>
      <w:pPr>
        <w:pStyle w:val="ySubsection"/>
      </w:pPr>
      <w:r>
        <w:tab/>
        <w:t>(2)</w:t>
      </w:r>
      <w:r>
        <w:tab/>
        <w:t>Tariff R3 comprises —</w:t>
      </w:r>
    </w:p>
    <w:p>
      <w:pPr>
        <w:pStyle w:val="yIndenta"/>
      </w:pPr>
      <w:r>
        <w:tab/>
        <w:t>(a)</w:t>
      </w:r>
      <w:r>
        <w:tab/>
        <w:t xml:space="preserve">a fixed charge at the rate of </w:t>
      </w:r>
      <w:r>
        <w:rPr>
          <w:szCs w:val="22"/>
        </w:rPr>
        <w:t>$3.6995</w:t>
      </w:r>
      <w:r>
        <w:t xml:space="preserve"> per day; and</w:t>
      </w:r>
    </w:p>
    <w:p>
      <w:pPr>
        <w:pStyle w:val="yIndenta"/>
      </w:pPr>
      <w:r>
        <w:tab/>
        <w:t>(b)</w:t>
      </w:r>
      <w:r>
        <w:tab/>
        <w:t>an energy charge consisting of — </w:t>
      </w:r>
    </w:p>
    <w:p>
      <w:pPr>
        <w:pStyle w:val="yIndenti0"/>
      </w:pPr>
      <w:r>
        <w:tab/>
        <w:t>(i)</w:t>
      </w:r>
      <w:r>
        <w:tab/>
        <w:t>an on peak energy charge at the rate of 53.9636</w:t>
      </w:r>
      <w:r>
        <w:rPr>
          <w:szCs w:val="22"/>
        </w:rPr>
        <w:t xml:space="preserve"> </w:t>
      </w:r>
      <w:r>
        <w:t>cents per unit; and</w:t>
      </w:r>
    </w:p>
    <w:p>
      <w:pPr>
        <w:pStyle w:val="yIndenti0"/>
      </w:pPr>
      <w:r>
        <w:tab/>
        <w:t>(ii)</w:t>
      </w:r>
      <w:r>
        <w:tab/>
        <w:t>an off peak energy charge at the rate of 16.2107</w:t>
      </w:r>
      <w:r>
        <w:rPr>
          <w:szCs w:val="22"/>
        </w:rPr>
        <w:t xml:space="preserve"> </w:t>
      </w:r>
      <w:r>
        <w:t>cents per unit.</w:t>
      </w:r>
    </w:p>
    <w:p>
      <w:pPr>
        <w:pStyle w:val="ySubsection"/>
      </w:pPr>
      <w:r>
        <w:tab/>
        <w:t>(3)</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lastRenderedPageBreak/>
        <w:tab/>
        <w:t>(c)</w:t>
      </w:r>
      <w:r>
        <w:tab/>
        <w:t>the consumer satisfies the corporation that the amount of electricity supplied to the consumer’s premises will be 50 MW hours or more per annum.</w:t>
      </w:r>
    </w:p>
    <w:p>
      <w:pPr>
        <w:pStyle w:val="yFootnotesection"/>
      </w:pPr>
      <w:r>
        <w:tab/>
        <w:t>[Clause 4 inserted: SL 2024/102 bl. 4.]</w:t>
      </w:r>
    </w:p>
    <w:p>
      <w:pPr>
        <w:pStyle w:val="yHeading5"/>
      </w:pPr>
      <w:bookmarkStart w:id="36" w:name="_Toc169167893"/>
      <w:bookmarkStart w:id="37" w:name="_Toc169170636"/>
      <w:bookmarkStart w:id="38" w:name="_Toc170291805"/>
      <w:r>
        <w:rPr>
          <w:rStyle w:val="CharSClsNo"/>
        </w:rPr>
        <w:t>5</w:t>
      </w:r>
      <w:r>
        <w:t>.</w:t>
      </w:r>
      <w:r>
        <w:tab/>
        <w:t>Standby charges</w:t>
      </w:r>
      <w:bookmarkEnd w:id="36"/>
      <w:bookmarkEnd w:id="37"/>
      <w:bookmarkEnd w:id="38"/>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lastRenderedPageBreak/>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2024/102 bl. 4.]</w:t>
      </w:r>
    </w:p>
    <w:p>
      <w:pPr>
        <w:pStyle w:val="yHeading5"/>
      </w:pPr>
      <w:bookmarkStart w:id="39" w:name="_Toc169167894"/>
      <w:bookmarkStart w:id="40" w:name="_Toc169170637"/>
      <w:bookmarkStart w:id="41" w:name="_Toc170291806"/>
      <w:r>
        <w:rPr>
          <w:rStyle w:val="CharSClsNo"/>
        </w:rPr>
        <w:t>6</w:t>
      </w:r>
      <w:r>
        <w:t>.</w:t>
      </w:r>
      <w:r>
        <w:tab/>
        <w:t>Tariff A1 (residential tariff)</w:t>
      </w:r>
      <w:bookmarkEnd w:id="39"/>
      <w:bookmarkEnd w:id="40"/>
      <w:bookmarkEnd w:id="4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$1.1322 per day or, for multiple dwellings supplied through 1 metered supply point, a fixed charge at the rate of —</w:t>
      </w:r>
    </w:p>
    <w:p>
      <w:pPr>
        <w:pStyle w:val="yIndenti0"/>
      </w:pPr>
      <w:r>
        <w:tab/>
        <w:t>(i)</w:t>
      </w:r>
      <w:r>
        <w:tab/>
        <w:t>$1.1322 per day for the first dwelling; and</w:t>
      </w:r>
    </w:p>
    <w:p>
      <w:pPr>
        <w:pStyle w:val="yIndenti0"/>
      </w:pPr>
      <w:r>
        <w:tab/>
        <w:t>(ii)</w:t>
      </w:r>
      <w:r>
        <w:tab/>
        <w:t>45.0158 cents per day for each additional dwelling;</w:t>
      </w:r>
    </w:p>
    <w:p>
      <w:pPr>
        <w:pStyle w:val="yIndenta"/>
      </w:pPr>
      <w:r>
        <w:tab/>
      </w:r>
      <w:r>
        <w:tab/>
        <w:t>and</w:t>
      </w:r>
    </w:p>
    <w:p>
      <w:pPr>
        <w:pStyle w:val="yIndenta"/>
      </w:pPr>
      <w:r>
        <w:tab/>
        <w:t>(b)</w:t>
      </w:r>
      <w:r>
        <w:tab/>
        <w:t>a charge for metered consumption at the rate of 31.5823 cents per unit.</w:t>
      </w:r>
    </w:p>
    <w:p>
      <w:pPr>
        <w:pStyle w:val="yFootnotesection"/>
      </w:pPr>
      <w:r>
        <w:tab/>
        <w:t>[Clause 6 inserted: SL 2024/102 bl. 4.]</w:t>
      </w:r>
    </w:p>
    <w:p>
      <w:pPr>
        <w:pStyle w:val="yHeading5"/>
      </w:pPr>
      <w:bookmarkStart w:id="42" w:name="_Toc169167895"/>
      <w:bookmarkStart w:id="43" w:name="_Toc169170638"/>
      <w:bookmarkStart w:id="44" w:name="_Toc170291807"/>
      <w:r>
        <w:rPr>
          <w:rStyle w:val="CharSClsNo"/>
        </w:rPr>
        <w:t>7</w:t>
      </w:r>
      <w:r>
        <w:t>.</w:t>
      </w:r>
      <w:r>
        <w:tab/>
        <w:t>Tariff B1 (residential water heating tariff)</w:t>
      </w:r>
      <w:bookmarkEnd w:id="42"/>
      <w:bookmarkEnd w:id="43"/>
      <w:bookmarkEnd w:id="44"/>
    </w:p>
    <w:p>
      <w:pPr>
        <w:pStyle w:val="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23.8547 cents per day or, for multiple dwellings supplied through 1 metered supply point, a fixed charge at the rate of 23.8547 cents per day for each dwelling; and</w:t>
      </w:r>
    </w:p>
    <w:p>
      <w:pPr>
        <w:pStyle w:val="yIndenta"/>
      </w:pPr>
      <w:r>
        <w:tab/>
        <w:t>(b)</w:t>
      </w:r>
      <w:r>
        <w:tab/>
        <w:t>a charge for metered consumption at the rate of 13.1783 cents per unit.</w:t>
      </w:r>
    </w:p>
    <w:p>
      <w:pPr>
        <w:pStyle w:val="yFootnotesection"/>
      </w:pPr>
      <w:r>
        <w:tab/>
        <w:t>[Clause 7 inserted: SL 2024/102 bl. 4.]</w:t>
      </w:r>
    </w:p>
    <w:p>
      <w:pPr>
        <w:pStyle w:val="yHeading5"/>
      </w:pPr>
      <w:bookmarkStart w:id="45" w:name="_Toc169167896"/>
      <w:bookmarkStart w:id="46" w:name="_Toc169170639"/>
      <w:bookmarkStart w:id="47" w:name="_Toc170291808"/>
      <w:r>
        <w:rPr>
          <w:rStyle w:val="CharSClsNo"/>
        </w:rPr>
        <w:lastRenderedPageBreak/>
        <w:t>8</w:t>
      </w:r>
      <w:r>
        <w:t>.</w:t>
      </w:r>
      <w:r>
        <w:tab/>
        <w:t>Tariff C1 (special community service tariff)</w:t>
      </w:r>
      <w:bookmarkEnd w:id="45"/>
      <w:bookmarkEnd w:id="46"/>
      <w:bookmarkEnd w:id="47"/>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$1.0927 per day; and</w:t>
      </w:r>
    </w:p>
    <w:p>
      <w:pPr>
        <w:pStyle w:val="yIndenta"/>
      </w:pPr>
      <w:r>
        <w:tab/>
        <w:t>(b)</w:t>
      </w:r>
      <w:r>
        <w:tab/>
        <w:t xml:space="preserve">a charge for metered consumption at the rate of — </w:t>
      </w:r>
    </w:p>
    <w:p>
      <w:pPr>
        <w:pStyle w:val="yIndenti0"/>
      </w:pPr>
      <w:r>
        <w:tab/>
        <w:t>(i)</w:t>
      </w:r>
      <w:r>
        <w:tab/>
        <w:t>25.5261 cents per unit for the first 20 units per day; and</w:t>
      </w:r>
    </w:p>
    <w:p>
      <w:pPr>
        <w:pStyle w:val="yIndenti0"/>
      </w:pPr>
      <w:r>
        <w:tab/>
        <w:t>(ii)</w:t>
      </w:r>
      <w:r>
        <w:tab/>
        <w:t>27.2347 cents per unit for the next 1 630 units per day; and</w:t>
      </w:r>
    </w:p>
    <w:p>
      <w:pPr>
        <w:pStyle w:val="yIndenti0"/>
      </w:pPr>
      <w:r>
        <w:tab/>
        <w:t>(iii)</w:t>
      </w:r>
      <w:r>
        <w:tab/>
        <w:t>25.9779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2024/102 bl. 4.]</w:t>
      </w:r>
    </w:p>
    <w:p>
      <w:pPr>
        <w:pStyle w:val="yHeading5"/>
      </w:pPr>
      <w:bookmarkStart w:id="48" w:name="_Toc169167897"/>
      <w:bookmarkStart w:id="49" w:name="_Toc169170640"/>
      <w:bookmarkStart w:id="50" w:name="_Toc170291809"/>
      <w:r>
        <w:rPr>
          <w:rStyle w:val="CharSClsNo"/>
        </w:rPr>
        <w:lastRenderedPageBreak/>
        <w:t>9</w:t>
      </w:r>
      <w:r>
        <w:t>.</w:t>
      </w:r>
      <w:r>
        <w:tab/>
        <w:t>Tariff D1 (special tariff for certain premises)</w:t>
      </w:r>
      <w:bookmarkEnd w:id="48"/>
      <w:bookmarkEnd w:id="49"/>
      <w:bookmarkEnd w:id="50"/>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$1.0776 per day; and</w:t>
      </w:r>
    </w:p>
    <w:p>
      <w:pPr>
        <w:pStyle w:val="yIndenta"/>
      </w:pPr>
      <w:r>
        <w:tab/>
        <w:t>(b)</w:t>
      </w:r>
      <w:r>
        <w:tab/>
        <w:t>if under subclause (3) there is taken to be more than 1 equivalent domestic residence in the premises, a charge of 39.9536 cents per day for each equivalent domestic residence except the first that is taken to be in the premises; and</w:t>
      </w:r>
    </w:p>
    <w:p>
      <w:pPr>
        <w:pStyle w:val="yIndenta"/>
      </w:pPr>
      <w:r>
        <w:tab/>
        <w:t>(c)</w:t>
      </w:r>
      <w:r>
        <w:tab/>
        <w:t>a charge for metered consumption at the rate of 27.3798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r>
        <w:tab/>
        <w:t>[Clause 9 inserted: SL 2024/102 bl. 4.]</w:t>
      </w:r>
    </w:p>
    <w:p>
      <w:pPr>
        <w:pStyle w:val="yHeading5"/>
      </w:pPr>
      <w:bookmarkStart w:id="51" w:name="_Toc169167898"/>
      <w:bookmarkStart w:id="52" w:name="_Toc169170641"/>
      <w:bookmarkStart w:id="53" w:name="_Toc170291810"/>
      <w:r>
        <w:rPr>
          <w:rStyle w:val="CharSClsNo"/>
        </w:rPr>
        <w:t>10</w:t>
      </w:r>
      <w:r>
        <w:t>.</w:t>
      </w:r>
      <w:r>
        <w:tab/>
        <w:t>Tariff K1 (general supply with residential tariff)</w:t>
      </w:r>
      <w:bookmarkEnd w:id="51"/>
      <w:bookmarkEnd w:id="52"/>
      <w:bookmarkEnd w:id="53"/>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$1.9979 per day; and</w:t>
      </w:r>
    </w:p>
    <w:p>
      <w:pPr>
        <w:pStyle w:val="yIndenta"/>
      </w:pPr>
      <w:r>
        <w:tab/>
        <w:t>(b)</w:t>
      </w:r>
      <w:r>
        <w:tab/>
        <w:t>a charge for metered consumption at the rate of —</w:t>
      </w:r>
    </w:p>
    <w:p>
      <w:pPr>
        <w:pStyle w:val="yIndenti0"/>
      </w:pPr>
      <w:r>
        <w:tab/>
        <w:t>(i)</w:t>
      </w:r>
      <w:r>
        <w:tab/>
        <w:t>32.9933 cents per unit for the first 20 units per day; and</w:t>
      </w:r>
    </w:p>
    <w:p>
      <w:pPr>
        <w:pStyle w:val="yIndenti0"/>
      </w:pPr>
      <w:r>
        <w:tab/>
        <w:t>(ii)</w:t>
      </w:r>
      <w:r>
        <w:tab/>
        <w:t>31.0918 cents per unit for the next 1 630 units per day; and</w:t>
      </w:r>
    </w:p>
    <w:p>
      <w:pPr>
        <w:pStyle w:val="yIndenti0"/>
      </w:pPr>
      <w:r>
        <w:tab/>
        <w:t>(iii)</w:t>
      </w:r>
      <w:r>
        <w:tab/>
        <w:t>35.0549 cents per unit for all units exceeding 1 650 units per day.</w:t>
      </w:r>
    </w:p>
    <w:p>
      <w:pPr>
        <w:pStyle w:val="yFootnotesection"/>
      </w:pPr>
      <w:r>
        <w:tab/>
        <w:t>[Clause 10 inserted: SL 2024/102 bl. 4.]</w:t>
      </w:r>
      <w:bookmarkEnd w:id="22"/>
      <w:bookmarkEnd w:id="23"/>
    </w:p>
    <w:p>
      <w:pPr>
        <w:rPr>
          <w:iCs/>
          <w:snapToGrid w:val="0"/>
          <w:sz w:val="22"/>
        </w:r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54" w:name="_Toc169167899"/>
      <w:bookmarkStart w:id="55" w:name="_Toc169167994"/>
      <w:bookmarkStart w:id="56" w:name="_Toc169168147"/>
      <w:bookmarkStart w:id="57" w:name="_Toc169168520"/>
      <w:bookmarkStart w:id="58" w:name="_Toc169170351"/>
      <w:bookmarkStart w:id="59" w:name="_Toc169170642"/>
      <w:bookmarkStart w:id="60" w:name="_Toc170208329"/>
      <w:bookmarkStart w:id="61" w:name="_Toc170210828"/>
      <w:bookmarkStart w:id="62" w:name="_Toc170291811"/>
      <w:bookmarkStart w:id="63" w:name="_Toc170205813"/>
      <w:bookmarkStart w:id="64" w:name="_Toc170205892"/>
      <w:r>
        <w:rPr>
          <w:rStyle w:val="CharSchNo"/>
        </w:rPr>
        <w:lastRenderedPageBreak/>
        <w:t>Schedule 2</w:t>
      </w:r>
      <w:r>
        <w:t> — </w:t>
      </w:r>
      <w:r>
        <w:rPr>
          <w:rStyle w:val="CharSchText"/>
        </w:rPr>
        <w:t>Unmetered supply</w:t>
      </w:r>
      <w:bookmarkEnd w:id="54"/>
      <w:bookmarkEnd w:id="55"/>
      <w:bookmarkEnd w:id="56"/>
      <w:bookmarkEnd w:id="57"/>
      <w:bookmarkEnd w:id="58"/>
      <w:bookmarkEnd w:id="59"/>
      <w:bookmarkEnd w:id="60"/>
      <w:bookmarkEnd w:id="61"/>
      <w:bookmarkEnd w:id="62"/>
    </w:p>
    <w:p>
      <w:pPr>
        <w:pStyle w:val="yShoulderClause"/>
      </w:pPr>
      <w:r>
        <w:t>[bl. 4(2) and (3)]</w:t>
      </w:r>
    </w:p>
    <w:p>
      <w:pPr>
        <w:pStyle w:val="yFootnoteheading"/>
        <w:spacing w:after="120"/>
      </w:pPr>
      <w:r>
        <w:tab/>
        <w:t>[Heading inserted: SL 2024/102 bl. 4.]</w:t>
      </w:r>
    </w:p>
    <w:p>
      <w:pPr>
        <w:pStyle w:val="yHeading3"/>
      </w:pPr>
      <w:bookmarkStart w:id="65" w:name="_Toc169167900"/>
      <w:bookmarkStart w:id="66" w:name="_Toc169167995"/>
      <w:bookmarkStart w:id="67" w:name="_Toc169168148"/>
      <w:bookmarkStart w:id="68" w:name="_Toc169168521"/>
      <w:bookmarkStart w:id="69" w:name="_Toc169170352"/>
      <w:bookmarkStart w:id="70" w:name="_Toc169170643"/>
      <w:bookmarkStart w:id="71" w:name="_Toc170208330"/>
      <w:bookmarkStart w:id="72" w:name="_Toc170210829"/>
      <w:bookmarkStart w:id="73" w:name="_Toc170291812"/>
      <w:r>
        <w:rPr>
          <w:rStyle w:val="CharSDivNo"/>
        </w:rPr>
        <w:t>Division 1</w:t>
      </w:r>
      <w:r>
        <w:rPr>
          <w:b w:val="0"/>
        </w:rPr>
        <w:t> — </w:t>
      </w:r>
      <w:r>
        <w:rPr>
          <w:rStyle w:val="CharSDivText"/>
        </w:rPr>
        <w:t>Street lighting</w:t>
      </w:r>
      <w:bookmarkEnd w:id="65"/>
      <w:bookmarkEnd w:id="66"/>
      <w:bookmarkEnd w:id="67"/>
      <w:bookmarkEnd w:id="68"/>
      <w:bookmarkEnd w:id="69"/>
      <w:bookmarkEnd w:id="70"/>
      <w:bookmarkEnd w:id="71"/>
      <w:bookmarkEnd w:id="72"/>
      <w:bookmarkEnd w:id="73"/>
    </w:p>
    <w:p>
      <w:pPr>
        <w:pStyle w:val="yFootnoteheading"/>
        <w:spacing w:after="120"/>
      </w:pPr>
      <w:r>
        <w:tab/>
        <w:t>[Heading inserted: SL 2024/102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851" w:type="dxa"/>
            <w:gridSpan w:val="2"/>
            <w:tcBorders>
              <w:top w:val="single" w:sz="4" w:space="0" w:color="auto"/>
              <w:bottom w:val="single" w:sz="4" w:space="0" w:color="auto"/>
            </w:tcBorders>
            <w:noWrap/>
          </w:tcPr>
          <w:p>
            <w:pPr>
              <w:pStyle w:val="yTableNAm"/>
            </w:pPr>
            <w:r>
              <w:rPr>
                <w:b/>
                <w:bCs/>
                <w:sz w:val="16"/>
                <w:szCs w:val="16"/>
              </w:rPr>
              <w:t>Wattage</w:t>
            </w:r>
          </w:p>
        </w:tc>
        <w:tc>
          <w:tcPr>
            <w:tcW w:w="1142" w:type="dxa"/>
            <w:tcBorders>
              <w:top w:val="single" w:sz="4" w:space="0" w:color="auto"/>
              <w:bottom w:val="single" w:sz="4" w:space="0" w:color="auto"/>
            </w:tcBorders>
            <w:noWrap/>
          </w:tcPr>
          <w:p>
            <w:pPr>
              <w:pStyle w:val="yTableNAm"/>
            </w:pPr>
            <w:r>
              <w:rPr>
                <w:b/>
                <w:bCs/>
                <w:sz w:val="16"/>
                <w:szCs w:val="16"/>
              </w:rPr>
              <w:t>Type</w:t>
            </w:r>
          </w:p>
        </w:tc>
        <w:tc>
          <w:tcPr>
            <w:tcW w:w="1362" w:type="dxa"/>
            <w:gridSpan w:val="3"/>
            <w:tcBorders>
              <w:top w:val="single" w:sz="4" w:space="0" w:color="auto"/>
              <w:bottom w:val="single" w:sz="4" w:space="0" w:color="auto"/>
            </w:tcBorders>
            <w:noWrap/>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noWrap/>
          </w:tcPr>
          <w:p>
            <w:pPr>
              <w:pStyle w:val="yTableNAm"/>
            </w:pPr>
            <w:r>
              <w:rPr>
                <w:b/>
                <w:i/>
                <w:iCs/>
                <w:sz w:val="16"/>
                <w:szCs w:val="16"/>
              </w:rPr>
              <w:t>Street lighting on current offer and for existing services</w:t>
            </w:r>
          </w:p>
        </w:tc>
      </w:tr>
      <w:tr>
        <w:trPr>
          <w:cantSplit/>
        </w:trPr>
        <w:tc>
          <w:tcPr>
            <w:tcW w:w="567" w:type="dxa"/>
            <w:noWrap/>
          </w:tcPr>
          <w:p>
            <w:pPr>
              <w:pStyle w:val="yTableNAm"/>
              <w:rPr>
                <w:sz w:val="18"/>
                <w:szCs w:val="18"/>
              </w:rPr>
            </w:pPr>
            <w:r>
              <w:rPr>
                <w:sz w:val="18"/>
                <w:szCs w:val="18"/>
              </w:rPr>
              <w:t>Z.01</w:t>
            </w:r>
          </w:p>
        </w:tc>
        <w:tc>
          <w:tcPr>
            <w:tcW w:w="709" w:type="dxa"/>
            <w:noWrap/>
          </w:tcPr>
          <w:p>
            <w:pPr>
              <w:pStyle w:val="yTableNAm"/>
              <w:rPr>
                <w:sz w:val="18"/>
                <w:szCs w:val="18"/>
              </w:rPr>
            </w:pPr>
            <w:r>
              <w:rPr>
                <w:sz w:val="18"/>
                <w:szCs w:val="18"/>
              </w:rPr>
              <w:t>50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35.4400</w:t>
            </w:r>
          </w:p>
        </w:tc>
        <w:tc>
          <w:tcPr>
            <w:tcW w:w="1512" w:type="dxa"/>
            <w:noWrap/>
          </w:tcPr>
          <w:p>
            <w:pPr>
              <w:pStyle w:val="yTableNAm"/>
              <w:jc w:val="right"/>
              <w:rPr>
                <w:sz w:val="18"/>
                <w:szCs w:val="18"/>
              </w:rPr>
            </w:pPr>
            <w:r>
              <w:rPr>
                <w:sz w:val="18"/>
                <w:szCs w:val="18"/>
              </w:rPr>
              <w:t>36.6269</w:t>
            </w:r>
          </w:p>
        </w:tc>
        <w:tc>
          <w:tcPr>
            <w:tcW w:w="1370" w:type="dxa"/>
            <w:noWrap/>
          </w:tcPr>
          <w:p>
            <w:pPr>
              <w:pStyle w:val="yTableNAm"/>
              <w:jc w:val="right"/>
              <w:rPr>
                <w:sz w:val="18"/>
                <w:szCs w:val="18"/>
              </w:rPr>
            </w:pPr>
            <w:r>
              <w:rPr>
                <w:sz w:val="18"/>
                <w:szCs w:val="18"/>
              </w:rPr>
              <w:t>41.1372</w:t>
            </w:r>
          </w:p>
        </w:tc>
      </w:tr>
      <w:tr>
        <w:trPr>
          <w:cantSplit/>
        </w:trPr>
        <w:tc>
          <w:tcPr>
            <w:tcW w:w="567" w:type="dxa"/>
            <w:noWrap/>
          </w:tcPr>
          <w:p>
            <w:pPr>
              <w:pStyle w:val="yTableNAm"/>
              <w:rPr>
                <w:sz w:val="18"/>
                <w:szCs w:val="18"/>
              </w:rPr>
            </w:pPr>
            <w:r>
              <w:rPr>
                <w:sz w:val="18"/>
                <w:szCs w:val="18"/>
              </w:rPr>
              <w:t>Z.02</w:t>
            </w:r>
          </w:p>
        </w:tc>
        <w:tc>
          <w:tcPr>
            <w:tcW w:w="709" w:type="dxa"/>
            <w:noWrap/>
          </w:tcPr>
          <w:p>
            <w:pPr>
              <w:pStyle w:val="yTableNAm"/>
              <w:rPr>
                <w:sz w:val="18"/>
                <w:szCs w:val="18"/>
              </w:rPr>
            </w:pPr>
            <w:r>
              <w:rPr>
                <w:sz w:val="18"/>
                <w:szCs w:val="18"/>
              </w:rPr>
              <w:t>80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45.7818</w:t>
            </w:r>
          </w:p>
        </w:tc>
        <w:tc>
          <w:tcPr>
            <w:tcW w:w="1512" w:type="dxa"/>
            <w:noWrap/>
          </w:tcPr>
          <w:p>
            <w:pPr>
              <w:pStyle w:val="yTableNAm"/>
              <w:jc w:val="right"/>
              <w:rPr>
                <w:sz w:val="18"/>
                <w:szCs w:val="18"/>
              </w:rPr>
            </w:pPr>
            <w:r>
              <w:rPr>
                <w:sz w:val="18"/>
                <w:szCs w:val="18"/>
              </w:rPr>
              <w:t>47.6809</w:t>
            </w:r>
          </w:p>
        </w:tc>
        <w:tc>
          <w:tcPr>
            <w:tcW w:w="1370" w:type="dxa"/>
            <w:noWrap/>
          </w:tcPr>
          <w:p>
            <w:pPr>
              <w:pStyle w:val="yTableNAm"/>
              <w:jc w:val="right"/>
              <w:rPr>
                <w:sz w:val="18"/>
                <w:szCs w:val="18"/>
              </w:rPr>
            </w:pPr>
            <w:r>
              <w:rPr>
                <w:sz w:val="18"/>
                <w:szCs w:val="18"/>
              </w:rPr>
              <w:t>54.8974</w:t>
            </w:r>
          </w:p>
        </w:tc>
      </w:tr>
      <w:tr>
        <w:trPr>
          <w:cantSplit/>
        </w:trPr>
        <w:tc>
          <w:tcPr>
            <w:tcW w:w="567" w:type="dxa"/>
            <w:noWrap/>
          </w:tcPr>
          <w:p>
            <w:pPr>
              <w:pStyle w:val="yTableNAm"/>
              <w:rPr>
                <w:sz w:val="18"/>
                <w:szCs w:val="18"/>
              </w:rPr>
            </w:pPr>
            <w:r>
              <w:rPr>
                <w:sz w:val="18"/>
                <w:szCs w:val="18"/>
              </w:rPr>
              <w:t>Z.03</w:t>
            </w:r>
          </w:p>
        </w:tc>
        <w:tc>
          <w:tcPr>
            <w:tcW w:w="709" w:type="dxa"/>
            <w:noWrap/>
          </w:tcPr>
          <w:p>
            <w:pPr>
              <w:pStyle w:val="yTableNAm"/>
              <w:rPr>
                <w:sz w:val="18"/>
                <w:szCs w:val="18"/>
              </w:rPr>
            </w:pPr>
            <w:r>
              <w:rPr>
                <w:sz w:val="18"/>
                <w:szCs w:val="18"/>
              </w:rPr>
              <w:t>125</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56.2423</w:t>
            </w:r>
          </w:p>
        </w:tc>
        <w:tc>
          <w:tcPr>
            <w:tcW w:w="1512" w:type="dxa"/>
            <w:noWrap/>
          </w:tcPr>
          <w:p>
            <w:pPr>
              <w:pStyle w:val="yTableNAm"/>
              <w:jc w:val="right"/>
              <w:rPr>
                <w:sz w:val="18"/>
                <w:szCs w:val="18"/>
              </w:rPr>
            </w:pPr>
            <w:r>
              <w:rPr>
                <w:sz w:val="18"/>
                <w:szCs w:val="18"/>
              </w:rPr>
              <w:t>59.2096</w:t>
            </w:r>
          </w:p>
        </w:tc>
        <w:tc>
          <w:tcPr>
            <w:tcW w:w="1370" w:type="dxa"/>
            <w:noWrap/>
          </w:tcPr>
          <w:p>
            <w:pPr>
              <w:pStyle w:val="yTableNAm"/>
              <w:jc w:val="right"/>
              <w:rPr>
                <w:sz w:val="18"/>
                <w:szCs w:val="18"/>
              </w:rPr>
            </w:pPr>
            <w:r>
              <w:rPr>
                <w:sz w:val="18"/>
                <w:szCs w:val="18"/>
              </w:rPr>
              <w:t>70.4854</w:t>
            </w:r>
          </w:p>
        </w:tc>
      </w:tr>
      <w:tr>
        <w:trPr>
          <w:cantSplit/>
        </w:trPr>
        <w:tc>
          <w:tcPr>
            <w:tcW w:w="567" w:type="dxa"/>
            <w:noWrap/>
          </w:tcPr>
          <w:p>
            <w:pPr>
              <w:pStyle w:val="yTableNAm"/>
              <w:rPr>
                <w:sz w:val="18"/>
                <w:szCs w:val="18"/>
              </w:rPr>
            </w:pPr>
            <w:r>
              <w:rPr>
                <w:sz w:val="18"/>
                <w:szCs w:val="18"/>
              </w:rPr>
              <w:t>Z.07</w:t>
            </w:r>
          </w:p>
        </w:tc>
        <w:tc>
          <w:tcPr>
            <w:tcW w:w="709" w:type="dxa"/>
            <w:noWrap/>
          </w:tcPr>
          <w:p>
            <w:pPr>
              <w:pStyle w:val="yTableNAm"/>
              <w:rPr>
                <w:sz w:val="18"/>
                <w:szCs w:val="18"/>
              </w:rPr>
            </w:pPr>
            <w:r>
              <w:rPr>
                <w:sz w:val="18"/>
                <w:szCs w:val="18"/>
              </w:rPr>
              <w:t>250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80.6260</w:t>
            </w:r>
          </w:p>
        </w:tc>
        <w:tc>
          <w:tcPr>
            <w:tcW w:w="1512" w:type="dxa"/>
            <w:noWrap/>
          </w:tcPr>
          <w:p>
            <w:pPr>
              <w:pStyle w:val="yTableNAm"/>
              <w:jc w:val="right"/>
              <w:rPr>
                <w:sz w:val="18"/>
                <w:szCs w:val="18"/>
              </w:rPr>
            </w:pPr>
            <w:r>
              <w:rPr>
                <w:sz w:val="18"/>
                <w:szCs w:val="18"/>
              </w:rPr>
              <w:t>86.5607</w:t>
            </w:r>
          </w:p>
        </w:tc>
        <w:tc>
          <w:tcPr>
            <w:tcW w:w="1370" w:type="dxa"/>
            <w:noWrap/>
          </w:tcPr>
          <w:p>
            <w:pPr>
              <w:pStyle w:val="yTableNAm"/>
              <w:jc w:val="right"/>
              <w:rPr>
                <w:sz w:val="18"/>
                <w:szCs w:val="18"/>
              </w:rPr>
            </w:pPr>
            <w:r>
              <w:rPr>
                <w:sz w:val="18"/>
                <w:szCs w:val="18"/>
              </w:rPr>
              <w:t>109.1123</w:t>
            </w:r>
          </w:p>
        </w:tc>
      </w:tr>
      <w:tr>
        <w:trPr>
          <w:cantSplit/>
        </w:trPr>
        <w:tc>
          <w:tcPr>
            <w:tcW w:w="567" w:type="dxa"/>
            <w:noWrap/>
          </w:tcPr>
          <w:p>
            <w:pPr>
              <w:pStyle w:val="yTableNAm"/>
              <w:rPr>
                <w:sz w:val="18"/>
                <w:szCs w:val="18"/>
              </w:rPr>
            </w:pPr>
            <w:r>
              <w:rPr>
                <w:sz w:val="18"/>
                <w:szCs w:val="18"/>
              </w:rPr>
              <w:t>Z.10</w:t>
            </w:r>
          </w:p>
        </w:tc>
        <w:tc>
          <w:tcPr>
            <w:tcW w:w="709" w:type="dxa"/>
            <w:noWrap/>
          </w:tcPr>
          <w:p>
            <w:pPr>
              <w:pStyle w:val="yTableNAm"/>
              <w:rPr>
                <w:sz w:val="18"/>
                <w:szCs w:val="18"/>
              </w:rPr>
            </w:pPr>
            <w:r>
              <w:rPr>
                <w:sz w:val="18"/>
                <w:szCs w:val="18"/>
              </w:rPr>
              <w:t>400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93.4760</w:t>
            </w:r>
          </w:p>
        </w:tc>
        <w:tc>
          <w:tcPr>
            <w:tcW w:w="1512" w:type="dxa"/>
            <w:noWrap/>
          </w:tcPr>
          <w:p>
            <w:pPr>
              <w:pStyle w:val="yTableNAm"/>
              <w:jc w:val="right"/>
              <w:rPr>
                <w:sz w:val="18"/>
                <w:szCs w:val="18"/>
              </w:rPr>
            </w:pPr>
            <w:r>
              <w:rPr>
                <w:sz w:val="18"/>
                <w:szCs w:val="18"/>
              </w:rPr>
              <w:t>97.2915</w:t>
            </w:r>
          </w:p>
        </w:tc>
        <w:tc>
          <w:tcPr>
            <w:tcW w:w="1370" w:type="dxa"/>
            <w:noWrap/>
          </w:tcPr>
          <w:p>
            <w:pPr>
              <w:pStyle w:val="yTableNAm"/>
              <w:jc w:val="right"/>
              <w:rPr>
                <w:sz w:val="18"/>
                <w:szCs w:val="18"/>
              </w:rPr>
            </w:pPr>
            <w:r>
              <w:rPr>
                <w:sz w:val="18"/>
                <w:szCs w:val="18"/>
              </w:rPr>
              <w:t>143.6359</w:t>
            </w:r>
          </w:p>
        </w:tc>
      </w:tr>
      <w:tr>
        <w:trPr>
          <w:cantSplit/>
        </w:trPr>
        <w:tc>
          <w:tcPr>
            <w:tcW w:w="567" w:type="dxa"/>
            <w:noWrap/>
          </w:tcPr>
          <w:p>
            <w:pPr>
              <w:pStyle w:val="yTableNAm"/>
              <w:rPr>
                <w:sz w:val="18"/>
                <w:szCs w:val="18"/>
              </w:rPr>
            </w:pPr>
            <w:r>
              <w:rPr>
                <w:sz w:val="18"/>
                <w:szCs w:val="18"/>
              </w:rPr>
              <w:t>Z.13</w:t>
            </w:r>
          </w:p>
        </w:tc>
        <w:tc>
          <w:tcPr>
            <w:tcW w:w="709" w:type="dxa"/>
            <w:noWrap/>
          </w:tcPr>
          <w:p>
            <w:pPr>
              <w:pStyle w:val="yTableNAm"/>
              <w:rPr>
                <w:sz w:val="18"/>
                <w:szCs w:val="18"/>
              </w:rPr>
            </w:pPr>
            <w:r>
              <w:rPr>
                <w:sz w:val="18"/>
                <w:szCs w:val="18"/>
              </w:rPr>
              <w:t>150</w:t>
            </w:r>
          </w:p>
        </w:tc>
        <w:tc>
          <w:tcPr>
            <w:tcW w:w="1417" w:type="dxa"/>
            <w:gridSpan w:val="4"/>
            <w:noWrap/>
          </w:tcPr>
          <w:p>
            <w:pPr>
              <w:pStyle w:val="yTableNAm"/>
              <w:rPr>
                <w:sz w:val="18"/>
                <w:szCs w:val="18"/>
              </w:rPr>
            </w:pPr>
            <w:r>
              <w:rPr>
                <w:sz w:val="18"/>
                <w:szCs w:val="18"/>
              </w:rPr>
              <w:t>High pressure sodium</w:t>
            </w:r>
          </w:p>
        </w:tc>
        <w:tc>
          <w:tcPr>
            <w:tcW w:w="1229" w:type="dxa"/>
            <w:noWrap/>
          </w:tcPr>
          <w:p>
            <w:pPr>
              <w:pStyle w:val="yTableNAm"/>
              <w:jc w:val="right"/>
              <w:rPr>
                <w:sz w:val="18"/>
                <w:szCs w:val="18"/>
              </w:rPr>
            </w:pPr>
            <w:r>
              <w:rPr>
                <w:sz w:val="18"/>
                <w:szCs w:val="18"/>
              </w:rPr>
              <w:t>61.7481</w:t>
            </w:r>
          </w:p>
        </w:tc>
        <w:tc>
          <w:tcPr>
            <w:tcW w:w="1512" w:type="dxa"/>
            <w:noWrap/>
          </w:tcPr>
          <w:p>
            <w:pPr>
              <w:pStyle w:val="yTableNAm"/>
              <w:jc w:val="right"/>
              <w:rPr>
                <w:sz w:val="18"/>
                <w:szCs w:val="18"/>
              </w:rPr>
            </w:pPr>
            <w:r>
              <w:rPr>
                <w:sz w:val="18"/>
                <w:szCs w:val="18"/>
              </w:rPr>
              <w:t>65.3090</w:t>
            </w:r>
          </w:p>
        </w:tc>
        <w:tc>
          <w:tcPr>
            <w:tcW w:w="1370" w:type="dxa"/>
            <w:noWrap/>
          </w:tcPr>
          <w:p>
            <w:pPr>
              <w:pStyle w:val="yTableNAm"/>
              <w:jc w:val="right"/>
              <w:rPr>
                <w:sz w:val="18"/>
                <w:szCs w:val="18"/>
              </w:rPr>
            </w:pPr>
            <w:r>
              <w:rPr>
                <w:sz w:val="18"/>
                <w:szCs w:val="18"/>
              </w:rPr>
              <w:t>78.8397</w:t>
            </w:r>
          </w:p>
        </w:tc>
      </w:tr>
      <w:tr>
        <w:trPr>
          <w:cantSplit/>
        </w:trPr>
        <w:tc>
          <w:tcPr>
            <w:tcW w:w="567" w:type="dxa"/>
            <w:noWrap/>
          </w:tcPr>
          <w:p>
            <w:pPr>
              <w:pStyle w:val="yTableNAm"/>
              <w:rPr>
                <w:sz w:val="18"/>
                <w:szCs w:val="18"/>
              </w:rPr>
            </w:pPr>
            <w:r>
              <w:rPr>
                <w:sz w:val="18"/>
                <w:szCs w:val="18"/>
              </w:rPr>
              <w:t>Z.15</w:t>
            </w:r>
          </w:p>
        </w:tc>
        <w:tc>
          <w:tcPr>
            <w:tcW w:w="709" w:type="dxa"/>
            <w:noWrap/>
          </w:tcPr>
          <w:p>
            <w:pPr>
              <w:pStyle w:val="yTableNAm"/>
              <w:rPr>
                <w:sz w:val="18"/>
                <w:szCs w:val="18"/>
              </w:rPr>
            </w:pPr>
            <w:r>
              <w:rPr>
                <w:sz w:val="18"/>
                <w:szCs w:val="18"/>
              </w:rPr>
              <w:t>250</w:t>
            </w:r>
          </w:p>
        </w:tc>
        <w:tc>
          <w:tcPr>
            <w:tcW w:w="1417" w:type="dxa"/>
            <w:gridSpan w:val="4"/>
            <w:noWrap/>
          </w:tcPr>
          <w:p>
            <w:pPr>
              <w:pStyle w:val="yTableNAm"/>
              <w:rPr>
                <w:sz w:val="18"/>
                <w:szCs w:val="18"/>
              </w:rPr>
            </w:pPr>
            <w:r>
              <w:rPr>
                <w:sz w:val="18"/>
                <w:szCs w:val="18"/>
              </w:rPr>
              <w:t>High pressure sodium</w:t>
            </w:r>
          </w:p>
        </w:tc>
        <w:tc>
          <w:tcPr>
            <w:tcW w:w="1229" w:type="dxa"/>
            <w:noWrap/>
          </w:tcPr>
          <w:p>
            <w:pPr>
              <w:pStyle w:val="yTableNAm"/>
              <w:jc w:val="right"/>
              <w:rPr>
                <w:sz w:val="18"/>
                <w:szCs w:val="18"/>
              </w:rPr>
            </w:pPr>
            <w:r>
              <w:rPr>
                <w:sz w:val="18"/>
                <w:szCs w:val="18"/>
              </w:rPr>
              <w:t>71.8322</w:t>
            </w:r>
          </w:p>
        </w:tc>
        <w:tc>
          <w:tcPr>
            <w:tcW w:w="1512" w:type="dxa"/>
            <w:noWrap/>
          </w:tcPr>
          <w:p>
            <w:pPr>
              <w:pStyle w:val="yTableNAm"/>
              <w:jc w:val="right"/>
              <w:rPr>
                <w:sz w:val="18"/>
                <w:szCs w:val="18"/>
              </w:rPr>
            </w:pPr>
            <w:r>
              <w:rPr>
                <w:sz w:val="18"/>
                <w:szCs w:val="18"/>
              </w:rPr>
              <w:t>77.7669</w:t>
            </w:r>
          </w:p>
        </w:tc>
        <w:tc>
          <w:tcPr>
            <w:tcW w:w="1370" w:type="dxa"/>
            <w:noWrap/>
          </w:tcPr>
          <w:p>
            <w:pPr>
              <w:pStyle w:val="yTableNAm"/>
              <w:jc w:val="right"/>
              <w:rPr>
                <w:sz w:val="18"/>
                <w:szCs w:val="18"/>
              </w:rPr>
            </w:pPr>
            <w:r>
              <w:rPr>
                <w:sz w:val="18"/>
                <w:szCs w:val="18"/>
              </w:rPr>
              <w:t>100.3185</w:t>
            </w:r>
          </w:p>
        </w:tc>
      </w:tr>
      <w:tr>
        <w:trPr>
          <w:cantSplit/>
        </w:trPr>
        <w:tc>
          <w:tcPr>
            <w:tcW w:w="567" w:type="dxa"/>
            <w:noWrap/>
          </w:tcPr>
          <w:p>
            <w:pPr>
              <w:pStyle w:val="yTableNAm"/>
              <w:rPr>
                <w:sz w:val="18"/>
                <w:szCs w:val="18"/>
              </w:rPr>
            </w:pPr>
            <w:r>
              <w:rPr>
                <w:sz w:val="18"/>
                <w:szCs w:val="18"/>
              </w:rPr>
              <w:t>Z.18</w:t>
            </w:r>
          </w:p>
        </w:tc>
        <w:tc>
          <w:tcPr>
            <w:tcW w:w="709" w:type="dxa"/>
            <w:noWrap/>
          </w:tcPr>
          <w:p>
            <w:pPr>
              <w:pStyle w:val="yTableNAm"/>
              <w:rPr>
                <w:sz w:val="18"/>
                <w:szCs w:val="18"/>
              </w:rPr>
            </w:pPr>
            <w:r>
              <w:rPr>
                <w:sz w:val="18"/>
                <w:szCs w:val="18"/>
              </w:rPr>
              <w:t>per kW</w:t>
            </w:r>
          </w:p>
        </w:tc>
        <w:tc>
          <w:tcPr>
            <w:tcW w:w="1417" w:type="dxa"/>
            <w:gridSpan w:val="4"/>
            <w:noWrap/>
          </w:tcPr>
          <w:p>
            <w:pPr>
              <w:pStyle w:val="yTableNAm"/>
              <w:rPr>
                <w:sz w:val="18"/>
                <w:szCs w:val="18"/>
              </w:rPr>
            </w:pPr>
            <w:r>
              <w:rPr>
                <w:sz w:val="18"/>
                <w:szCs w:val="18"/>
              </w:rPr>
              <w:t>Auxiliary lighting in public places</w:t>
            </w:r>
          </w:p>
        </w:tc>
        <w:tc>
          <w:tcPr>
            <w:tcW w:w="1229" w:type="dxa"/>
            <w:noWrap/>
          </w:tcPr>
          <w:p>
            <w:pPr>
              <w:pStyle w:val="yTableNAm"/>
              <w:jc w:val="right"/>
              <w:rPr>
                <w:sz w:val="18"/>
                <w:szCs w:val="18"/>
              </w:rPr>
            </w:pPr>
            <w:r>
              <w:rPr>
                <w:sz w:val="18"/>
                <w:szCs w:val="18"/>
              </w:rPr>
              <w:t>Not applicable</w:t>
            </w:r>
          </w:p>
        </w:tc>
        <w:tc>
          <w:tcPr>
            <w:tcW w:w="1512" w:type="dxa"/>
            <w:noWrap/>
          </w:tcPr>
          <w:p>
            <w:pPr>
              <w:pStyle w:val="yTableNAm"/>
              <w:jc w:val="right"/>
              <w:rPr>
                <w:sz w:val="18"/>
                <w:szCs w:val="18"/>
              </w:rPr>
            </w:pPr>
            <w:r>
              <w:rPr>
                <w:sz w:val="18"/>
                <w:szCs w:val="18"/>
              </w:rPr>
              <w:t>Not applicable</w:t>
            </w:r>
          </w:p>
        </w:tc>
        <w:tc>
          <w:tcPr>
            <w:tcW w:w="1370" w:type="dxa"/>
            <w:noWrap/>
          </w:tcPr>
          <w:p>
            <w:pPr>
              <w:pStyle w:val="yTableNAm"/>
              <w:jc w:val="right"/>
              <w:rPr>
                <w:sz w:val="18"/>
                <w:szCs w:val="18"/>
              </w:rPr>
            </w:pPr>
            <w:r>
              <w:rPr>
                <w:sz w:val="18"/>
                <w:szCs w:val="18"/>
              </w:rPr>
              <w:t>314.3270</w:t>
            </w:r>
          </w:p>
        </w:tc>
      </w:tr>
      <w:tr>
        <w:trPr>
          <w:cantSplit/>
        </w:trPr>
        <w:tc>
          <w:tcPr>
            <w:tcW w:w="6804" w:type="dxa"/>
            <w:gridSpan w:val="9"/>
            <w:noWrap/>
          </w:tcPr>
          <w:p>
            <w:pPr>
              <w:pStyle w:val="yTableNAm"/>
              <w:keepNext/>
              <w:keepLines/>
            </w:pPr>
            <w:r>
              <w:rPr>
                <w:b/>
                <w:i/>
                <w:iCs/>
                <w:sz w:val="16"/>
                <w:szCs w:val="16"/>
              </w:rPr>
              <w:t>Street lighting for existing services only</w:t>
            </w:r>
          </w:p>
        </w:tc>
      </w:tr>
      <w:tr>
        <w:trPr>
          <w:cantSplit/>
        </w:trPr>
        <w:tc>
          <w:tcPr>
            <w:tcW w:w="567" w:type="dxa"/>
            <w:noWrap/>
          </w:tcPr>
          <w:p>
            <w:pPr>
              <w:pStyle w:val="yTableNAm"/>
              <w:rPr>
                <w:sz w:val="18"/>
                <w:szCs w:val="18"/>
              </w:rPr>
            </w:pPr>
            <w:r>
              <w:rPr>
                <w:sz w:val="18"/>
                <w:szCs w:val="18"/>
              </w:rPr>
              <w:t>Z.52</w:t>
            </w:r>
          </w:p>
        </w:tc>
        <w:tc>
          <w:tcPr>
            <w:tcW w:w="851" w:type="dxa"/>
            <w:gridSpan w:val="2"/>
            <w:noWrap/>
          </w:tcPr>
          <w:p>
            <w:pPr>
              <w:pStyle w:val="yTableNAm"/>
              <w:rPr>
                <w:sz w:val="18"/>
                <w:szCs w:val="18"/>
              </w:rPr>
            </w:pPr>
            <w:r>
              <w:rPr>
                <w:sz w:val="18"/>
                <w:szCs w:val="18"/>
              </w:rPr>
              <w:t>100</w:t>
            </w:r>
          </w:p>
        </w:tc>
        <w:tc>
          <w:tcPr>
            <w:tcW w:w="1205" w:type="dxa"/>
            <w:gridSpan w:val="2"/>
            <w:noWrap/>
          </w:tcPr>
          <w:p>
            <w:pPr>
              <w:pStyle w:val="yTableNAm"/>
              <w:rPr>
                <w:sz w:val="18"/>
                <w:szCs w:val="18"/>
              </w:rPr>
            </w:pPr>
            <w:r>
              <w:rPr>
                <w:sz w:val="18"/>
                <w:szCs w:val="18"/>
              </w:rPr>
              <w:t>Incandescent</w:t>
            </w:r>
          </w:p>
        </w:tc>
        <w:tc>
          <w:tcPr>
            <w:tcW w:w="1299" w:type="dxa"/>
            <w:gridSpan w:val="2"/>
            <w:noWrap/>
          </w:tcPr>
          <w:p>
            <w:pPr>
              <w:pStyle w:val="yTableNAm"/>
              <w:jc w:val="right"/>
              <w:rPr>
                <w:sz w:val="18"/>
                <w:szCs w:val="18"/>
              </w:rPr>
            </w:pPr>
            <w:r>
              <w:rPr>
                <w:sz w:val="18"/>
                <w:szCs w:val="18"/>
              </w:rPr>
              <w:t>40.4820</w:t>
            </w:r>
          </w:p>
        </w:tc>
        <w:tc>
          <w:tcPr>
            <w:tcW w:w="1512" w:type="dxa"/>
            <w:noWrap/>
          </w:tcPr>
          <w:p>
            <w:pPr>
              <w:pStyle w:val="yTableNAm"/>
              <w:jc w:val="right"/>
              <w:rPr>
                <w:sz w:val="18"/>
                <w:szCs w:val="18"/>
              </w:rPr>
            </w:pPr>
            <w:r>
              <w:rPr>
                <w:sz w:val="18"/>
                <w:szCs w:val="18"/>
              </w:rPr>
              <w:t>42.1674</w:t>
            </w:r>
          </w:p>
        </w:tc>
        <w:tc>
          <w:tcPr>
            <w:tcW w:w="1370" w:type="dxa"/>
            <w:noWrap/>
          </w:tcPr>
          <w:p>
            <w:pPr>
              <w:pStyle w:val="yTableNAm"/>
              <w:jc w:val="right"/>
              <w:rPr>
                <w:sz w:val="18"/>
                <w:szCs w:val="18"/>
              </w:rPr>
            </w:pPr>
            <w:r>
              <w:rPr>
                <w:sz w:val="18"/>
                <w:szCs w:val="18"/>
              </w:rPr>
              <w:t>46.8751</w:t>
            </w:r>
          </w:p>
        </w:tc>
      </w:tr>
      <w:tr>
        <w:trPr>
          <w:cantSplit/>
        </w:trPr>
        <w:tc>
          <w:tcPr>
            <w:tcW w:w="567" w:type="dxa"/>
            <w:tcBorders>
              <w:bottom w:val="single" w:sz="4" w:space="0" w:color="auto"/>
            </w:tcBorders>
            <w:noWrap/>
          </w:tcPr>
          <w:p>
            <w:pPr>
              <w:pStyle w:val="yTableNAm"/>
              <w:rPr>
                <w:sz w:val="18"/>
                <w:szCs w:val="18"/>
              </w:rPr>
            </w:pPr>
            <w:r>
              <w:rPr>
                <w:sz w:val="18"/>
                <w:szCs w:val="18"/>
              </w:rPr>
              <w:t>Z.56</w:t>
            </w:r>
          </w:p>
        </w:tc>
        <w:tc>
          <w:tcPr>
            <w:tcW w:w="851" w:type="dxa"/>
            <w:gridSpan w:val="2"/>
            <w:tcBorders>
              <w:bottom w:val="single" w:sz="4" w:space="0" w:color="auto"/>
            </w:tcBorders>
            <w:noWrap/>
          </w:tcPr>
          <w:p>
            <w:pPr>
              <w:pStyle w:val="yTableNAm"/>
              <w:rPr>
                <w:sz w:val="18"/>
                <w:szCs w:val="18"/>
              </w:rPr>
            </w:pPr>
            <w:r>
              <w:rPr>
                <w:sz w:val="18"/>
                <w:szCs w:val="18"/>
              </w:rPr>
              <w:t>40</w:t>
            </w:r>
          </w:p>
        </w:tc>
        <w:tc>
          <w:tcPr>
            <w:tcW w:w="1205" w:type="dxa"/>
            <w:gridSpan w:val="2"/>
            <w:tcBorders>
              <w:bottom w:val="single" w:sz="4" w:space="0" w:color="auto"/>
            </w:tcBorders>
            <w:noWrap/>
          </w:tcPr>
          <w:p>
            <w:pPr>
              <w:pStyle w:val="yTableNAm"/>
              <w:rPr>
                <w:sz w:val="18"/>
                <w:szCs w:val="18"/>
              </w:rPr>
            </w:pPr>
            <w:r>
              <w:rPr>
                <w:sz w:val="18"/>
                <w:szCs w:val="18"/>
              </w:rPr>
              <w:t>Fluorescent</w:t>
            </w:r>
          </w:p>
        </w:tc>
        <w:tc>
          <w:tcPr>
            <w:tcW w:w="1299" w:type="dxa"/>
            <w:gridSpan w:val="2"/>
            <w:tcBorders>
              <w:bottom w:val="single" w:sz="4" w:space="0" w:color="auto"/>
            </w:tcBorders>
            <w:noWrap/>
          </w:tcPr>
          <w:p>
            <w:pPr>
              <w:pStyle w:val="yTableNAm"/>
              <w:jc w:val="right"/>
              <w:rPr>
                <w:sz w:val="18"/>
                <w:szCs w:val="18"/>
              </w:rPr>
            </w:pPr>
            <w:r>
              <w:rPr>
                <w:sz w:val="18"/>
                <w:szCs w:val="18"/>
              </w:rPr>
              <w:t>34.4316</w:t>
            </w:r>
          </w:p>
        </w:tc>
        <w:tc>
          <w:tcPr>
            <w:tcW w:w="1512" w:type="dxa"/>
            <w:tcBorders>
              <w:bottom w:val="single" w:sz="4" w:space="0" w:color="auto"/>
            </w:tcBorders>
            <w:noWrap/>
          </w:tcPr>
          <w:p>
            <w:pPr>
              <w:pStyle w:val="yTableNAm"/>
              <w:jc w:val="right"/>
              <w:rPr>
                <w:sz w:val="18"/>
                <w:szCs w:val="18"/>
              </w:rPr>
            </w:pPr>
            <w:r>
              <w:rPr>
                <w:sz w:val="18"/>
                <w:szCs w:val="18"/>
              </w:rPr>
              <w:t>35.3810</w:t>
            </w:r>
          </w:p>
        </w:tc>
        <w:tc>
          <w:tcPr>
            <w:tcW w:w="1370" w:type="dxa"/>
            <w:tcBorders>
              <w:bottom w:val="single" w:sz="4" w:space="0" w:color="auto"/>
            </w:tcBorders>
            <w:noWrap/>
          </w:tcPr>
          <w:p>
            <w:pPr>
              <w:pStyle w:val="yTableNAm"/>
              <w:jc w:val="right"/>
              <w:rPr>
                <w:sz w:val="18"/>
                <w:szCs w:val="18"/>
              </w:rPr>
            </w:pPr>
            <w:r>
              <w:rPr>
                <w:sz w:val="18"/>
                <w:szCs w:val="18"/>
              </w:rPr>
              <w:t>38.9893</w:t>
            </w:r>
          </w:p>
        </w:tc>
      </w:tr>
    </w:tbl>
    <w:p>
      <w:pPr>
        <w:pStyle w:val="yFootnotesection"/>
        <w:rPr>
          <w:rStyle w:val="CharSDivNo"/>
          <w:b/>
          <w:sz w:val="22"/>
        </w:rPr>
      </w:pPr>
      <w:bookmarkStart w:id="74" w:name="_Toc169167901"/>
      <w:bookmarkStart w:id="75" w:name="_Toc169167996"/>
      <w:bookmarkStart w:id="76" w:name="_Toc169168149"/>
      <w:bookmarkStart w:id="77" w:name="_Toc169168522"/>
      <w:bookmarkStart w:id="78" w:name="_Toc169170353"/>
      <w:bookmarkStart w:id="79" w:name="_Toc169170644"/>
      <w:bookmarkStart w:id="80" w:name="_Toc170208331"/>
      <w:r>
        <w:tab/>
        <w:t>[Division 1 inserted: SL 2024/102 bl. 4.]</w:t>
      </w:r>
    </w:p>
    <w:p>
      <w:pPr>
        <w:pStyle w:val="yHeading3"/>
      </w:pPr>
      <w:bookmarkStart w:id="81" w:name="_Toc170210830"/>
      <w:bookmarkStart w:id="82" w:name="_Toc170291813"/>
      <w:r>
        <w:rPr>
          <w:rStyle w:val="CharSDivNo"/>
        </w:rPr>
        <w:lastRenderedPageBreak/>
        <w:t>Division 2</w:t>
      </w:r>
      <w:r>
        <w:rPr>
          <w:b w:val="0"/>
        </w:rPr>
        <w:t> — </w:t>
      </w:r>
      <w:r>
        <w:rPr>
          <w:rStyle w:val="CharSDivText"/>
        </w:rPr>
        <w:t>Miscellaneous</w:t>
      </w:r>
      <w:bookmarkEnd w:id="74"/>
      <w:bookmarkEnd w:id="75"/>
      <w:bookmarkEnd w:id="76"/>
      <w:bookmarkEnd w:id="77"/>
      <w:bookmarkEnd w:id="78"/>
      <w:bookmarkEnd w:id="79"/>
      <w:bookmarkEnd w:id="80"/>
      <w:bookmarkEnd w:id="81"/>
      <w:bookmarkEnd w:id="82"/>
    </w:p>
    <w:p>
      <w:pPr>
        <w:pStyle w:val="yFootnoteheading"/>
        <w:keepNext/>
        <w:spacing w:after="120"/>
      </w:pPr>
      <w:bookmarkStart w:id="83" w:name="_Toc169167902"/>
      <w:bookmarkStart w:id="84" w:name="_Toc169170645"/>
      <w:r>
        <w:tab/>
        <w:t>[Heading inserted: SL 2024/102 bl. 4.]</w:t>
      </w:r>
    </w:p>
    <w:p>
      <w:pPr>
        <w:pStyle w:val="yHeading5"/>
      </w:pPr>
      <w:bookmarkStart w:id="85" w:name="_Toc170291814"/>
      <w:r>
        <w:rPr>
          <w:rStyle w:val="CharSClsNo"/>
        </w:rPr>
        <w:t>1</w:t>
      </w:r>
      <w:r>
        <w:t>.</w:t>
      </w:r>
      <w:r>
        <w:tab/>
        <w:t>Traffic light installation</w:t>
      </w:r>
      <w:bookmarkEnd w:id="83"/>
      <w:bookmarkEnd w:id="84"/>
      <w:bookmarkEnd w:id="85"/>
    </w:p>
    <w:p>
      <w:pPr>
        <w:pStyle w:val="ySubsection"/>
        <w:keepNext/>
      </w:pPr>
      <w:r>
        <w:tab/>
      </w:r>
      <w:r>
        <w:tab/>
        <w:t xml:space="preserve">Supply of electricity to traffic light installations comprises a charge of </w:t>
      </w:r>
      <w:r>
        <w:rPr>
          <w:szCs w:val="22"/>
        </w:rPr>
        <w:t xml:space="preserve">$9.0214 </w:t>
      </w:r>
      <w:r>
        <w:t>per day per kW of installed wattage.</w:t>
      </w:r>
    </w:p>
    <w:p>
      <w:pPr>
        <w:pStyle w:val="yFootnotesection"/>
      </w:pPr>
      <w:r>
        <w:tab/>
        <w:t>[Clause 1 inserted: SL 2024/102 bl. 4.]</w:t>
      </w:r>
    </w:p>
    <w:p>
      <w:pPr>
        <w:pStyle w:val="yHeading5"/>
      </w:pPr>
      <w:bookmarkStart w:id="86" w:name="_Toc169167903"/>
      <w:bookmarkStart w:id="87" w:name="_Toc169170646"/>
      <w:bookmarkStart w:id="88" w:name="_Toc170291815"/>
      <w:r>
        <w:rPr>
          <w:rStyle w:val="CharSClsNo"/>
        </w:rPr>
        <w:t>2</w:t>
      </w:r>
      <w:r>
        <w:t>.</w:t>
      </w:r>
      <w:r>
        <w:tab/>
        <w:t>Public telephone facility</w:t>
      </w:r>
      <w:bookmarkEnd w:id="86"/>
      <w:bookmarkEnd w:id="87"/>
      <w:bookmarkEnd w:id="88"/>
    </w:p>
    <w:p>
      <w:pPr>
        <w:pStyle w:val="ySubsection"/>
      </w:pPr>
      <w:r>
        <w:tab/>
      </w:r>
      <w:r>
        <w:tab/>
        <w:t>Supply of electricity to a standard public telephone facility where supply is not independently metered comprises a charge of 76.4435 cents per day.</w:t>
      </w:r>
    </w:p>
    <w:p>
      <w:pPr>
        <w:pStyle w:val="yFootnotesection"/>
      </w:pPr>
      <w:r>
        <w:tab/>
        <w:t>[Clause 2 inserted: SL 2024/102 bl. 4.]</w:t>
      </w:r>
    </w:p>
    <w:p>
      <w:pPr>
        <w:pStyle w:val="yHeading5"/>
      </w:pPr>
      <w:bookmarkStart w:id="89" w:name="_Toc169167904"/>
      <w:bookmarkStart w:id="90" w:name="_Toc169170647"/>
      <w:bookmarkStart w:id="91" w:name="_Toc170291816"/>
      <w:r>
        <w:rPr>
          <w:rStyle w:val="CharSClsNo"/>
        </w:rPr>
        <w:t>3</w:t>
      </w:r>
      <w:r>
        <w:t>.</w:t>
      </w:r>
      <w:r>
        <w:tab/>
        <w:t>Railway crossing</w:t>
      </w:r>
      <w:bookmarkEnd w:id="89"/>
      <w:bookmarkEnd w:id="90"/>
      <w:bookmarkEnd w:id="91"/>
    </w:p>
    <w:p>
      <w:pPr>
        <w:pStyle w:val="ySubsection"/>
      </w:pPr>
      <w:r>
        <w:tab/>
      </w:r>
      <w:r>
        <w:tab/>
        <w:t xml:space="preserve">Supply of electricity to standard railway crossing lights comprises a charge of </w:t>
      </w:r>
      <w:r>
        <w:rPr>
          <w:szCs w:val="22"/>
        </w:rPr>
        <w:t xml:space="preserve">97.6897 </w:t>
      </w:r>
      <w:r>
        <w:t>cents per day.</w:t>
      </w:r>
    </w:p>
    <w:p>
      <w:pPr>
        <w:pStyle w:val="yFootnotesection"/>
      </w:pPr>
      <w:r>
        <w:tab/>
        <w:t>[Clause 3 inserted: SL 2024/102 bl. 4.]</w:t>
      </w:r>
    </w:p>
    <w:bookmarkEnd w:id="63"/>
    <w:bookmarkEnd w:id="64"/>
    <w:p>
      <w:pPr>
        <w:rPr>
          <w:i/>
          <w:snapToGrid w:val="0"/>
          <w:sz w:val="22"/>
        </w:rPr>
        <w:sectPr>
          <w:headerReference w:type="even" r:id="rId25"/>
          <w:headerReference w:type="default" r:id="rId26"/>
          <w:pgSz w:w="11907" w:h="16840" w:code="9"/>
          <w:pgMar w:top="2381" w:right="2410" w:bottom="3544" w:left="2410" w:header="720" w:footer="3544" w:gutter="0"/>
          <w:cols w:space="720"/>
          <w:titlePg/>
        </w:sectPr>
      </w:pPr>
    </w:p>
    <w:p>
      <w:pPr>
        <w:pStyle w:val="yScheduleHeading"/>
      </w:pPr>
      <w:bookmarkStart w:id="92" w:name="_Toc170205819"/>
      <w:bookmarkStart w:id="93" w:name="_Toc170205898"/>
      <w:bookmarkStart w:id="94" w:name="_Toc170208335"/>
      <w:bookmarkStart w:id="95" w:name="_Toc170210834"/>
      <w:bookmarkStart w:id="96" w:name="_Toc170291817"/>
      <w:r>
        <w:rPr>
          <w:rStyle w:val="CharSchNo"/>
        </w:rPr>
        <w:lastRenderedPageBreak/>
        <w:t>Schedule 3</w:t>
      </w:r>
      <w:r>
        <w:rPr>
          <w:rStyle w:val="CharSDivNo"/>
        </w:rPr>
        <w:t> </w:t>
      </w:r>
      <w:r>
        <w:t>—</w:t>
      </w:r>
      <w:r>
        <w:rPr>
          <w:rStyle w:val="CharSDivText"/>
        </w:rPr>
        <w:t> </w:t>
      </w:r>
      <w:r>
        <w:rPr>
          <w:rStyle w:val="CharSchText"/>
        </w:rPr>
        <w:t>Meter rental</w:t>
      </w:r>
      <w:bookmarkEnd w:id="92"/>
      <w:bookmarkEnd w:id="93"/>
      <w:bookmarkEnd w:id="94"/>
      <w:bookmarkEnd w:id="95"/>
      <w:bookmarkEnd w:id="9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97" w:name="_Toc170205820"/>
      <w:bookmarkStart w:id="98" w:name="_Toc170205899"/>
      <w:bookmarkStart w:id="99" w:name="_Toc170208336"/>
      <w:bookmarkStart w:id="100" w:name="_Toc170210835"/>
      <w:bookmarkStart w:id="101" w:name="_Toc170291818"/>
      <w:r>
        <w:rPr>
          <w:rStyle w:val="CharSchNo"/>
        </w:rPr>
        <w:lastRenderedPageBreak/>
        <w:t>Schedule 4</w:t>
      </w:r>
      <w:r>
        <w:t> — </w:t>
      </w:r>
      <w:r>
        <w:rPr>
          <w:rStyle w:val="CharSchText"/>
        </w:rPr>
        <w:t>Fees</w:t>
      </w:r>
      <w:bookmarkEnd w:id="97"/>
      <w:bookmarkEnd w:id="98"/>
      <w:bookmarkEnd w:id="99"/>
      <w:bookmarkEnd w:id="100"/>
      <w:bookmarkEnd w:id="101"/>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$26.84</w:t>
            </w:r>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$208.01</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rPr>
                <w:szCs w:val="22"/>
              </w:rPr>
              <w:t>$340.40</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$105.93</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rPr>
                <w:szCs w:val="18"/>
              </w:rPr>
              <w:t>$25.96</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rPr>
                <w:szCs w:val="22"/>
              </w:rPr>
              <w:t>$20.46</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rPr>
                <w:szCs w:val="18"/>
              </w:rPr>
              <w:t>$5.72</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lastRenderedPageBreak/>
              <w:t>11.</w:t>
            </w:r>
            <w:r>
              <w:tab/>
              <w:t xml:space="preserve">Fee for provision of cellular communications capability for meter (where radio mesh network cannot be used) </w:t>
            </w:r>
            <w:r>
              <w:tab/>
            </w:r>
          </w:p>
        </w:tc>
        <w:tc>
          <w:tcPr>
            <w:tcW w:w="1276" w:type="dxa"/>
          </w:tcPr>
          <w:p>
            <w:pPr>
              <w:pStyle w:val="yTableNAm"/>
            </w:pPr>
            <w:r>
              <w:br/>
            </w:r>
            <w:r>
              <w:br/>
            </w:r>
            <w:r>
              <w:rPr>
                <w:szCs w:val="22"/>
              </w:rPr>
              <w:t>$419.54</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rPr>
                <w:szCs w:val="22"/>
              </w:rPr>
              <w:t>$1.54</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 amended: SL 2022/70 bl. 5; SL 2023/85 bl. 5; SL 2024/102 r. 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02" w:name="_Toc170205821"/>
      <w:bookmarkStart w:id="103" w:name="_Toc170205900"/>
      <w:bookmarkStart w:id="104" w:name="_Toc170208337"/>
      <w:bookmarkStart w:id="105" w:name="_Toc170210836"/>
      <w:bookmarkStart w:id="106" w:name="_Toc170291819"/>
      <w:r>
        <w:lastRenderedPageBreak/>
        <w:t>Notes</w:t>
      </w:r>
      <w:bookmarkEnd w:id="102"/>
      <w:bookmarkEnd w:id="103"/>
      <w:bookmarkEnd w:id="104"/>
      <w:bookmarkEnd w:id="105"/>
      <w:bookmarkEnd w:id="106"/>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107" w:name="_Toc170291820"/>
      <w:r>
        <w:t>Compilation table</w:t>
      </w:r>
      <w:bookmarkEnd w:id="107"/>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lastRenderedPageBreak/>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pPr>
              <w:pStyle w:val="nTable"/>
              <w:spacing w:after="40"/>
            </w:pPr>
            <w:r>
              <w:t>SL 2022/70 3 Jun 2022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top w:val="nil"/>
              <w:bottom w:val="nil"/>
            </w:tcBorders>
            <w:shd w:val="clear" w:color="auto" w:fill="auto"/>
          </w:tcPr>
          <w:p>
            <w:pPr>
              <w:pStyle w:val="nTable"/>
              <w:spacing w:after="40"/>
            </w:pPr>
            <w:r>
              <w:t>SL 2023/85 27 Jun 2023</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2024</w:t>
            </w:r>
          </w:p>
        </w:tc>
        <w:tc>
          <w:tcPr>
            <w:tcW w:w="1276" w:type="dxa"/>
            <w:gridSpan w:val="2"/>
            <w:tcBorders>
              <w:bottom w:val="single" w:sz="4" w:space="0" w:color="auto"/>
            </w:tcBorders>
            <w:shd w:val="clear" w:color="auto" w:fill="auto"/>
          </w:tcPr>
          <w:p>
            <w:pPr>
              <w:pStyle w:val="nTable"/>
              <w:spacing w:after="40"/>
            </w:pPr>
            <w:r>
              <w:t>SL 2024/102 14 Jun 2024</w:t>
            </w:r>
          </w:p>
        </w:tc>
        <w:tc>
          <w:tcPr>
            <w:tcW w:w="2694" w:type="dxa"/>
            <w:gridSpan w:val="2"/>
            <w:tcBorders>
              <w:bottom w:val="single" w:sz="4" w:space="0" w:color="auto"/>
            </w:tcBorders>
            <w:shd w:val="clear" w:color="auto" w:fill="auto"/>
          </w:tcPr>
          <w:p>
            <w:pPr>
              <w:pStyle w:val="nTable"/>
              <w:spacing w:after="40"/>
            </w:pPr>
            <w:r>
              <w:rPr>
                <w:bCs/>
                <w:snapToGrid w:val="0"/>
                <w:spacing w:val="-2"/>
              </w:rPr>
              <w:t>bl. 1 and 2: 14 Jun 2024 (see bl. 2(a));</w:t>
            </w:r>
            <w:r>
              <w:rPr>
                <w:bCs/>
                <w:snapToGrid w:val="0"/>
                <w:spacing w:val="-2"/>
              </w:rPr>
              <w:br/>
              <w:t>By-laws other than bl. 1 and 2: 1 Jul 2024</w:t>
            </w:r>
            <w:r>
              <w:t xml:space="preserve"> (see bl. 2(b))</w:t>
            </w:r>
          </w:p>
        </w:tc>
      </w:tr>
    </w:tbl>
    <w:p>
      <w:pPr>
        <w:pStyle w:val="nHeading3"/>
      </w:pPr>
      <w:bookmarkStart w:id="108" w:name="_Toc170291821"/>
      <w:r>
        <w:lastRenderedPageBreak/>
        <w:t>Other notes</w:t>
      </w:r>
      <w:bookmarkEnd w:id="108"/>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10" w:name="_Toc170205825"/>
      <w:bookmarkStart w:id="111" w:name="_Toc170205904"/>
      <w:bookmarkStart w:id="112" w:name="_Toc170208340"/>
      <w:bookmarkStart w:id="113" w:name="_Toc170210839"/>
      <w:bookmarkStart w:id="114" w:name="_Toc170291822"/>
      <w:r>
        <w:rPr>
          <w:sz w:val="28"/>
        </w:rPr>
        <w:lastRenderedPageBreak/>
        <w:t>Defined terms</w:t>
      </w:r>
      <w:bookmarkEnd w:id="110"/>
      <w:bookmarkEnd w:id="111"/>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D93DC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9618DF" w14:textId="20AA0D97" w:rsidR="0005488B" w:rsidRDefault="00720F5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C460D">
                        <w:rPr>
                          <w:sz w:val="16"/>
                        </w:rPr>
                        <w:t>2024</w:t>
                      </w:r>
                      <w:r>
                        <w:rPr>
                          <w:sz w:val="16"/>
                        </w:rPr>
                        <w:fldChar w:fldCharType="end"/>
                      </w:r>
                      <w:r>
                        <w:rPr>
                          <w:sz w:val="16"/>
                        </w:rPr>
                        <w:t>.</w:t>
                      </w:r>
                    </w:p>
                    <w:p w14:paraId="7A451486" w14:textId="77777777" w:rsidR="0005488B" w:rsidRDefault="00720F5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316000" w14:textId="0BD669E3" w:rsidR="0005488B" w:rsidRDefault="00720F5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C460D">
                        <w:rPr>
                          <w:sz w:val="16"/>
                        </w:rPr>
                        <w:t>2024</w:t>
                      </w:r>
                      <w:r>
                        <w:rPr>
                          <w:sz w:val="16"/>
                        </w:rPr>
                        <w:fldChar w:fldCharType="end"/>
                      </w:r>
                      <w:r>
                        <w:rPr>
                          <w:sz w:val="16"/>
                        </w:rPr>
                        <w:t>.</w:t>
                      </w:r>
                    </w:p>
                    <w:p w14:paraId="4C3CBBA3" w14:textId="77777777" w:rsidR="0005488B" w:rsidRDefault="00720F5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0125"/>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 w:name="WAFER_2024061311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02_GUID" w:val="45217c2c-d2a7-49b5-b0e8-a9acf72deec0"/>
    <w:docVar w:name="WAFER_20240625110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125_GUID" w:val="1b3ff25a-3cec-4ea9-adb1-8e2fa4a47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4834</Words>
  <Characters>23739</Characters>
  <Application>Microsoft Office Word</Application>
  <DocSecurity>0</DocSecurity>
  <Lines>879</Lines>
  <Paragraphs>571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2006 - 04-m0-00</dc:title>
  <dc:subject/>
  <dc:creator/>
  <cp:keywords/>
  <dc:description/>
  <cp:lastModifiedBy>Master Repository Process</cp:lastModifiedBy>
  <cp:revision>4</cp:revision>
  <cp:lastPrinted>2019-06-24T07:01:00Z</cp:lastPrinted>
  <dcterms:created xsi:type="dcterms:W3CDTF">2025-05-30T04:03:00Z</dcterms:created>
  <dcterms:modified xsi:type="dcterms:W3CDTF">2025-05-30T04:03:00Z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01 Jul 2024</vt:lpwstr>
  </property>
  <property fmtid="{D5CDD505-2E9C-101B-9397-08002B2CF9AE}" pid="8" name="Suffix">
    <vt:lpwstr>04-m0-00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