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Energy Operators (Powers) Act 1979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Energy Operators (Regional Power Corporation) (Charges) By-laws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Energy Operators (Regional Power Corporation) (Charges) By-laws 2006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_Toc170293073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_Toc170293074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_Toc170293075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Electricity charges</w:t>
      </w:r>
      <w:r>
        <w:tab/>
      </w:r>
      <w:r>
        <w:fldChar w:fldCharType="begin"/>
      </w:r>
      <w:r>
        <w:instrText xml:space="preserve"> PAGEREF _Toc170293076 \h </w:instrText>
      </w:r>
      <w:r>
        <w:fldChar w:fldCharType="separate"/>
      </w:r>
      <w:r>
        <w:t>2</w:t>
      </w:r>
      <w:r>
        <w:fldChar w:fldCharType="end"/>
      </w:r>
    </w:p>
    <w:p>
      <w:pPr>
        <w:pStyle w:val="TOC8"/>
        <w:rPr>
          <w:rFonts w:asciiTheme="minorHAnsi" w:eastAsiaTheme="minorEastAsia" w:hAnsiTheme="minorHAnsi" w:cstheme="minorBidi"/>
          <w:szCs w:val="22"/>
        </w:rPr>
      </w:pPr>
      <w:r>
        <w:t>5.</w:t>
      </w:r>
      <w:r>
        <w:tab/>
        <w:t>Application of residential tariffs</w:t>
      </w:r>
      <w:r>
        <w:tab/>
      </w:r>
      <w:r>
        <w:fldChar w:fldCharType="begin"/>
      </w:r>
      <w:r>
        <w:instrText xml:space="preserve"> PAGEREF _Toc170293077 \h </w:instrText>
      </w:r>
      <w:r>
        <w:fldChar w:fldCharType="separate"/>
      </w:r>
      <w:r>
        <w:t>3</w:t>
      </w:r>
      <w:r>
        <w:fldChar w:fldCharType="end"/>
      </w:r>
    </w:p>
    <w:p>
      <w:pPr>
        <w:pStyle w:val="TOC8"/>
        <w:rPr>
          <w:rFonts w:asciiTheme="minorHAnsi" w:eastAsiaTheme="minorEastAsia" w:hAnsiTheme="minorHAnsi" w:cstheme="minorBidi"/>
          <w:szCs w:val="22"/>
        </w:rPr>
      </w:pPr>
      <w:r>
        <w:t>6.</w:t>
      </w:r>
      <w:r>
        <w:tab/>
        <w:t>Meter rental</w:t>
      </w:r>
      <w:r>
        <w:tab/>
      </w:r>
      <w:r>
        <w:fldChar w:fldCharType="begin"/>
      </w:r>
      <w:r>
        <w:instrText xml:space="preserve"> PAGEREF _Toc170293078 \h </w:instrText>
      </w:r>
      <w:r>
        <w:fldChar w:fldCharType="separate"/>
      </w:r>
      <w:r>
        <w:t>4</w:t>
      </w:r>
      <w:r>
        <w:fldChar w:fldCharType="end"/>
      </w:r>
    </w:p>
    <w:p>
      <w:pPr>
        <w:pStyle w:val="TOC8"/>
        <w:rPr>
          <w:rFonts w:asciiTheme="minorHAnsi" w:eastAsiaTheme="minorEastAsia" w:hAnsiTheme="minorHAnsi" w:cstheme="minorBidi"/>
          <w:szCs w:val="22"/>
        </w:rPr>
      </w:pPr>
      <w:r>
        <w:t>7.</w:t>
      </w:r>
      <w:r>
        <w:tab/>
        <w:t>Fees</w:t>
      </w:r>
      <w:r>
        <w:tab/>
      </w:r>
      <w:r>
        <w:fldChar w:fldCharType="begin"/>
      </w:r>
      <w:r>
        <w:instrText xml:space="preserve"> PAGEREF _Toc170293079 \h </w:instrText>
      </w:r>
      <w:r>
        <w:fldChar w:fldCharType="separate"/>
      </w:r>
      <w:r>
        <w:t>4</w:t>
      </w:r>
      <w:r>
        <w:fldChar w:fldCharType="end"/>
      </w:r>
    </w:p>
    <w:p>
      <w:pPr>
        <w:pStyle w:val="TOC8"/>
        <w:rPr>
          <w:rFonts w:asciiTheme="minorHAnsi" w:eastAsiaTheme="minorEastAsia" w:hAnsiTheme="minorHAnsi" w:cstheme="minorBidi"/>
          <w:szCs w:val="22"/>
        </w:rPr>
      </w:pPr>
      <w:r>
        <w:t>8.</w:t>
      </w:r>
      <w:r>
        <w:tab/>
        <w:t>Payment</w:t>
      </w:r>
      <w:r>
        <w:tab/>
      </w:r>
      <w:r>
        <w:fldChar w:fldCharType="begin"/>
      </w:r>
      <w:r>
        <w:instrText xml:space="preserve"> PAGEREF _Toc170293080 \h </w:instrText>
      </w:r>
      <w:r>
        <w:fldChar w:fldCharType="separate"/>
      </w:r>
      <w:r>
        <w:t>4</w:t>
      </w:r>
      <w:r>
        <w:fldChar w:fldCharType="end"/>
      </w:r>
    </w:p>
    <w:p>
      <w:pPr>
        <w:pStyle w:val="TOC8"/>
        <w:rPr>
          <w:rFonts w:asciiTheme="minorHAnsi" w:eastAsiaTheme="minorEastAsia" w:hAnsiTheme="minorHAnsi" w:cstheme="minorBidi"/>
          <w:szCs w:val="22"/>
        </w:rPr>
      </w:pPr>
      <w:r>
        <w:t>10.</w:t>
      </w:r>
      <w:r>
        <w:tab/>
        <w:t>Calculation of charges</w:t>
      </w:r>
      <w:r>
        <w:tab/>
      </w:r>
      <w:r>
        <w:fldChar w:fldCharType="begin"/>
      </w:r>
      <w:r>
        <w:instrText xml:space="preserve"> PAGEREF _Toc170293081 \h </w:instrText>
      </w:r>
      <w:r>
        <w:fldChar w:fldCharType="separate"/>
      </w:r>
      <w:r>
        <w:t>5</w:t>
      </w:r>
      <w:r>
        <w:fldChar w:fldCharType="end"/>
      </w:r>
    </w:p>
    <w:p>
      <w:pPr>
        <w:pStyle w:val="TOC8"/>
        <w:rPr>
          <w:rFonts w:asciiTheme="minorHAnsi" w:eastAsiaTheme="minorEastAsia" w:hAnsiTheme="minorHAnsi" w:cstheme="minorBidi"/>
          <w:szCs w:val="22"/>
        </w:rPr>
      </w:pPr>
      <w:r>
        <w:t>11.</w:t>
      </w:r>
      <w:r>
        <w:tab/>
        <w:t>Changes in rates</w:t>
      </w:r>
      <w:r>
        <w:tab/>
      </w:r>
      <w:r>
        <w:fldChar w:fldCharType="begin"/>
      </w:r>
      <w:r>
        <w:instrText xml:space="preserve"> PAGEREF _Toc170293082 \h </w:instrText>
      </w:r>
      <w:r>
        <w:fldChar w:fldCharType="separate"/>
      </w:r>
      <w:r>
        <w:t>5</w:t>
      </w:r>
      <w:r>
        <w:fldChar w:fldCharType="end"/>
      </w:r>
    </w:p>
    <w:p>
      <w:pPr>
        <w:pStyle w:val="TOC8"/>
        <w:rPr>
          <w:rFonts w:asciiTheme="minorHAnsi" w:eastAsiaTheme="minorEastAsia" w:hAnsiTheme="minorHAnsi" w:cstheme="minorBidi"/>
          <w:szCs w:val="22"/>
        </w:rPr>
      </w:pPr>
      <w:r>
        <w:t>12.</w:t>
      </w:r>
      <w:r>
        <w:tab/>
        <w:t>Prescribed rate of interest for s. 62(16) of Act</w:t>
      </w:r>
      <w:r>
        <w:tab/>
      </w:r>
      <w:r>
        <w:fldChar w:fldCharType="begin"/>
      </w:r>
      <w:r>
        <w:instrText xml:space="preserve"> PAGEREF _Toc170293083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 1 — Supply charges</w:t>
      </w:r>
    </w:p>
    <w:p>
      <w:pPr>
        <w:pStyle w:val="TOC4"/>
        <w:tabs>
          <w:tab w:val="right" w:leader="dot" w:pos="7077"/>
        </w:tabs>
        <w:rPr>
          <w:rFonts w:asciiTheme="minorHAnsi" w:eastAsiaTheme="minorEastAsia" w:hAnsiTheme="minorHAnsi" w:cstheme="minorBidi"/>
          <w:b w:val="0"/>
          <w:szCs w:val="22"/>
        </w:rPr>
      </w:pPr>
      <w:r>
        <w:t>Division 1 — Tariffs other than MyPower tariffs</w:t>
      </w:r>
    </w:p>
    <w:p>
      <w:pPr>
        <w:pStyle w:val="TOC8"/>
        <w:rPr>
          <w:rFonts w:asciiTheme="minorHAnsi" w:eastAsiaTheme="minorEastAsia" w:hAnsiTheme="minorHAnsi" w:cstheme="minorBidi"/>
          <w:szCs w:val="22"/>
        </w:rPr>
      </w:pPr>
      <w:r>
        <w:t>1.</w:t>
      </w:r>
      <w:r>
        <w:tab/>
        <w:t>Tariff L2 (general supply — low/medium voltage tariff)</w:t>
      </w:r>
      <w:r>
        <w:tab/>
      </w:r>
      <w:r>
        <w:fldChar w:fldCharType="begin"/>
      </w:r>
      <w:r>
        <w:instrText xml:space="preserve"> PAGEREF _Toc170293086 \h </w:instrText>
      </w:r>
      <w:r>
        <w:fldChar w:fldCharType="separate"/>
      </w:r>
      <w:r>
        <w:t>7</w:t>
      </w:r>
      <w:r>
        <w:fldChar w:fldCharType="end"/>
      </w:r>
    </w:p>
    <w:p>
      <w:pPr>
        <w:pStyle w:val="TOC8"/>
        <w:rPr>
          <w:rFonts w:asciiTheme="minorHAnsi" w:eastAsiaTheme="minorEastAsia" w:hAnsiTheme="minorHAnsi" w:cstheme="minorBidi"/>
          <w:szCs w:val="22"/>
        </w:rPr>
      </w:pPr>
      <w:r>
        <w:t>2.</w:t>
      </w:r>
      <w:r>
        <w:tab/>
        <w:t>Tariff L4 (general supply — low/medium voltage tariff)</w:t>
      </w:r>
      <w:r>
        <w:tab/>
      </w:r>
      <w:r>
        <w:fldChar w:fldCharType="begin"/>
      </w:r>
      <w:r>
        <w:instrText xml:space="preserve"> PAGEREF _Toc170293087 \h </w:instrText>
      </w:r>
      <w:r>
        <w:fldChar w:fldCharType="separate"/>
      </w:r>
      <w:r>
        <w:t>7</w:t>
      </w:r>
      <w:r>
        <w:fldChar w:fldCharType="end"/>
      </w:r>
    </w:p>
    <w:p>
      <w:pPr>
        <w:pStyle w:val="TOC8"/>
        <w:rPr>
          <w:rFonts w:asciiTheme="minorHAnsi" w:eastAsiaTheme="minorEastAsia" w:hAnsiTheme="minorHAnsi" w:cstheme="minorBidi"/>
          <w:szCs w:val="22"/>
        </w:rPr>
      </w:pPr>
      <w:r>
        <w:t>3.</w:t>
      </w:r>
      <w:r>
        <w:tab/>
        <w:t>Tariff A2 (residential tariff)</w:t>
      </w:r>
      <w:r>
        <w:tab/>
      </w:r>
      <w:r>
        <w:fldChar w:fldCharType="begin"/>
      </w:r>
      <w:r>
        <w:instrText xml:space="preserve"> PAGEREF _Toc170293088 \h </w:instrText>
      </w:r>
      <w:r>
        <w:fldChar w:fldCharType="separate"/>
      </w:r>
      <w:r>
        <w:t>8</w:t>
      </w:r>
      <w:r>
        <w:fldChar w:fldCharType="end"/>
      </w:r>
    </w:p>
    <w:p>
      <w:pPr>
        <w:pStyle w:val="TOC8"/>
        <w:rPr>
          <w:rFonts w:asciiTheme="minorHAnsi" w:eastAsiaTheme="minorEastAsia" w:hAnsiTheme="minorHAnsi" w:cstheme="minorBidi"/>
          <w:szCs w:val="22"/>
        </w:rPr>
      </w:pPr>
      <w:r>
        <w:t>4.</w:t>
      </w:r>
      <w:r>
        <w:tab/>
        <w:t>Tariff C2 (special community service tariff)</w:t>
      </w:r>
      <w:r>
        <w:tab/>
      </w:r>
      <w:r>
        <w:fldChar w:fldCharType="begin"/>
      </w:r>
      <w:r>
        <w:instrText xml:space="preserve"> PAGEREF _Toc170293089 \h </w:instrText>
      </w:r>
      <w:r>
        <w:fldChar w:fldCharType="separate"/>
      </w:r>
      <w:r>
        <w:t>8</w:t>
      </w:r>
      <w:r>
        <w:fldChar w:fldCharType="end"/>
      </w:r>
    </w:p>
    <w:p>
      <w:pPr>
        <w:pStyle w:val="TOC8"/>
        <w:rPr>
          <w:rFonts w:asciiTheme="minorHAnsi" w:eastAsiaTheme="minorEastAsia" w:hAnsiTheme="minorHAnsi" w:cstheme="minorBidi"/>
          <w:szCs w:val="22"/>
        </w:rPr>
      </w:pPr>
      <w:r>
        <w:t>5.</w:t>
      </w:r>
      <w:r>
        <w:tab/>
        <w:t>Tariff D2 (special tariff for certain premises)</w:t>
      </w:r>
      <w:r>
        <w:tab/>
      </w:r>
      <w:r>
        <w:fldChar w:fldCharType="begin"/>
      </w:r>
      <w:r>
        <w:instrText xml:space="preserve"> PAGEREF _Toc170293090 \h </w:instrText>
      </w:r>
      <w:r>
        <w:fldChar w:fldCharType="separate"/>
      </w:r>
      <w:r>
        <w:t>9</w:t>
      </w:r>
      <w:r>
        <w:fldChar w:fldCharType="end"/>
      </w:r>
    </w:p>
    <w:p>
      <w:pPr>
        <w:pStyle w:val="TOC8"/>
        <w:rPr>
          <w:rFonts w:asciiTheme="minorHAnsi" w:eastAsiaTheme="minorEastAsia" w:hAnsiTheme="minorHAnsi" w:cstheme="minorBidi"/>
          <w:szCs w:val="22"/>
        </w:rPr>
      </w:pPr>
      <w:r>
        <w:t>6.</w:t>
      </w:r>
      <w:r>
        <w:tab/>
        <w:t>Tariff K2 (general supply with residential tariff)</w:t>
      </w:r>
      <w:r>
        <w:tab/>
      </w:r>
      <w:r>
        <w:fldChar w:fldCharType="begin"/>
      </w:r>
      <w:r>
        <w:instrText xml:space="preserve"> PAGEREF _Toc170293091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MyPower tariffs</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_Toc170293093 \h </w:instrText>
      </w:r>
      <w:r>
        <w:fldChar w:fldCharType="separate"/>
      </w:r>
      <w:r>
        <w:t>10</w:t>
      </w:r>
      <w:r>
        <w:fldChar w:fldCharType="end"/>
      </w:r>
    </w:p>
    <w:p>
      <w:pPr>
        <w:pStyle w:val="TOC8"/>
        <w:rPr>
          <w:rFonts w:asciiTheme="minorHAnsi" w:eastAsiaTheme="minorEastAsia" w:hAnsiTheme="minorHAnsi" w:cstheme="minorBidi"/>
          <w:szCs w:val="22"/>
        </w:rPr>
      </w:pPr>
      <w:r>
        <w:t>8.</w:t>
      </w:r>
      <w:r>
        <w:tab/>
        <w:t>MyPower residential tariffs</w:t>
      </w:r>
      <w:r>
        <w:tab/>
      </w:r>
      <w:r>
        <w:fldChar w:fldCharType="begin"/>
      </w:r>
      <w:r>
        <w:instrText xml:space="preserve"> PAGEREF _Toc170293094 \h </w:instrText>
      </w:r>
      <w:r>
        <w:fldChar w:fldCharType="separate"/>
      </w:r>
      <w:r>
        <w:t>12</w:t>
      </w:r>
      <w:r>
        <w:fldChar w:fldCharType="end"/>
      </w:r>
    </w:p>
    <w:p>
      <w:pPr>
        <w:pStyle w:val="TOC8"/>
        <w:rPr>
          <w:rFonts w:asciiTheme="minorHAnsi" w:eastAsiaTheme="minorEastAsia" w:hAnsiTheme="minorHAnsi" w:cstheme="minorBidi"/>
          <w:szCs w:val="22"/>
        </w:rPr>
      </w:pPr>
      <w:r>
        <w:t>9.</w:t>
      </w:r>
      <w:r>
        <w:tab/>
        <w:t>MyPower non</w:t>
      </w:r>
      <w:r>
        <w:noBreakHyphen/>
        <w:t>residential tariffs</w:t>
      </w:r>
      <w:r>
        <w:tab/>
      </w:r>
      <w:r>
        <w:fldChar w:fldCharType="begin"/>
      </w:r>
      <w:r>
        <w:instrText xml:space="preserve"> PAGEREF _Toc170293095 \h </w:instrText>
      </w:r>
      <w:r>
        <w:fldChar w:fldCharType="separate"/>
      </w:r>
      <w:r>
        <w:t>14</w:t>
      </w:r>
      <w:r>
        <w:fldChar w:fldCharType="end"/>
      </w:r>
    </w:p>
    <w:p>
      <w:pPr>
        <w:pStyle w:val="TOC8"/>
        <w:rPr>
          <w:rFonts w:asciiTheme="minorHAnsi" w:eastAsiaTheme="minorEastAsia" w:hAnsiTheme="minorHAnsi" w:cstheme="minorBidi"/>
          <w:szCs w:val="22"/>
        </w:rPr>
      </w:pPr>
      <w:r>
        <w:lastRenderedPageBreak/>
        <w:t>10.</w:t>
      </w:r>
      <w:r>
        <w:tab/>
        <w:t>Eligibility criteria for MyPower tariffs</w:t>
      </w:r>
      <w:r>
        <w:tab/>
      </w:r>
      <w:r>
        <w:fldChar w:fldCharType="begin"/>
      </w:r>
      <w:r>
        <w:instrText xml:space="preserve"> PAGEREF _Toc170293096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Schedule 2 — Unmetered supply</w:t>
      </w:r>
    </w:p>
    <w:p>
      <w:pPr>
        <w:pStyle w:val="TOC4"/>
        <w:tabs>
          <w:tab w:val="right" w:leader="dot" w:pos="7077"/>
        </w:tabs>
        <w:rPr>
          <w:rFonts w:asciiTheme="minorHAnsi" w:eastAsiaTheme="minorEastAsia" w:hAnsiTheme="minorHAnsi" w:cstheme="minorBidi"/>
          <w:b w:val="0"/>
          <w:szCs w:val="22"/>
        </w:rPr>
      </w:pPr>
      <w:r>
        <w:t>Division 1 — Street lighting</w:t>
      </w:r>
    </w:p>
    <w:p>
      <w:pPr>
        <w:pStyle w:val="TOC4"/>
        <w:tabs>
          <w:tab w:val="right" w:leader="dot" w:pos="7077"/>
        </w:tabs>
        <w:rPr>
          <w:rFonts w:asciiTheme="minorHAnsi" w:eastAsiaTheme="minorEastAsia" w:hAnsiTheme="minorHAnsi" w:cstheme="minorBidi"/>
          <w:b w:val="0"/>
          <w:szCs w:val="22"/>
        </w:rPr>
      </w:pPr>
      <w:r>
        <w:t>Division 2 — Miscellaneous</w:t>
      </w:r>
    </w:p>
    <w:p>
      <w:pPr>
        <w:pStyle w:val="TOC8"/>
        <w:rPr>
          <w:rFonts w:asciiTheme="minorHAnsi" w:eastAsiaTheme="minorEastAsia" w:hAnsiTheme="minorHAnsi" w:cstheme="minorBidi"/>
          <w:szCs w:val="22"/>
        </w:rPr>
      </w:pPr>
      <w:r>
        <w:t>1.</w:t>
      </w:r>
      <w:r>
        <w:tab/>
        <w:t>Traffic light installation</w:t>
      </w:r>
      <w:r>
        <w:tab/>
      </w:r>
      <w:r>
        <w:fldChar w:fldCharType="begin"/>
      </w:r>
      <w:r>
        <w:instrText xml:space="preserve"> PAGEREF _Toc170293100 \h </w:instrText>
      </w:r>
      <w:r>
        <w:fldChar w:fldCharType="separate"/>
      </w:r>
      <w:r>
        <w:t>20</w:t>
      </w:r>
      <w:r>
        <w:fldChar w:fldCharType="end"/>
      </w:r>
    </w:p>
    <w:p>
      <w:pPr>
        <w:pStyle w:val="TOC8"/>
        <w:rPr>
          <w:rFonts w:asciiTheme="minorHAnsi" w:eastAsiaTheme="minorEastAsia" w:hAnsiTheme="minorHAnsi" w:cstheme="minorBidi"/>
          <w:szCs w:val="22"/>
        </w:rPr>
      </w:pPr>
      <w:r>
        <w:t>2.</w:t>
      </w:r>
      <w:r>
        <w:tab/>
        <w:t>Public telephone facility</w:t>
      </w:r>
      <w:r>
        <w:tab/>
      </w:r>
      <w:r>
        <w:fldChar w:fldCharType="begin"/>
      </w:r>
      <w:r>
        <w:instrText xml:space="preserve"> PAGEREF _Toc170293101 \h </w:instrText>
      </w:r>
      <w:r>
        <w:fldChar w:fldCharType="separate"/>
      </w:r>
      <w:r>
        <w:t>20</w:t>
      </w:r>
      <w:r>
        <w:fldChar w:fldCharType="end"/>
      </w:r>
    </w:p>
    <w:p>
      <w:pPr>
        <w:pStyle w:val="TOC8"/>
        <w:rPr>
          <w:rFonts w:asciiTheme="minorHAnsi" w:eastAsiaTheme="minorEastAsia" w:hAnsiTheme="minorHAnsi" w:cstheme="minorBidi"/>
          <w:szCs w:val="22"/>
        </w:rPr>
      </w:pPr>
      <w:r>
        <w:t>3.</w:t>
      </w:r>
      <w:r>
        <w:tab/>
        <w:t>Railway crossing</w:t>
      </w:r>
      <w:r>
        <w:tab/>
      </w:r>
      <w:r>
        <w:fldChar w:fldCharType="begin"/>
      </w:r>
      <w:r>
        <w:instrText xml:space="preserve"> PAGEREF _Toc170293102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Schedule 3 — Meter rentals</w:t>
      </w:r>
    </w:p>
    <w:p>
      <w:pPr>
        <w:pStyle w:val="TOC2"/>
        <w:tabs>
          <w:tab w:val="right" w:leader="dot" w:pos="7077"/>
        </w:tabs>
        <w:rPr>
          <w:rFonts w:asciiTheme="minorHAnsi" w:eastAsiaTheme="minorEastAsia" w:hAnsiTheme="minorHAnsi" w:cstheme="minorBidi"/>
          <w:b w:val="0"/>
          <w:sz w:val="22"/>
          <w:szCs w:val="22"/>
        </w:rPr>
      </w:pPr>
      <w:r>
        <w:t>Schedule 4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_Toc170293106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Energy Operators (Powers) Act 1979</w:t>
      </w:r>
    </w:p>
    <w:p>
      <w:pPr>
        <w:pStyle w:val="NameofActReg"/>
      </w:pPr>
      <w:r>
        <w:t>Energy Operators (Regional Power Corporation) (Charges) By</w:t>
      </w:r>
      <w:r>
        <w:noBreakHyphen/>
        <w:t>laws 2006</w:t>
      </w:r>
    </w:p>
    <w:p>
      <w:pPr>
        <w:pStyle w:val="Heading5"/>
      </w:pPr>
      <w:bookmarkStart w:id="2" w:name="_Toc170293073"/>
      <w:r>
        <w:rPr>
          <w:rStyle w:val="CharSectno"/>
        </w:rPr>
        <w:t>1</w:t>
      </w:r>
      <w:r>
        <w:t>.</w:t>
      </w:r>
      <w:r>
        <w:tab/>
        <w:t>Citation</w:t>
      </w:r>
      <w:bookmarkEnd w:id="2"/>
    </w:p>
    <w:p>
      <w:pPr>
        <w:pStyle w:val="Subsection"/>
      </w:pPr>
      <w:r>
        <w:tab/>
      </w:r>
      <w:r>
        <w:tab/>
        <w:t>These by</w:t>
      </w:r>
      <w:r>
        <w:noBreakHyphen/>
        <w:t xml:space="preserve">laws are the </w:t>
      </w:r>
      <w:r>
        <w:rPr>
          <w:i/>
        </w:rPr>
        <w:t>Energy Operators (Regional Power Corporation) (Charges) By</w:t>
      </w:r>
      <w:r>
        <w:rPr>
          <w:i/>
        </w:rPr>
        <w:noBreakHyphen/>
        <w:t>laws 2006</w:t>
      </w:r>
      <w:r>
        <w:t>.</w:t>
      </w:r>
    </w:p>
    <w:p>
      <w:pPr>
        <w:pStyle w:val="Heading5"/>
      </w:pPr>
      <w:bookmarkStart w:id="3" w:name="_Toc170293074"/>
      <w:r>
        <w:rPr>
          <w:rStyle w:val="CharSectno"/>
        </w:rPr>
        <w:t>2</w:t>
      </w:r>
      <w:r>
        <w:t>.</w:t>
      </w:r>
      <w:r>
        <w:tab/>
        <w:t>Commencement</w:t>
      </w:r>
      <w:bookmarkEnd w:id="3"/>
    </w:p>
    <w:p>
      <w:pPr>
        <w:pStyle w:val="Subsection"/>
      </w:pPr>
      <w:r>
        <w:tab/>
      </w:r>
      <w:r>
        <w:tab/>
        <w:t>These by</w:t>
      </w:r>
      <w:r>
        <w:noBreakHyphen/>
        <w:t>laws come into operation on 1 April 2006.</w:t>
      </w:r>
    </w:p>
    <w:p>
      <w:pPr>
        <w:pStyle w:val="Heading5"/>
        <w:rPr>
          <w:snapToGrid w:val="0"/>
        </w:rPr>
      </w:pPr>
      <w:bookmarkStart w:id="4" w:name="_Toc170293075"/>
      <w:r>
        <w:rPr>
          <w:rStyle w:val="CharSectno"/>
        </w:rPr>
        <w:t>3</w:t>
      </w:r>
      <w:r>
        <w:t>.</w:t>
      </w:r>
      <w:r>
        <w:tab/>
      </w:r>
      <w:r>
        <w:rPr>
          <w:snapToGrid w:val="0"/>
        </w:rPr>
        <w:t>Terms used</w:t>
      </w:r>
      <w:bookmarkEnd w:id="4"/>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4(1)(d);</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tab/>
      </w:r>
      <w:r>
        <w:rPr>
          <w:rStyle w:val="CharDefText"/>
        </w:rPr>
        <w:t>permitted surcharge</w:t>
      </w:r>
      <w:r>
        <w:t>, in relation to a payment, has the meaning given in RBA Standard No 3 of 2016;</w:t>
      </w:r>
    </w:p>
    <w:p>
      <w:pPr>
        <w:pStyle w:val="Defstart"/>
      </w:pPr>
      <w:r>
        <w:tab/>
      </w:r>
      <w:r>
        <w:rPr>
          <w:rStyle w:val="CharDefText"/>
        </w:rPr>
        <w:t>RBA cash rate</w:t>
      </w:r>
      <w:r>
        <w:t xml:space="preserve"> means the percentage (or maximum percentage) specified by the Reserve Bank of Australia as the Cash Rate Target;</w:t>
      </w:r>
    </w:p>
    <w:p>
      <w:pPr>
        <w:pStyle w:val="Defstart"/>
      </w:pPr>
      <w:r>
        <w:tab/>
      </w:r>
      <w:r>
        <w:rPr>
          <w:rStyle w:val="CharDefText"/>
        </w:rPr>
        <w:t>RBA Standard No. 3 of 2016</w:t>
      </w:r>
      <w:r>
        <w:t xml:space="preserve"> means the standard titled Standard No. 3 of 2016: Scheme Rules Relating to Merchant Pricing for Credit, Debit and Prepaid Card Transactions determined by the Reserve Bank of Australia under the </w:t>
      </w:r>
      <w:r>
        <w:rPr>
          <w:i/>
        </w:rPr>
        <w:t>Payment Systems (Regulation) Act 1998</w:t>
      </w:r>
      <w:r>
        <w:t xml:space="preserve"> (Commonwealth) section 18, as in force from time to time;</w:t>
      </w:r>
    </w:p>
    <w:p>
      <w:pPr>
        <w:pStyle w:val="Subsection"/>
        <w:spacing w:before="80"/>
      </w:pPr>
      <w:r>
        <w:tab/>
      </w:r>
      <w:r>
        <w:tab/>
      </w:r>
      <w:r>
        <w:rPr>
          <w:rStyle w:val="CharDefText"/>
        </w:rPr>
        <w:t>residential tariff</w:t>
      </w:r>
      <w:r>
        <w:t xml:space="preserve"> means Tariff A2 or a MyPower residential tariff as defined in Schedule 1 clause 8(1);</w:t>
      </w:r>
    </w:p>
    <w:p>
      <w:pPr>
        <w:pStyle w:val="Defstart"/>
      </w:pPr>
      <w:r>
        <w:rPr>
          <w:b/>
        </w:rPr>
        <w:lastRenderedPageBreak/>
        <w:tab/>
      </w:r>
      <w:r>
        <w:rPr>
          <w:rStyle w:val="CharDefText"/>
        </w:rPr>
        <w:t>Tarif</w:t>
      </w:r>
      <w:r>
        <w:rPr>
          <w:rStyle w:val="CharDefText"/>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Gazette 30 Mar 2009 p. 1000; 29 Jun 2012 p. 2900; 22 Aug 2014 p. 3017; 22 Dec 2017 p. 5979; 26 Jun 2018 p. 2362.]</w:t>
      </w:r>
    </w:p>
    <w:p>
      <w:pPr>
        <w:pStyle w:val="Ednotesection"/>
      </w:pPr>
      <w:r>
        <w:t>[</w:t>
      </w:r>
      <w:r>
        <w:rPr>
          <w:b/>
        </w:rPr>
        <w:t>4A.</w:t>
      </w:r>
      <w:r>
        <w:tab/>
        <w:t>Deleted: Gazette 22 Aug 2014 p. 3017.]</w:t>
      </w:r>
    </w:p>
    <w:p>
      <w:pPr>
        <w:pStyle w:val="Heading5"/>
        <w:rPr>
          <w:snapToGrid w:val="0"/>
        </w:rPr>
      </w:pPr>
      <w:bookmarkStart w:id="5" w:name="_Toc170293076"/>
      <w:r>
        <w:rPr>
          <w:rStyle w:val="CharSectno"/>
        </w:rPr>
        <w:t>4</w:t>
      </w:r>
      <w:r>
        <w:t>.</w:t>
      </w:r>
      <w:r>
        <w:tab/>
      </w:r>
      <w:r>
        <w:rPr>
          <w:snapToGrid w:val="0"/>
        </w:rPr>
        <w:t>Electricity charges</w:t>
      </w:r>
      <w:bookmarkEnd w:id="5"/>
    </w:p>
    <w:p>
      <w:pPr>
        <w:pStyle w:val="Subsection"/>
      </w:pPr>
      <w:r>
        <w:tab/>
        <w:t>(1A)</w:t>
      </w:r>
      <w:r>
        <w:tab/>
        <w:t xml:space="preserve">In this </w:t>
      </w:r>
      <w:r>
        <w:rPr>
          <w:snapToGrid w:val="0"/>
        </w:rPr>
        <w:t>by</w:t>
      </w:r>
      <w:r>
        <w:rPr>
          <w:snapToGrid w:val="0"/>
        </w:rPr>
        <w:noBreakHyphen/>
        <w:t>law</w:t>
      </w:r>
      <w:r>
        <w:t xml:space="preserve"> — </w:t>
      </w:r>
    </w:p>
    <w:p>
      <w:pPr>
        <w:pStyle w:val="Defstart"/>
      </w:pPr>
      <w:r>
        <w:tab/>
      </w:r>
      <w:r>
        <w:rPr>
          <w:rStyle w:val="CharDefText"/>
        </w:rPr>
        <w:t>government consumer</w:t>
      </w:r>
      <w:r>
        <w:t xml:space="preserve"> — </w:t>
      </w:r>
    </w:p>
    <w:p>
      <w:pPr>
        <w:pStyle w:val="Defpara"/>
      </w:pPr>
      <w:r>
        <w:tab/>
        <w:t>(a)</w:t>
      </w:r>
      <w:r>
        <w:tab/>
        <w:t>means a Commonwealth, State or foreign government department, instrumentality, agency or trading concern; but</w:t>
      </w:r>
    </w:p>
    <w:p>
      <w:pPr>
        <w:pStyle w:val="Defpara"/>
      </w:pPr>
      <w:r>
        <w:tab/>
        <w:t>(b)</w:t>
      </w:r>
      <w:r>
        <w:tab/>
        <w:t xml:space="preserve">does not include — </w:t>
      </w:r>
    </w:p>
    <w:p>
      <w:pPr>
        <w:pStyle w:val="Defsubpara"/>
      </w:pPr>
      <w:r>
        <w:tab/>
        <w:t>(i)</w:t>
      </w:r>
      <w:r>
        <w:tab/>
        <w:t>a local government, regional local government or regional subsidiary; or</w:t>
      </w:r>
    </w:p>
    <w:p>
      <w:pPr>
        <w:pStyle w:val="Defsubpara"/>
      </w:pPr>
      <w:r>
        <w:tab/>
        <w:t>(ii)</w:t>
      </w:r>
      <w:r>
        <w:tab/>
        <w:t xml:space="preserve">an incorporated company or any other body corporate that a local government forms, takes part in forming or acquires a controlling interest in in compliance with the </w:t>
      </w:r>
      <w:r>
        <w:rPr>
          <w:i/>
        </w:rPr>
        <w:t>Local Government Act 1995</w:t>
      </w:r>
      <w:r>
        <w:t xml:space="preserve"> section 3.60;</w:t>
      </w:r>
    </w:p>
    <w:p>
      <w:pPr>
        <w:pStyle w:val="yDefstart"/>
      </w:pPr>
      <w:r>
        <w:rPr>
          <w:sz w:val="24"/>
          <w:szCs w:val="24"/>
        </w:rPr>
        <w:tab/>
      </w:r>
      <w:r>
        <w:rPr>
          <w:rStyle w:val="CharDefText"/>
          <w:sz w:val="24"/>
          <w:szCs w:val="24"/>
        </w:rPr>
        <w:t>North West interconnected system</w:t>
      </w:r>
      <w:r>
        <w:rPr>
          <w:sz w:val="24"/>
          <w:szCs w:val="24"/>
        </w:rPr>
        <w:t xml:space="preserve"> has the meaning given in the </w:t>
      </w:r>
      <w:r>
        <w:rPr>
          <w:i/>
          <w:sz w:val="24"/>
          <w:szCs w:val="24"/>
        </w:rPr>
        <w:t>Electricity Transmission and Distribution Systems (Access) Act 1994</w:t>
      </w:r>
      <w:r>
        <w:rPr>
          <w:sz w:val="24"/>
          <w:szCs w:val="24"/>
        </w:rPr>
        <w:t xml:space="preserve"> section 2;</w:t>
      </w:r>
    </w:p>
    <w:p>
      <w:pPr>
        <w:pStyle w:val="yDefstart"/>
      </w:pPr>
      <w:r>
        <w:tab/>
      </w:r>
      <w:r>
        <w:rPr>
          <w:rStyle w:val="CharDefText"/>
          <w:sz w:val="24"/>
          <w:szCs w:val="24"/>
        </w:rPr>
        <w:t>regional non</w:t>
      </w:r>
      <w:r>
        <w:rPr>
          <w:rStyle w:val="CharDefText"/>
          <w:sz w:val="24"/>
          <w:szCs w:val="24"/>
        </w:rPr>
        <w:noBreakHyphen/>
        <w:t>integrated system</w:t>
      </w:r>
      <w:r>
        <w:t xml:space="preserve"> means any electrical system of or conducted by the corporation from which electricity is supplied to consumers, other than the South West interconnected system and the North West interconnected system;</w:t>
      </w:r>
    </w:p>
    <w:p>
      <w:pPr>
        <w:pStyle w:val="yDefstart"/>
      </w:pPr>
      <w:r>
        <w:tab/>
      </w:r>
      <w:r>
        <w:rPr>
          <w:rStyle w:val="CharDefText"/>
          <w:sz w:val="24"/>
          <w:szCs w:val="24"/>
        </w:rPr>
        <w:t>South West interconnected system</w:t>
      </w:r>
      <w:r>
        <w:t xml:space="preserve"> has the meaning given in the </w:t>
      </w:r>
      <w:r>
        <w:rPr>
          <w:i/>
        </w:rPr>
        <w:t>Electricity Industry Act 2004</w:t>
      </w:r>
      <w:r>
        <w:t xml:space="preserve"> section 3.</w:t>
      </w:r>
    </w:p>
    <w:p>
      <w:pPr>
        <w:pStyle w:val="Subsection"/>
        <w:rPr>
          <w:snapToGrid w:val="0"/>
        </w:rPr>
      </w:pPr>
      <w:r>
        <w:rPr>
          <w:snapToGrid w:val="0"/>
        </w:rPr>
        <w:lastRenderedPageBreak/>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1.</w:t>
      </w:r>
    </w:p>
    <w:p>
      <w:pPr>
        <w:pStyle w:val="Subsection"/>
        <w:rPr>
          <w:snapToGrid w:val="0"/>
        </w:rPr>
      </w:pPr>
      <w:r>
        <w:tab/>
        <w:t>(2A)</w:t>
      </w:r>
      <w:r>
        <w:tab/>
      </w:r>
      <w:r>
        <w:rPr>
          <w:snapToGrid w:val="0"/>
        </w:rPr>
        <w:t>Sub</w:t>
      </w:r>
      <w:r>
        <w:rPr>
          <w:snapToGrid w:val="0"/>
        </w:rPr>
        <w:noBreakHyphen/>
        <w:t>bylaw (</w:t>
      </w:r>
      <w:r>
        <w:t>1) does not apply to electricity supplied from a regional non</w:t>
      </w:r>
      <w:r>
        <w:noBreakHyphen/>
        <w:t>integrated system or the North West interconnected system to a government consumer.</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ind w:left="890" w:hanging="890"/>
      </w:pPr>
      <w:r>
        <w:tab/>
        <w:t>[By</w:t>
      </w:r>
      <w:r>
        <w:noBreakHyphen/>
        <w:t>law 4 amended: Gazette 30 Aug 2013 p. 4093-4; 26 Jun 2015 p. 2247</w:t>
      </w:r>
      <w:r>
        <w:noBreakHyphen/>
        <w:t>8; SL 2022/71 bl. 4.]</w:t>
      </w:r>
    </w:p>
    <w:p>
      <w:pPr>
        <w:pStyle w:val="Heading5"/>
      </w:pPr>
      <w:bookmarkStart w:id="6" w:name="_Toc170293077"/>
      <w:r>
        <w:rPr>
          <w:rStyle w:val="CharSectno"/>
        </w:rPr>
        <w:t>5</w:t>
      </w:r>
      <w:r>
        <w:t>.</w:t>
      </w:r>
      <w:r>
        <w:tab/>
        <w:t>Application of residential tariffs</w:t>
      </w:r>
      <w:bookmarkEnd w:id="6"/>
    </w:p>
    <w:p>
      <w:pPr>
        <w:pStyle w:val="Subsection"/>
        <w:tabs>
          <w:tab w:val="left" w:pos="5529"/>
        </w:tabs>
        <w:rPr>
          <w:snapToGrid w:val="0"/>
        </w:rPr>
      </w:pPr>
      <w:r>
        <w:rPr>
          <w:snapToGrid w:val="0"/>
        </w:rPr>
        <w:tab/>
        <w:t>(1)</w:t>
      </w:r>
      <w:r>
        <w:rPr>
          <w:snapToGrid w:val="0"/>
        </w:rPr>
        <w:tab/>
        <w:t xml:space="preserve">A consumer is entitled to be supplied on the basis of </w:t>
      </w:r>
      <w:r>
        <w:t>a residential tariff</w:t>
      </w:r>
      <w:r>
        <w:rPr>
          <w:snapToGrid w:val="0"/>
        </w:rPr>
        <w:t xml:space="preserve">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pPr>
      <w:r>
        <w:rPr>
          <w:snapToGrid w:val="0"/>
        </w:rPr>
        <w:tab/>
        <w:t>(2)</w:t>
      </w:r>
      <w:r>
        <w:rPr>
          <w:snapToGrid w:val="0"/>
        </w:rPr>
        <w:tab/>
        <w:t>Notwithstanding that any premises would not otherwise be treated as a dwelling for the purposes of this by</w:t>
      </w:r>
      <w:r>
        <w:rPr>
          <w:snapToGrid w:val="0"/>
        </w:rPr>
        <w:noBreakHyphen/>
        <w:t xml:space="preserve">law, </w:t>
      </w:r>
      <w:r>
        <w:t>a residential tariff</w:t>
      </w:r>
      <w:r>
        <w:rPr>
          <w:snapToGrid w:val="0"/>
        </w:rPr>
        <w:t xml:space="preserve"> may be applied if the premises or any part of the premises is independently supplied and separately metered solely for the purpose of a residential supply.</w:t>
      </w:r>
    </w:p>
    <w:p>
      <w:pPr>
        <w:pStyle w:val="Footnotesection"/>
        <w:ind w:left="890" w:hanging="890"/>
      </w:pPr>
      <w:r>
        <w:tab/>
        <w:t>[By</w:t>
      </w:r>
      <w:r>
        <w:noBreakHyphen/>
        <w:t>law 5 amended: Gazette 22 Dec 2017 p. 5979.]</w:t>
      </w:r>
    </w:p>
    <w:p>
      <w:pPr>
        <w:pStyle w:val="Heading5"/>
      </w:pPr>
      <w:bookmarkStart w:id="7" w:name="_Toc170293078"/>
      <w:r>
        <w:rPr>
          <w:rStyle w:val="CharSectno"/>
        </w:rPr>
        <w:lastRenderedPageBreak/>
        <w:t>6</w:t>
      </w:r>
      <w:r>
        <w:t>.</w:t>
      </w:r>
      <w:r>
        <w:tab/>
        <w:t>Meter rental</w:t>
      </w:r>
      <w:bookmarkEnd w:id="7"/>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keepNext/>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keepNext/>
        <w:rPr>
          <w:snapToGrid w:val="0"/>
        </w:rPr>
      </w:pPr>
      <w:r>
        <w:rPr>
          <w:snapToGrid w:val="0"/>
        </w:rPr>
        <w:tab/>
        <w:t>(c)</w:t>
      </w:r>
      <w:r>
        <w:rPr>
          <w:snapToGrid w:val="0"/>
        </w:rPr>
        <w:tab/>
        <w:t xml:space="preserve">the master account is supplied under </w:t>
      </w:r>
      <w:r>
        <w:t>a residential</w:t>
      </w:r>
      <w:r>
        <w:rPr>
          <w:snapToGrid w:val="0"/>
        </w:rPr>
        <w:t xml:space="preserve"> tariff.</w:t>
      </w:r>
    </w:p>
    <w:p>
      <w:pPr>
        <w:pStyle w:val="Footnotesection"/>
      </w:pPr>
      <w:r>
        <w:tab/>
        <w:t>[By</w:t>
      </w:r>
      <w:r>
        <w:noBreakHyphen/>
        <w:t>law 6 amended: SL 2022/71 bl. 5.]</w:t>
      </w:r>
    </w:p>
    <w:p>
      <w:pPr>
        <w:pStyle w:val="Heading5"/>
      </w:pPr>
      <w:bookmarkStart w:id="8" w:name="_Toc170293079"/>
      <w:r>
        <w:rPr>
          <w:rStyle w:val="CharSectno"/>
        </w:rPr>
        <w:t>7</w:t>
      </w:r>
      <w:r>
        <w:t>.</w:t>
      </w:r>
      <w:r>
        <w:tab/>
        <w:t>Fees</w:t>
      </w:r>
      <w:bookmarkEnd w:id="8"/>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pPr>
      <w:bookmarkStart w:id="9" w:name="_Toc170293080"/>
      <w:r>
        <w:rPr>
          <w:rStyle w:val="CharSectno"/>
        </w:rPr>
        <w:t>8</w:t>
      </w:r>
      <w:r>
        <w:t>.</w:t>
      </w:r>
      <w:r>
        <w:tab/>
        <w:t>Payment</w:t>
      </w:r>
      <w:bookmarkEnd w:id="9"/>
    </w:p>
    <w:p>
      <w:pPr>
        <w:pStyle w:val="Subsection"/>
        <w:keepNext/>
      </w:pPr>
      <w:r>
        <w:tab/>
        <w:t>(1)</w:t>
      </w:r>
      <w:r>
        <w:tab/>
        <w:t>In this by</w:t>
      </w:r>
      <w:r>
        <w:noBreakHyphen/>
        <w:t xml:space="preserve">law — </w:t>
      </w:r>
    </w:p>
    <w:p>
      <w:pPr>
        <w:pStyle w:val="Defstart"/>
        <w:keepNex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 xml:space="preserve">for each day that the charge remains unpaid at a rate that is </w:t>
      </w:r>
      <w:r>
        <w:lastRenderedPageBreak/>
        <w:t>equal to the RBA cash rate as at that day increased by 6 percentage points.</w:t>
      </w:r>
    </w:p>
    <w:p>
      <w:pPr>
        <w:pStyle w:val="Subsection"/>
        <w:keepNext/>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Gazette 30 Mar 2009 p. 1000.]</w:t>
      </w:r>
    </w:p>
    <w:p>
      <w:pPr>
        <w:pStyle w:val="Ednotesection"/>
      </w:pPr>
      <w:r>
        <w:t>[</w:t>
      </w:r>
      <w:r>
        <w:rPr>
          <w:b/>
        </w:rPr>
        <w:t>9.</w:t>
      </w:r>
      <w:r>
        <w:tab/>
        <w:t>Deleted: Gazette 21 Sep 2012 p. 4423.]</w:t>
      </w:r>
    </w:p>
    <w:p>
      <w:pPr>
        <w:pStyle w:val="Heading5"/>
      </w:pPr>
      <w:bookmarkStart w:id="10" w:name="_Toc170293081"/>
      <w:r>
        <w:rPr>
          <w:rStyle w:val="CharSectno"/>
        </w:rPr>
        <w:t>10</w:t>
      </w:r>
      <w:r>
        <w:t>.</w:t>
      </w:r>
      <w:r>
        <w:tab/>
        <w:t>Calculation of charges</w:t>
      </w:r>
      <w:bookmarkEnd w:id="10"/>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Ednotesubsection"/>
        <w:keepNext/>
      </w:pPr>
      <w:r>
        <w:tab/>
        <w:t>[(2), (3)</w:t>
      </w:r>
      <w:r>
        <w:tab/>
        <w:t>deleted]</w:t>
      </w:r>
    </w:p>
    <w:p>
      <w:pPr>
        <w:pStyle w:val="Footnotesection"/>
      </w:pPr>
      <w:r>
        <w:tab/>
        <w:t>[By-law 10 amended: Gazette 27 Jun 2014 p. 2320; 21 Jun 2019 p. 2128.]</w:t>
      </w:r>
    </w:p>
    <w:p>
      <w:pPr>
        <w:pStyle w:val="Heading5"/>
      </w:pPr>
      <w:bookmarkStart w:id="11" w:name="_Toc170293082"/>
      <w:r>
        <w:rPr>
          <w:rStyle w:val="CharSectno"/>
        </w:rPr>
        <w:t>11</w:t>
      </w:r>
      <w:r>
        <w:t>.</w:t>
      </w:r>
      <w:r>
        <w:tab/>
        <w:t>Changes in rates</w:t>
      </w:r>
      <w:bookmarkEnd w:id="11"/>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12" w:name="_Toc170293083"/>
      <w:r>
        <w:rPr>
          <w:rStyle w:val="CharSectno"/>
        </w:rPr>
        <w:t>12</w:t>
      </w:r>
      <w:r>
        <w:t>.</w:t>
      </w:r>
      <w:r>
        <w:tab/>
        <w:t>Prescribed rate of interest for s. 62(16) of Act</w:t>
      </w:r>
      <w:bookmarkEnd w:id="12"/>
    </w:p>
    <w:p>
      <w:pPr>
        <w:pStyle w:val="Subsection"/>
        <w:keepNext/>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keepNext/>
      </w:pPr>
      <w:r>
        <w:lastRenderedPageBreak/>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keepNext/>
      </w:pPr>
      <w:r>
        <w:tab/>
        <w:t>(b)</w:t>
      </w:r>
      <w:r>
        <w:tab/>
        <w:t>if there is more than one RBA cash rate for the interest period — the rate that is equal to the average of the RBA cash rates for that period.</w:t>
      </w:r>
    </w:p>
    <w:p>
      <w:pPr>
        <w:pStyle w:val="Footnotesection"/>
      </w:pPr>
      <w:r>
        <w:tab/>
        <w:t>[By</w:t>
      </w:r>
      <w:r>
        <w:noBreakHyphen/>
        <w:t>law 12 inserted: Gazette 30 Mar 2009 p. 1000</w:t>
      </w:r>
      <w:r>
        <w:noBreakHyphen/>
        <w:t>1.]</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13" w:name="_Toc169168682"/>
      <w:bookmarkStart w:id="14" w:name="_Toc169168758"/>
      <w:bookmarkStart w:id="15" w:name="_Toc169169035"/>
      <w:bookmarkStart w:id="16" w:name="_Toc170212587"/>
      <w:bookmarkStart w:id="17" w:name="_Toc170293084"/>
      <w:bookmarkStart w:id="18" w:name="_Toc170208759"/>
      <w:r>
        <w:rPr>
          <w:rStyle w:val="CharSchNo"/>
        </w:rPr>
        <w:lastRenderedPageBreak/>
        <w:t>Schedule 1</w:t>
      </w:r>
      <w:r>
        <w:t> — </w:t>
      </w:r>
      <w:r>
        <w:rPr>
          <w:rStyle w:val="CharSchText"/>
        </w:rPr>
        <w:t>Supply charges</w:t>
      </w:r>
      <w:bookmarkEnd w:id="13"/>
      <w:bookmarkEnd w:id="14"/>
      <w:bookmarkEnd w:id="15"/>
      <w:bookmarkEnd w:id="16"/>
      <w:bookmarkEnd w:id="17"/>
    </w:p>
    <w:p>
      <w:pPr>
        <w:pStyle w:val="yShoulderClause"/>
      </w:pPr>
      <w:r>
        <w:t>[bl. 3, 4(1) and 10(1)]</w:t>
      </w:r>
    </w:p>
    <w:p>
      <w:pPr>
        <w:pStyle w:val="yFootnoteheading"/>
      </w:pPr>
      <w:r>
        <w:tab/>
        <w:t>[Heading inserted: SL 2024/103 bl. 4.]</w:t>
      </w:r>
    </w:p>
    <w:p>
      <w:pPr>
        <w:pStyle w:val="yHeading3"/>
      </w:pPr>
      <w:bookmarkStart w:id="19" w:name="_Toc169168683"/>
      <w:bookmarkStart w:id="20" w:name="_Toc169168759"/>
      <w:bookmarkStart w:id="21" w:name="_Toc169169036"/>
      <w:bookmarkStart w:id="22" w:name="_Toc170212588"/>
      <w:bookmarkStart w:id="23" w:name="_Toc170293085"/>
      <w:r>
        <w:rPr>
          <w:rStyle w:val="CharSDivNo"/>
        </w:rPr>
        <w:t>Division 1</w:t>
      </w:r>
      <w:r>
        <w:t> — </w:t>
      </w:r>
      <w:r>
        <w:rPr>
          <w:rStyle w:val="CharSDivText"/>
        </w:rPr>
        <w:t>Tariffs other than MyPower tariffs</w:t>
      </w:r>
      <w:bookmarkEnd w:id="19"/>
      <w:bookmarkEnd w:id="20"/>
      <w:bookmarkEnd w:id="21"/>
      <w:bookmarkEnd w:id="22"/>
      <w:bookmarkEnd w:id="23"/>
    </w:p>
    <w:p>
      <w:pPr>
        <w:pStyle w:val="yFootnoteheading"/>
      </w:pPr>
      <w:bookmarkStart w:id="24" w:name="_Toc169168684"/>
      <w:bookmarkStart w:id="25" w:name="_Toc169169037"/>
      <w:r>
        <w:tab/>
        <w:t>[Heading inserted: SL 2024/103 bl. 4.]</w:t>
      </w:r>
    </w:p>
    <w:p>
      <w:pPr>
        <w:pStyle w:val="yHeading5"/>
      </w:pPr>
      <w:bookmarkStart w:id="26" w:name="_Toc170293086"/>
      <w:r>
        <w:rPr>
          <w:rStyle w:val="CharSClsNo"/>
        </w:rPr>
        <w:t>1</w:t>
      </w:r>
      <w:r>
        <w:t>.</w:t>
      </w:r>
      <w:r>
        <w:tab/>
        <w:t>Tariff L2 (general supply — low/medium voltage tariff)</w:t>
      </w:r>
      <w:bookmarkEnd w:id="24"/>
      <w:bookmarkEnd w:id="25"/>
      <w:bookmarkEnd w:id="26"/>
    </w:p>
    <w:p>
      <w:pPr>
        <w:pStyle w:val="ySubsection"/>
      </w:pPr>
      <w:r>
        <w:tab/>
        <w:t>(1)</w:t>
      </w:r>
      <w:r>
        <w:tab/>
        <w:t>Tariff L2 is available for low/medium voltage supply.</w:t>
      </w:r>
    </w:p>
    <w:p>
      <w:pPr>
        <w:pStyle w:val="ySubsection"/>
      </w:pPr>
      <w:r>
        <w:tab/>
        <w:t>(2)</w:t>
      </w:r>
      <w:r>
        <w:tab/>
        <w:t xml:space="preserve">Tariff L2 comprises — </w:t>
      </w:r>
    </w:p>
    <w:p>
      <w:pPr>
        <w:pStyle w:val="yIndenta"/>
      </w:pPr>
      <w:r>
        <w:tab/>
        <w:t>(a)</w:t>
      </w:r>
      <w:r>
        <w:tab/>
        <w:t>a fixed charge at the rate of $2.0213 per day; and</w:t>
      </w:r>
    </w:p>
    <w:p>
      <w:pPr>
        <w:pStyle w:val="yIndenta"/>
      </w:pPr>
      <w:r>
        <w:tab/>
        <w:t>(b)</w:t>
      </w:r>
      <w:r>
        <w:tab/>
        <w:t xml:space="preserve">a charge for metered consumption at the rate of — </w:t>
      </w:r>
    </w:p>
    <w:p>
      <w:pPr>
        <w:pStyle w:val="yIndenti0"/>
      </w:pPr>
      <w:r>
        <w:tab/>
        <w:t>(i)</w:t>
      </w:r>
      <w:r>
        <w:tab/>
        <w:t>31.4548 cents per unit for the first 1 650 units per day; and</w:t>
      </w:r>
    </w:p>
    <w:p>
      <w:pPr>
        <w:pStyle w:val="yIndenti0"/>
      </w:pPr>
      <w:r>
        <w:tab/>
        <w:t>(ii)</w:t>
      </w:r>
      <w:r>
        <w:tab/>
        <w:t>35.4642 cents per unit for all units exceeding 1 650 units per day.</w:t>
      </w:r>
    </w:p>
    <w:p>
      <w:pPr>
        <w:pStyle w:val="ySubsection"/>
      </w:pPr>
      <w:r>
        <w:tab/>
        <w:t>(3)</w:t>
      </w:r>
      <w:r>
        <w:tab/>
        <w:t>Tariff L2 is available subject to the condition that the consumer satisfies the corporation that the amount of electricity supplied to the consumer’s premises will be less than 50 MW hours per annum.</w:t>
      </w:r>
    </w:p>
    <w:p>
      <w:pPr>
        <w:pStyle w:val="yFootnotesection"/>
      </w:pPr>
      <w:r>
        <w:tab/>
        <w:t>[Clause 1 inserted: SL 2024/103 bl. 4.]</w:t>
      </w:r>
    </w:p>
    <w:p>
      <w:pPr>
        <w:pStyle w:val="yHeading5"/>
      </w:pPr>
      <w:bookmarkStart w:id="27" w:name="_Toc169168685"/>
      <w:bookmarkStart w:id="28" w:name="_Toc169169038"/>
      <w:bookmarkStart w:id="29" w:name="_Toc170293087"/>
      <w:r>
        <w:rPr>
          <w:rStyle w:val="CharSClsNo"/>
        </w:rPr>
        <w:t>2</w:t>
      </w:r>
      <w:r>
        <w:t>.</w:t>
      </w:r>
      <w:r>
        <w:tab/>
        <w:t>Tariff L4 (general supply — low/medium voltage tariff)</w:t>
      </w:r>
      <w:bookmarkEnd w:id="27"/>
      <w:bookmarkEnd w:id="28"/>
      <w:bookmarkEnd w:id="29"/>
    </w:p>
    <w:p>
      <w:pPr>
        <w:pStyle w:val="ySubsection"/>
      </w:pPr>
      <w:r>
        <w:tab/>
        <w:t>(1)</w:t>
      </w:r>
      <w:r>
        <w:tab/>
        <w:t>Tariff L4 is available for low/medium voltage supply.</w:t>
      </w:r>
    </w:p>
    <w:p>
      <w:pPr>
        <w:pStyle w:val="ySubsection"/>
      </w:pPr>
      <w:r>
        <w:tab/>
        <w:t>(2)</w:t>
      </w:r>
      <w:r>
        <w:tab/>
        <w:t xml:space="preserve">Tariff L4 comprises — </w:t>
      </w:r>
    </w:p>
    <w:p>
      <w:pPr>
        <w:pStyle w:val="yIndenta"/>
      </w:pPr>
      <w:r>
        <w:tab/>
        <w:t>(a)</w:t>
      </w:r>
      <w:r>
        <w:tab/>
        <w:t>a fixed charge at the rate of $1.7886 per day; and</w:t>
      </w:r>
    </w:p>
    <w:p>
      <w:pPr>
        <w:pStyle w:val="yIndenta"/>
      </w:pPr>
      <w:r>
        <w:tab/>
        <w:t>(b)</w:t>
      </w:r>
      <w:r>
        <w:tab/>
        <w:t xml:space="preserve">a charge for metered consumption at the rate of — </w:t>
      </w:r>
    </w:p>
    <w:p>
      <w:pPr>
        <w:pStyle w:val="yIndenti0"/>
      </w:pPr>
      <w:r>
        <w:tab/>
        <w:t>(i)</w:t>
      </w:r>
      <w:r>
        <w:tab/>
        <w:t>36.3291</w:t>
      </w:r>
      <w:r>
        <w:rPr>
          <w:szCs w:val="22"/>
        </w:rPr>
        <w:t xml:space="preserve"> </w:t>
      </w:r>
      <w:r>
        <w:t>cents per unit for the first 1 650 units per day; and</w:t>
      </w:r>
    </w:p>
    <w:p>
      <w:pPr>
        <w:pStyle w:val="yIndenti0"/>
      </w:pPr>
      <w:r>
        <w:tab/>
        <w:t>(ii)</w:t>
      </w:r>
      <w:r>
        <w:tab/>
        <w:t>30.8265</w:t>
      </w:r>
      <w:r>
        <w:rPr>
          <w:szCs w:val="22"/>
        </w:rPr>
        <w:t xml:space="preserve"> </w:t>
      </w:r>
      <w:r>
        <w:t>cents per unit for all units exceeding 1 650 units per day.</w:t>
      </w:r>
    </w:p>
    <w:p>
      <w:pPr>
        <w:pStyle w:val="ySubsection"/>
      </w:pPr>
      <w:r>
        <w:lastRenderedPageBreak/>
        <w:tab/>
        <w:t>(3)</w:t>
      </w:r>
      <w:r>
        <w:tab/>
        <w:t>Tariff L4 is available subject to the condition that the consumer satisfies the corporation that the amount of electricity supplied to the consumer’s premises will be 50 MW hours or more per annum.</w:t>
      </w:r>
    </w:p>
    <w:p>
      <w:pPr>
        <w:pStyle w:val="yFootnotesection"/>
      </w:pPr>
      <w:r>
        <w:tab/>
        <w:t>[Clause 2 inserted: SL 2024/103 bl. 4.]</w:t>
      </w:r>
    </w:p>
    <w:p>
      <w:pPr>
        <w:pStyle w:val="yHeading5"/>
      </w:pPr>
      <w:bookmarkStart w:id="30" w:name="_Toc169168686"/>
      <w:bookmarkStart w:id="31" w:name="_Toc169169039"/>
      <w:bookmarkStart w:id="32" w:name="_Toc170293088"/>
      <w:r>
        <w:rPr>
          <w:rStyle w:val="CharSClsNo"/>
        </w:rPr>
        <w:t>3</w:t>
      </w:r>
      <w:r>
        <w:t>.</w:t>
      </w:r>
      <w:r>
        <w:tab/>
        <w:t>Tariff A2 (residential tariff)</w:t>
      </w:r>
      <w:bookmarkEnd w:id="30"/>
      <w:bookmarkEnd w:id="31"/>
      <w:bookmarkEnd w:id="32"/>
    </w:p>
    <w:p>
      <w:pPr>
        <w:pStyle w:val="ySubsection"/>
      </w:pPr>
      <w:r>
        <w:tab/>
        <w:t>(1)</w:t>
      </w:r>
      <w:r>
        <w:tab/>
        <w:t>Tariff A2 is available for residential use only.</w:t>
      </w:r>
    </w:p>
    <w:p>
      <w:pPr>
        <w:pStyle w:val="ySubsection"/>
      </w:pPr>
      <w:r>
        <w:tab/>
        <w:t>(2)</w:t>
      </w:r>
      <w:r>
        <w:tab/>
        <w:t xml:space="preserve">Tariff A2 comprises — </w:t>
      </w:r>
    </w:p>
    <w:p>
      <w:pPr>
        <w:pStyle w:val="yIndenta"/>
      </w:pPr>
      <w:r>
        <w:tab/>
        <w:t>(a)</w:t>
      </w:r>
      <w:r>
        <w:tab/>
        <w:t>a fixed charge at the rate of $1.1322 per day or, for multiple dwellings supplied through 1 metered supply point, a fixed charge at the rate of —</w:t>
      </w:r>
    </w:p>
    <w:p>
      <w:pPr>
        <w:pStyle w:val="yIndenti0"/>
      </w:pPr>
      <w:r>
        <w:tab/>
        <w:t>(i)</w:t>
      </w:r>
      <w:r>
        <w:tab/>
        <w:t>$1.1322 per day for the first dwelling; and</w:t>
      </w:r>
    </w:p>
    <w:p>
      <w:pPr>
        <w:pStyle w:val="yIndenti0"/>
      </w:pPr>
      <w:r>
        <w:tab/>
        <w:t>(ii)</w:t>
      </w:r>
      <w:r>
        <w:tab/>
        <w:t>45.0158 cents per day for each additional dwelling;</w:t>
      </w:r>
    </w:p>
    <w:p>
      <w:pPr>
        <w:pStyle w:val="yIndenta"/>
      </w:pPr>
      <w:r>
        <w:tab/>
      </w:r>
      <w:r>
        <w:tab/>
        <w:t>and</w:t>
      </w:r>
    </w:p>
    <w:p>
      <w:pPr>
        <w:pStyle w:val="yIndenta"/>
      </w:pPr>
      <w:r>
        <w:tab/>
        <w:t>(b)</w:t>
      </w:r>
      <w:r>
        <w:tab/>
        <w:t>a charge for metered consumption at the rate of 31.5823 cents per unit.</w:t>
      </w:r>
    </w:p>
    <w:p>
      <w:pPr>
        <w:pStyle w:val="yFootnotesection"/>
      </w:pPr>
      <w:r>
        <w:tab/>
        <w:t>[Clause 3 inserted: SL 2024/103 bl. 4.]</w:t>
      </w:r>
    </w:p>
    <w:p>
      <w:pPr>
        <w:pStyle w:val="yHeading5"/>
      </w:pPr>
      <w:bookmarkStart w:id="33" w:name="_Toc169168687"/>
      <w:bookmarkStart w:id="34" w:name="_Toc169169040"/>
      <w:bookmarkStart w:id="35" w:name="_Toc170293089"/>
      <w:r>
        <w:rPr>
          <w:rStyle w:val="CharSClsNo"/>
        </w:rPr>
        <w:t>4</w:t>
      </w:r>
      <w:r>
        <w:t>.</w:t>
      </w:r>
      <w:r>
        <w:tab/>
        <w:t>Tariff C2 (special community service tariff)</w:t>
      </w:r>
      <w:bookmarkEnd w:id="33"/>
      <w:bookmarkEnd w:id="34"/>
      <w:bookmarkEnd w:id="35"/>
    </w:p>
    <w:p>
      <w:pPr>
        <w:pStyle w:val="ySubsection"/>
      </w:pPr>
      <w:r>
        <w:tab/>
        <w:t>(1)</w:t>
      </w:r>
      <w:r>
        <w:tab/>
        <w:t>Tariff C2 is available for small voluntary and charitable organisations, subject to the conditions listed in subclause (3).</w:t>
      </w:r>
    </w:p>
    <w:p>
      <w:pPr>
        <w:pStyle w:val="ySubsection"/>
      </w:pPr>
      <w:r>
        <w:tab/>
        <w:t>(2)</w:t>
      </w:r>
      <w:r>
        <w:tab/>
        <w:t xml:space="preserve">Tariff C2 comprises — </w:t>
      </w:r>
    </w:p>
    <w:p>
      <w:pPr>
        <w:pStyle w:val="yIndenta"/>
      </w:pPr>
      <w:r>
        <w:tab/>
        <w:t>(a)</w:t>
      </w:r>
      <w:r>
        <w:tab/>
        <w:t>a fixed charge at the rate of $1.0927 per day; and</w:t>
      </w:r>
    </w:p>
    <w:p>
      <w:pPr>
        <w:pStyle w:val="yIndenta"/>
      </w:pPr>
      <w:r>
        <w:tab/>
        <w:t>(b)</w:t>
      </w:r>
      <w:r>
        <w:tab/>
        <w:t xml:space="preserve">a charge for metered consumption at the rate of — </w:t>
      </w:r>
    </w:p>
    <w:p>
      <w:pPr>
        <w:pStyle w:val="yIndenti0"/>
      </w:pPr>
      <w:r>
        <w:tab/>
        <w:t>(i)</w:t>
      </w:r>
      <w:r>
        <w:tab/>
        <w:t>25.5261 cents per unit for the first 20 units per day; and</w:t>
      </w:r>
    </w:p>
    <w:p>
      <w:pPr>
        <w:pStyle w:val="yIndenti0"/>
      </w:pPr>
      <w:r>
        <w:tab/>
        <w:t>(ii)</w:t>
      </w:r>
      <w:r>
        <w:tab/>
        <w:t>27.2347 cents per unit for the next 1 630 units per day; and</w:t>
      </w:r>
    </w:p>
    <w:p>
      <w:pPr>
        <w:pStyle w:val="yIndenti0"/>
      </w:pPr>
      <w:r>
        <w:tab/>
        <w:t>(iii)</w:t>
      </w:r>
      <w:r>
        <w:tab/>
        <w:t>25.9779 cents per unit for all units exceeding 1 650 units per day.</w:t>
      </w:r>
    </w:p>
    <w:p>
      <w:pPr>
        <w:pStyle w:val="ySubsection"/>
        <w:keepNext/>
      </w:pPr>
      <w:r>
        <w:lastRenderedPageBreak/>
        <w:tab/>
        <w:t>(3)</w:t>
      </w:r>
      <w:r>
        <w:tab/>
        <w:t xml:space="preserve">Tariff C2 is available subject to the following conditions — </w:t>
      </w:r>
    </w:p>
    <w:p>
      <w:pPr>
        <w:pStyle w:val="yIndenta"/>
        <w:keepNext/>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 xml:space="preserve">Income Tax Assessment Act 1997 </w:t>
      </w:r>
      <w:r>
        <w:t>(Commonwealth)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entity mentioned in paragraph (e).</w:t>
      </w:r>
    </w:p>
    <w:p>
      <w:pPr>
        <w:pStyle w:val="ySubsection"/>
      </w:pPr>
      <w:r>
        <w:tab/>
        <w:t>(4)</w:t>
      </w:r>
      <w:r>
        <w:tab/>
        <w:t>A consumer seeking supply under Tariff C2 must make an application to the corporation in writing accompanied by evidence which clearly demonstrates that the consumer meets all the conditions listed in subclause (3).</w:t>
      </w:r>
    </w:p>
    <w:p>
      <w:pPr>
        <w:pStyle w:val="yFootnotesection"/>
      </w:pPr>
      <w:r>
        <w:tab/>
        <w:t>[Clause 4 inserted: SL 2024/103 bl. 4.]</w:t>
      </w:r>
    </w:p>
    <w:p>
      <w:pPr>
        <w:pStyle w:val="yHeading5"/>
      </w:pPr>
      <w:bookmarkStart w:id="36" w:name="_Toc169168688"/>
      <w:bookmarkStart w:id="37" w:name="_Toc169169041"/>
      <w:bookmarkStart w:id="38" w:name="_Toc170293090"/>
      <w:r>
        <w:rPr>
          <w:rStyle w:val="CharSClsNo"/>
        </w:rPr>
        <w:t>5</w:t>
      </w:r>
      <w:r>
        <w:t>.</w:t>
      </w:r>
      <w:r>
        <w:tab/>
        <w:t>Tariff D2 (special tariff for certain premises)</w:t>
      </w:r>
      <w:bookmarkEnd w:id="36"/>
      <w:bookmarkEnd w:id="37"/>
      <w:bookmarkEnd w:id="38"/>
    </w:p>
    <w:p>
      <w:pPr>
        <w:pStyle w:val="ySubsection"/>
      </w:pPr>
      <w:r>
        <w:tab/>
        <w:t>(1)</w:t>
      </w:r>
      <w:r>
        <w:tab/>
        <w:t>Tariff D2 is available for premises wholly used by a charitable or benevolent organisation for providing residential accommodation other than for commercial gain, being premises for which Tariff A2 is not available.</w:t>
      </w:r>
    </w:p>
    <w:p>
      <w:pPr>
        <w:pStyle w:val="ySubsection"/>
      </w:pPr>
      <w:r>
        <w:tab/>
        <w:t>(2)</w:t>
      </w:r>
      <w:r>
        <w:tab/>
        <w:t xml:space="preserve">Tariff D2 comprises — </w:t>
      </w:r>
    </w:p>
    <w:p>
      <w:pPr>
        <w:pStyle w:val="yIndenta"/>
      </w:pPr>
      <w:r>
        <w:tab/>
        <w:t>(a)</w:t>
      </w:r>
      <w:r>
        <w:tab/>
        <w:t>a fixed charge at the rate of $1.0776 per day; and</w:t>
      </w:r>
    </w:p>
    <w:p>
      <w:pPr>
        <w:pStyle w:val="yIndenta"/>
      </w:pPr>
      <w:r>
        <w:tab/>
        <w:t>(b)</w:t>
      </w:r>
      <w:r>
        <w:tab/>
        <w:t>if under subclause (3) there is taken to be more than 1 equivalent domestic residence in the premises — a charge of 39.9536 cents per day for each equivalent domestic residence except the first that is taken to be in the premises; and</w:t>
      </w:r>
    </w:p>
    <w:p>
      <w:pPr>
        <w:pStyle w:val="yIndenta"/>
      </w:pPr>
      <w:r>
        <w:tab/>
        <w:t>(c)</w:t>
      </w:r>
      <w:r>
        <w:tab/>
        <w:t>a charge for metered consumption at the rate of 27.3798 cents per unit.</w:t>
      </w:r>
    </w:p>
    <w:p>
      <w:pPr>
        <w:pStyle w:val="ySubsection"/>
        <w:keepNext/>
      </w:pPr>
      <w:r>
        <w:lastRenderedPageBreak/>
        <w:tab/>
        <w:t>(3)</w:t>
      </w:r>
      <w:r>
        <w:tab/>
        <w:t>The number of equivalent domestic residences taken to be in particular premises is ascertained by dividing the facility’s total bed capacity by 5 and, where the quotient is not a whole number, by increasing it to the next highest whole number.</w:t>
      </w:r>
    </w:p>
    <w:p>
      <w:pPr>
        <w:pStyle w:val="yFootnotesection"/>
        <w:keepNext/>
      </w:pPr>
      <w:r>
        <w:tab/>
        <w:t>[Clause 5 inserted: SL 2024/103 bl. 4.]</w:t>
      </w:r>
    </w:p>
    <w:p>
      <w:pPr>
        <w:pStyle w:val="yHeading5"/>
      </w:pPr>
      <w:bookmarkStart w:id="39" w:name="_Toc169168689"/>
      <w:bookmarkStart w:id="40" w:name="_Toc169169042"/>
      <w:bookmarkStart w:id="41" w:name="_Toc170293091"/>
      <w:r>
        <w:rPr>
          <w:rStyle w:val="CharSClsNo"/>
        </w:rPr>
        <w:t>6</w:t>
      </w:r>
      <w:r>
        <w:t>.</w:t>
      </w:r>
      <w:r>
        <w:tab/>
        <w:t>Tariff K2 (general supply with residential tariff)</w:t>
      </w:r>
      <w:bookmarkEnd w:id="39"/>
      <w:bookmarkEnd w:id="40"/>
      <w:bookmarkEnd w:id="41"/>
    </w:p>
    <w:p>
      <w:pPr>
        <w:pStyle w:val="ySubsection"/>
      </w:pPr>
      <w:r>
        <w:tab/>
        <w:t>(1)</w:t>
      </w:r>
      <w:r>
        <w:tab/>
        <w:t>Tariff K2 is available for premises where the circuit wiring is not separate and the electricity is used partly for general purposes and partly for residential purposes.</w:t>
      </w:r>
    </w:p>
    <w:p>
      <w:pPr>
        <w:pStyle w:val="ySubsection"/>
      </w:pPr>
      <w:r>
        <w:tab/>
        <w:t>(2)</w:t>
      </w:r>
      <w:r>
        <w:tab/>
        <w:t xml:space="preserve">Tariff K2 comprises — </w:t>
      </w:r>
    </w:p>
    <w:p>
      <w:pPr>
        <w:pStyle w:val="yIndenta"/>
      </w:pPr>
      <w:r>
        <w:tab/>
        <w:t>(a)</w:t>
      </w:r>
      <w:r>
        <w:tab/>
        <w:t>a fixed charge at the rate of $1.9979 per day; and</w:t>
      </w:r>
    </w:p>
    <w:p>
      <w:pPr>
        <w:pStyle w:val="yIndenta"/>
      </w:pPr>
      <w:r>
        <w:tab/>
        <w:t>(b)</w:t>
      </w:r>
      <w:r>
        <w:tab/>
        <w:t>a charge for metered consumption at the rate of —</w:t>
      </w:r>
    </w:p>
    <w:p>
      <w:pPr>
        <w:pStyle w:val="yIndenti0"/>
      </w:pPr>
      <w:r>
        <w:tab/>
        <w:t>(i)</w:t>
      </w:r>
      <w:r>
        <w:tab/>
        <w:t>32.9933 cents per unit for the first 20 units per day; and</w:t>
      </w:r>
    </w:p>
    <w:p>
      <w:pPr>
        <w:pStyle w:val="yIndenti0"/>
      </w:pPr>
      <w:r>
        <w:tab/>
        <w:t>(ii)</w:t>
      </w:r>
      <w:r>
        <w:tab/>
        <w:t>31.0918 cents per unit for the next 1 630 units per day; and</w:t>
      </w:r>
    </w:p>
    <w:p>
      <w:pPr>
        <w:pStyle w:val="yIndenti0"/>
      </w:pPr>
      <w:r>
        <w:tab/>
        <w:t>(iii)</w:t>
      </w:r>
      <w:r>
        <w:tab/>
        <w:t>35.0549 cents per unit for all units exceeding 1 650 units per day.</w:t>
      </w:r>
    </w:p>
    <w:p>
      <w:pPr>
        <w:pStyle w:val="yFootnotesection"/>
      </w:pPr>
      <w:r>
        <w:tab/>
        <w:t>[Clause 6 inserted: SL 2024/103 bl. 4.]</w:t>
      </w:r>
    </w:p>
    <w:p>
      <w:pPr>
        <w:pStyle w:val="yHeading3"/>
      </w:pPr>
      <w:bookmarkStart w:id="42" w:name="_Toc169168690"/>
      <w:bookmarkStart w:id="43" w:name="_Toc169168766"/>
      <w:bookmarkStart w:id="44" w:name="_Toc169169043"/>
      <w:bookmarkStart w:id="45" w:name="_Toc170212595"/>
      <w:bookmarkStart w:id="46" w:name="_Toc170293092"/>
      <w:r>
        <w:rPr>
          <w:rStyle w:val="CharSDivNo"/>
        </w:rPr>
        <w:t>Division 2</w:t>
      </w:r>
      <w:r>
        <w:t> — </w:t>
      </w:r>
      <w:r>
        <w:rPr>
          <w:rStyle w:val="CharSDivText"/>
        </w:rPr>
        <w:t>MyPower tariffs</w:t>
      </w:r>
      <w:bookmarkEnd w:id="42"/>
      <w:bookmarkEnd w:id="43"/>
      <w:bookmarkEnd w:id="44"/>
      <w:bookmarkEnd w:id="45"/>
      <w:bookmarkEnd w:id="46"/>
    </w:p>
    <w:p>
      <w:pPr>
        <w:pStyle w:val="yFootnoteheading"/>
      </w:pPr>
      <w:r>
        <w:tab/>
        <w:t>[Heading inserted: SL 2024/103 bl. 4.]</w:t>
      </w:r>
    </w:p>
    <w:p>
      <w:pPr>
        <w:pStyle w:val="yHeading5"/>
      </w:pPr>
      <w:bookmarkStart w:id="47" w:name="_Toc169168691"/>
      <w:bookmarkStart w:id="48" w:name="_Toc169169044"/>
      <w:bookmarkStart w:id="49" w:name="_Toc170293093"/>
      <w:r>
        <w:rPr>
          <w:rStyle w:val="CharSClsNo"/>
        </w:rPr>
        <w:t>7</w:t>
      </w:r>
      <w:r>
        <w:t>.</w:t>
      </w:r>
      <w:r>
        <w:tab/>
        <w:t>Terms used</w:t>
      </w:r>
      <w:bookmarkEnd w:id="47"/>
      <w:bookmarkEnd w:id="48"/>
      <w:bookmarkEnd w:id="49"/>
    </w:p>
    <w:p>
      <w:pPr>
        <w:pStyle w:val="ySubsection"/>
      </w:pPr>
      <w:r>
        <w:tab/>
        <w:t>(1)</w:t>
      </w:r>
      <w:r>
        <w:tab/>
        <w:t xml:space="preserve">In this Division — </w:t>
      </w:r>
    </w:p>
    <w:p>
      <w:pPr>
        <w:pStyle w:val="yDefstart"/>
      </w:pPr>
      <w:r>
        <w:tab/>
      </w:r>
      <w:r>
        <w:rPr>
          <w:rStyle w:val="CharDefText"/>
        </w:rPr>
        <w:t>Esperance network</w:t>
      </w:r>
      <w:r>
        <w:t xml:space="preserve"> means the electricity network operated by the corporation that supplies electricity to the towns of Esperance, Norseman, Hopetoun, Sandstone and Menzies and surrounding areas;</w:t>
      </w:r>
    </w:p>
    <w:p>
      <w:pPr>
        <w:pStyle w:val="yDefstart"/>
      </w:pPr>
      <w:r>
        <w:tab/>
      </w:r>
      <w:r>
        <w:rPr>
          <w:rStyle w:val="CharDefText"/>
        </w:rPr>
        <w:t>MyPower tariff</w:t>
      </w:r>
      <w:r>
        <w:t xml:space="preserve"> means — </w:t>
      </w:r>
    </w:p>
    <w:p>
      <w:pPr>
        <w:pStyle w:val="yDefpara"/>
      </w:pPr>
      <w:r>
        <w:tab/>
        <w:t>(a)</w:t>
      </w:r>
      <w:r>
        <w:tab/>
        <w:t>a MyPower residential tariff as defined in clause 8(1); or</w:t>
      </w:r>
    </w:p>
    <w:p>
      <w:pPr>
        <w:pStyle w:val="yDefpara"/>
      </w:pPr>
      <w:r>
        <w:tab/>
        <w:t>(b)</w:t>
      </w:r>
      <w:r>
        <w:tab/>
        <w:t>a MyPower non</w:t>
      </w:r>
      <w:r>
        <w:noBreakHyphen/>
        <w:t>residential tariff as defined in clause 9(1);</w:t>
      </w:r>
    </w:p>
    <w:p>
      <w:pPr>
        <w:pStyle w:val="yDefstart"/>
        <w:keepNext/>
      </w:pPr>
      <w:r>
        <w:lastRenderedPageBreak/>
        <w:tab/>
      </w:r>
      <w:r>
        <w:rPr>
          <w:rStyle w:val="CharDefText"/>
        </w:rPr>
        <w:t>peak day</w:t>
      </w:r>
      <w:r>
        <w:t xml:space="preserve"> means — </w:t>
      </w:r>
    </w:p>
    <w:p>
      <w:pPr>
        <w:pStyle w:val="yDefpara"/>
        <w:keepNext/>
        <w:keepLines/>
      </w:pPr>
      <w:r>
        <w:tab/>
        <w:t>(a)</w:t>
      </w:r>
      <w:r>
        <w:tab/>
        <w:t>in relation to a MyPower residential tariff as defined in clause 8(1) — a day that is in a peak period and is not a Saturday, a Sunday or a public holiday in the place in which the relevant premises to which electricity is supplied are situated; or</w:t>
      </w:r>
    </w:p>
    <w:p>
      <w:pPr>
        <w:pStyle w:val="yDefpara"/>
      </w:pPr>
      <w:r>
        <w:tab/>
        <w:t>(b)</w:t>
      </w:r>
      <w:r>
        <w:tab/>
        <w:t>in relation to a MyPower non</w:t>
      </w:r>
      <w:r>
        <w:noBreakHyphen/>
        <w:t>residential tariff as defined in clause 9(1) — a day that is in a peak period and is not a public holiday in the place in which the relevant premises to which electricity is supplied are situated;</w:t>
      </w:r>
    </w:p>
    <w:p>
      <w:pPr>
        <w:pStyle w:val="yDefstart"/>
      </w:pPr>
      <w:r>
        <w:tab/>
      </w:r>
      <w:r>
        <w:rPr>
          <w:rStyle w:val="CharDefText"/>
        </w:rPr>
        <w:t>peak period</w:t>
      </w:r>
      <w:r>
        <w:t xml:space="preserve"> means — </w:t>
      </w:r>
    </w:p>
    <w:p>
      <w:pPr>
        <w:pStyle w:val="yDefpara"/>
      </w:pPr>
      <w:r>
        <w:tab/>
        <w:t>(a)</w:t>
      </w:r>
      <w:r>
        <w:tab/>
        <w:t>in relation to electricity supplied otherwise than as described in paragraph (b) — a period beginning on 1 December in a year and ending on 30 April in the following year; or</w:t>
      </w:r>
    </w:p>
    <w:p>
      <w:pPr>
        <w:pStyle w:val="yDefpara"/>
      </w:pPr>
      <w:r>
        <w:tab/>
        <w:t>(b)</w:t>
      </w:r>
      <w:r>
        <w:tab/>
        <w:t>in relation to electricity supplied on the Esperance network — a period beginning on 1 July in a year and ending on 31 March in the following year, but excluding the months of September, October, November and December;</w:t>
      </w:r>
    </w:p>
    <w:p>
      <w:pPr>
        <w:pStyle w:val="yDefstart"/>
      </w:pPr>
      <w:r>
        <w:tab/>
      </w:r>
      <w:r>
        <w:rPr>
          <w:rStyle w:val="CharDefText"/>
        </w:rPr>
        <w:t>peak time</w:t>
      </w:r>
      <w:r>
        <w:t xml:space="preserve"> means a period beginning at 1 pm and ending at 8 pm.</w:t>
      </w:r>
    </w:p>
    <w:p>
      <w:pPr>
        <w:pStyle w:val="ySubsection"/>
      </w:pPr>
      <w:r>
        <w:tab/>
        <w:t>(2)</w:t>
      </w:r>
      <w:r>
        <w:tab/>
        <w:t xml:space="preserve">For the purposes of this Division, a consumer to whom electricity is supplied at premises at a MyPower tariff </w:t>
      </w:r>
      <w:r>
        <w:rPr>
          <w:rStyle w:val="CharDefText"/>
        </w:rPr>
        <w:t>exceeds the applicable peak allowance</w:t>
      </w:r>
      <w:r>
        <w:t xml:space="preserve"> in relation to the tariff if, on a peak day, the consumer consumes more electricity at those premises during 1 or more hours in a peak time than the applicable peak allowance for the tariff, unless — </w:t>
      </w:r>
    </w:p>
    <w:p>
      <w:pPr>
        <w:pStyle w:val="yIndenta"/>
      </w:pPr>
      <w:r>
        <w:tab/>
        <w:t>(a)</w:t>
      </w:r>
      <w:r>
        <w:tab/>
        <w:t>on the relevant day, electricity has been supplied to the consumer at the premises at a MyPower tariff for 14 or fewer continuous days; or</w:t>
      </w:r>
    </w:p>
    <w:p>
      <w:pPr>
        <w:pStyle w:val="yIndenta"/>
      </w:pPr>
      <w:r>
        <w:tab/>
        <w:t>(b)</w:t>
      </w:r>
      <w:r>
        <w:tab/>
        <w:t>the corporation considers that on the relevant day the consumer was affected by an emergency event (for example, a cyclone or bushfire).</w:t>
      </w:r>
    </w:p>
    <w:p>
      <w:pPr>
        <w:pStyle w:val="yFootnotesection"/>
      </w:pPr>
      <w:r>
        <w:tab/>
        <w:t>[Clause 7 inserted: SL 2024/103 bl. 4.]</w:t>
      </w:r>
    </w:p>
    <w:p>
      <w:pPr>
        <w:pStyle w:val="yHeading5"/>
      </w:pPr>
      <w:bookmarkStart w:id="50" w:name="_Toc169168692"/>
      <w:bookmarkStart w:id="51" w:name="_Toc169169045"/>
      <w:bookmarkStart w:id="52" w:name="_Toc170293094"/>
      <w:r>
        <w:rPr>
          <w:rStyle w:val="CharSClsNo"/>
        </w:rPr>
        <w:lastRenderedPageBreak/>
        <w:t>8</w:t>
      </w:r>
      <w:r>
        <w:t>.</w:t>
      </w:r>
      <w:r>
        <w:tab/>
        <w:t>MyPower residential tariffs</w:t>
      </w:r>
      <w:bookmarkEnd w:id="50"/>
      <w:bookmarkEnd w:id="51"/>
      <w:bookmarkEnd w:id="52"/>
    </w:p>
    <w:p>
      <w:pPr>
        <w:pStyle w:val="ySubsection"/>
        <w:keepNext/>
      </w:pPr>
      <w:r>
        <w:tab/>
        <w:t>(1)</w:t>
      </w:r>
      <w:r>
        <w:tab/>
        <w:t xml:space="preserve">Each tariff determined under this clause (a </w:t>
      </w:r>
      <w:r>
        <w:rPr>
          <w:rStyle w:val="CharDefText"/>
        </w:rPr>
        <w:t>MyPower residential tariff</w:t>
      </w:r>
      <w:r>
        <w:t xml:space="preserve">) is available in relation to the supply of electricity to premises only — </w:t>
      </w:r>
    </w:p>
    <w:p>
      <w:pPr>
        <w:pStyle w:val="yIndenta"/>
      </w:pPr>
      <w:r>
        <w:tab/>
        <w:t>(a)</w:t>
      </w:r>
      <w:r>
        <w:tab/>
        <w:t>for residential use; and</w:t>
      </w:r>
    </w:p>
    <w:p>
      <w:pPr>
        <w:pStyle w:val="yIndenta"/>
      </w:pPr>
      <w:r>
        <w:tab/>
        <w:t>(b)</w:t>
      </w:r>
      <w:r>
        <w:tab/>
        <w:t>if, before 1 July 2022, the consumer elected to be supplied electricity at the premises at the MyPower residential tariff (subject to subclause (5)); and</w:t>
      </w:r>
    </w:p>
    <w:p>
      <w:pPr>
        <w:pStyle w:val="yIndenta"/>
      </w:pPr>
      <w:r>
        <w:tab/>
        <w:t>(c)</w:t>
      </w:r>
      <w:r>
        <w:tab/>
        <w:t>if, since the consumer made the election, electricity has not been supplied to the premises at a tariff other than a MyPower residential tariff.</w:t>
      </w:r>
    </w:p>
    <w:p>
      <w:pPr>
        <w:pStyle w:val="ySubsection"/>
      </w:pPr>
      <w:r>
        <w:tab/>
        <w:t>(2)</w:t>
      </w:r>
      <w:r>
        <w:tab/>
        <w:t xml:space="preserve">Each MyPower residential tariff comprises the following charges — </w:t>
      </w:r>
    </w:p>
    <w:p>
      <w:pPr>
        <w:pStyle w:val="yIndenta"/>
      </w:pPr>
      <w:r>
        <w:tab/>
        <w:t>(a)</w:t>
      </w:r>
      <w:r>
        <w:tab/>
        <w:t>a fixed charge at the applicable rate; and</w:t>
      </w:r>
    </w:p>
    <w:p>
      <w:pPr>
        <w:pStyle w:val="yIndenta"/>
      </w:pPr>
      <w:r>
        <w:tab/>
        <w:t>(b)</w:t>
      </w:r>
      <w:r>
        <w:tab/>
        <w:t>a charge for metered consumption at the applicable rate.</w:t>
      </w:r>
    </w:p>
    <w:p>
      <w:pPr>
        <w:pStyle w:val="ySubsection"/>
      </w:pPr>
      <w:r>
        <w:tab/>
        <w:t>(3)</w:t>
      </w:r>
      <w:r>
        <w:tab/>
        <w:t xml:space="preserve">Each MyPower residential tariff is available subject to the following conditions — </w:t>
      </w:r>
    </w:p>
    <w:p>
      <w:pPr>
        <w:pStyle w:val="yIndenta"/>
      </w:pPr>
      <w:r>
        <w:tab/>
        <w:t>(a)</w:t>
      </w:r>
      <w:r>
        <w:tab/>
        <w:t>the consumer must satisfy the eligibility criteria set out in clause 10;</w:t>
      </w:r>
    </w:p>
    <w:p>
      <w:pPr>
        <w:pStyle w:val="yIndenta"/>
      </w:pPr>
      <w:r>
        <w:tab/>
        <w:t>(b)</w:t>
      </w:r>
      <w:r>
        <w:tab/>
        <w:t>the consumer must not exceed the applicable peak allowance at the relevant premises on 4 or more peak days in a peak period.</w:t>
      </w:r>
    </w:p>
    <w:p>
      <w:pPr>
        <w:pStyle w:val="ySubsection"/>
      </w:pPr>
      <w:r>
        <w:tab/>
        <w:t>(4)</w:t>
      </w:r>
      <w:r>
        <w:tab/>
        <w:t>For each MyPower residential tariff, the applicable rates of the fixed charge and metered consumption charge, and the applicable peak allowance, are to be determined under the Table.</w:t>
      </w:r>
    </w:p>
    <w:p>
      <w:pPr>
        <w:pStyle w:val="yTHeadingNAm"/>
        <w:spacing w:before="120"/>
        <w:ind w:left="284"/>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1417"/>
        <w:gridCol w:w="1560"/>
        <w:gridCol w:w="1275"/>
      </w:tblGrid>
      <w:tr>
        <w:trPr>
          <w:cantSplit/>
          <w:tblHeader/>
        </w:trPr>
        <w:tc>
          <w:tcPr>
            <w:tcW w:w="1276" w:type="dxa"/>
            <w:noWrap/>
          </w:tcPr>
          <w:p>
            <w:pPr>
              <w:pStyle w:val="yTableNAm"/>
              <w:keepNext/>
              <w:rPr>
                <w:b/>
              </w:rPr>
            </w:pPr>
            <w:r>
              <w:rPr>
                <w:b/>
              </w:rPr>
              <w:t>Tariff name</w:t>
            </w:r>
          </w:p>
        </w:tc>
        <w:tc>
          <w:tcPr>
            <w:tcW w:w="1417" w:type="dxa"/>
            <w:noWrap/>
          </w:tcPr>
          <w:p>
            <w:pPr>
              <w:pStyle w:val="yTableNAm"/>
              <w:keepNext/>
              <w:rPr>
                <w:b/>
              </w:rPr>
            </w:pPr>
            <w:r>
              <w:rPr>
                <w:b/>
              </w:rPr>
              <w:t>Rate of fixed charge</w:t>
            </w:r>
          </w:p>
        </w:tc>
        <w:tc>
          <w:tcPr>
            <w:tcW w:w="1560" w:type="dxa"/>
            <w:noWrap/>
          </w:tcPr>
          <w:p>
            <w:pPr>
              <w:pStyle w:val="yTableNAm"/>
              <w:keepNext/>
              <w:rPr>
                <w:b/>
              </w:rPr>
            </w:pPr>
            <w:r>
              <w:rPr>
                <w:b/>
              </w:rPr>
              <w:t>Rate of metered consumption charge</w:t>
            </w:r>
          </w:p>
        </w:tc>
        <w:tc>
          <w:tcPr>
            <w:tcW w:w="1275" w:type="dxa"/>
            <w:noWrap/>
          </w:tcPr>
          <w:p>
            <w:pPr>
              <w:pStyle w:val="yTableNAm"/>
              <w:keepNext/>
              <w:rPr>
                <w:b/>
              </w:rPr>
            </w:pPr>
            <w:r>
              <w:rPr>
                <w:b/>
              </w:rPr>
              <w:t>Peak allowance</w:t>
            </w:r>
          </w:p>
        </w:tc>
      </w:tr>
      <w:tr>
        <w:tc>
          <w:tcPr>
            <w:tcW w:w="1276" w:type="dxa"/>
            <w:noWrap/>
          </w:tcPr>
          <w:p>
            <w:pPr>
              <w:pStyle w:val="yTableNAm"/>
            </w:pPr>
            <w:r>
              <w:t>MyPower residential 1.5 fixed plan price</w:t>
            </w:r>
          </w:p>
        </w:tc>
        <w:tc>
          <w:tcPr>
            <w:tcW w:w="1417" w:type="dxa"/>
            <w:noWrap/>
          </w:tcPr>
          <w:p>
            <w:pPr>
              <w:pStyle w:val="yTableNAm"/>
            </w:pPr>
            <w:r>
              <w:t>$1.238438 per day</w:t>
            </w:r>
          </w:p>
        </w:tc>
        <w:tc>
          <w:tcPr>
            <w:tcW w:w="1560" w:type="dxa"/>
            <w:noWrap/>
          </w:tcPr>
          <w:p>
            <w:pPr>
              <w:pStyle w:val="yTableNAm"/>
            </w:pPr>
            <w:r>
              <w:t>$0.100000</w:t>
            </w:r>
            <w:r>
              <w:br/>
              <w:t>per unit</w:t>
            </w:r>
          </w:p>
        </w:tc>
        <w:tc>
          <w:tcPr>
            <w:tcW w:w="1275" w:type="dxa"/>
            <w:noWrap/>
          </w:tcPr>
          <w:p>
            <w:pPr>
              <w:pStyle w:val="yTableNAm"/>
            </w:pPr>
            <w:r>
              <w:t>1.5 units per hour</w:t>
            </w:r>
          </w:p>
        </w:tc>
      </w:tr>
      <w:tr>
        <w:trPr>
          <w:cantSplit/>
        </w:trPr>
        <w:tc>
          <w:tcPr>
            <w:tcW w:w="1276" w:type="dxa"/>
            <w:noWrap/>
          </w:tcPr>
          <w:p>
            <w:pPr>
              <w:pStyle w:val="yTableNAm"/>
            </w:pPr>
            <w:r>
              <w:lastRenderedPageBreak/>
              <w:t>MyPower residential 3 fixed plan price</w:t>
            </w:r>
          </w:p>
        </w:tc>
        <w:tc>
          <w:tcPr>
            <w:tcW w:w="1417" w:type="dxa"/>
            <w:noWrap/>
          </w:tcPr>
          <w:p>
            <w:pPr>
              <w:pStyle w:val="yTableNAm"/>
            </w:pPr>
            <w:r>
              <w:t>$2.679935 per day</w:t>
            </w:r>
          </w:p>
        </w:tc>
        <w:tc>
          <w:tcPr>
            <w:tcW w:w="1560" w:type="dxa"/>
            <w:noWrap/>
          </w:tcPr>
          <w:p>
            <w:pPr>
              <w:pStyle w:val="yTableNAm"/>
            </w:pPr>
            <w:r>
              <w:t>$0.100000</w:t>
            </w:r>
            <w:r>
              <w:br/>
              <w:t>per unit</w:t>
            </w:r>
          </w:p>
        </w:tc>
        <w:tc>
          <w:tcPr>
            <w:tcW w:w="1275" w:type="dxa"/>
            <w:noWrap/>
          </w:tcPr>
          <w:p>
            <w:pPr>
              <w:pStyle w:val="yTableNAm"/>
            </w:pPr>
            <w:r>
              <w:t xml:space="preserve">3 units </w:t>
            </w:r>
            <w:r>
              <w:br/>
              <w:t>per hour</w:t>
            </w:r>
          </w:p>
        </w:tc>
      </w:tr>
      <w:tr>
        <w:trPr>
          <w:cantSplit/>
        </w:trPr>
        <w:tc>
          <w:tcPr>
            <w:tcW w:w="1276" w:type="dxa"/>
            <w:noWrap/>
          </w:tcPr>
          <w:p>
            <w:pPr>
              <w:pStyle w:val="yTableNAm"/>
            </w:pPr>
            <w:r>
              <w:t>MyPower residential 5 fixed plan price</w:t>
            </w:r>
          </w:p>
        </w:tc>
        <w:tc>
          <w:tcPr>
            <w:tcW w:w="1417" w:type="dxa"/>
            <w:noWrap/>
          </w:tcPr>
          <w:p>
            <w:pPr>
              <w:pStyle w:val="yTableNAm"/>
            </w:pPr>
            <w:r>
              <w:t>$5.422946 per day</w:t>
            </w:r>
          </w:p>
        </w:tc>
        <w:tc>
          <w:tcPr>
            <w:tcW w:w="1560" w:type="dxa"/>
            <w:noWrap/>
          </w:tcPr>
          <w:p>
            <w:pPr>
              <w:pStyle w:val="yTableNAm"/>
            </w:pPr>
            <w:r>
              <w:t>$0.100000</w:t>
            </w:r>
            <w:r>
              <w:br/>
              <w:t>per unit</w:t>
            </w:r>
          </w:p>
        </w:tc>
        <w:tc>
          <w:tcPr>
            <w:tcW w:w="1275" w:type="dxa"/>
            <w:noWrap/>
          </w:tcPr>
          <w:p>
            <w:pPr>
              <w:pStyle w:val="yTableNAm"/>
            </w:pPr>
            <w:r>
              <w:t xml:space="preserve">5 units </w:t>
            </w:r>
            <w:r>
              <w:br/>
              <w:t>per hour</w:t>
            </w:r>
          </w:p>
        </w:tc>
      </w:tr>
      <w:tr>
        <w:trPr>
          <w:cantSplit/>
        </w:trPr>
        <w:tc>
          <w:tcPr>
            <w:tcW w:w="1276" w:type="dxa"/>
            <w:noWrap/>
          </w:tcPr>
          <w:p>
            <w:pPr>
              <w:pStyle w:val="yTableNAm"/>
            </w:pPr>
            <w:r>
              <w:t>MyPower residential 7 fixed plan price</w:t>
            </w:r>
          </w:p>
        </w:tc>
        <w:tc>
          <w:tcPr>
            <w:tcW w:w="1417" w:type="dxa"/>
            <w:noWrap/>
          </w:tcPr>
          <w:p>
            <w:pPr>
              <w:pStyle w:val="yTableNAm"/>
            </w:pPr>
            <w:r>
              <w:t>$8.931806 per day</w:t>
            </w:r>
          </w:p>
        </w:tc>
        <w:tc>
          <w:tcPr>
            <w:tcW w:w="1560" w:type="dxa"/>
            <w:noWrap/>
          </w:tcPr>
          <w:p>
            <w:pPr>
              <w:pStyle w:val="yTableNAm"/>
            </w:pPr>
            <w:r>
              <w:t>$0.100000</w:t>
            </w:r>
            <w:r>
              <w:br/>
              <w:t>per unit</w:t>
            </w:r>
          </w:p>
        </w:tc>
        <w:tc>
          <w:tcPr>
            <w:tcW w:w="1275" w:type="dxa"/>
            <w:noWrap/>
          </w:tcPr>
          <w:p>
            <w:pPr>
              <w:pStyle w:val="yTableNAm"/>
            </w:pPr>
            <w:r>
              <w:t xml:space="preserve">7 units </w:t>
            </w:r>
            <w:r>
              <w:br/>
              <w:t>per hour</w:t>
            </w:r>
          </w:p>
        </w:tc>
      </w:tr>
      <w:tr>
        <w:trPr>
          <w:cantSplit/>
        </w:trPr>
        <w:tc>
          <w:tcPr>
            <w:tcW w:w="1276" w:type="dxa"/>
            <w:noWrap/>
          </w:tcPr>
          <w:p>
            <w:pPr>
              <w:pStyle w:val="yTableNAm"/>
            </w:pPr>
            <w:r>
              <w:t>MyPower residential 10 fixed plan price</w:t>
            </w:r>
          </w:p>
        </w:tc>
        <w:tc>
          <w:tcPr>
            <w:tcW w:w="1417" w:type="dxa"/>
            <w:noWrap/>
          </w:tcPr>
          <w:p>
            <w:pPr>
              <w:pStyle w:val="yTableNAm"/>
            </w:pPr>
            <w:r>
              <w:t>$13.482946 per day</w:t>
            </w:r>
          </w:p>
        </w:tc>
        <w:tc>
          <w:tcPr>
            <w:tcW w:w="1560" w:type="dxa"/>
            <w:noWrap/>
          </w:tcPr>
          <w:p>
            <w:pPr>
              <w:pStyle w:val="yTableNAm"/>
            </w:pPr>
            <w:r>
              <w:t>$0.100000</w:t>
            </w:r>
            <w:r>
              <w:br/>
              <w:t>per unit</w:t>
            </w:r>
          </w:p>
        </w:tc>
        <w:tc>
          <w:tcPr>
            <w:tcW w:w="1275" w:type="dxa"/>
            <w:noWrap/>
          </w:tcPr>
          <w:p>
            <w:pPr>
              <w:pStyle w:val="yTableNAm"/>
            </w:pPr>
            <w:r>
              <w:t>10 units</w:t>
            </w:r>
            <w:r>
              <w:br/>
              <w:t>per hour</w:t>
            </w:r>
          </w:p>
        </w:tc>
      </w:tr>
      <w:tr>
        <w:trPr>
          <w:cantSplit/>
        </w:trPr>
        <w:tc>
          <w:tcPr>
            <w:tcW w:w="1276" w:type="dxa"/>
            <w:noWrap/>
          </w:tcPr>
          <w:p>
            <w:pPr>
              <w:pStyle w:val="yTableNAm"/>
            </w:pPr>
            <w:r>
              <w:t>MyPower residential 15 fixed plan price</w:t>
            </w:r>
          </w:p>
        </w:tc>
        <w:tc>
          <w:tcPr>
            <w:tcW w:w="1417" w:type="dxa"/>
            <w:noWrap/>
          </w:tcPr>
          <w:p>
            <w:pPr>
              <w:pStyle w:val="yTableNAm"/>
            </w:pPr>
            <w:r>
              <w:t>$27.455645 per day</w:t>
            </w:r>
          </w:p>
        </w:tc>
        <w:tc>
          <w:tcPr>
            <w:tcW w:w="1560" w:type="dxa"/>
            <w:noWrap/>
          </w:tcPr>
          <w:p>
            <w:pPr>
              <w:pStyle w:val="yTableNAm"/>
            </w:pPr>
            <w:r>
              <w:t>$0.100000</w:t>
            </w:r>
            <w:r>
              <w:br/>
              <w:t>per unit</w:t>
            </w:r>
          </w:p>
        </w:tc>
        <w:tc>
          <w:tcPr>
            <w:tcW w:w="1275" w:type="dxa"/>
            <w:noWrap/>
          </w:tcPr>
          <w:p>
            <w:pPr>
              <w:pStyle w:val="yTableNAm"/>
            </w:pPr>
            <w:r>
              <w:t>15 units</w:t>
            </w:r>
            <w:r>
              <w:br/>
              <w:t>per hour</w:t>
            </w:r>
          </w:p>
        </w:tc>
      </w:tr>
    </w:tbl>
    <w:p>
      <w:pPr>
        <w:pStyle w:val="ySubsection"/>
        <w:keepNext/>
      </w:pPr>
      <w:r>
        <w:tab/>
        <w:t>(5)</w:t>
      </w:r>
      <w:r>
        <w:tab/>
        <w:t xml:space="preserve">Without limiting subclause (3)(b), if a consumer to whom electricity is supplied at premises at a MyPower residential tariff (the </w:t>
      </w:r>
      <w:r>
        <w:rPr>
          <w:rStyle w:val="CharDefText"/>
        </w:rPr>
        <w:t>original tariff</w:t>
      </w:r>
      <w:r>
        <w:t>) has exceeded the applicable peak allowance for the original tariff at those premises on 4 or more peak days in a peak period, on and from the day after the 4</w:t>
      </w:r>
      <w:r>
        <w:rPr>
          <w:vertAlign w:val="superscript"/>
        </w:rPr>
        <w:t>th</w:t>
      </w:r>
      <w:r>
        <w:t xml:space="preserve"> of those days the corporation may instead supply electricity to the consumer at the premises at the MyPower residential tariff (if any) that is immediately below the </w:t>
      </w:r>
      <w:r>
        <w:lastRenderedPageBreak/>
        <w:t>original tariff in the Table to subclause (4) (and the applicable peak allowance is adjusted accordingly).</w:t>
      </w:r>
    </w:p>
    <w:p>
      <w:pPr>
        <w:pStyle w:val="yFootnotesection"/>
      </w:pPr>
      <w:r>
        <w:tab/>
        <w:t>[Clause 8 inserted: SL 2024/103 bl. 4.]</w:t>
      </w:r>
    </w:p>
    <w:p>
      <w:pPr>
        <w:pStyle w:val="yHeading5"/>
      </w:pPr>
      <w:bookmarkStart w:id="53" w:name="_Toc169168693"/>
      <w:bookmarkStart w:id="54" w:name="_Toc169169046"/>
      <w:bookmarkStart w:id="55" w:name="_Toc170293095"/>
      <w:r>
        <w:rPr>
          <w:rStyle w:val="CharSClsNo"/>
        </w:rPr>
        <w:t>9</w:t>
      </w:r>
      <w:r>
        <w:t>.</w:t>
      </w:r>
      <w:r>
        <w:tab/>
        <w:t>MyPower non</w:t>
      </w:r>
      <w:r>
        <w:noBreakHyphen/>
        <w:t>residential tariffs</w:t>
      </w:r>
      <w:bookmarkEnd w:id="53"/>
      <w:bookmarkEnd w:id="54"/>
      <w:bookmarkEnd w:id="55"/>
    </w:p>
    <w:p>
      <w:pPr>
        <w:pStyle w:val="ySubsection"/>
      </w:pPr>
      <w:r>
        <w:tab/>
        <w:t>(1)</w:t>
      </w:r>
      <w:r>
        <w:tab/>
        <w:t xml:space="preserve">Each tariff determined under this clause (a </w:t>
      </w:r>
      <w:r>
        <w:rPr>
          <w:rStyle w:val="CharDefText"/>
        </w:rPr>
        <w:t>MyPower non</w:t>
      </w:r>
      <w:r>
        <w:rPr>
          <w:rStyle w:val="CharDefText"/>
        </w:rPr>
        <w:noBreakHyphen/>
        <w:t>residential tariff</w:t>
      </w:r>
      <w:r>
        <w:t xml:space="preserve">) is available in relation to the supply of electricity to premises only — </w:t>
      </w:r>
    </w:p>
    <w:p>
      <w:pPr>
        <w:pStyle w:val="yIndenta"/>
      </w:pPr>
      <w:r>
        <w:tab/>
        <w:t>(a)</w:t>
      </w:r>
      <w:r>
        <w:tab/>
        <w:t>for non</w:t>
      </w:r>
      <w:r>
        <w:noBreakHyphen/>
        <w:t>residential use; and</w:t>
      </w:r>
    </w:p>
    <w:p>
      <w:pPr>
        <w:pStyle w:val="yIndenta"/>
      </w:pPr>
      <w:r>
        <w:tab/>
        <w:t>(b)</w:t>
      </w:r>
      <w:r>
        <w:tab/>
        <w:t>if, before 1 July 2022, the consumer elected to be supplied electricity at the premises at the MyPower non</w:t>
      </w:r>
      <w:r>
        <w:noBreakHyphen/>
        <w:t>residential tariff (subject to subclause (5)); and</w:t>
      </w:r>
    </w:p>
    <w:p>
      <w:pPr>
        <w:pStyle w:val="yIndenta"/>
      </w:pPr>
      <w:r>
        <w:tab/>
        <w:t>(c)</w:t>
      </w:r>
      <w:r>
        <w:tab/>
        <w:t>if, since the consumer made the election, electricity has not been supplied to the premises at a tariff other than a MyPower non</w:t>
      </w:r>
      <w:r>
        <w:noBreakHyphen/>
        <w:t>residential tariff.</w:t>
      </w:r>
    </w:p>
    <w:p>
      <w:pPr>
        <w:pStyle w:val="ySubsection"/>
      </w:pPr>
      <w:r>
        <w:tab/>
        <w:t>(2)</w:t>
      </w:r>
      <w:r>
        <w:tab/>
        <w:t>Each MyPower non</w:t>
      </w:r>
      <w:r>
        <w:noBreakHyphen/>
        <w:t xml:space="preserve">residential tariff comprises the following charges — </w:t>
      </w:r>
    </w:p>
    <w:p>
      <w:pPr>
        <w:pStyle w:val="yIndenta"/>
      </w:pPr>
      <w:r>
        <w:tab/>
        <w:t>(a)</w:t>
      </w:r>
      <w:r>
        <w:tab/>
        <w:t>a fixed charge at the applicable rate; and</w:t>
      </w:r>
    </w:p>
    <w:p>
      <w:pPr>
        <w:pStyle w:val="yIndenta"/>
      </w:pPr>
      <w:r>
        <w:tab/>
        <w:t>(b)</w:t>
      </w:r>
      <w:r>
        <w:tab/>
        <w:t>a charge for metered consumption at the applicable rate.</w:t>
      </w:r>
    </w:p>
    <w:p>
      <w:pPr>
        <w:pStyle w:val="ySubsection"/>
      </w:pPr>
      <w:r>
        <w:tab/>
        <w:t>(3)</w:t>
      </w:r>
      <w:r>
        <w:tab/>
        <w:t>Each MyPower non</w:t>
      </w:r>
      <w:r>
        <w:noBreakHyphen/>
        <w:t xml:space="preserve">residential tariff is available subject to the following conditions — </w:t>
      </w:r>
    </w:p>
    <w:p>
      <w:pPr>
        <w:pStyle w:val="yIndenta"/>
      </w:pPr>
      <w:r>
        <w:tab/>
        <w:t>(a)</w:t>
      </w:r>
      <w:r>
        <w:tab/>
        <w:t>the consumer must satisfy the eligibility criteria set out in clause 10;</w:t>
      </w:r>
    </w:p>
    <w:p>
      <w:pPr>
        <w:pStyle w:val="yIndenta"/>
      </w:pPr>
      <w:r>
        <w:tab/>
        <w:t>(b)</w:t>
      </w:r>
      <w:r>
        <w:tab/>
        <w:t>the consumer must not exceed the applicable peak allowance at the relevant premises on 4 or more peak days in a peak period.</w:t>
      </w:r>
    </w:p>
    <w:p>
      <w:pPr>
        <w:pStyle w:val="ySubsection"/>
      </w:pPr>
      <w:r>
        <w:tab/>
        <w:t>(4)</w:t>
      </w:r>
      <w:r>
        <w:tab/>
        <w:t>For each MyPower non</w:t>
      </w:r>
      <w:r>
        <w:noBreakHyphen/>
        <w:t>residential tariff, the applicable rates of the fixed charge and metered consumption charge, and the applicable peak allowance, are to be determined under the Table.</w:t>
      </w:r>
    </w:p>
    <w:p>
      <w:pPr>
        <w:pStyle w:val="yTHeadingNAm"/>
        <w:ind w:left="426"/>
      </w:pPr>
      <w:r>
        <w:lastRenderedPageBreak/>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62"/>
        <w:gridCol w:w="1560"/>
        <w:gridCol w:w="1531"/>
        <w:gridCol w:w="1275"/>
      </w:tblGrid>
      <w:tr>
        <w:trPr>
          <w:cantSplit/>
          <w:tblHeader/>
        </w:trPr>
        <w:tc>
          <w:tcPr>
            <w:tcW w:w="1162" w:type="dxa"/>
            <w:noWrap/>
          </w:tcPr>
          <w:p>
            <w:pPr>
              <w:pStyle w:val="yTableNAm"/>
              <w:rPr>
                <w:b/>
              </w:rPr>
            </w:pPr>
            <w:r>
              <w:rPr>
                <w:b/>
              </w:rPr>
              <w:t>Tariff name</w:t>
            </w:r>
          </w:p>
        </w:tc>
        <w:tc>
          <w:tcPr>
            <w:tcW w:w="1560" w:type="dxa"/>
            <w:noWrap/>
          </w:tcPr>
          <w:p>
            <w:pPr>
              <w:pStyle w:val="yTableNAm"/>
              <w:rPr>
                <w:b/>
              </w:rPr>
            </w:pPr>
            <w:r>
              <w:rPr>
                <w:b/>
              </w:rPr>
              <w:t>Rate of fixed charge</w:t>
            </w:r>
          </w:p>
        </w:tc>
        <w:tc>
          <w:tcPr>
            <w:tcW w:w="1531" w:type="dxa"/>
            <w:noWrap/>
          </w:tcPr>
          <w:p>
            <w:pPr>
              <w:pStyle w:val="yTableNAm"/>
              <w:rPr>
                <w:b/>
              </w:rPr>
            </w:pPr>
            <w:r>
              <w:rPr>
                <w:b/>
              </w:rPr>
              <w:t>Rate of metered consumption charge</w:t>
            </w:r>
          </w:p>
        </w:tc>
        <w:tc>
          <w:tcPr>
            <w:tcW w:w="1275" w:type="dxa"/>
            <w:noWrap/>
          </w:tcPr>
          <w:p>
            <w:pPr>
              <w:pStyle w:val="yTableNAm"/>
              <w:rPr>
                <w:b/>
              </w:rPr>
            </w:pPr>
            <w:r>
              <w:rPr>
                <w:b/>
              </w:rPr>
              <w:t>Peak allowance</w:t>
            </w:r>
          </w:p>
        </w:tc>
      </w:tr>
      <w:tr>
        <w:trPr>
          <w:cantSplit/>
        </w:trPr>
        <w:tc>
          <w:tcPr>
            <w:tcW w:w="1162" w:type="dxa"/>
            <w:noWrap/>
          </w:tcPr>
          <w:p>
            <w:pPr>
              <w:pStyle w:val="yTableNAm"/>
            </w:pPr>
            <w:r>
              <w:t>MyPower non</w:t>
            </w:r>
            <w:r>
              <w:noBreakHyphen/>
            </w:r>
            <w:r>
              <w:br/>
              <w:t>residential 3 fixed plan price</w:t>
            </w:r>
          </w:p>
        </w:tc>
        <w:tc>
          <w:tcPr>
            <w:tcW w:w="1560" w:type="dxa"/>
            <w:noWrap/>
          </w:tcPr>
          <w:p>
            <w:pPr>
              <w:pStyle w:val="yTableNAm"/>
            </w:pPr>
            <w:r>
              <w:t>$3.013213 per day</w:t>
            </w:r>
          </w:p>
        </w:tc>
        <w:tc>
          <w:tcPr>
            <w:tcW w:w="1531" w:type="dxa"/>
            <w:noWrap/>
          </w:tcPr>
          <w:p>
            <w:pPr>
              <w:pStyle w:val="yTableNAm"/>
            </w:pPr>
            <w:r>
              <w:t>$0.100000</w:t>
            </w:r>
            <w:r>
              <w:br/>
              <w:t>per unit</w:t>
            </w:r>
          </w:p>
        </w:tc>
        <w:tc>
          <w:tcPr>
            <w:tcW w:w="1275" w:type="dxa"/>
            <w:noWrap/>
          </w:tcPr>
          <w:p>
            <w:pPr>
              <w:pStyle w:val="yTableNAm"/>
            </w:pPr>
            <w:r>
              <w:t xml:space="preserve">3 units </w:t>
            </w:r>
            <w:r>
              <w:br/>
              <w:t>per hour</w:t>
            </w:r>
          </w:p>
        </w:tc>
      </w:tr>
      <w:tr>
        <w:trPr>
          <w:cantSplit/>
        </w:trPr>
        <w:tc>
          <w:tcPr>
            <w:tcW w:w="1162" w:type="dxa"/>
            <w:noWrap/>
          </w:tcPr>
          <w:p>
            <w:pPr>
              <w:pStyle w:val="yTableNAm"/>
            </w:pPr>
            <w:r>
              <w:t>MyPower non</w:t>
            </w:r>
            <w:r>
              <w:noBreakHyphen/>
            </w:r>
            <w:r>
              <w:br/>
              <w:t>residential 5 fixed plan price</w:t>
            </w:r>
          </w:p>
        </w:tc>
        <w:tc>
          <w:tcPr>
            <w:tcW w:w="1560" w:type="dxa"/>
            <w:noWrap/>
          </w:tcPr>
          <w:p>
            <w:pPr>
              <w:pStyle w:val="yTableNAm"/>
            </w:pPr>
            <w:r>
              <w:t>$7.083994 per day</w:t>
            </w:r>
          </w:p>
        </w:tc>
        <w:tc>
          <w:tcPr>
            <w:tcW w:w="1531" w:type="dxa"/>
            <w:noWrap/>
          </w:tcPr>
          <w:p>
            <w:pPr>
              <w:pStyle w:val="yTableNAm"/>
            </w:pPr>
            <w:r>
              <w:t>$0.100000</w:t>
            </w:r>
            <w:r>
              <w:br/>
              <w:t>per unit</w:t>
            </w:r>
          </w:p>
        </w:tc>
        <w:tc>
          <w:tcPr>
            <w:tcW w:w="1275" w:type="dxa"/>
            <w:noWrap/>
          </w:tcPr>
          <w:p>
            <w:pPr>
              <w:pStyle w:val="yTableNAm"/>
            </w:pPr>
            <w:r>
              <w:t xml:space="preserve">5 units </w:t>
            </w:r>
            <w:r>
              <w:br/>
              <w:t>per hour</w:t>
            </w:r>
          </w:p>
        </w:tc>
      </w:tr>
      <w:tr>
        <w:trPr>
          <w:cantSplit/>
        </w:trPr>
        <w:tc>
          <w:tcPr>
            <w:tcW w:w="1162" w:type="dxa"/>
            <w:noWrap/>
          </w:tcPr>
          <w:p>
            <w:pPr>
              <w:pStyle w:val="yTableNAm"/>
            </w:pPr>
            <w:r>
              <w:t>MyPower non</w:t>
            </w:r>
            <w:r>
              <w:noBreakHyphen/>
            </w:r>
            <w:r>
              <w:br/>
              <w:t>residential 7 fixed plan price</w:t>
            </w:r>
          </w:p>
        </w:tc>
        <w:tc>
          <w:tcPr>
            <w:tcW w:w="1560" w:type="dxa"/>
            <w:noWrap/>
          </w:tcPr>
          <w:p>
            <w:pPr>
              <w:pStyle w:val="yTableNAm"/>
            </w:pPr>
            <w:r>
              <w:t>$12.645485 per day</w:t>
            </w:r>
          </w:p>
        </w:tc>
        <w:tc>
          <w:tcPr>
            <w:tcW w:w="1531" w:type="dxa"/>
            <w:noWrap/>
          </w:tcPr>
          <w:p>
            <w:pPr>
              <w:pStyle w:val="yTableNAm"/>
            </w:pPr>
            <w:r>
              <w:t>$0.100000</w:t>
            </w:r>
            <w:r>
              <w:br/>
              <w:t>per unit</w:t>
            </w:r>
          </w:p>
        </w:tc>
        <w:tc>
          <w:tcPr>
            <w:tcW w:w="1275" w:type="dxa"/>
            <w:noWrap/>
          </w:tcPr>
          <w:p>
            <w:pPr>
              <w:pStyle w:val="yTableNAm"/>
            </w:pPr>
            <w:r>
              <w:t xml:space="preserve">7 units </w:t>
            </w:r>
            <w:r>
              <w:br/>
              <w:t>per hour</w:t>
            </w:r>
          </w:p>
        </w:tc>
      </w:tr>
      <w:tr>
        <w:trPr>
          <w:cantSplit/>
        </w:trPr>
        <w:tc>
          <w:tcPr>
            <w:tcW w:w="1162" w:type="dxa"/>
            <w:noWrap/>
          </w:tcPr>
          <w:p>
            <w:pPr>
              <w:pStyle w:val="yTableNAm"/>
            </w:pPr>
            <w:r>
              <w:t>MyPower non</w:t>
            </w:r>
            <w:r>
              <w:noBreakHyphen/>
            </w:r>
            <w:r>
              <w:br/>
              <w:t>residential 10 fixed plan price</w:t>
            </w:r>
          </w:p>
        </w:tc>
        <w:tc>
          <w:tcPr>
            <w:tcW w:w="1560" w:type="dxa"/>
            <w:noWrap/>
          </w:tcPr>
          <w:p>
            <w:pPr>
              <w:pStyle w:val="yTableNAm"/>
            </w:pPr>
            <w:r>
              <w:t>$18.777148 per day</w:t>
            </w:r>
          </w:p>
        </w:tc>
        <w:tc>
          <w:tcPr>
            <w:tcW w:w="1531" w:type="dxa"/>
            <w:noWrap/>
          </w:tcPr>
          <w:p>
            <w:pPr>
              <w:pStyle w:val="yTableNAm"/>
            </w:pPr>
            <w:r>
              <w:t>$0.100000</w:t>
            </w:r>
            <w:r>
              <w:br/>
              <w:t>per unit</w:t>
            </w:r>
          </w:p>
        </w:tc>
        <w:tc>
          <w:tcPr>
            <w:tcW w:w="1275" w:type="dxa"/>
            <w:noWrap/>
          </w:tcPr>
          <w:p>
            <w:pPr>
              <w:pStyle w:val="yTableNAm"/>
            </w:pPr>
            <w:r>
              <w:t>10 units</w:t>
            </w:r>
            <w:r>
              <w:br/>
              <w:t>per hour</w:t>
            </w:r>
          </w:p>
        </w:tc>
      </w:tr>
      <w:tr>
        <w:trPr>
          <w:cantSplit/>
        </w:trPr>
        <w:tc>
          <w:tcPr>
            <w:tcW w:w="1162" w:type="dxa"/>
            <w:noWrap/>
          </w:tcPr>
          <w:p>
            <w:pPr>
              <w:pStyle w:val="yTableNAm"/>
            </w:pPr>
            <w:r>
              <w:t>MyPower non</w:t>
            </w:r>
            <w:r>
              <w:noBreakHyphen/>
            </w:r>
            <w:r>
              <w:br/>
              <w:t>residential 15 fixed plan price</w:t>
            </w:r>
          </w:p>
        </w:tc>
        <w:tc>
          <w:tcPr>
            <w:tcW w:w="1560" w:type="dxa"/>
            <w:noWrap/>
          </w:tcPr>
          <w:p>
            <w:pPr>
              <w:pStyle w:val="yTableNAm"/>
            </w:pPr>
            <w:r>
              <w:t>$28.883026 per day</w:t>
            </w:r>
          </w:p>
        </w:tc>
        <w:tc>
          <w:tcPr>
            <w:tcW w:w="1531" w:type="dxa"/>
            <w:noWrap/>
          </w:tcPr>
          <w:p>
            <w:pPr>
              <w:pStyle w:val="yTableNAm"/>
            </w:pPr>
            <w:r>
              <w:t>$0.100000</w:t>
            </w:r>
            <w:r>
              <w:br/>
              <w:t>per unit</w:t>
            </w:r>
          </w:p>
        </w:tc>
        <w:tc>
          <w:tcPr>
            <w:tcW w:w="1275" w:type="dxa"/>
            <w:noWrap/>
          </w:tcPr>
          <w:p>
            <w:pPr>
              <w:pStyle w:val="yTableNAm"/>
            </w:pPr>
            <w:r>
              <w:t>15 units</w:t>
            </w:r>
            <w:r>
              <w:br/>
              <w:t>per hour</w:t>
            </w:r>
          </w:p>
        </w:tc>
      </w:tr>
      <w:tr>
        <w:trPr>
          <w:cantSplit/>
        </w:trPr>
        <w:tc>
          <w:tcPr>
            <w:tcW w:w="1162" w:type="dxa"/>
            <w:noWrap/>
          </w:tcPr>
          <w:p>
            <w:pPr>
              <w:pStyle w:val="yTableNAm"/>
            </w:pPr>
            <w:r>
              <w:lastRenderedPageBreak/>
              <w:t>MyPower non</w:t>
            </w:r>
            <w:r>
              <w:noBreakHyphen/>
            </w:r>
            <w:r>
              <w:br/>
              <w:t>residential 20 fixed plan price</w:t>
            </w:r>
          </w:p>
        </w:tc>
        <w:tc>
          <w:tcPr>
            <w:tcW w:w="1560" w:type="dxa"/>
            <w:noWrap/>
          </w:tcPr>
          <w:p>
            <w:pPr>
              <w:pStyle w:val="yTableNAm"/>
            </w:pPr>
            <w:r>
              <w:t>$42.604940 per day</w:t>
            </w:r>
          </w:p>
        </w:tc>
        <w:tc>
          <w:tcPr>
            <w:tcW w:w="1531" w:type="dxa"/>
            <w:noWrap/>
          </w:tcPr>
          <w:p>
            <w:pPr>
              <w:pStyle w:val="yTableNAm"/>
            </w:pPr>
            <w:r>
              <w:t>$0.100000</w:t>
            </w:r>
            <w:r>
              <w:br/>
              <w:t>per unit</w:t>
            </w:r>
          </w:p>
        </w:tc>
        <w:tc>
          <w:tcPr>
            <w:tcW w:w="1275" w:type="dxa"/>
            <w:noWrap/>
          </w:tcPr>
          <w:p>
            <w:pPr>
              <w:pStyle w:val="yTableNAm"/>
            </w:pPr>
            <w:r>
              <w:t>20 units</w:t>
            </w:r>
            <w:r>
              <w:br/>
              <w:t>per hour</w:t>
            </w:r>
          </w:p>
        </w:tc>
      </w:tr>
      <w:tr>
        <w:trPr>
          <w:cantSplit/>
        </w:trPr>
        <w:tc>
          <w:tcPr>
            <w:tcW w:w="1162" w:type="dxa"/>
            <w:noWrap/>
          </w:tcPr>
          <w:p>
            <w:pPr>
              <w:pStyle w:val="yTableNAm"/>
            </w:pPr>
            <w:r>
              <w:t>MyPower non</w:t>
            </w:r>
            <w:r>
              <w:noBreakHyphen/>
            </w:r>
            <w:r>
              <w:br/>
              <w:t>residential 25 fixed plan price</w:t>
            </w:r>
          </w:p>
        </w:tc>
        <w:tc>
          <w:tcPr>
            <w:tcW w:w="1560" w:type="dxa"/>
            <w:noWrap/>
          </w:tcPr>
          <w:p>
            <w:pPr>
              <w:pStyle w:val="yTableNAm"/>
            </w:pPr>
            <w:r>
              <w:t>$43.842703 per day</w:t>
            </w:r>
          </w:p>
        </w:tc>
        <w:tc>
          <w:tcPr>
            <w:tcW w:w="1531" w:type="dxa"/>
            <w:noWrap/>
          </w:tcPr>
          <w:p>
            <w:pPr>
              <w:pStyle w:val="yTableNAm"/>
            </w:pPr>
            <w:r>
              <w:t>$0.100000</w:t>
            </w:r>
            <w:r>
              <w:br/>
              <w:t>per unit</w:t>
            </w:r>
          </w:p>
        </w:tc>
        <w:tc>
          <w:tcPr>
            <w:tcW w:w="1275" w:type="dxa"/>
            <w:noWrap/>
          </w:tcPr>
          <w:p>
            <w:pPr>
              <w:pStyle w:val="yTableNAm"/>
            </w:pPr>
            <w:r>
              <w:t>25 units</w:t>
            </w:r>
            <w:r>
              <w:br/>
              <w:t>per hour</w:t>
            </w:r>
          </w:p>
        </w:tc>
      </w:tr>
      <w:tr>
        <w:trPr>
          <w:cantSplit/>
        </w:trPr>
        <w:tc>
          <w:tcPr>
            <w:tcW w:w="1162" w:type="dxa"/>
            <w:noWrap/>
          </w:tcPr>
          <w:p>
            <w:pPr>
              <w:pStyle w:val="yTableNAm"/>
            </w:pPr>
            <w:r>
              <w:t>MyPower non</w:t>
            </w:r>
            <w:r>
              <w:noBreakHyphen/>
            </w:r>
            <w:r>
              <w:br/>
              <w:t>residential 30 fixed plan price</w:t>
            </w:r>
          </w:p>
        </w:tc>
        <w:tc>
          <w:tcPr>
            <w:tcW w:w="1560" w:type="dxa"/>
            <w:noWrap/>
          </w:tcPr>
          <w:p>
            <w:pPr>
              <w:pStyle w:val="yTableNAm"/>
            </w:pPr>
            <w:r>
              <w:t>$60.351267 per day</w:t>
            </w:r>
          </w:p>
        </w:tc>
        <w:tc>
          <w:tcPr>
            <w:tcW w:w="1531" w:type="dxa"/>
            <w:noWrap/>
          </w:tcPr>
          <w:p>
            <w:pPr>
              <w:pStyle w:val="yTableNAm"/>
            </w:pPr>
            <w:r>
              <w:t>$0.100000</w:t>
            </w:r>
            <w:r>
              <w:br/>
              <w:t>per unit</w:t>
            </w:r>
          </w:p>
        </w:tc>
        <w:tc>
          <w:tcPr>
            <w:tcW w:w="1275" w:type="dxa"/>
            <w:noWrap/>
          </w:tcPr>
          <w:p>
            <w:pPr>
              <w:pStyle w:val="yTableNAm"/>
            </w:pPr>
            <w:r>
              <w:t>30 units</w:t>
            </w:r>
            <w:r>
              <w:br/>
              <w:t>per hour</w:t>
            </w:r>
          </w:p>
        </w:tc>
      </w:tr>
      <w:tr>
        <w:trPr>
          <w:cantSplit/>
        </w:trPr>
        <w:tc>
          <w:tcPr>
            <w:tcW w:w="1162" w:type="dxa"/>
            <w:noWrap/>
          </w:tcPr>
          <w:p>
            <w:pPr>
              <w:pStyle w:val="yTableNAm"/>
            </w:pPr>
            <w:r>
              <w:t>MyPower non</w:t>
            </w:r>
            <w:r>
              <w:noBreakHyphen/>
            </w:r>
            <w:r>
              <w:br/>
              <w:t>residential 35 fixed plan price</w:t>
            </w:r>
          </w:p>
        </w:tc>
        <w:tc>
          <w:tcPr>
            <w:tcW w:w="1560" w:type="dxa"/>
            <w:noWrap/>
          </w:tcPr>
          <w:p>
            <w:pPr>
              <w:pStyle w:val="yTableNAm"/>
            </w:pPr>
            <w:r>
              <w:t>$64.400162 per day</w:t>
            </w:r>
          </w:p>
        </w:tc>
        <w:tc>
          <w:tcPr>
            <w:tcW w:w="1531" w:type="dxa"/>
            <w:noWrap/>
          </w:tcPr>
          <w:p>
            <w:pPr>
              <w:pStyle w:val="yTableNAm"/>
            </w:pPr>
            <w:r>
              <w:t>$0.100000</w:t>
            </w:r>
            <w:r>
              <w:br/>
              <w:t>per unit</w:t>
            </w:r>
          </w:p>
        </w:tc>
        <w:tc>
          <w:tcPr>
            <w:tcW w:w="1275" w:type="dxa"/>
            <w:noWrap/>
          </w:tcPr>
          <w:p>
            <w:pPr>
              <w:pStyle w:val="yTableNAm"/>
            </w:pPr>
            <w:r>
              <w:t>35 units</w:t>
            </w:r>
            <w:r>
              <w:br/>
              <w:t>per hour</w:t>
            </w:r>
          </w:p>
        </w:tc>
      </w:tr>
      <w:tr>
        <w:trPr>
          <w:cantSplit/>
        </w:trPr>
        <w:tc>
          <w:tcPr>
            <w:tcW w:w="1162" w:type="dxa"/>
            <w:noWrap/>
          </w:tcPr>
          <w:p>
            <w:pPr>
              <w:pStyle w:val="yTableNAm"/>
            </w:pPr>
            <w:r>
              <w:t>MyPower non-</w:t>
            </w:r>
            <w:r>
              <w:br/>
              <w:t>residential 40 fixed plan price</w:t>
            </w:r>
          </w:p>
        </w:tc>
        <w:tc>
          <w:tcPr>
            <w:tcW w:w="1560" w:type="dxa"/>
            <w:noWrap/>
          </w:tcPr>
          <w:p>
            <w:pPr>
              <w:pStyle w:val="yTableNAm"/>
            </w:pPr>
            <w:r>
              <w:t>$87.966989 per day</w:t>
            </w:r>
          </w:p>
        </w:tc>
        <w:tc>
          <w:tcPr>
            <w:tcW w:w="1531" w:type="dxa"/>
            <w:noWrap/>
          </w:tcPr>
          <w:p>
            <w:pPr>
              <w:pStyle w:val="yTableNAm"/>
            </w:pPr>
            <w:r>
              <w:t>$0.100000</w:t>
            </w:r>
            <w:r>
              <w:br/>
              <w:t>per unit</w:t>
            </w:r>
          </w:p>
        </w:tc>
        <w:tc>
          <w:tcPr>
            <w:tcW w:w="1275" w:type="dxa"/>
            <w:noWrap/>
          </w:tcPr>
          <w:p>
            <w:pPr>
              <w:pStyle w:val="yTableNAm"/>
            </w:pPr>
            <w:r>
              <w:t>40 units</w:t>
            </w:r>
            <w:r>
              <w:br/>
              <w:t>per hour</w:t>
            </w:r>
          </w:p>
        </w:tc>
      </w:tr>
      <w:tr>
        <w:trPr>
          <w:cantSplit/>
        </w:trPr>
        <w:tc>
          <w:tcPr>
            <w:tcW w:w="1162" w:type="dxa"/>
            <w:noWrap/>
          </w:tcPr>
          <w:p>
            <w:pPr>
              <w:pStyle w:val="yTableNAm"/>
            </w:pPr>
            <w:r>
              <w:lastRenderedPageBreak/>
              <w:t>MyPower non</w:t>
            </w:r>
            <w:r>
              <w:noBreakHyphen/>
            </w:r>
            <w:r>
              <w:br/>
              <w:t>residential 50 fixed plan price</w:t>
            </w:r>
          </w:p>
        </w:tc>
        <w:tc>
          <w:tcPr>
            <w:tcW w:w="1560" w:type="dxa"/>
            <w:noWrap/>
          </w:tcPr>
          <w:p>
            <w:pPr>
              <w:pStyle w:val="yTableNAm"/>
            </w:pPr>
            <w:r>
              <w:t>$121.706946 per day</w:t>
            </w:r>
          </w:p>
        </w:tc>
        <w:tc>
          <w:tcPr>
            <w:tcW w:w="1531" w:type="dxa"/>
            <w:noWrap/>
          </w:tcPr>
          <w:p>
            <w:pPr>
              <w:pStyle w:val="yTableNAm"/>
            </w:pPr>
            <w:r>
              <w:t>$0.100000</w:t>
            </w:r>
            <w:r>
              <w:br/>
              <w:t>per unit</w:t>
            </w:r>
          </w:p>
        </w:tc>
        <w:tc>
          <w:tcPr>
            <w:tcW w:w="1275" w:type="dxa"/>
            <w:noWrap/>
          </w:tcPr>
          <w:p>
            <w:pPr>
              <w:pStyle w:val="yTableNAm"/>
            </w:pPr>
            <w:r>
              <w:t>50 units</w:t>
            </w:r>
            <w:r>
              <w:br/>
              <w:t>per hour</w:t>
            </w:r>
          </w:p>
        </w:tc>
      </w:tr>
    </w:tbl>
    <w:p>
      <w:pPr>
        <w:pStyle w:val="ySubsection"/>
      </w:pPr>
      <w:r>
        <w:tab/>
        <w:t>(5)</w:t>
      </w:r>
      <w:r>
        <w:tab/>
        <w:t>Without limiting subclause (3)(b), if a consumer to whom electricity is supplied at premises at a MyPower non</w:t>
      </w:r>
      <w:r>
        <w:noBreakHyphen/>
        <w:t xml:space="preserve">residential tariff (the </w:t>
      </w:r>
      <w:r>
        <w:rPr>
          <w:rStyle w:val="CharDefText"/>
        </w:rPr>
        <w:t>original tariff</w:t>
      </w:r>
      <w:r>
        <w:t>) has exceeded the applicable peak allowance for the original tariff at those premises on 4 or more peak days in a peak period, on and from the day after the 4</w:t>
      </w:r>
      <w:r>
        <w:rPr>
          <w:vertAlign w:val="superscript"/>
        </w:rPr>
        <w:t>th</w:t>
      </w:r>
      <w:r>
        <w:t xml:space="preserve"> of those days the corporation may instead supply electricity to the consumer at the premises at the MyPower non</w:t>
      </w:r>
      <w:r>
        <w:noBreakHyphen/>
        <w:t>residential tariff (if any) that is immediately below the original tariff in the Table to subclause (4) (and the applicable peak allowance is adjusted accordingly).</w:t>
      </w:r>
    </w:p>
    <w:p>
      <w:pPr>
        <w:pStyle w:val="yFootnotesection"/>
      </w:pPr>
      <w:r>
        <w:tab/>
        <w:t>[Clause 9 inserted: SL 2024/103 bl. 4.]</w:t>
      </w:r>
    </w:p>
    <w:p>
      <w:pPr>
        <w:pStyle w:val="yHeading5"/>
      </w:pPr>
      <w:bookmarkStart w:id="56" w:name="_Toc169168694"/>
      <w:bookmarkStart w:id="57" w:name="_Toc169169047"/>
      <w:bookmarkStart w:id="58" w:name="_Toc170293096"/>
      <w:r>
        <w:rPr>
          <w:rStyle w:val="CharSClsNo"/>
        </w:rPr>
        <w:t>10</w:t>
      </w:r>
      <w:r>
        <w:t>.</w:t>
      </w:r>
      <w:r>
        <w:tab/>
        <w:t>Eligibility criteria for MyPower tariffs</w:t>
      </w:r>
      <w:bookmarkEnd w:id="56"/>
      <w:bookmarkEnd w:id="57"/>
      <w:bookmarkEnd w:id="58"/>
    </w:p>
    <w:p>
      <w:pPr>
        <w:pStyle w:val="ySubsection"/>
      </w:pPr>
      <w:r>
        <w:tab/>
        <w:t>(1)</w:t>
      </w:r>
      <w:r>
        <w:tab/>
        <w:t>This clause sets out the eligibility criteria that apply to MyPower tariffs for the purposes of clauses 8(3)(a) and 9(3)(a).</w:t>
      </w:r>
    </w:p>
    <w:p>
      <w:pPr>
        <w:pStyle w:val="ySubsection"/>
      </w:pPr>
      <w:r>
        <w:tab/>
        <w:t>(2)</w:t>
      </w:r>
      <w:r>
        <w:tab/>
        <w:t xml:space="preserve">The consumer must — </w:t>
      </w:r>
    </w:p>
    <w:p>
      <w:pPr>
        <w:pStyle w:val="yIndenta"/>
      </w:pPr>
      <w:r>
        <w:tab/>
        <w:t>(a)</w:t>
      </w:r>
      <w:r>
        <w:tab/>
        <w:t>download and maintain the corporation’s mobile application (as provided by the corporation from time to time) on the consumer’s mobile phone or another device; or</w:t>
      </w:r>
    </w:p>
    <w:p>
      <w:pPr>
        <w:pStyle w:val="yIndenta"/>
      </w:pPr>
      <w:r>
        <w:tab/>
        <w:t>(b)</w:t>
      </w:r>
      <w:r>
        <w:tab/>
        <w:t>create and maintain an account on the corporation’s online consumer facility (as provided by the corporation from time to time).</w:t>
      </w:r>
    </w:p>
    <w:p>
      <w:pPr>
        <w:pStyle w:val="ySubsection"/>
      </w:pPr>
      <w:r>
        <w:tab/>
        <w:t>(3)</w:t>
      </w:r>
      <w:r>
        <w:tab/>
        <w:t xml:space="preserve">The consumer must agree to receive and remain capable of receiving — </w:t>
      </w:r>
    </w:p>
    <w:p>
      <w:pPr>
        <w:pStyle w:val="yIndenta"/>
      </w:pPr>
      <w:r>
        <w:tab/>
        <w:t>(a)</w:t>
      </w:r>
      <w:r>
        <w:tab/>
        <w:t>text message alerts from the corporation at a mobile phone number nominated by the consumer; and</w:t>
      </w:r>
    </w:p>
    <w:p>
      <w:pPr>
        <w:pStyle w:val="yIndenta"/>
      </w:pPr>
      <w:r>
        <w:lastRenderedPageBreak/>
        <w:tab/>
        <w:t>(b)</w:t>
      </w:r>
      <w:r>
        <w:tab/>
        <w:t>bills from the corporation at an email address nominated by the consumer.</w:t>
      </w:r>
    </w:p>
    <w:p>
      <w:pPr>
        <w:pStyle w:val="yFootnotesection"/>
      </w:pPr>
      <w:r>
        <w:tab/>
        <w:t>[Clause 10 inserted: SL 2024/103 bl. 4.]</w:t>
      </w:r>
    </w:p>
    <w:bookmarkEnd w:id="18"/>
    <w:p>
      <w:pPr>
        <w:sectPr>
          <w:headerReference w:type="even" r:id="rId24"/>
          <w:headerReference w:type="default" r:id="rId25"/>
          <w:endnotePr>
            <w:numFmt w:val="decimal"/>
          </w:endnotePr>
          <w:pgSz w:w="11907" w:h="16840" w:code="9"/>
          <w:pgMar w:top="2376" w:right="2405" w:bottom="3542" w:left="2405" w:header="706" w:footer="3544" w:gutter="0"/>
          <w:cols w:space="720"/>
          <w:noEndnote/>
          <w:docGrid w:linePitch="326"/>
        </w:sectPr>
      </w:pPr>
    </w:p>
    <w:p>
      <w:pPr>
        <w:pStyle w:val="yScheduleHeading"/>
      </w:pPr>
      <w:bookmarkStart w:id="59" w:name="_Toc169168695"/>
      <w:bookmarkStart w:id="60" w:name="_Toc169168771"/>
      <w:bookmarkStart w:id="61" w:name="_Toc169169048"/>
      <w:bookmarkStart w:id="62" w:name="_Toc170212600"/>
      <w:bookmarkStart w:id="63" w:name="_Toc170293097"/>
      <w:bookmarkStart w:id="64" w:name="_Toc170208772"/>
      <w:r>
        <w:rPr>
          <w:rStyle w:val="CharSchNo"/>
        </w:rPr>
        <w:lastRenderedPageBreak/>
        <w:t>Schedule 2</w:t>
      </w:r>
      <w:r>
        <w:t> — </w:t>
      </w:r>
      <w:r>
        <w:rPr>
          <w:rStyle w:val="CharSchText"/>
        </w:rPr>
        <w:t>Unmetered supply</w:t>
      </w:r>
      <w:bookmarkEnd w:id="59"/>
      <w:bookmarkEnd w:id="60"/>
      <w:bookmarkEnd w:id="61"/>
      <w:bookmarkEnd w:id="62"/>
      <w:bookmarkEnd w:id="63"/>
    </w:p>
    <w:p>
      <w:pPr>
        <w:pStyle w:val="yShoulderClause"/>
      </w:pPr>
      <w:r>
        <w:t>[bl. 4(2) and (3)]</w:t>
      </w:r>
    </w:p>
    <w:p>
      <w:pPr>
        <w:pStyle w:val="yFootnoteheading"/>
      </w:pPr>
      <w:r>
        <w:tab/>
        <w:t>[Heading inserted: SL 2024/103 bl. 4.]</w:t>
      </w:r>
    </w:p>
    <w:p>
      <w:pPr>
        <w:pStyle w:val="yHeading3"/>
      </w:pPr>
      <w:bookmarkStart w:id="65" w:name="_Toc169168696"/>
      <w:bookmarkStart w:id="66" w:name="_Toc169168772"/>
      <w:bookmarkStart w:id="67" w:name="_Toc169169049"/>
      <w:bookmarkStart w:id="68" w:name="_Toc170212601"/>
      <w:bookmarkStart w:id="69" w:name="_Toc170293098"/>
      <w:r>
        <w:rPr>
          <w:rStyle w:val="CharSDivNo"/>
        </w:rPr>
        <w:t>Division 1</w:t>
      </w:r>
      <w:r>
        <w:t> — </w:t>
      </w:r>
      <w:r>
        <w:rPr>
          <w:rStyle w:val="CharSDivText"/>
        </w:rPr>
        <w:t>Street lighting</w:t>
      </w:r>
      <w:bookmarkEnd w:id="65"/>
      <w:bookmarkEnd w:id="66"/>
      <w:bookmarkEnd w:id="67"/>
      <w:bookmarkEnd w:id="68"/>
      <w:bookmarkEnd w:id="69"/>
    </w:p>
    <w:p>
      <w:pPr>
        <w:pStyle w:val="yFootnoteheading"/>
        <w:spacing w:after="60"/>
      </w:pPr>
      <w:r>
        <w:tab/>
        <w:t>[Heading inserted: SL 2024/103 bl. 4.]</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781"/>
        <w:gridCol w:w="1275"/>
        <w:gridCol w:w="1299"/>
        <w:gridCol w:w="1512"/>
        <w:gridCol w:w="1370"/>
      </w:tblGrid>
      <w:tr>
        <w:trPr>
          <w:cantSplit/>
          <w:tblHeader/>
        </w:trPr>
        <w:tc>
          <w:tcPr>
            <w:tcW w:w="567" w:type="dxa"/>
            <w:tcBorders>
              <w:top w:val="single" w:sz="4" w:space="0" w:color="auto"/>
              <w:bottom w:val="single" w:sz="4" w:space="0" w:color="auto"/>
            </w:tcBorders>
            <w:noWrap/>
          </w:tcPr>
          <w:p>
            <w:pPr>
              <w:pStyle w:val="yTableNAm"/>
            </w:pPr>
            <w:r>
              <w:rPr>
                <w:b/>
                <w:bCs/>
                <w:sz w:val="16"/>
                <w:szCs w:val="16"/>
              </w:rPr>
              <w:t>Item</w:t>
            </w:r>
          </w:p>
        </w:tc>
        <w:tc>
          <w:tcPr>
            <w:tcW w:w="781" w:type="dxa"/>
            <w:tcBorders>
              <w:top w:val="single" w:sz="4" w:space="0" w:color="auto"/>
              <w:bottom w:val="single" w:sz="4" w:space="0" w:color="auto"/>
            </w:tcBorders>
            <w:noWrap/>
          </w:tcPr>
          <w:p>
            <w:pPr>
              <w:pStyle w:val="yTableNAm"/>
            </w:pPr>
            <w:r>
              <w:rPr>
                <w:b/>
                <w:bCs/>
                <w:sz w:val="16"/>
                <w:szCs w:val="16"/>
              </w:rPr>
              <w:t>Wattage</w:t>
            </w:r>
          </w:p>
        </w:tc>
        <w:tc>
          <w:tcPr>
            <w:tcW w:w="1275" w:type="dxa"/>
            <w:tcBorders>
              <w:top w:val="single" w:sz="4" w:space="0" w:color="auto"/>
              <w:bottom w:val="single" w:sz="4" w:space="0" w:color="auto"/>
            </w:tcBorders>
            <w:noWrap/>
          </w:tcPr>
          <w:p>
            <w:pPr>
              <w:pStyle w:val="yTableNAm"/>
            </w:pPr>
            <w:r>
              <w:rPr>
                <w:b/>
                <w:bCs/>
                <w:sz w:val="16"/>
                <w:szCs w:val="16"/>
              </w:rPr>
              <w:t>Type</w:t>
            </w:r>
          </w:p>
        </w:tc>
        <w:tc>
          <w:tcPr>
            <w:tcW w:w="1299" w:type="dxa"/>
            <w:tcBorders>
              <w:top w:val="single" w:sz="4" w:space="0" w:color="auto"/>
              <w:bottom w:val="single" w:sz="4" w:space="0" w:color="auto"/>
            </w:tcBorders>
            <w:noWrap/>
          </w:tcPr>
          <w:p>
            <w:pPr>
              <w:pStyle w:val="yTableNAm"/>
              <w:jc w:val="center"/>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noWrap/>
          </w:tcPr>
          <w:p>
            <w:pPr>
              <w:pStyle w:val="yTableNAm"/>
              <w:jc w:val="center"/>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noWrap/>
          </w:tcPr>
          <w:p>
            <w:pPr>
              <w:pStyle w:val="yTableNAm"/>
              <w:jc w:val="center"/>
            </w:pPr>
            <w:r>
              <w:rPr>
                <w:b/>
                <w:bCs/>
                <w:spacing w:val="-8"/>
                <w:sz w:val="16"/>
                <w:szCs w:val="16"/>
              </w:rPr>
              <w:t>Dawn Switch</w:t>
            </w:r>
            <w:r>
              <w:rPr>
                <w:b/>
                <w:bCs/>
                <w:spacing w:val="-8"/>
                <w:sz w:val="16"/>
                <w:szCs w:val="16"/>
              </w:rPr>
              <w:noBreakHyphen/>
              <w:t>off cents per day</w:t>
            </w:r>
          </w:p>
        </w:tc>
      </w:tr>
      <w:tr>
        <w:trPr>
          <w:cantSplit/>
        </w:trPr>
        <w:tc>
          <w:tcPr>
            <w:tcW w:w="6804" w:type="dxa"/>
            <w:gridSpan w:val="6"/>
            <w:noWrap/>
          </w:tcPr>
          <w:p>
            <w:pPr>
              <w:pStyle w:val="yTableNAm"/>
            </w:pPr>
            <w:r>
              <w:rPr>
                <w:b/>
                <w:i/>
                <w:iCs/>
                <w:sz w:val="16"/>
                <w:szCs w:val="16"/>
              </w:rPr>
              <w:t>Street lighting on current offer and for existing services</w:t>
            </w:r>
          </w:p>
        </w:tc>
      </w:tr>
      <w:tr>
        <w:trPr>
          <w:cantSplit/>
        </w:trPr>
        <w:tc>
          <w:tcPr>
            <w:tcW w:w="567" w:type="dxa"/>
            <w:noWrap/>
          </w:tcPr>
          <w:p>
            <w:pPr>
              <w:pStyle w:val="yTableNAm"/>
            </w:pPr>
            <w:r>
              <w:rPr>
                <w:sz w:val="16"/>
                <w:szCs w:val="16"/>
              </w:rPr>
              <w:t>Z.01</w:t>
            </w:r>
          </w:p>
        </w:tc>
        <w:tc>
          <w:tcPr>
            <w:tcW w:w="781" w:type="dxa"/>
            <w:noWrap/>
          </w:tcPr>
          <w:p>
            <w:pPr>
              <w:pStyle w:val="yTableNAm"/>
            </w:pPr>
            <w:r>
              <w:rPr>
                <w:sz w:val="16"/>
                <w:szCs w:val="16"/>
              </w:rPr>
              <w:t>50</w:t>
            </w:r>
          </w:p>
        </w:tc>
        <w:tc>
          <w:tcPr>
            <w:tcW w:w="1275" w:type="dxa"/>
            <w:noWrap/>
          </w:tcPr>
          <w:p>
            <w:pPr>
              <w:pStyle w:val="yTableNAm"/>
            </w:pPr>
            <w:r>
              <w:rPr>
                <w:sz w:val="16"/>
                <w:szCs w:val="16"/>
              </w:rPr>
              <w:t>Mercury vapour</w:t>
            </w:r>
          </w:p>
        </w:tc>
        <w:tc>
          <w:tcPr>
            <w:tcW w:w="1299" w:type="dxa"/>
            <w:noWrap/>
          </w:tcPr>
          <w:p>
            <w:pPr>
              <w:pStyle w:val="yTableNAm"/>
              <w:jc w:val="right"/>
              <w:rPr>
                <w:sz w:val="16"/>
                <w:szCs w:val="16"/>
              </w:rPr>
            </w:pPr>
            <w:r>
              <w:rPr>
                <w:sz w:val="16"/>
                <w:szCs w:val="16"/>
              </w:rPr>
              <w:t>62.1507</w:t>
            </w:r>
          </w:p>
        </w:tc>
        <w:tc>
          <w:tcPr>
            <w:tcW w:w="1512" w:type="dxa"/>
            <w:noWrap/>
          </w:tcPr>
          <w:p>
            <w:pPr>
              <w:pStyle w:val="yTableNAm"/>
              <w:jc w:val="right"/>
              <w:rPr>
                <w:sz w:val="16"/>
                <w:szCs w:val="16"/>
              </w:rPr>
            </w:pPr>
            <w:r>
              <w:rPr>
                <w:sz w:val="16"/>
                <w:szCs w:val="16"/>
              </w:rPr>
              <w:t>63.3698</w:t>
            </w:r>
          </w:p>
        </w:tc>
        <w:tc>
          <w:tcPr>
            <w:tcW w:w="1370" w:type="dxa"/>
            <w:noWrap/>
          </w:tcPr>
          <w:p>
            <w:pPr>
              <w:pStyle w:val="yTableNAm"/>
              <w:jc w:val="right"/>
              <w:rPr>
                <w:sz w:val="16"/>
                <w:szCs w:val="16"/>
              </w:rPr>
            </w:pPr>
            <w:r>
              <w:rPr>
                <w:sz w:val="16"/>
                <w:szCs w:val="16"/>
              </w:rPr>
              <w:t>67.9145</w:t>
            </w:r>
          </w:p>
        </w:tc>
      </w:tr>
      <w:tr>
        <w:trPr>
          <w:cantSplit/>
        </w:trPr>
        <w:tc>
          <w:tcPr>
            <w:tcW w:w="567" w:type="dxa"/>
            <w:noWrap/>
          </w:tcPr>
          <w:p>
            <w:pPr>
              <w:pStyle w:val="yTableNAm"/>
            </w:pPr>
            <w:r>
              <w:rPr>
                <w:sz w:val="16"/>
                <w:szCs w:val="16"/>
              </w:rPr>
              <w:t>Z.02</w:t>
            </w:r>
          </w:p>
        </w:tc>
        <w:tc>
          <w:tcPr>
            <w:tcW w:w="781" w:type="dxa"/>
            <w:noWrap/>
          </w:tcPr>
          <w:p>
            <w:pPr>
              <w:pStyle w:val="yTableNAm"/>
            </w:pPr>
            <w:r>
              <w:rPr>
                <w:sz w:val="16"/>
                <w:szCs w:val="16"/>
              </w:rPr>
              <w:t>80</w:t>
            </w:r>
          </w:p>
        </w:tc>
        <w:tc>
          <w:tcPr>
            <w:tcW w:w="1275" w:type="dxa"/>
            <w:noWrap/>
          </w:tcPr>
          <w:p>
            <w:pPr>
              <w:pStyle w:val="yTableNAm"/>
            </w:pPr>
            <w:r>
              <w:rPr>
                <w:sz w:val="16"/>
                <w:szCs w:val="16"/>
              </w:rPr>
              <w:t>Mercury vapour</w:t>
            </w:r>
          </w:p>
        </w:tc>
        <w:tc>
          <w:tcPr>
            <w:tcW w:w="1299" w:type="dxa"/>
            <w:noWrap/>
          </w:tcPr>
          <w:p>
            <w:pPr>
              <w:pStyle w:val="yTableNAm"/>
              <w:jc w:val="right"/>
              <w:rPr>
                <w:sz w:val="16"/>
                <w:szCs w:val="16"/>
              </w:rPr>
            </w:pPr>
            <w:r>
              <w:rPr>
                <w:sz w:val="16"/>
                <w:szCs w:val="16"/>
              </w:rPr>
              <w:t>68.2161</w:t>
            </w:r>
          </w:p>
        </w:tc>
        <w:tc>
          <w:tcPr>
            <w:tcW w:w="1512" w:type="dxa"/>
            <w:noWrap/>
          </w:tcPr>
          <w:p>
            <w:pPr>
              <w:pStyle w:val="yTableNAm"/>
              <w:jc w:val="right"/>
              <w:rPr>
                <w:sz w:val="16"/>
                <w:szCs w:val="16"/>
              </w:rPr>
            </w:pPr>
            <w:r>
              <w:rPr>
                <w:sz w:val="16"/>
                <w:szCs w:val="16"/>
              </w:rPr>
              <w:t>69.6874</w:t>
            </w:r>
          </w:p>
        </w:tc>
        <w:tc>
          <w:tcPr>
            <w:tcW w:w="1370" w:type="dxa"/>
            <w:noWrap/>
          </w:tcPr>
          <w:p>
            <w:pPr>
              <w:pStyle w:val="yTableNAm"/>
              <w:jc w:val="right"/>
              <w:rPr>
                <w:sz w:val="16"/>
                <w:szCs w:val="16"/>
              </w:rPr>
            </w:pPr>
            <w:r>
              <w:rPr>
                <w:sz w:val="16"/>
                <w:szCs w:val="16"/>
              </w:rPr>
              <w:t>75.6544</w:t>
            </w:r>
          </w:p>
        </w:tc>
      </w:tr>
      <w:tr>
        <w:trPr>
          <w:cantSplit/>
        </w:trPr>
        <w:tc>
          <w:tcPr>
            <w:tcW w:w="567" w:type="dxa"/>
            <w:noWrap/>
          </w:tcPr>
          <w:p>
            <w:pPr>
              <w:pStyle w:val="yTableNAm"/>
            </w:pPr>
            <w:r>
              <w:rPr>
                <w:sz w:val="16"/>
                <w:szCs w:val="16"/>
              </w:rPr>
              <w:t>Z.03</w:t>
            </w:r>
          </w:p>
        </w:tc>
        <w:tc>
          <w:tcPr>
            <w:tcW w:w="781" w:type="dxa"/>
            <w:noWrap/>
          </w:tcPr>
          <w:p>
            <w:pPr>
              <w:pStyle w:val="yTableNAm"/>
            </w:pPr>
            <w:r>
              <w:rPr>
                <w:sz w:val="16"/>
                <w:szCs w:val="16"/>
              </w:rPr>
              <w:t>125</w:t>
            </w:r>
          </w:p>
        </w:tc>
        <w:tc>
          <w:tcPr>
            <w:tcW w:w="1275" w:type="dxa"/>
            <w:noWrap/>
          </w:tcPr>
          <w:p>
            <w:pPr>
              <w:pStyle w:val="yTableNAm"/>
            </w:pPr>
            <w:r>
              <w:rPr>
                <w:sz w:val="16"/>
                <w:szCs w:val="16"/>
              </w:rPr>
              <w:t>Mercury vapour</w:t>
            </w:r>
          </w:p>
        </w:tc>
        <w:tc>
          <w:tcPr>
            <w:tcW w:w="1299" w:type="dxa"/>
            <w:noWrap/>
          </w:tcPr>
          <w:p>
            <w:pPr>
              <w:pStyle w:val="yTableNAm"/>
              <w:jc w:val="right"/>
              <w:rPr>
                <w:sz w:val="16"/>
                <w:szCs w:val="16"/>
              </w:rPr>
            </w:pPr>
            <w:r>
              <w:rPr>
                <w:sz w:val="16"/>
                <w:szCs w:val="16"/>
              </w:rPr>
              <w:t>77.3008</w:t>
            </w:r>
          </w:p>
        </w:tc>
        <w:tc>
          <w:tcPr>
            <w:tcW w:w="1512" w:type="dxa"/>
            <w:noWrap/>
          </w:tcPr>
          <w:p>
            <w:pPr>
              <w:pStyle w:val="yTableNAm"/>
              <w:jc w:val="right"/>
              <w:rPr>
                <w:sz w:val="16"/>
                <w:szCs w:val="16"/>
              </w:rPr>
            </w:pPr>
            <w:r>
              <w:rPr>
                <w:sz w:val="16"/>
                <w:szCs w:val="16"/>
              </w:rPr>
              <w:t>79.6916</w:t>
            </w:r>
          </w:p>
        </w:tc>
        <w:tc>
          <w:tcPr>
            <w:tcW w:w="1370" w:type="dxa"/>
            <w:noWrap/>
          </w:tcPr>
          <w:p>
            <w:pPr>
              <w:pStyle w:val="yTableNAm"/>
              <w:jc w:val="right"/>
              <w:rPr>
                <w:sz w:val="16"/>
                <w:szCs w:val="16"/>
              </w:rPr>
            </w:pPr>
            <w:r>
              <w:rPr>
                <w:sz w:val="16"/>
                <w:szCs w:val="16"/>
              </w:rPr>
              <w:t>88.5861</w:t>
            </w:r>
          </w:p>
        </w:tc>
      </w:tr>
      <w:tr>
        <w:trPr>
          <w:cantSplit/>
        </w:trPr>
        <w:tc>
          <w:tcPr>
            <w:tcW w:w="567" w:type="dxa"/>
            <w:noWrap/>
          </w:tcPr>
          <w:p>
            <w:pPr>
              <w:pStyle w:val="yTableNAm"/>
            </w:pPr>
            <w:r>
              <w:rPr>
                <w:sz w:val="16"/>
                <w:szCs w:val="16"/>
              </w:rPr>
              <w:t>Z.07</w:t>
            </w:r>
          </w:p>
        </w:tc>
        <w:tc>
          <w:tcPr>
            <w:tcW w:w="781" w:type="dxa"/>
            <w:noWrap/>
          </w:tcPr>
          <w:p>
            <w:pPr>
              <w:pStyle w:val="yTableNAm"/>
            </w:pPr>
            <w:r>
              <w:rPr>
                <w:sz w:val="16"/>
                <w:szCs w:val="16"/>
              </w:rPr>
              <w:t>250</w:t>
            </w:r>
          </w:p>
        </w:tc>
        <w:tc>
          <w:tcPr>
            <w:tcW w:w="1275" w:type="dxa"/>
            <w:noWrap/>
          </w:tcPr>
          <w:p>
            <w:pPr>
              <w:pStyle w:val="yTableNAm"/>
            </w:pPr>
            <w:r>
              <w:rPr>
                <w:sz w:val="16"/>
                <w:szCs w:val="16"/>
              </w:rPr>
              <w:t>Mercury vapour</w:t>
            </w:r>
          </w:p>
        </w:tc>
        <w:tc>
          <w:tcPr>
            <w:tcW w:w="1299" w:type="dxa"/>
            <w:noWrap/>
          </w:tcPr>
          <w:p>
            <w:pPr>
              <w:pStyle w:val="yTableNAm"/>
              <w:jc w:val="right"/>
              <w:rPr>
                <w:sz w:val="16"/>
                <w:szCs w:val="16"/>
              </w:rPr>
            </w:pPr>
            <w:r>
              <w:rPr>
                <w:sz w:val="16"/>
                <w:szCs w:val="16"/>
              </w:rPr>
              <w:t>91.6431</w:t>
            </w:r>
          </w:p>
        </w:tc>
        <w:tc>
          <w:tcPr>
            <w:tcW w:w="1512" w:type="dxa"/>
            <w:noWrap/>
          </w:tcPr>
          <w:p>
            <w:pPr>
              <w:pStyle w:val="yTableNAm"/>
              <w:jc w:val="right"/>
              <w:rPr>
                <w:sz w:val="16"/>
                <w:szCs w:val="16"/>
              </w:rPr>
            </w:pPr>
            <w:r>
              <w:rPr>
                <w:sz w:val="16"/>
                <w:szCs w:val="16"/>
              </w:rPr>
              <w:t>96.0317</w:t>
            </w:r>
          </w:p>
        </w:tc>
        <w:tc>
          <w:tcPr>
            <w:tcW w:w="1370" w:type="dxa"/>
            <w:noWrap/>
          </w:tcPr>
          <w:p>
            <w:pPr>
              <w:pStyle w:val="yTableNAm"/>
              <w:jc w:val="right"/>
              <w:rPr>
                <w:sz w:val="16"/>
                <w:szCs w:val="16"/>
              </w:rPr>
            </w:pPr>
            <w:r>
              <w:rPr>
                <w:sz w:val="16"/>
                <w:szCs w:val="16"/>
              </w:rPr>
              <w:t>112.5547</w:t>
            </w:r>
          </w:p>
        </w:tc>
      </w:tr>
      <w:tr>
        <w:trPr>
          <w:cantSplit/>
        </w:trPr>
        <w:tc>
          <w:tcPr>
            <w:tcW w:w="567" w:type="dxa"/>
            <w:noWrap/>
          </w:tcPr>
          <w:p>
            <w:pPr>
              <w:pStyle w:val="yTableNAm"/>
            </w:pPr>
            <w:r>
              <w:rPr>
                <w:sz w:val="16"/>
                <w:szCs w:val="16"/>
              </w:rPr>
              <w:t>Z.10</w:t>
            </w:r>
          </w:p>
        </w:tc>
        <w:tc>
          <w:tcPr>
            <w:tcW w:w="781" w:type="dxa"/>
            <w:noWrap/>
          </w:tcPr>
          <w:p>
            <w:pPr>
              <w:pStyle w:val="yTableNAm"/>
            </w:pPr>
            <w:r>
              <w:rPr>
                <w:sz w:val="16"/>
                <w:szCs w:val="16"/>
              </w:rPr>
              <w:t>400</w:t>
            </w:r>
          </w:p>
        </w:tc>
        <w:tc>
          <w:tcPr>
            <w:tcW w:w="1275" w:type="dxa"/>
            <w:noWrap/>
          </w:tcPr>
          <w:p>
            <w:pPr>
              <w:pStyle w:val="yTableNAm"/>
            </w:pPr>
            <w:r>
              <w:rPr>
                <w:sz w:val="16"/>
                <w:szCs w:val="16"/>
              </w:rPr>
              <w:t>Mercury vapour</w:t>
            </w:r>
          </w:p>
        </w:tc>
        <w:tc>
          <w:tcPr>
            <w:tcW w:w="1299" w:type="dxa"/>
            <w:noWrap/>
          </w:tcPr>
          <w:p>
            <w:pPr>
              <w:pStyle w:val="yTableNAm"/>
              <w:jc w:val="right"/>
              <w:rPr>
                <w:sz w:val="16"/>
                <w:szCs w:val="16"/>
              </w:rPr>
            </w:pPr>
            <w:r>
              <w:rPr>
                <w:sz w:val="16"/>
                <w:szCs w:val="16"/>
              </w:rPr>
              <w:t>105.2380</w:t>
            </w:r>
          </w:p>
        </w:tc>
        <w:tc>
          <w:tcPr>
            <w:tcW w:w="1512" w:type="dxa"/>
            <w:noWrap/>
          </w:tcPr>
          <w:p>
            <w:pPr>
              <w:pStyle w:val="yTableNAm"/>
              <w:jc w:val="right"/>
              <w:rPr>
                <w:sz w:val="16"/>
                <w:szCs w:val="16"/>
              </w:rPr>
            </w:pPr>
            <w:r>
              <w:rPr>
                <w:sz w:val="16"/>
                <w:szCs w:val="16"/>
              </w:rPr>
              <w:t>109.7889</w:t>
            </w:r>
          </w:p>
        </w:tc>
        <w:tc>
          <w:tcPr>
            <w:tcW w:w="1370" w:type="dxa"/>
            <w:noWrap/>
          </w:tcPr>
          <w:p>
            <w:pPr>
              <w:pStyle w:val="yTableNAm"/>
              <w:jc w:val="right"/>
              <w:rPr>
                <w:sz w:val="16"/>
                <w:szCs w:val="16"/>
              </w:rPr>
            </w:pPr>
            <w:r>
              <w:rPr>
                <w:sz w:val="16"/>
                <w:szCs w:val="16"/>
              </w:rPr>
              <w:t>143.7569</w:t>
            </w:r>
          </w:p>
        </w:tc>
      </w:tr>
      <w:tr>
        <w:trPr>
          <w:cantSplit/>
        </w:trPr>
        <w:tc>
          <w:tcPr>
            <w:tcW w:w="567" w:type="dxa"/>
            <w:noWrap/>
          </w:tcPr>
          <w:p>
            <w:pPr>
              <w:pStyle w:val="yTableNAm"/>
            </w:pPr>
            <w:r>
              <w:rPr>
                <w:sz w:val="16"/>
                <w:szCs w:val="16"/>
              </w:rPr>
              <w:t>Z.13</w:t>
            </w:r>
          </w:p>
        </w:tc>
        <w:tc>
          <w:tcPr>
            <w:tcW w:w="781" w:type="dxa"/>
            <w:noWrap/>
          </w:tcPr>
          <w:p>
            <w:pPr>
              <w:pStyle w:val="yTableNAm"/>
            </w:pPr>
            <w:r>
              <w:rPr>
                <w:sz w:val="16"/>
                <w:szCs w:val="16"/>
              </w:rPr>
              <w:t>150</w:t>
            </w:r>
          </w:p>
        </w:tc>
        <w:tc>
          <w:tcPr>
            <w:tcW w:w="1275" w:type="dxa"/>
            <w:noWrap/>
          </w:tcPr>
          <w:p>
            <w:pPr>
              <w:pStyle w:val="yTableNAm"/>
            </w:pPr>
            <w:r>
              <w:rPr>
                <w:sz w:val="16"/>
                <w:szCs w:val="16"/>
              </w:rPr>
              <w:t>High pressure sodium</w:t>
            </w:r>
          </w:p>
        </w:tc>
        <w:tc>
          <w:tcPr>
            <w:tcW w:w="1299" w:type="dxa"/>
            <w:noWrap/>
          </w:tcPr>
          <w:p>
            <w:pPr>
              <w:pStyle w:val="yTableNAm"/>
              <w:jc w:val="right"/>
              <w:rPr>
                <w:sz w:val="16"/>
                <w:szCs w:val="16"/>
              </w:rPr>
            </w:pPr>
            <w:r>
              <w:rPr>
                <w:sz w:val="16"/>
                <w:szCs w:val="16"/>
              </w:rPr>
              <w:t>77.1332</w:t>
            </w:r>
          </w:p>
        </w:tc>
        <w:tc>
          <w:tcPr>
            <w:tcW w:w="1512" w:type="dxa"/>
            <w:noWrap/>
          </w:tcPr>
          <w:p>
            <w:pPr>
              <w:pStyle w:val="yTableNAm"/>
              <w:jc w:val="right"/>
              <w:rPr>
                <w:sz w:val="16"/>
                <w:szCs w:val="16"/>
              </w:rPr>
            </w:pPr>
            <w:r>
              <w:rPr>
                <w:sz w:val="16"/>
                <w:szCs w:val="16"/>
              </w:rPr>
              <w:t>79.7040</w:t>
            </w:r>
          </w:p>
        </w:tc>
        <w:tc>
          <w:tcPr>
            <w:tcW w:w="1370" w:type="dxa"/>
            <w:noWrap/>
          </w:tcPr>
          <w:p>
            <w:pPr>
              <w:pStyle w:val="yTableNAm"/>
              <w:jc w:val="right"/>
              <w:rPr>
                <w:sz w:val="16"/>
                <w:szCs w:val="16"/>
              </w:rPr>
            </w:pPr>
            <w:r>
              <w:rPr>
                <w:sz w:val="16"/>
                <w:szCs w:val="16"/>
              </w:rPr>
              <w:t>91.1544</w:t>
            </w:r>
          </w:p>
        </w:tc>
      </w:tr>
      <w:tr>
        <w:trPr>
          <w:cantSplit/>
        </w:trPr>
        <w:tc>
          <w:tcPr>
            <w:tcW w:w="567" w:type="dxa"/>
            <w:noWrap/>
          </w:tcPr>
          <w:p>
            <w:pPr>
              <w:pStyle w:val="yTableNAm"/>
            </w:pPr>
            <w:r>
              <w:rPr>
                <w:sz w:val="16"/>
                <w:szCs w:val="16"/>
              </w:rPr>
              <w:t>Z.15</w:t>
            </w:r>
          </w:p>
        </w:tc>
        <w:tc>
          <w:tcPr>
            <w:tcW w:w="781" w:type="dxa"/>
            <w:noWrap/>
          </w:tcPr>
          <w:p>
            <w:pPr>
              <w:pStyle w:val="yTableNAm"/>
            </w:pPr>
            <w:r>
              <w:rPr>
                <w:sz w:val="16"/>
                <w:szCs w:val="16"/>
              </w:rPr>
              <w:t>250</w:t>
            </w:r>
          </w:p>
        </w:tc>
        <w:tc>
          <w:tcPr>
            <w:tcW w:w="1275" w:type="dxa"/>
            <w:noWrap/>
          </w:tcPr>
          <w:p>
            <w:pPr>
              <w:pStyle w:val="yTableNAm"/>
            </w:pPr>
            <w:r>
              <w:rPr>
                <w:sz w:val="16"/>
                <w:szCs w:val="16"/>
              </w:rPr>
              <w:t>High pressure sodium</w:t>
            </w:r>
          </w:p>
        </w:tc>
        <w:tc>
          <w:tcPr>
            <w:tcW w:w="1299" w:type="dxa"/>
            <w:noWrap/>
          </w:tcPr>
          <w:p>
            <w:pPr>
              <w:pStyle w:val="yTableNAm"/>
              <w:jc w:val="right"/>
              <w:rPr>
                <w:sz w:val="16"/>
                <w:szCs w:val="16"/>
              </w:rPr>
            </w:pPr>
            <w:r>
              <w:rPr>
                <w:sz w:val="16"/>
                <w:szCs w:val="16"/>
              </w:rPr>
              <w:t>94.3137</w:t>
            </w:r>
          </w:p>
        </w:tc>
        <w:tc>
          <w:tcPr>
            <w:tcW w:w="1512" w:type="dxa"/>
            <w:noWrap/>
          </w:tcPr>
          <w:p>
            <w:pPr>
              <w:pStyle w:val="yTableNAm"/>
              <w:jc w:val="right"/>
              <w:rPr>
                <w:sz w:val="16"/>
                <w:szCs w:val="16"/>
              </w:rPr>
            </w:pPr>
            <w:r>
              <w:rPr>
                <w:sz w:val="16"/>
                <w:szCs w:val="16"/>
              </w:rPr>
              <w:t>99.0588</w:t>
            </w:r>
          </w:p>
        </w:tc>
        <w:tc>
          <w:tcPr>
            <w:tcW w:w="1370" w:type="dxa"/>
            <w:noWrap/>
          </w:tcPr>
          <w:p>
            <w:pPr>
              <w:pStyle w:val="yTableNAm"/>
              <w:jc w:val="right"/>
              <w:rPr>
                <w:sz w:val="16"/>
                <w:szCs w:val="16"/>
              </w:rPr>
            </w:pPr>
            <w:r>
              <w:rPr>
                <w:sz w:val="16"/>
                <w:szCs w:val="16"/>
              </w:rPr>
              <w:t>117.1717</w:t>
            </w:r>
          </w:p>
        </w:tc>
      </w:tr>
      <w:tr>
        <w:trPr>
          <w:cantSplit/>
        </w:trPr>
        <w:tc>
          <w:tcPr>
            <w:tcW w:w="567" w:type="dxa"/>
            <w:noWrap/>
          </w:tcPr>
          <w:p>
            <w:pPr>
              <w:pStyle w:val="yTableNAm"/>
            </w:pPr>
            <w:r>
              <w:rPr>
                <w:sz w:val="16"/>
                <w:szCs w:val="16"/>
              </w:rPr>
              <w:t>Z.18</w:t>
            </w:r>
          </w:p>
        </w:tc>
        <w:tc>
          <w:tcPr>
            <w:tcW w:w="781" w:type="dxa"/>
            <w:noWrap/>
          </w:tcPr>
          <w:p>
            <w:pPr>
              <w:pStyle w:val="yTableNAm"/>
            </w:pPr>
            <w:r>
              <w:rPr>
                <w:sz w:val="16"/>
                <w:szCs w:val="16"/>
              </w:rPr>
              <w:t>per kW</w:t>
            </w:r>
          </w:p>
        </w:tc>
        <w:tc>
          <w:tcPr>
            <w:tcW w:w="1275" w:type="dxa"/>
            <w:noWrap/>
          </w:tcPr>
          <w:p>
            <w:pPr>
              <w:pStyle w:val="yTableNAm"/>
            </w:pPr>
            <w:r>
              <w:rPr>
                <w:sz w:val="16"/>
                <w:szCs w:val="16"/>
              </w:rPr>
              <w:t>Auxiliary lighting in public places</w:t>
            </w:r>
          </w:p>
        </w:tc>
        <w:tc>
          <w:tcPr>
            <w:tcW w:w="1299" w:type="dxa"/>
            <w:noWrap/>
          </w:tcPr>
          <w:p>
            <w:pPr>
              <w:pStyle w:val="yTableNAm"/>
              <w:jc w:val="right"/>
              <w:rPr>
                <w:sz w:val="16"/>
                <w:szCs w:val="16"/>
              </w:rPr>
            </w:pPr>
            <w:r>
              <w:rPr>
                <w:sz w:val="16"/>
                <w:szCs w:val="16"/>
              </w:rPr>
              <w:t>Not applicable</w:t>
            </w:r>
          </w:p>
        </w:tc>
        <w:tc>
          <w:tcPr>
            <w:tcW w:w="1512" w:type="dxa"/>
            <w:noWrap/>
          </w:tcPr>
          <w:p>
            <w:pPr>
              <w:pStyle w:val="yTableNAm"/>
              <w:jc w:val="right"/>
              <w:rPr>
                <w:sz w:val="16"/>
                <w:szCs w:val="16"/>
              </w:rPr>
            </w:pPr>
            <w:r>
              <w:rPr>
                <w:sz w:val="16"/>
                <w:szCs w:val="16"/>
              </w:rPr>
              <w:t>Not applicable</w:t>
            </w:r>
          </w:p>
        </w:tc>
        <w:tc>
          <w:tcPr>
            <w:tcW w:w="1370" w:type="dxa"/>
            <w:noWrap/>
          </w:tcPr>
          <w:p>
            <w:pPr>
              <w:pStyle w:val="yTableNAm"/>
              <w:jc w:val="right"/>
              <w:rPr>
                <w:sz w:val="16"/>
                <w:szCs w:val="16"/>
              </w:rPr>
            </w:pPr>
            <w:r>
              <w:rPr>
                <w:sz w:val="16"/>
                <w:szCs w:val="16"/>
              </w:rPr>
              <w:t>341.5761</w:t>
            </w:r>
          </w:p>
        </w:tc>
      </w:tr>
      <w:tr>
        <w:trPr>
          <w:cantSplit/>
        </w:trPr>
        <w:tc>
          <w:tcPr>
            <w:tcW w:w="567" w:type="dxa"/>
            <w:noWrap/>
          </w:tcPr>
          <w:p>
            <w:pPr>
              <w:pStyle w:val="yTableNAm"/>
              <w:rPr>
                <w:sz w:val="16"/>
                <w:szCs w:val="16"/>
              </w:rPr>
            </w:pPr>
            <w:r>
              <w:rPr>
                <w:sz w:val="16"/>
                <w:szCs w:val="16"/>
              </w:rPr>
              <w:t>Z.59</w:t>
            </w:r>
          </w:p>
        </w:tc>
        <w:tc>
          <w:tcPr>
            <w:tcW w:w="781" w:type="dxa"/>
            <w:noWrap/>
          </w:tcPr>
          <w:p>
            <w:pPr>
              <w:pStyle w:val="yTableNAm"/>
              <w:rPr>
                <w:sz w:val="16"/>
                <w:szCs w:val="16"/>
              </w:rPr>
            </w:pPr>
            <w:r>
              <w:rPr>
                <w:sz w:val="16"/>
                <w:szCs w:val="16"/>
              </w:rPr>
              <w:t>66</w:t>
            </w:r>
          </w:p>
        </w:tc>
        <w:tc>
          <w:tcPr>
            <w:tcW w:w="1275" w:type="dxa"/>
            <w:noWrap/>
          </w:tcPr>
          <w:p>
            <w:pPr>
              <w:pStyle w:val="yTableNAm"/>
              <w:rPr>
                <w:sz w:val="16"/>
                <w:szCs w:val="16"/>
              </w:rPr>
            </w:pPr>
            <w:r>
              <w:rPr>
                <w:sz w:val="16"/>
                <w:szCs w:val="16"/>
              </w:rPr>
              <w:t>LED</w:t>
            </w:r>
          </w:p>
        </w:tc>
        <w:tc>
          <w:tcPr>
            <w:tcW w:w="1299" w:type="dxa"/>
            <w:noWrap/>
          </w:tcPr>
          <w:p>
            <w:pPr>
              <w:pStyle w:val="yTableNAm"/>
              <w:jc w:val="right"/>
              <w:rPr>
                <w:sz w:val="16"/>
                <w:szCs w:val="16"/>
              </w:rPr>
            </w:pPr>
            <w:r>
              <w:rPr>
                <w:sz w:val="16"/>
                <w:szCs w:val="16"/>
              </w:rPr>
              <w:t>63.4616</w:t>
            </w:r>
          </w:p>
        </w:tc>
        <w:tc>
          <w:tcPr>
            <w:tcW w:w="1512" w:type="dxa"/>
            <w:noWrap/>
            <w:vAlign w:val="bottom"/>
          </w:tcPr>
          <w:p>
            <w:pPr>
              <w:pStyle w:val="yTableNAm"/>
              <w:jc w:val="right"/>
              <w:rPr>
                <w:sz w:val="16"/>
                <w:szCs w:val="16"/>
              </w:rPr>
            </w:pPr>
            <w:r>
              <w:rPr>
                <w:sz w:val="16"/>
                <w:szCs w:val="16"/>
              </w:rPr>
              <w:t>64.7081</w:t>
            </w:r>
          </w:p>
        </w:tc>
        <w:tc>
          <w:tcPr>
            <w:tcW w:w="1370" w:type="dxa"/>
            <w:noWrap/>
          </w:tcPr>
          <w:p>
            <w:pPr>
              <w:pStyle w:val="yTableNAm"/>
              <w:jc w:val="right"/>
              <w:rPr>
                <w:sz w:val="16"/>
                <w:szCs w:val="16"/>
              </w:rPr>
            </w:pPr>
            <w:r>
              <w:rPr>
                <w:sz w:val="16"/>
                <w:szCs w:val="16"/>
              </w:rPr>
              <w:t>68.6163</w:t>
            </w:r>
          </w:p>
        </w:tc>
      </w:tr>
      <w:tr>
        <w:trPr>
          <w:cantSplit/>
        </w:trPr>
        <w:tc>
          <w:tcPr>
            <w:tcW w:w="567" w:type="dxa"/>
            <w:noWrap/>
          </w:tcPr>
          <w:p>
            <w:pPr>
              <w:pStyle w:val="yTableNAm"/>
              <w:rPr>
                <w:sz w:val="16"/>
                <w:szCs w:val="16"/>
              </w:rPr>
            </w:pPr>
            <w:r>
              <w:rPr>
                <w:sz w:val="16"/>
                <w:szCs w:val="16"/>
              </w:rPr>
              <w:t>Z.60</w:t>
            </w:r>
          </w:p>
        </w:tc>
        <w:tc>
          <w:tcPr>
            <w:tcW w:w="781" w:type="dxa"/>
            <w:noWrap/>
          </w:tcPr>
          <w:p>
            <w:pPr>
              <w:pStyle w:val="yTableNAm"/>
              <w:rPr>
                <w:sz w:val="16"/>
                <w:szCs w:val="16"/>
              </w:rPr>
            </w:pPr>
            <w:r>
              <w:rPr>
                <w:sz w:val="16"/>
                <w:szCs w:val="16"/>
              </w:rPr>
              <w:t>132</w:t>
            </w:r>
          </w:p>
        </w:tc>
        <w:tc>
          <w:tcPr>
            <w:tcW w:w="1275" w:type="dxa"/>
            <w:noWrap/>
          </w:tcPr>
          <w:p>
            <w:pPr>
              <w:pStyle w:val="yTableNAm"/>
              <w:rPr>
                <w:sz w:val="16"/>
                <w:szCs w:val="16"/>
              </w:rPr>
            </w:pPr>
            <w:r>
              <w:rPr>
                <w:sz w:val="16"/>
                <w:szCs w:val="16"/>
              </w:rPr>
              <w:t>LED</w:t>
            </w:r>
          </w:p>
        </w:tc>
        <w:tc>
          <w:tcPr>
            <w:tcW w:w="1299" w:type="dxa"/>
            <w:noWrap/>
          </w:tcPr>
          <w:p>
            <w:pPr>
              <w:pStyle w:val="yTableNAm"/>
              <w:jc w:val="right"/>
              <w:rPr>
                <w:sz w:val="16"/>
                <w:szCs w:val="16"/>
              </w:rPr>
            </w:pPr>
            <w:r>
              <w:rPr>
                <w:sz w:val="16"/>
                <w:szCs w:val="16"/>
              </w:rPr>
              <w:t>77.3552</w:t>
            </w:r>
          </w:p>
        </w:tc>
        <w:tc>
          <w:tcPr>
            <w:tcW w:w="1512" w:type="dxa"/>
            <w:noWrap/>
            <w:vAlign w:val="bottom"/>
          </w:tcPr>
          <w:p>
            <w:pPr>
              <w:pStyle w:val="yTableNAm"/>
              <w:jc w:val="right"/>
              <w:rPr>
                <w:sz w:val="16"/>
                <w:szCs w:val="16"/>
              </w:rPr>
            </w:pPr>
            <w:r>
              <w:rPr>
                <w:sz w:val="16"/>
                <w:szCs w:val="16"/>
              </w:rPr>
              <w:t>80.5072</w:t>
            </w:r>
          </w:p>
        </w:tc>
        <w:tc>
          <w:tcPr>
            <w:tcW w:w="1370" w:type="dxa"/>
            <w:noWrap/>
          </w:tcPr>
          <w:p>
            <w:pPr>
              <w:pStyle w:val="yTableNAm"/>
              <w:jc w:val="right"/>
              <w:rPr>
                <w:sz w:val="16"/>
                <w:szCs w:val="16"/>
              </w:rPr>
            </w:pPr>
            <w:r>
              <w:rPr>
                <w:sz w:val="16"/>
                <w:szCs w:val="16"/>
              </w:rPr>
              <w:t>94.1211</w:t>
            </w:r>
          </w:p>
        </w:tc>
      </w:tr>
      <w:tr>
        <w:trPr>
          <w:cantSplit/>
        </w:trPr>
        <w:tc>
          <w:tcPr>
            <w:tcW w:w="567" w:type="dxa"/>
            <w:noWrap/>
          </w:tcPr>
          <w:p>
            <w:pPr>
              <w:pStyle w:val="yTableNAm"/>
              <w:rPr>
                <w:sz w:val="16"/>
                <w:szCs w:val="16"/>
              </w:rPr>
            </w:pPr>
            <w:r>
              <w:rPr>
                <w:sz w:val="16"/>
                <w:szCs w:val="16"/>
              </w:rPr>
              <w:t>Z.61</w:t>
            </w:r>
          </w:p>
        </w:tc>
        <w:tc>
          <w:tcPr>
            <w:tcW w:w="781" w:type="dxa"/>
            <w:noWrap/>
          </w:tcPr>
          <w:p>
            <w:pPr>
              <w:pStyle w:val="yTableNAm"/>
              <w:rPr>
                <w:sz w:val="16"/>
                <w:szCs w:val="16"/>
              </w:rPr>
            </w:pPr>
            <w:r>
              <w:rPr>
                <w:sz w:val="16"/>
                <w:szCs w:val="16"/>
              </w:rPr>
              <w:t>198</w:t>
            </w:r>
          </w:p>
        </w:tc>
        <w:tc>
          <w:tcPr>
            <w:tcW w:w="1275" w:type="dxa"/>
            <w:noWrap/>
          </w:tcPr>
          <w:p>
            <w:pPr>
              <w:pStyle w:val="yTableNAm"/>
              <w:rPr>
                <w:sz w:val="16"/>
                <w:szCs w:val="16"/>
              </w:rPr>
            </w:pPr>
            <w:r>
              <w:rPr>
                <w:sz w:val="16"/>
                <w:szCs w:val="16"/>
              </w:rPr>
              <w:t>LED</w:t>
            </w:r>
          </w:p>
        </w:tc>
        <w:tc>
          <w:tcPr>
            <w:tcW w:w="1299" w:type="dxa"/>
            <w:noWrap/>
          </w:tcPr>
          <w:p>
            <w:pPr>
              <w:pStyle w:val="yTableNAm"/>
              <w:jc w:val="right"/>
              <w:rPr>
                <w:sz w:val="16"/>
                <w:szCs w:val="16"/>
              </w:rPr>
            </w:pPr>
            <w:r>
              <w:rPr>
                <w:sz w:val="16"/>
                <w:szCs w:val="16"/>
              </w:rPr>
              <w:t>79.8790</w:t>
            </w:r>
          </w:p>
        </w:tc>
        <w:tc>
          <w:tcPr>
            <w:tcW w:w="1512" w:type="dxa"/>
            <w:noWrap/>
          </w:tcPr>
          <w:p>
            <w:pPr>
              <w:pStyle w:val="yTableNAm"/>
              <w:jc w:val="right"/>
              <w:rPr>
                <w:sz w:val="16"/>
                <w:szCs w:val="16"/>
              </w:rPr>
            </w:pPr>
            <w:r>
              <w:rPr>
                <w:sz w:val="16"/>
                <w:szCs w:val="16"/>
              </w:rPr>
              <w:t>83.9772</w:t>
            </w:r>
          </w:p>
        </w:tc>
        <w:tc>
          <w:tcPr>
            <w:tcW w:w="1370" w:type="dxa"/>
            <w:noWrap/>
          </w:tcPr>
          <w:p>
            <w:pPr>
              <w:pStyle w:val="yTableNAm"/>
              <w:jc w:val="right"/>
              <w:rPr>
                <w:sz w:val="16"/>
                <w:szCs w:val="16"/>
              </w:rPr>
            </w:pPr>
            <w:r>
              <w:rPr>
                <w:sz w:val="16"/>
                <w:szCs w:val="16"/>
              </w:rPr>
              <w:t>101.6912</w:t>
            </w:r>
          </w:p>
        </w:tc>
      </w:tr>
      <w:tr>
        <w:trPr>
          <w:cantSplit/>
        </w:trPr>
        <w:tc>
          <w:tcPr>
            <w:tcW w:w="567" w:type="dxa"/>
            <w:noWrap/>
          </w:tcPr>
          <w:p>
            <w:pPr>
              <w:pStyle w:val="yTableNAm"/>
              <w:rPr>
                <w:sz w:val="16"/>
                <w:szCs w:val="16"/>
              </w:rPr>
            </w:pPr>
            <w:r>
              <w:rPr>
                <w:sz w:val="16"/>
                <w:szCs w:val="16"/>
              </w:rPr>
              <w:t>Z.62</w:t>
            </w:r>
          </w:p>
        </w:tc>
        <w:tc>
          <w:tcPr>
            <w:tcW w:w="781" w:type="dxa"/>
            <w:noWrap/>
          </w:tcPr>
          <w:p>
            <w:pPr>
              <w:pStyle w:val="yTableNAm"/>
              <w:rPr>
                <w:sz w:val="16"/>
                <w:szCs w:val="16"/>
              </w:rPr>
            </w:pPr>
            <w:r>
              <w:rPr>
                <w:sz w:val="16"/>
                <w:szCs w:val="16"/>
              </w:rPr>
              <w:t>25</w:t>
            </w:r>
          </w:p>
        </w:tc>
        <w:tc>
          <w:tcPr>
            <w:tcW w:w="1275" w:type="dxa"/>
            <w:noWrap/>
          </w:tcPr>
          <w:p>
            <w:pPr>
              <w:pStyle w:val="yTableNAm"/>
              <w:rPr>
                <w:sz w:val="16"/>
                <w:szCs w:val="16"/>
              </w:rPr>
            </w:pPr>
            <w:r>
              <w:rPr>
                <w:sz w:val="16"/>
                <w:szCs w:val="16"/>
              </w:rPr>
              <w:t>LED</w:t>
            </w:r>
          </w:p>
        </w:tc>
        <w:tc>
          <w:tcPr>
            <w:tcW w:w="1299" w:type="dxa"/>
            <w:noWrap/>
          </w:tcPr>
          <w:p>
            <w:pPr>
              <w:pStyle w:val="yTableNAm"/>
              <w:jc w:val="right"/>
              <w:rPr>
                <w:sz w:val="16"/>
                <w:szCs w:val="16"/>
              </w:rPr>
            </w:pPr>
            <w:r>
              <w:rPr>
                <w:sz w:val="16"/>
                <w:szCs w:val="16"/>
              </w:rPr>
              <w:t>60.5383</w:t>
            </w:r>
          </w:p>
        </w:tc>
        <w:tc>
          <w:tcPr>
            <w:tcW w:w="1512" w:type="dxa"/>
            <w:noWrap/>
          </w:tcPr>
          <w:p>
            <w:pPr>
              <w:pStyle w:val="yTableNAm"/>
              <w:jc w:val="right"/>
              <w:rPr>
                <w:sz w:val="16"/>
                <w:szCs w:val="16"/>
              </w:rPr>
            </w:pPr>
            <w:r>
              <w:rPr>
                <w:sz w:val="16"/>
                <w:szCs w:val="16"/>
              </w:rPr>
              <w:t>61.0812</w:t>
            </w:r>
          </w:p>
        </w:tc>
        <w:tc>
          <w:tcPr>
            <w:tcW w:w="1370" w:type="dxa"/>
            <w:noWrap/>
          </w:tcPr>
          <w:p>
            <w:pPr>
              <w:pStyle w:val="yTableNAm"/>
              <w:jc w:val="right"/>
              <w:rPr>
                <w:sz w:val="16"/>
                <w:szCs w:val="16"/>
              </w:rPr>
            </w:pPr>
            <w:r>
              <w:rPr>
                <w:sz w:val="16"/>
                <w:szCs w:val="16"/>
              </w:rPr>
              <w:t>62.3218</w:t>
            </w:r>
          </w:p>
        </w:tc>
      </w:tr>
      <w:tr>
        <w:trPr>
          <w:cantSplit/>
        </w:trPr>
        <w:tc>
          <w:tcPr>
            <w:tcW w:w="567" w:type="dxa"/>
            <w:noWrap/>
          </w:tcPr>
          <w:p>
            <w:pPr>
              <w:pStyle w:val="yTableNAm"/>
              <w:rPr>
                <w:sz w:val="16"/>
                <w:szCs w:val="16"/>
              </w:rPr>
            </w:pPr>
            <w:r>
              <w:rPr>
                <w:sz w:val="16"/>
                <w:szCs w:val="16"/>
              </w:rPr>
              <w:t>Z.63</w:t>
            </w:r>
          </w:p>
        </w:tc>
        <w:tc>
          <w:tcPr>
            <w:tcW w:w="781" w:type="dxa"/>
            <w:noWrap/>
          </w:tcPr>
          <w:p>
            <w:pPr>
              <w:pStyle w:val="yTableNAm"/>
              <w:rPr>
                <w:sz w:val="16"/>
                <w:szCs w:val="16"/>
              </w:rPr>
            </w:pPr>
            <w:r>
              <w:rPr>
                <w:sz w:val="16"/>
                <w:szCs w:val="16"/>
              </w:rPr>
              <w:t>120</w:t>
            </w:r>
          </w:p>
        </w:tc>
        <w:tc>
          <w:tcPr>
            <w:tcW w:w="1275" w:type="dxa"/>
            <w:noWrap/>
          </w:tcPr>
          <w:p>
            <w:pPr>
              <w:pStyle w:val="yTableNAm"/>
              <w:rPr>
                <w:sz w:val="16"/>
                <w:szCs w:val="16"/>
              </w:rPr>
            </w:pPr>
            <w:r>
              <w:rPr>
                <w:sz w:val="16"/>
                <w:szCs w:val="16"/>
              </w:rPr>
              <w:t>LED</w:t>
            </w:r>
          </w:p>
        </w:tc>
        <w:tc>
          <w:tcPr>
            <w:tcW w:w="1299" w:type="dxa"/>
            <w:noWrap/>
          </w:tcPr>
          <w:p>
            <w:pPr>
              <w:pStyle w:val="yTableNAm"/>
              <w:jc w:val="right"/>
              <w:rPr>
                <w:sz w:val="16"/>
                <w:szCs w:val="16"/>
              </w:rPr>
            </w:pPr>
            <w:r>
              <w:rPr>
                <w:sz w:val="16"/>
                <w:szCs w:val="16"/>
              </w:rPr>
              <w:t>72.1420</w:t>
            </w:r>
          </w:p>
        </w:tc>
        <w:tc>
          <w:tcPr>
            <w:tcW w:w="1512" w:type="dxa"/>
            <w:noWrap/>
          </w:tcPr>
          <w:p>
            <w:pPr>
              <w:pStyle w:val="yTableNAm"/>
              <w:jc w:val="right"/>
              <w:rPr>
                <w:sz w:val="16"/>
                <w:szCs w:val="16"/>
              </w:rPr>
            </w:pPr>
            <w:r>
              <w:rPr>
                <w:sz w:val="16"/>
                <w:szCs w:val="16"/>
              </w:rPr>
              <w:t>74.0740</w:t>
            </w:r>
          </w:p>
        </w:tc>
        <w:tc>
          <w:tcPr>
            <w:tcW w:w="1370" w:type="dxa"/>
            <w:noWrap/>
          </w:tcPr>
          <w:p>
            <w:pPr>
              <w:pStyle w:val="yTableNAm"/>
              <w:jc w:val="right"/>
              <w:rPr>
                <w:sz w:val="16"/>
                <w:szCs w:val="16"/>
              </w:rPr>
            </w:pPr>
            <w:r>
              <w:rPr>
                <w:sz w:val="16"/>
                <w:szCs w:val="16"/>
              </w:rPr>
              <w:t>82.7604</w:t>
            </w:r>
          </w:p>
        </w:tc>
      </w:tr>
      <w:tr>
        <w:trPr>
          <w:cantSplit/>
        </w:trPr>
        <w:tc>
          <w:tcPr>
            <w:tcW w:w="567" w:type="dxa"/>
            <w:noWrap/>
          </w:tcPr>
          <w:p>
            <w:pPr>
              <w:pStyle w:val="yTableNAm"/>
              <w:rPr>
                <w:sz w:val="16"/>
                <w:szCs w:val="16"/>
              </w:rPr>
            </w:pPr>
            <w:r>
              <w:rPr>
                <w:sz w:val="16"/>
                <w:szCs w:val="16"/>
              </w:rPr>
              <w:t>Z.64</w:t>
            </w:r>
          </w:p>
        </w:tc>
        <w:tc>
          <w:tcPr>
            <w:tcW w:w="781" w:type="dxa"/>
            <w:noWrap/>
          </w:tcPr>
          <w:p>
            <w:pPr>
              <w:pStyle w:val="yTableNAm"/>
              <w:rPr>
                <w:sz w:val="16"/>
                <w:szCs w:val="16"/>
              </w:rPr>
            </w:pPr>
            <w:r>
              <w:rPr>
                <w:sz w:val="16"/>
                <w:szCs w:val="16"/>
              </w:rPr>
              <w:t>180</w:t>
            </w:r>
          </w:p>
        </w:tc>
        <w:tc>
          <w:tcPr>
            <w:tcW w:w="1275" w:type="dxa"/>
            <w:noWrap/>
          </w:tcPr>
          <w:p>
            <w:pPr>
              <w:pStyle w:val="yTableNAm"/>
              <w:rPr>
                <w:sz w:val="16"/>
                <w:szCs w:val="16"/>
              </w:rPr>
            </w:pPr>
            <w:r>
              <w:rPr>
                <w:sz w:val="16"/>
                <w:szCs w:val="16"/>
              </w:rPr>
              <w:t>LED</w:t>
            </w:r>
          </w:p>
        </w:tc>
        <w:tc>
          <w:tcPr>
            <w:tcW w:w="1299" w:type="dxa"/>
            <w:noWrap/>
          </w:tcPr>
          <w:p>
            <w:pPr>
              <w:pStyle w:val="yTableNAm"/>
              <w:jc w:val="right"/>
              <w:rPr>
                <w:sz w:val="16"/>
                <w:szCs w:val="16"/>
              </w:rPr>
            </w:pPr>
            <w:r>
              <w:rPr>
                <w:sz w:val="16"/>
                <w:szCs w:val="16"/>
              </w:rPr>
              <w:t>79.7207</w:t>
            </w:r>
          </w:p>
        </w:tc>
        <w:tc>
          <w:tcPr>
            <w:tcW w:w="1512" w:type="dxa"/>
            <w:noWrap/>
          </w:tcPr>
          <w:p>
            <w:pPr>
              <w:pStyle w:val="yTableNAm"/>
              <w:jc w:val="right"/>
              <w:rPr>
                <w:sz w:val="16"/>
                <w:szCs w:val="16"/>
              </w:rPr>
            </w:pPr>
            <w:r>
              <w:rPr>
                <w:sz w:val="16"/>
                <w:szCs w:val="16"/>
              </w:rPr>
              <w:t>83.7790</w:t>
            </w:r>
          </w:p>
        </w:tc>
        <w:tc>
          <w:tcPr>
            <w:tcW w:w="1370" w:type="dxa"/>
            <w:noWrap/>
          </w:tcPr>
          <w:p>
            <w:pPr>
              <w:pStyle w:val="yTableNAm"/>
              <w:jc w:val="right"/>
              <w:rPr>
                <w:sz w:val="16"/>
                <w:szCs w:val="16"/>
              </w:rPr>
            </w:pPr>
            <w:r>
              <w:rPr>
                <w:sz w:val="16"/>
                <w:szCs w:val="16"/>
              </w:rPr>
              <w:t>101.3228</w:t>
            </w:r>
          </w:p>
        </w:tc>
      </w:tr>
      <w:tr>
        <w:trPr>
          <w:cantSplit/>
        </w:trPr>
        <w:tc>
          <w:tcPr>
            <w:tcW w:w="567" w:type="dxa"/>
            <w:noWrap/>
          </w:tcPr>
          <w:p>
            <w:pPr>
              <w:pStyle w:val="yTableNAm"/>
              <w:rPr>
                <w:sz w:val="16"/>
                <w:szCs w:val="16"/>
              </w:rPr>
            </w:pPr>
            <w:r>
              <w:rPr>
                <w:sz w:val="16"/>
                <w:szCs w:val="16"/>
              </w:rPr>
              <w:t>Z.65</w:t>
            </w:r>
          </w:p>
        </w:tc>
        <w:tc>
          <w:tcPr>
            <w:tcW w:w="781" w:type="dxa"/>
            <w:noWrap/>
          </w:tcPr>
          <w:p>
            <w:pPr>
              <w:pStyle w:val="yTableNAm"/>
              <w:rPr>
                <w:sz w:val="16"/>
                <w:szCs w:val="16"/>
              </w:rPr>
            </w:pPr>
            <w:r>
              <w:rPr>
                <w:sz w:val="16"/>
                <w:szCs w:val="16"/>
              </w:rPr>
              <w:t>18</w:t>
            </w:r>
          </w:p>
        </w:tc>
        <w:tc>
          <w:tcPr>
            <w:tcW w:w="1275" w:type="dxa"/>
            <w:noWrap/>
          </w:tcPr>
          <w:p>
            <w:pPr>
              <w:pStyle w:val="yTableNAm"/>
              <w:rPr>
                <w:sz w:val="16"/>
                <w:szCs w:val="16"/>
              </w:rPr>
            </w:pPr>
            <w:r>
              <w:rPr>
                <w:sz w:val="16"/>
                <w:szCs w:val="16"/>
              </w:rPr>
              <w:t>LED</w:t>
            </w:r>
          </w:p>
        </w:tc>
        <w:tc>
          <w:tcPr>
            <w:tcW w:w="1299" w:type="dxa"/>
            <w:noWrap/>
          </w:tcPr>
          <w:p>
            <w:pPr>
              <w:pStyle w:val="yTableNAm"/>
              <w:jc w:val="right"/>
              <w:rPr>
                <w:sz w:val="16"/>
                <w:szCs w:val="16"/>
              </w:rPr>
            </w:pPr>
            <w:r>
              <w:rPr>
                <w:sz w:val="16"/>
                <w:szCs w:val="16"/>
              </w:rPr>
              <w:t>59.4334</w:t>
            </w:r>
          </w:p>
        </w:tc>
        <w:tc>
          <w:tcPr>
            <w:tcW w:w="1512" w:type="dxa"/>
            <w:noWrap/>
          </w:tcPr>
          <w:p>
            <w:pPr>
              <w:pStyle w:val="yTableNAm"/>
              <w:jc w:val="right"/>
              <w:rPr>
                <w:sz w:val="16"/>
                <w:szCs w:val="16"/>
              </w:rPr>
            </w:pPr>
            <w:r>
              <w:rPr>
                <w:sz w:val="16"/>
                <w:szCs w:val="16"/>
              </w:rPr>
              <w:t>59.7254</w:t>
            </w:r>
          </w:p>
        </w:tc>
        <w:tc>
          <w:tcPr>
            <w:tcW w:w="1370" w:type="dxa"/>
            <w:noWrap/>
          </w:tcPr>
          <w:p>
            <w:pPr>
              <w:pStyle w:val="yTableNAm"/>
              <w:jc w:val="right"/>
              <w:rPr>
                <w:sz w:val="16"/>
                <w:szCs w:val="16"/>
              </w:rPr>
            </w:pPr>
            <w:r>
              <w:rPr>
                <w:sz w:val="16"/>
                <w:szCs w:val="16"/>
              </w:rPr>
              <w:t>60.0395</w:t>
            </w:r>
          </w:p>
        </w:tc>
      </w:tr>
      <w:tr>
        <w:trPr>
          <w:cantSplit/>
        </w:trPr>
        <w:tc>
          <w:tcPr>
            <w:tcW w:w="567" w:type="dxa"/>
            <w:noWrap/>
          </w:tcPr>
          <w:p>
            <w:pPr>
              <w:pStyle w:val="yTableNAm"/>
              <w:rPr>
                <w:sz w:val="16"/>
                <w:szCs w:val="16"/>
              </w:rPr>
            </w:pPr>
            <w:r>
              <w:rPr>
                <w:sz w:val="16"/>
                <w:szCs w:val="16"/>
              </w:rPr>
              <w:t>Z.66</w:t>
            </w:r>
          </w:p>
        </w:tc>
        <w:tc>
          <w:tcPr>
            <w:tcW w:w="781" w:type="dxa"/>
            <w:noWrap/>
          </w:tcPr>
          <w:p>
            <w:pPr>
              <w:pStyle w:val="yTableNAm"/>
              <w:rPr>
                <w:sz w:val="16"/>
                <w:szCs w:val="16"/>
              </w:rPr>
            </w:pPr>
            <w:r>
              <w:rPr>
                <w:sz w:val="16"/>
                <w:szCs w:val="16"/>
              </w:rPr>
              <w:t>20</w:t>
            </w:r>
          </w:p>
        </w:tc>
        <w:tc>
          <w:tcPr>
            <w:tcW w:w="1275" w:type="dxa"/>
            <w:noWrap/>
          </w:tcPr>
          <w:p>
            <w:pPr>
              <w:pStyle w:val="yTableNAm"/>
              <w:rPr>
                <w:sz w:val="16"/>
                <w:szCs w:val="16"/>
              </w:rPr>
            </w:pPr>
            <w:r>
              <w:rPr>
                <w:sz w:val="16"/>
                <w:szCs w:val="16"/>
              </w:rPr>
              <w:t>LED</w:t>
            </w:r>
          </w:p>
        </w:tc>
        <w:tc>
          <w:tcPr>
            <w:tcW w:w="1299" w:type="dxa"/>
            <w:noWrap/>
          </w:tcPr>
          <w:p>
            <w:pPr>
              <w:pStyle w:val="yTableNAm"/>
              <w:jc w:val="right"/>
              <w:rPr>
                <w:sz w:val="16"/>
                <w:szCs w:val="16"/>
              </w:rPr>
            </w:pPr>
            <w:r>
              <w:rPr>
                <w:sz w:val="16"/>
                <w:szCs w:val="16"/>
              </w:rPr>
              <w:t>59.6149</w:t>
            </w:r>
          </w:p>
        </w:tc>
        <w:tc>
          <w:tcPr>
            <w:tcW w:w="1512" w:type="dxa"/>
            <w:noWrap/>
          </w:tcPr>
          <w:p>
            <w:pPr>
              <w:pStyle w:val="yTableNAm"/>
              <w:jc w:val="right"/>
              <w:rPr>
                <w:sz w:val="16"/>
                <w:szCs w:val="16"/>
              </w:rPr>
            </w:pPr>
            <w:r>
              <w:rPr>
                <w:sz w:val="16"/>
                <w:szCs w:val="16"/>
              </w:rPr>
              <w:t>59.9483</w:t>
            </w:r>
          </w:p>
        </w:tc>
        <w:tc>
          <w:tcPr>
            <w:tcW w:w="1370" w:type="dxa"/>
            <w:noWrap/>
          </w:tcPr>
          <w:p>
            <w:pPr>
              <w:pStyle w:val="yTableNAm"/>
              <w:jc w:val="right"/>
              <w:rPr>
                <w:sz w:val="16"/>
                <w:szCs w:val="16"/>
              </w:rPr>
            </w:pPr>
            <w:r>
              <w:rPr>
                <w:sz w:val="16"/>
                <w:szCs w:val="16"/>
              </w:rPr>
              <w:t>60.4146</w:t>
            </w:r>
          </w:p>
        </w:tc>
      </w:tr>
      <w:tr>
        <w:trPr>
          <w:cantSplit/>
        </w:trPr>
        <w:tc>
          <w:tcPr>
            <w:tcW w:w="567" w:type="dxa"/>
            <w:noWrap/>
          </w:tcPr>
          <w:p>
            <w:pPr>
              <w:pStyle w:val="yTableNAm"/>
              <w:rPr>
                <w:sz w:val="16"/>
                <w:szCs w:val="16"/>
              </w:rPr>
            </w:pPr>
            <w:r>
              <w:rPr>
                <w:sz w:val="16"/>
                <w:szCs w:val="16"/>
              </w:rPr>
              <w:t>Z.67</w:t>
            </w:r>
          </w:p>
        </w:tc>
        <w:tc>
          <w:tcPr>
            <w:tcW w:w="781" w:type="dxa"/>
            <w:noWrap/>
          </w:tcPr>
          <w:p>
            <w:pPr>
              <w:pStyle w:val="yTableNAm"/>
              <w:rPr>
                <w:sz w:val="16"/>
                <w:szCs w:val="16"/>
              </w:rPr>
            </w:pPr>
            <w:r>
              <w:rPr>
                <w:sz w:val="16"/>
                <w:szCs w:val="16"/>
              </w:rPr>
              <w:t>53</w:t>
            </w:r>
          </w:p>
        </w:tc>
        <w:tc>
          <w:tcPr>
            <w:tcW w:w="1275" w:type="dxa"/>
            <w:noWrap/>
          </w:tcPr>
          <w:p>
            <w:pPr>
              <w:pStyle w:val="yTableNAm"/>
              <w:rPr>
                <w:sz w:val="16"/>
                <w:szCs w:val="16"/>
              </w:rPr>
            </w:pPr>
            <w:r>
              <w:rPr>
                <w:sz w:val="16"/>
                <w:szCs w:val="16"/>
              </w:rPr>
              <w:t>LED</w:t>
            </w:r>
          </w:p>
        </w:tc>
        <w:tc>
          <w:tcPr>
            <w:tcW w:w="1299" w:type="dxa"/>
            <w:noWrap/>
          </w:tcPr>
          <w:p>
            <w:pPr>
              <w:pStyle w:val="yTableNAm"/>
              <w:jc w:val="right"/>
              <w:rPr>
                <w:sz w:val="16"/>
                <w:szCs w:val="16"/>
              </w:rPr>
            </w:pPr>
            <w:r>
              <w:rPr>
                <w:sz w:val="16"/>
                <w:szCs w:val="16"/>
              </w:rPr>
              <w:t>62.8851</w:t>
            </w:r>
          </w:p>
        </w:tc>
        <w:tc>
          <w:tcPr>
            <w:tcW w:w="1512" w:type="dxa"/>
            <w:noWrap/>
          </w:tcPr>
          <w:p>
            <w:pPr>
              <w:pStyle w:val="yTableNAm"/>
              <w:jc w:val="right"/>
              <w:rPr>
                <w:sz w:val="16"/>
                <w:szCs w:val="16"/>
              </w:rPr>
            </w:pPr>
            <w:r>
              <w:rPr>
                <w:sz w:val="16"/>
                <w:szCs w:val="16"/>
              </w:rPr>
              <w:t>63.9958</w:t>
            </w:r>
          </w:p>
        </w:tc>
        <w:tc>
          <w:tcPr>
            <w:tcW w:w="1370" w:type="dxa"/>
            <w:noWrap/>
          </w:tcPr>
          <w:p>
            <w:pPr>
              <w:pStyle w:val="yTableNAm"/>
              <w:jc w:val="right"/>
              <w:rPr>
                <w:sz w:val="16"/>
                <w:szCs w:val="16"/>
              </w:rPr>
            </w:pPr>
            <w:r>
              <w:rPr>
                <w:sz w:val="16"/>
                <w:szCs w:val="16"/>
              </w:rPr>
              <w:t>67.3875</w:t>
            </w:r>
          </w:p>
        </w:tc>
      </w:tr>
      <w:tr>
        <w:trPr>
          <w:cantSplit/>
        </w:trPr>
        <w:tc>
          <w:tcPr>
            <w:tcW w:w="567" w:type="dxa"/>
            <w:noWrap/>
          </w:tcPr>
          <w:p>
            <w:pPr>
              <w:pStyle w:val="yTableNAm"/>
              <w:rPr>
                <w:sz w:val="16"/>
                <w:szCs w:val="16"/>
              </w:rPr>
            </w:pPr>
            <w:r>
              <w:rPr>
                <w:sz w:val="16"/>
                <w:szCs w:val="16"/>
              </w:rPr>
              <w:t>Z.68</w:t>
            </w:r>
          </w:p>
        </w:tc>
        <w:tc>
          <w:tcPr>
            <w:tcW w:w="781" w:type="dxa"/>
            <w:noWrap/>
          </w:tcPr>
          <w:p>
            <w:pPr>
              <w:pStyle w:val="yTableNAm"/>
              <w:rPr>
                <w:sz w:val="16"/>
                <w:szCs w:val="16"/>
              </w:rPr>
            </w:pPr>
            <w:r>
              <w:rPr>
                <w:sz w:val="16"/>
                <w:szCs w:val="16"/>
              </w:rPr>
              <w:t>80</w:t>
            </w:r>
          </w:p>
        </w:tc>
        <w:tc>
          <w:tcPr>
            <w:tcW w:w="1275" w:type="dxa"/>
            <w:noWrap/>
          </w:tcPr>
          <w:p>
            <w:pPr>
              <w:pStyle w:val="yTableNAm"/>
              <w:rPr>
                <w:sz w:val="16"/>
                <w:szCs w:val="16"/>
              </w:rPr>
            </w:pPr>
            <w:r>
              <w:rPr>
                <w:sz w:val="16"/>
                <w:szCs w:val="16"/>
              </w:rPr>
              <w:t>LED</w:t>
            </w:r>
          </w:p>
        </w:tc>
        <w:tc>
          <w:tcPr>
            <w:tcW w:w="1299" w:type="dxa"/>
            <w:noWrap/>
          </w:tcPr>
          <w:p>
            <w:pPr>
              <w:pStyle w:val="yTableNAm"/>
              <w:jc w:val="right"/>
              <w:rPr>
                <w:sz w:val="16"/>
                <w:szCs w:val="16"/>
              </w:rPr>
            </w:pPr>
            <w:r>
              <w:rPr>
                <w:sz w:val="16"/>
                <w:szCs w:val="16"/>
              </w:rPr>
              <w:t>64.1471</w:t>
            </w:r>
          </w:p>
        </w:tc>
        <w:tc>
          <w:tcPr>
            <w:tcW w:w="1512" w:type="dxa"/>
            <w:noWrap/>
          </w:tcPr>
          <w:p>
            <w:pPr>
              <w:pStyle w:val="yTableNAm"/>
              <w:jc w:val="right"/>
              <w:rPr>
                <w:sz w:val="16"/>
                <w:szCs w:val="16"/>
              </w:rPr>
            </w:pPr>
            <w:r>
              <w:rPr>
                <w:sz w:val="16"/>
                <w:szCs w:val="16"/>
              </w:rPr>
              <w:t>65.5550</w:t>
            </w:r>
          </w:p>
        </w:tc>
        <w:tc>
          <w:tcPr>
            <w:tcW w:w="1370" w:type="dxa"/>
            <w:noWrap/>
          </w:tcPr>
          <w:p>
            <w:pPr>
              <w:pStyle w:val="yTableNAm"/>
              <w:jc w:val="right"/>
              <w:rPr>
                <w:sz w:val="16"/>
                <w:szCs w:val="16"/>
              </w:rPr>
            </w:pPr>
            <w:r>
              <w:rPr>
                <w:sz w:val="16"/>
                <w:szCs w:val="16"/>
              </w:rPr>
              <w:t>70.0776</w:t>
            </w:r>
          </w:p>
        </w:tc>
      </w:tr>
      <w:tr>
        <w:trPr>
          <w:cantSplit/>
        </w:trPr>
        <w:tc>
          <w:tcPr>
            <w:tcW w:w="567" w:type="dxa"/>
            <w:noWrap/>
          </w:tcPr>
          <w:p>
            <w:pPr>
              <w:pStyle w:val="yTableNAm"/>
              <w:rPr>
                <w:sz w:val="16"/>
                <w:szCs w:val="16"/>
              </w:rPr>
            </w:pPr>
            <w:r>
              <w:rPr>
                <w:sz w:val="16"/>
                <w:szCs w:val="16"/>
              </w:rPr>
              <w:t>Z.69</w:t>
            </w:r>
          </w:p>
        </w:tc>
        <w:tc>
          <w:tcPr>
            <w:tcW w:w="781" w:type="dxa"/>
            <w:noWrap/>
          </w:tcPr>
          <w:p>
            <w:pPr>
              <w:pStyle w:val="yTableNAm"/>
              <w:rPr>
                <w:sz w:val="16"/>
                <w:szCs w:val="16"/>
              </w:rPr>
            </w:pPr>
            <w:r>
              <w:rPr>
                <w:sz w:val="16"/>
                <w:szCs w:val="16"/>
              </w:rPr>
              <w:t>160</w:t>
            </w:r>
          </w:p>
        </w:tc>
        <w:tc>
          <w:tcPr>
            <w:tcW w:w="1275" w:type="dxa"/>
            <w:noWrap/>
          </w:tcPr>
          <w:p>
            <w:pPr>
              <w:pStyle w:val="yTableNAm"/>
              <w:rPr>
                <w:sz w:val="16"/>
                <w:szCs w:val="16"/>
              </w:rPr>
            </w:pPr>
            <w:r>
              <w:rPr>
                <w:sz w:val="16"/>
                <w:szCs w:val="16"/>
              </w:rPr>
              <w:t>LED</w:t>
            </w:r>
          </w:p>
        </w:tc>
        <w:tc>
          <w:tcPr>
            <w:tcW w:w="1299" w:type="dxa"/>
            <w:noWrap/>
          </w:tcPr>
          <w:p>
            <w:pPr>
              <w:pStyle w:val="yTableNAm"/>
              <w:jc w:val="right"/>
              <w:rPr>
                <w:sz w:val="16"/>
                <w:szCs w:val="16"/>
              </w:rPr>
            </w:pPr>
            <w:r>
              <w:rPr>
                <w:sz w:val="16"/>
                <w:szCs w:val="16"/>
              </w:rPr>
              <w:t>74.1806</w:t>
            </w:r>
          </w:p>
        </w:tc>
        <w:tc>
          <w:tcPr>
            <w:tcW w:w="1512" w:type="dxa"/>
            <w:noWrap/>
          </w:tcPr>
          <w:p>
            <w:pPr>
              <w:pStyle w:val="yTableNAm"/>
              <w:jc w:val="right"/>
              <w:rPr>
                <w:sz w:val="16"/>
                <w:szCs w:val="16"/>
              </w:rPr>
            </w:pPr>
            <w:r>
              <w:rPr>
                <w:sz w:val="16"/>
                <w:szCs w:val="16"/>
              </w:rPr>
              <w:t>76.5897</w:t>
            </w:r>
          </w:p>
        </w:tc>
        <w:tc>
          <w:tcPr>
            <w:tcW w:w="1370" w:type="dxa"/>
            <w:noWrap/>
          </w:tcPr>
          <w:p>
            <w:pPr>
              <w:pStyle w:val="yTableNAm"/>
              <w:jc w:val="right"/>
              <w:rPr>
                <w:sz w:val="16"/>
                <w:szCs w:val="16"/>
              </w:rPr>
            </w:pPr>
            <w:r>
              <w:rPr>
                <w:sz w:val="16"/>
                <w:szCs w:val="16"/>
              </w:rPr>
              <w:t>87.2030</w:t>
            </w:r>
          </w:p>
        </w:tc>
      </w:tr>
      <w:tr>
        <w:trPr>
          <w:cantSplit/>
        </w:trPr>
        <w:tc>
          <w:tcPr>
            <w:tcW w:w="6804" w:type="dxa"/>
            <w:gridSpan w:val="6"/>
            <w:noWrap/>
          </w:tcPr>
          <w:p>
            <w:pPr>
              <w:pStyle w:val="yTableNAm"/>
              <w:keepNext/>
            </w:pPr>
            <w:r>
              <w:rPr>
                <w:b/>
                <w:i/>
                <w:iCs/>
                <w:sz w:val="16"/>
                <w:szCs w:val="16"/>
              </w:rPr>
              <w:lastRenderedPageBreak/>
              <w:t>Street lighting for existing services only</w:t>
            </w:r>
          </w:p>
        </w:tc>
      </w:tr>
      <w:tr>
        <w:trPr>
          <w:cantSplit/>
        </w:trPr>
        <w:tc>
          <w:tcPr>
            <w:tcW w:w="567" w:type="dxa"/>
            <w:noWrap/>
          </w:tcPr>
          <w:p>
            <w:pPr>
              <w:pStyle w:val="yTableNAm"/>
            </w:pPr>
            <w:r>
              <w:rPr>
                <w:sz w:val="16"/>
                <w:szCs w:val="16"/>
              </w:rPr>
              <w:t>Z.52</w:t>
            </w:r>
          </w:p>
        </w:tc>
        <w:tc>
          <w:tcPr>
            <w:tcW w:w="781" w:type="dxa"/>
            <w:noWrap/>
          </w:tcPr>
          <w:p>
            <w:pPr>
              <w:pStyle w:val="yTableNAm"/>
            </w:pPr>
            <w:r>
              <w:rPr>
                <w:sz w:val="16"/>
                <w:szCs w:val="16"/>
              </w:rPr>
              <w:t>100</w:t>
            </w:r>
          </w:p>
        </w:tc>
        <w:tc>
          <w:tcPr>
            <w:tcW w:w="1275" w:type="dxa"/>
            <w:noWrap/>
          </w:tcPr>
          <w:p>
            <w:pPr>
              <w:pStyle w:val="yTableNAm"/>
            </w:pPr>
            <w:r>
              <w:rPr>
                <w:sz w:val="16"/>
                <w:szCs w:val="16"/>
              </w:rPr>
              <w:t>Incandescent</w:t>
            </w:r>
          </w:p>
        </w:tc>
        <w:tc>
          <w:tcPr>
            <w:tcW w:w="1299" w:type="dxa"/>
            <w:noWrap/>
          </w:tcPr>
          <w:p>
            <w:pPr>
              <w:pStyle w:val="yTableNAm"/>
              <w:jc w:val="right"/>
              <w:rPr>
                <w:sz w:val="16"/>
                <w:szCs w:val="16"/>
              </w:rPr>
            </w:pPr>
            <w:r>
              <w:rPr>
                <w:sz w:val="16"/>
                <w:szCs w:val="16"/>
              </w:rPr>
              <w:t>46.1390</w:t>
            </w:r>
          </w:p>
        </w:tc>
        <w:tc>
          <w:tcPr>
            <w:tcW w:w="1512" w:type="dxa"/>
            <w:noWrap/>
          </w:tcPr>
          <w:p>
            <w:pPr>
              <w:pStyle w:val="yTableNAm"/>
              <w:jc w:val="right"/>
              <w:rPr>
                <w:sz w:val="16"/>
                <w:szCs w:val="16"/>
              </w:rPr>
            </w:pPr>
            <w:r>
              <w:rPr>
                <w:sz w:val="16"/>
                <w:szCs w:val="16"/>
              </w:rPr>
              <w:t>47.8686</w:t>
            </w:r>
          </w:p>
        </w:tc>
        <w:tc>
          <w:tcPr>
            <w:tcW w:w="1370" w:type="dxa"/>
            <w:noWrap/>
          </w:tcPr>
          <w:p>
            <w:pPr>
              <w:pStyle w:val="yTableNAm"/>
              <w:jc w:val="right"/>
              <w:rPr>
                <w:sz w:val="16"/>
                <w:szCs w:val="16"/>
              </w:rPr>
            </w:pPr>
            <w:r>
              <w:rPr>
                <w:sz w:val="16"/>
                <w:szCs w:val="16"/>
              </w:rPr>
              <w:t>52.6993</w:t>
            </w:r>
          </w:p>
        </w:tc>
      </w:tr>
      <w:tr>
        <w:trPr>
          <w:cantSplit/>
        </w:trPr>
        <w:tc>
          <w:tcPr>
            <w:tcW w:w="567" w:type="dxa"/>
            <w:tcBorders>
              <w:bottom w:val="single" w:sz="4" w:space="0" w:color="auto"/>
            </w:tcBorders>
            <w:noWrap/>
          </w:tcPr>
          <w:p>
            <w:pPr>
              <w:pStyle w:val="yTableNAm"/>
            </w:pPr>
            <w:r>
              <w:rPr>
                <w:sz w:val="16"/>
                <w:szCs w:val="16"/>
              </w:rPr>
              <w:t>Z.56</w:t>
            </w:r>
          </w:p>
        </w:tc>
        <w:tc>
          <w:tcPr>
            <w:tcW w:w="781" w:type="dxa"/>
            <w:tcBorders>
              <w:bottom w:val="single" w:sz="4" w:space="0" w:color="auto"/>
            </w:tcBorders>
            <w:noWrap/>
          </w:tcPr>
          <w:p>
            <w:pPr>
              <w:pStyle w:val="yTableNAm"/>
            </w:pPr>
            <w:r>
              <w:rPr>
                <w:sz w:val="16"/>
                <w:szCs w:val="16"/>
              </w:rPr>
              <w:t>40</w:t>
            </w:r>
          </w:p>
        </w:tc>
        <w:tc>
          <w:tcPr>
            <w:tcW w:w="1275" w:type="dxa"/>
            <w:tcBorders>
              <w:bottom w:val="single" w:sz="4" w:space="0" w:color="auto"/>
            </w:tcBorders>
            <w:noWrap/>
          </w:tcPr>
          <w:p>
            <w:pPr>
              <w:pStyle w:val="yTableNAm"/>
            </w:pPr>
            <w:r>
              <w:rPr>
                <w:sz w:val="16"/>
                <w:szCs w:val="16"/>
              </w:rPr>
              <w:t>Fluorescent</w:t>
            </w:r>
          </w:p>
        </w:tc>
        <w:tc>
          <w:tcPr>
            <w:tcW w:w="1299" w:type="dxa"/>
            <w:tcBorders>
              <w:bottom w:val="single" w:sz="4" w:space="0" w:color="auto"/>
            </w:tcBorders>
            <w:noWrap/>
          </w:tcPr>
          <w:p>
            <w:pPr>
              <w:pStyle w:val="yTableNAm"/>
              <w:jc w:val="right"/>
              <w:rPr>
                <w:sz w:val="16"/>
                <w:szCs w:val="16"/>
              </w:rPr>
            </w:pPr>
            <w:r>
              <w:rPr>
                <w:sz w:val="16"/>
                <w:szCs w:val="16"/>
              </w:rPr>
              <w:t>60.4287</w:t>
            </w:r>
          </w:p>
        </w:tc>
        <w:tc>
          <w:tcPr>
            <w:tcW w:w="1512" w:type="dxa"/>
            <w:tcBorders>
              <w:bottom w:val="single" w:sz="4" w:space="0" w:color="auto"/>
            </w:tcBorders>
            <w:noWrap/>
          </w:tcPr>
          <w:p>
            <w:pPr>
              <w:pStyle w:val="yTableNAm"/>
              <w:jc w:val="right"/>
              <w:rPr>
                <w:sz w:val="16"/>
                <w:szCs w:val="16"/>
              </w:rPr>
            </w:pPr>
            <w:r>
              <w:rPr>
                <w:sz w:val="16"/>
                <w:szCs w:val="16"/>
              </w:rPr>
              <w:t>61.2583</w:t>
            </w:r>
          </w:p>
        </w:tc>
        <w:tc>
          <w:tcPr>
            <w:tcW w:w="1370" w:type="dxa"/>
            <w:tcBorders>
              <w:bottom w:val="single" w:sz="4" w:space="0" w:color="auto"/>
            </w:tcBorders>
            <w:noWrap/>
          </w:tcPr>
          <w:p>
            <w:pPr>
              <w:pStyle w:val="yTableNAm"/>
              <w:jc w:val="right"/>
              <w:rPr>
                <w:sz w:val="16"/>
                <w:szCs w:val="16"/>
              </w:rPr>
            </w:pPr>
            <w:r>
              <w:rPr>
                <w:sz w:val="16"/>
                <w:szCs w:val="16"/>
              </w:rPr>
              <w:t>64.3306</w:t>
            </w:r>
          </w:p>
        </w:tc>
      </w:tr>
    </w:tbl>
    <w:p>
      <w:pPr>
        <w:pStyle w:val="yFootnotesection"/>
      </w:pPr>
      <w:bookmarkStart w:id="70" w:name="_Toc169168697"/>
      <w:bookmarkStart w:id="71" w:name="_Toc169168773"/>
      <w:bookmarkStart w:id="72" w:name="_Toc169169050"/>
      <w:r>
        <w:tab/>
        <w:t>[Division 1 inserted: SL 2024/103 bl. 4.]</w:t>
      </w:r>
    </w:p>
    <w:p>
      <w:pPr>
        <w:pStyle w:val="yHeading3"/>
      </w:pPr>
      <w:bookmarkStart w:id="73" w:name="_Toc170212602"/>
      <w:bookmarkStart w:id="74" w:name="_Toc170293099"/>
      <w:r>
        <w:rPr>
          <w:rStyle w:val="CharSDivNo"/>
        </w:rPr>
        <w:t>Division 2</w:t>
      </w:r>
      <w:r>
        <w:t> — </w:t>
      </w:r>
      <w:r>
        <w:rPr>
          <w:rStyle w:val="CharSDivText"/>
        </w:rPr>
        <w:t>Miscellaneous</w:t>
      </w:r>
      <w:bookmarkEnd w:id="70"/>
      <w:bookmarkEnd w:id="71"/>
      <w:bookmarkEnd w:id="72"/>
      <w:bookmarkEnd w:id="73"/>
      <w:bookmarkEnd w:id="74"/>
    </w:p>
    <w:p>
      <w:pPr>
        <w:pStyle w:val="yFootnoteheading"/>
      </w:pPr>
      <w:r>
        <w:tab/>
        <w:t>[Heading inserted: SL 2024/103 bl. 4.]</w:t>
      </w:r>
    </w:p>
    <w:p>
      <w:pPr>
        <w:pStyle w:val="yHeading5"/>
      </w:pPr>
      <w:bookmarkStart w:id="75" w:name="_Toc169168698"/>
      <w:bookmarkStart w:id="76" w:name="_Toc169169051"/>
      <w:bookmarkStart w:id="77" w:name="_Toc170293100"/>
      <w:r>
        <w:rPr>
          <w:rStyle w:val="CharSClsNo"/>
        </w:rPr>
        <w:t>1</w:t>
      </w:r>
      <w:r>
        <w:t>.</w:t>
      </w:r>
      <w:r>
        <w:tab/>
        <w:t>Traffic light installation</w:t>
      </w:r>
      <w:bookmarkEnd w:id="75"/>
      <w:bookmarkEnd w:id="76"/>
      <w:bookmarkEnd w:id="77"/>
    </w:p>
    <w:p>
      <w:pPr>
        <w:pStyle w:val="ySubsection"/>
      </w:pPr>
      <w:r>
        <w:tab/>
      </w:r>
      <w:r>
        <w:tab/>
        <w:t xml:space="preserve">Supply of electricity to traffic light installations comprises a charge of </w:t>
      </w:r>
      <w:r>
        <w:rPr>
          <w:szCs w:val="22"/>
        </w:rPr>
        <w:t xml:space="preserve">$9.0214 </w:t>
      </w:r>
      <w:r>
        <w:t>per day per kW of installed wattage.</w:t>
      </w:r>
    </w:p>
    <w:p>
      <w:pPr>
        <w:pStyle w:val="yFootnotesection"/>
      </w:pPr>
      <w:r>
        <w:tab/>
        <w:t>[Clause 1 inserted: SL 2024/103 bl. 4.]</w:t>
      </w:r>
    </w:p>
    <w:p>
      <w:pPr>
        <w:pStyle w:val="yHeading5"/>
      </w:pPr>
      <w:bookmarkStart w:id="78" w:name="_Toc169168699"/>
      <w:bookmarkStart w:id="79" w:name="_Toc169169052"/>
      <w:bookmarkStart w:id="80" w:name="_Toc170293101"/>
      <w:r>
        <w:rPr>
          <w:rStyle w:val="CharSClsNo"/>
        </w:rPr>
        <w:t>2</w:t>
      </w:r>
      <w:r>
        <w:t>.</w:t>
      </w:r>
      <w:r>
        <w:tab/>
        <w:t>Public telephone facility</w:t>
      </w:r>
      <w:bookmarkEnd w:id="78"/>
      <w:bookmarkEnd w:id="79"/>
      <w:bookmarkEnd w:id="80"/>
    </w:p>
    <w:p>
      <w:pPr>
        <w:pStyle w:val="ySubsection"/>
      </w:pPr>
      <w:r>
        <w:tab/>
      </w:r>
      <w:r>
        <w:tab/>
        <w:t>Supply of electricity to a standard public telephone facility where supply is not independently metered comprises a charge of 76.4435 cents per day.</w:t>
      </w:r>
    </w:p>
    <w:p>
      <w:pPr>
        <w:pStyle w:val="yFootnotesection"/>
      </w:pPr>
      <w:r>
        <w:tab/>
        <w:t>[Clause 2 inserted: SL 2024/103 bl. 4.]</w:t>
      </w:r>
    </w:p>
    <w:p>
      <w:pPr>
        <w:pStyle w:val="yHeading5"/>
      </w:pPr>
      <w:bookmarkStart w:id="81" w:name="_Toc169168700"/>
      <w:bookmarkStart w:id="82" w:name="_Toc169169053"/>
      <w:bookmarkStart w:id="83" w:name="_Toc170293102"/>
      <w:r>
        <w:rPr>
          <w:rStyle w:val="CharSClsNo"/>
        </w:rPr>
        <w:t>3</w:t>
      </w:r>
      <w:r>
        <w:t>.</w:t>
      </w:r>
      <w:r>
        <w:tab/>
        <w:t>Railway crossing</w:t>
      </w:r>
      <w:bookmarkEnd w:id="81"/>
      <w:bookmarkEnd w:id="82"/>
      <w:bookmarkEnd w:id="83"/>
    </w:p>
    <w:p>
      <w:pPr>
        <w:pStyle w:val="ySubsection"/>
      </w:pPr>
      <w:r>
        <w:tab/>
      </w:r>
      <w:r>
        <w:tab/>
        <w:t>Supply of electricity to standard railway crossing lights comprises a charge of 97.6897</w:t>
      </w:r>
      <w:r>
        <w:rPr>
          <w:szCs w:val="22"/>
        </w:rPr>
        <w:t xml:space="preserve"> </w:t>
      </w:r>
      <w:r>
        <w:t>cents per day.</w:t>
      </w:r>
    </w:p>
    <w:p>
      <w:pPr>
        <w:pStyle w:val="yFootnotesection"/>
      </w:pPr>
      <w:r>
        <w:tab/>
        <w:t>[Clause 3 inserted: SL 2024/103 bl. 4.]</w:t>
      </w:r>
    </w:p>
    <w:bookmarkEnd w:id="64"/>
    <w:p>
      <w:pPr>
        <w:sectPr>
          <w:headerReference w:type="even" r:id="rId26"/>
          <w:headerReference w:type="default" r:id="rId27"/>
          <w:headerReference w:type="first" r:id="rId28"/>
          <w:endnotePr>
            <w:numFmt w:val="decimal"/>
          </w:endnotePr>
          <w:pgSz w:w="11907" w:h="16840" w:code="9"/>
          <w:pgMar w:top="2376" w:right="2404" w:bottom="3544" w:left="2404" w:header="709" w:footer="3544" w:gutter="0"/>
          <w:cols w:space="720"/>
          <w:noEndnote/>
          <w:titlePg/>
          <w:docGrid w:linePitch="326"/>
        </w:sectPr>
      </w:pPr>
    </w:p>
    <w:p>
      <w:pPr>
        <w:pStyle w:val="yScheduleHeading"/>
      </w:pPr>
      <w:bookmarkStart w:id="84" w:name="_Toc170208778"/>
      <w:bookmarkStart w:id="85" w:name="_Toc170212606"/>
      <w:bookmarkStart w:id="86" w:name="_Toc170293103"/>
      <w:r>
        <w:rPr>
          <w:rStyle w:val="CharSchNo"/>
        </w:rPr>
        <w:lastRenderedPageBreak/>
        <w:t>Schedule 3</w:t>
      </w:r>
      <w:r>
        <w:rPr>
          <w:rStyle w:val="CharSDivNo"/>
        </w:rPr>
        <w:t> </w:t>
      </w:r>
      <w:r>
        <w:t>—</w:t>
      </w:r>
      <w:r>
        <w:rPr>
          <w:rStyle w:val="CharSDivText"/>
        </w:rPr>
        <w:t> </w:t>
      </w:r>
      <w:r>
        <w:rPr>
          <w:rStyle w:val="CharSchText"/>
        </w:rPr>
        <w:t>Meter rentals</w:t>
      </w:r>
      <w:bookmarkEnd w:id="84"/>
      <w:bookmarkEnd w:id="85"/>
      <w:bookmarkEnd w:id="86"/>
    </w:p>
    <w:p>
      <w:pPr>
        <w:pStyle w:val="yShoulderClause"/>
      </w:pPr>
      <w:r>
        <w:t>[bl. 6(1)]</w:t>
      </w:r>
    </w:p>
    <w:p>
      <w:pPr>
        <w:pStyle w:val="yFootnoteheading"/>
      </w:pPr>
      <w:r>
        <w:tab/>
        <w:t>[Heading inserted: SL 2020/78 bl. 4.]</w:t>
      </w:r>
    </w:p>
    <w:p>
      <w:pPr>
        <w:pStyle w:val="ySubsection"/>
      </w:pPr>
      <w:r>
        <w:tab/>
      </w:r>
      <w:r>
        <w:tab/>
        <w:t>The rental payable in respect of a subsidiary meter is 17.5 cents per day.</w:t>
      </w:r>
    </w:p>
    <w:p>
      <w:pPr>
        <w:pStyle w:val="yMiscellaneousBody"/>
        <w:tabs>
          <w:tab w:val="left" w:pos="709"/>
          <w:tab w:val="left" w:pos="1418"/>
        </w:tabs>
        <w:ind w:left="1418" w:hanging="1134"/>
        <w:rPr>
          <w:i/>
          <w:sz w:val="18"/>
        </w:rPr>
      </w:pPr>
      <w:r>
        <w:rPr>
          <w:i/>
          <w:sz w:val="18"/>
        </w:rPr>
        <w:tab/>
        <w:t>Note:</w:t>
      </w:r>
      <w:r>
        <w:rPr>
          <w:i/>
          <w:sz w:val="18"/>
        </w:rPr>
        <w:tab/>
        <w:t>Subsidiary meters are available on application for purposes approved by the corporation.</w:t>
      </w:r>
    </w:p>
    <w:p>
      <w:pPr>
        <w:pStyle w:val="yFootnotesection"/>
      </w:pPr>
      <w:r>
        <w:tab/>
        <w:t>[Schedule 3 inserted: SL 2020/78 bl. 4; amended: SL 2022/71 bl. 7; SL 2023/84 bl. 5; SL 2024/103 bl. 5.]</w:t>
      </w:r>
    </w:p>
    <w:p>
      <w:pPr>
        <w:pStyle w:val="yScheduleHeading"/>
      </w:pPr>
      <w:bookmarkStart w:id="87" w:name="_Toc169168703"/>
      <w:bookmarkStart w:id="88" w:name="_Toc169168779"/>
      <w:bookmarkStart w:id="89" w:name="_Toc169169056"/>
      <w:bookmarkStart w:id="90" w:name="_Toc170212607"/>
      <w:bookmarkStart w:id="91" w:name="_Toc170293104"/>
      <w:bookmarkStart w:id="92" w:name="_Toc170208779"/>
      <w:r>
        <w:rPr>
          <w:rStyle w:val="CharSchNo"/>
        </w:rPr>
        <w:lastRenderedPageBreak/>
        <w:t>Schedule 4</w:t>
      </w:r>
      <w:r>
        <w:t> — </w:t>
      </w:r>
      <w:r>
        <w:rPr>
          <w:rStyle w:val="CharSchText"/>
        </w:rPr>
        <w:t>Fees</w:t>
      </w:r>
      <w:bookmarkEnd w:id="87"/>
      <w:bookmarkEnd w:id="88"/>
      <w:bookmarkEnd w:id="89"/>
      <w:bookmarkEnd w:id="90"/>
      <w:bookmarkEnd w:id="91"/>
    </w:p>
    <w:p>
      <w:pPr>
        <w:pStyle w:val="yShoulderClause"/>
      </w:pPr>
      <w:r>
        <w:t>[bl. 7]</w:t>
      </w:r>
    </w:p>
    <w:p>
      <w:pPr>
        <w:pStyle w:val="yFootnoteheading"/>
        <w:spacing w:after="60"/>
      </w:pPr>
      <w:r>
        <w:tab/>
        <w:t>[Heading inserted: SL 2024/103 bl. 6.]</w:t>
      </w:r>
    </w:p>
    <w:tbl>
      <w:tblPr>
        <w:tblW w:w="7003" w:type="dxa"/>
        <w:tblInd w:w="85" w:type="dxa"/>
        <w:tblLayout w:type="fixed"/>
        <w:tblCellMar>
          <w:left w:w="85" w:type="dxa"/>
          <w:right w:w="85" w:type="dxa"/>
        </w:tblCellMar>
        <w:tblLook w:val="0000" w:firstRow="0" w:lastRow="0" w:firstColumn="0" w:lastColumn="0" w:noHBand="0" w:noVBand="0"/>
      </w:tblPr>
      <w:tblGrid>
        <w:gridCol w:w="567"/>
        <w:gridCol w:w="5245"/>
        <w:gridCol w:w="1191"/>
      </w:tblGrid>
      <w:tr>
        <w:trPr>
          <w:cantSplit/>
          <w:tblHeader/>
        </w:trPr>
        <w:tc>
          <w:tcPr>
            <w:tcW w:w="567" w:type="dxa"/>
            <w:tcBorders>
              <w:top w:val="single" w:sz="4" w:space="0" w:color="auto"/>
              <w:bottom w:val="single" w:sz="4" w:space="0" w:color="auto"/>
            </w:tcBorders>
            <w:noWrap/>
          </w:tcPr>
          <w:p>
            <w:pPr>
              <w:pStyle w:val="yTableNAm"/>
              <w:spacing w:after="80"/>
            </w:pPr>
          </w:p>
        </w:tc>
        <w:tc>
          <w:tcPr>
            <w:tcW w:w="5245" w:type="dxa"/>
            <w:tcBorders>
              <w:top w:val="single" w:sz="4" w:space="0" w:color="auto"/>
              <w:bottom w:val="single" w:sz="4" w:space="0" w:color="auto"/>
            </w:tcBorders>
            <w:noWrap/>
          </w:tcPr>
          <w:p>
            <w:pPr>
              <w:pStyle w:val="yTableNAm"/>
              <w:ind w:right="135"/>
            </w:pPr>
            <w:r>
              <w:rPr>
                <w:b/>
                <w:iCs/>
              </w:rPr>
              <w:t>Description of fee</w:t>
            </w:r>
          </w:p>
        </w:tc>
        <w:tc>
          <w:tcPr>
            <w:tcW w:w="1191" w:type="dxa"/>
            <w:tcBorders>
              <w:top w:val="single" w:sz="4" w:space="0" w:color="auto"/>
              <w:bottom w:val="single" w:sz="4" w:space="0" w:color="auto"/>
            </w:tcBorders>
            <w:noWrap/>
          </w:tcPr>
          <w:p>
            <w:pPr>
              <w:pStyle w:val="yTableNAm"/>
            </w:pPr>
            <w:r>
              <w:rPr>
                <w:b/>
                <w:iCs/>
              </w:rPr>
              <w:t>Amount</w:t>
            </w:r>
          </w:p>
        </w:tc>
      </w:tr>
      <w:tr>
        <w:trPr>
          <w:cantSplit/>
        </w:trPr>
        <w:tc>
          <w:tcPr>
            <w:tcW w:w="567" w:type="dxa"/>
            <w:tcBorders>
              <w:top w:val="single" w:sz="4" w:space="0" w:color="auto"/>
            </w:tcBorders>
            <w:noWrap/>
          </w:tcPr>
          <w:p>
            <w:pPr>
              <w:pStyle w:val="yTableNAm"/>
            </w:pPr>
            <w:r>
              <w:t>1.</w:t>
            </w:r>
          </w:p>
        </w:tc>
        <w:tc>
          <w:tcPr>
            <w:tcW w:w="5245" w:type="dxa"/>
            <w:tcBorders>
              <w:top w:val="single" w:sz="4" w:space="0" w:color="auto"/>
            </w:tcBorders>
            <w:noWrap/>
          </w:tcPr>
          <w:p>
            <w:pPr>
              <w:pStyle w:val="yTableNAm"/>
              <w:tabs>
                <w:tab w:val="clear" w:pos="567"/>
                <w:tab w:val="right" w:leader="dot" w:pos="5160"/>
              </w:tabs>
              <w:ind w:right="135"/>
            </w:pPr>
            <w:r>
              <w:t>Non</w:t>
            </w:r>
            <w:r>
              <w:noBreakHyphen/>
              <w:t xml:space="preserve">refundable account establishment fee payable on the establishment or transfer of an account </w:t>
            </w:r>
            <w:r>
              <w:tab/>
            </w:r>
          </w:p>
        </w:tc>
        <w:tc>
          <w:tcPr>
            <w:tcW w:w="1191" w:type="dxa"/>
            <w:tcBorders>
              <w:top w:val="single" w:sz="4" w:space="0" w:color="auto"/>
            </w:tcBorders>
            <w:noWrap/>
            <w:vAlign w:val="bottom"/>
          </w:tcPr>
          <w:p>
            <w:pPr>
              <w:pStyle w:val="yTableNAm"/>
              <w:jc w:val="right"/>
            </w:pPr>
            <w:r>
              <w:rPr>
                <w:bCs/>
                <w:iCs/>
              </w:rPr>
              <w:t>$25.90</w:t>
            </w:r>
          </w:p>
        </w:tc>
      </w:tr>
      <w:tr>
        <w:trPr>
          <w:cantSplit/>
        </w:trPr>
        <w:tc>
          <w:tcPr>
            <w:tcW w:w="567" w:type="dxa"/>
            <w:noWrap/>
          </w:tcPr>
          <w:p>
            <w:pPr>
              <w:pStyle w:val="yTableNAm"/>
            </w:pPr>
            <w:r>
              <w:t>2.</w:t>
            </w:r>
          </w:p>
        </w:tc>
        <w:tc>
          <w:tcPr>
            <w:tcW w:w="5245" w:type="dxa"/>
            <w:noWrap/>
          </w:tcPr>
          <w:p>
            <w:pPr>
              <w:pStyle w:val="yTableNAm"/>
              <w:tabs>
                <w:tab w:val="clear" w:pos="567"/>
                <w:tab w:val="right" w:leader="dot" w:pos="5160"/>
              </w:tabs>
              <w:ind w:right="135"/>
              <w:rPr>
                <w:b/>
                <w:iCs/>
              </w:rPr>
            </w:pPr>
            <w:r>
              <w:t xml:space="preserve">Three phase residential installation — new installation of three phase meter or replacement of single phase meter with three phase meter </w:t>
            </w:r>
            <w:r>
              <w:tab/>
            </w:r>
          </w:p>
        </w:tc>
        <w:tc>
          <w:tcPr>
            <w:tcW w:w="1191" w:type="dxa"/>
            <w:noWrap/>
            <w:vAlign w:val="bottom"/>
          </w:tcPr>
          <w:p>
            <w:pPr>
              <w:pStyle w:val="yTableNAm"/>
              <w:jc w:val="right"/>
            </w:pPr>
            <w:r>
              <w:t>$986.00</w:t>
            </w:r>
          </w:p>
        </w:tc>
      </w:tr>
      <w:tr>
        <w:trPr>
          <w:cantSplit/>
        </w:trPr>
        <w:tc>
          <w:tcPr>
            <w:tcW w:w="567" w:type="dxa"/>
            <w:noWrap/>
          </w:tcPr>
          <w:p>
            <w:pPr>
              <w:pStyle w:val="yTableNAm"/>
            </w:pPr>
            <w:r>
              <w:t>3.</w:t>
            </w:r>
          </w:p>
        </w:tc>
        <w:tc>
          <w:tcPr>
            <w:tcW w:w="5245" w:type="dxa"/>
            <w:noWrap/>
          </w:tcPr>
          <w:p>
            <w:pPr>
              <w:pStyle w:val="yTableNAm"/>
              <w:ind w:right="135"/>
            </w:pPr>
            <w:r>
              <w:t>Temporary supply connection — </w:t>
            </w:r>
          </w:p>
          <w:p>
            <w:pPr>
              <w:pStyle w:val="yTableNAm"/>
              <w:tabs>
                <w:tab w:val="clear" w:pos="567"/>
                <w:tab w:val="left" w:pos="199"/>
                <w:tab w:val="left" w:pos="624"/>
                <w:tab w:val="right" w:leader="dot" w:pos="5160"/>
              </w:tabs>
              <w:ind w:left="624" w:right="135" w:hanging="624"/>
            </w:pPr>
            <w:r>
              <w:tab/>
              <w:t>(a)</w:t>
            </w:r>
            <w:r>
              <w:tab/>
              <w:t xml:space="preserve">single phase (overhead) </w:t>
            </w:r>
            <w:r>
              <w:tab/>
            </w:r>
          </w:p>
          <w:p>
            <w:pPr>
              <w:pStyle w:val="yTableNAm"/>
              <w:tabs>
                <w:tab w:val="clear" w:pos="567"/>
                <w:tab w:val="left" w:pos="199"/>
                <w:tab w:val="left" w:pos="624"/>
                <w:tab w:val="right" w:leader="dot" w:pos="5160"/>
              </w:tabs>
              <w:ind w:left="624" w:right="135" w:hanging="624"/>
              <w:rPr>
                <w:b/>
                <w:iCs/>
              </w:rPr>
            </w:pPr>
            <w:r>
              <w:tab/>
              <w:t>(b)</w:t>
            </w:r>
            <w:r>
              <w:tab/>
              <w:t xml:space="preserve">three phase (overhead) </w:t>
            </w:r>
            <w:r>
              <w:tab/>
            </w:r>
          </w:p>
        </w:tc>
        <w:tc>
          <w:tcPr>
            <w:tcW w:w="1191" w:type="dxa"/>
            <w:noWrap/>
          </w:tcPr>
          <w:p>
            <w:pPr>
              <w:pStyle w:val="yTableNAm"/>
              <w:jc w:val="right"/>
            </w:pPr>
          </w:p>
          <w:p>
            <w:pPr>
              <w:pStyle w:val="yTableNAm"/>
              <w:jc w:val="right"/>
            </w:pPr>
            <w:r>
              <w:t>$986.00</w:t>
            </w:r>
          </w:p>
          <w:p>
            <w:pPr>
              <w:pStyle w:val="yTableNAm"/>
              <w:jc w:val="right"/>
            </w:pPr>
            <w:r>
              <w:t>$986.00</w:t>
            </w:r>
          </w:p>
        </w:tc>
      </w:tr>
      <w:tr>
        <w:trPr>
          <w:cantSplit/>
        </w:trPr>
        <w:tc>
          <w:tcPr>
            <w:tcW w:w="567" w:type="dxa"/>
            <w:noWrap/>
          </w:tcPr>
          <w:p>
            <w:pPr>
              <w:pStyle w:val="yTableNAm"/>
            </w:pPr>
            <w:r>
              <w:t>4.</w:t>
            </w:r>
          </w:p>
        </w:tc>
        <w:tc>
          <w:tcPr>
            <w:tcW w:w="5245" w:type="dxa"/>
            <w:noWrap/>
          </w:tcPr>
          <w:p>
            <w:pPr>
              <w:pStyle w:val="yTableNAm"/>
              <w:ind w:right="135"/>
            </w:pPr>
            <w:r>
              <w:t>Meter testing — </w:t>
            </w:r>
          </w:p>
          <w:p>
            <w:pPr>
              <w:pStyle w:val="yTableNAm"/>
              <w:tabs>
                <w:tab w:val="clear" w:pos="567"/>
                <w:tab w:val="left" w:pos="199"/>
                <w:tab w:val="left" w:pos="624"/>
                <w:tab w:val="right" w:leader="dot" w:pos="5160"/>
              </w:tabs>
              <w:ind w:left="624" w:right="135" w:hanging="624"/>
            </w:pPr>
            <w:r>
              <w:tab/>
              <w:t>(a)</w:t>
            </w:r>
            <w:r>
              <w:tab/>
              <w:t xml:space="preserve">standard meter testing fee </w:t>
            </w:r>
            <w:r>
              <w:tab/>
            </w:r>
          </w:p>
          <w:p>
            <w:pPr>
              <w:pStyle w:val="yTableNAm"/>
              <w:tabs>
                <w:tab w:val="clear" w:pos="567"/>
                <w:tab w:val="left" w:pos="199"/>
                <w:tab w:val="left" w:pos="624"/>
                <w:tab w:val="right" w:leader="dot" w:pos="5160"/>
              </w:tabs>
              <w:ind w:left="624" w:right="135" w:hanging="624"/>
            </w:pPr>
            <w:r>
              <w:tab/>
              <w:t>(b)</w:t>
            </w:r>
            <w:r>
              <w:tab/>
              <w:t xml:space="preserve">reduced meter testing fee </w:t>
            </w:r>
            <w:r>
              <w:tab/>
            </w:r>
          </w:p>
        </w:tc>
        <w:tc>
          <w:tcPr>
            <w:tcW w:w="1191" w:type="dxa"/>
            <w:noWrap/>
          </w:tcPr>
          <w:p>
            <w:pPr>
              <w:pStyle w:val="yTableNAm"/>
              <w:jc w:val="right"/>
            </w:pPr>
          </w:p>
          <w:p>
            <w:pPr>
              <w:pStyle w:val="yTableNAm"/>
              <w:jc w:val="right"/>
            </w:pPr>
            <w:r>
              <w:t>$267.00</w:t>
            </w:r>
          </w:p>
          <w:p>
            <w:pPr>
              <w:pStyle w:val="yTableNAm"/>
              <w:jc w:val="right"/>
            </w:pPr>
            <w:r>
              <w:t>$167.00</w:t>
            </w:r>
          </w:p>
        </w:tc>
      </w:tr>
      <w:tr>
        <w:trPr>
          <w:cantSplit/>
        </w:trPr>
        <w:tc>
          <w:tcPr>
            <w:tcW w:w="567" w:type="dxa"/>
            <w:noWrap/>
          </w:tcPr>
          <w:p>
            <w:pPr>
              <w:pStyle w:val="yTableNAm"/>
            </w:pPr>
            <w:r>
              <w:t>5.</w:t>
            </w:r>
          </w:p>
        </w:tc>
        <w:tc>
          <w:tcPr>
            <w:tcW w:w="5245" w:type="dxa"/>
            <w:noWrap/>
          </w:tcPr>
          <w:p>
            <w:pPr>
              <w:pStyle w:val="yTableNAm"/>
              <w:tabs>
                <w:tab w:val="clear" w:pos="567"/>
                <w:tab w:val="right" w:leader="dot" w:pos="5160"/>
              </w:tabs>
              <w:ind w:right="135"/>
            </w:pPr>
            <w:r>
              <w:t xml:space="preserve">Disconnection of overhead service leads following unauthorised reconnection </w:t>
            </w:r>
            <w:r>
              <w:tab/>
            </w:r>
          </w:p>
        </w:tc>
        <w:tc>
          <w:tcPr>
            <w:tcW w:w="1191" w:type="dxa"/>
            <w:noWrap/>
            <w:vAlign w:val="bottom"/>
          </w:tcPr>
          <w:p>
            <w:pPr>
              <w:pStyle w:val="yTableNAm"/>
              <w:jc w:val="right"/>
            </w:pPr>
            <w:r>
              <w:t>$660.00</w:t>
            </w:r>
          </w:p>
        </w:tc>
      </w:tr>
      <w:tr>
        <w:trPr>
          <w:cantSplit/>
        </w:trPr>
        <w:tc>
          <w:tcPr>
            <w:tcW w:w="567" w:type="dxa"/>
            <w:noWrap/>
          </w:tcPr>
          <w:p>
            <w:pPr>
              <w:pStyle w:val="yTableNAm"/>
            </w:pPr>
            <w:r>
              <w:t>6.</w:t>
            </w:r>
          </w:p>
        </w:tc>
        <w:tc>
          <w:tcPr>
            <w:tcW w:w="5245" w:type="dxa"/>
            <w:noWrap/>
          </w:tcPr>
          <w:p>
            <w:pPr>
              <w:pStyle w:val="yTableNAm"/>
              <w:tabs>
                <w:tab w:val="clear" w:pos="567"/>
                <w:tab w:val="right" w:leader="dot" w:pos="5160"/>
              </w:tabs>
              <w:ind w:right="135"/>
            </w:pPr>
            <w:r>
              <w:t xml:space="preserve">Overdue account notices </w:t>
            </w:r>
            <w:r>
              <w:tab/>
            </w:r>
          </w:p>
        </w:tc>
        <w:tc>
          <w:tcPr>
            <w:tcW w:w="1191" w:type="dxa"/>
            <w:noWrap/>
          </w:tcPr>
          <w:p>
            <w:pPr>
              <w:pStyle w:val="yTableNAm"/>
              <w:jc w:val="right"/>
            </w:pPr>
            <w:r>
              <w:rPr>
                <w:szCs w:val="22"/>
              </w:rPr>
              <w:t>$6.26</w:t>
            </w:r>
          </w:p>
        </w:tc>
      </w:tr>
      <w:tr>
        <w:trPr>
          <w:cantSplit/>
        </w:trPr>
        <w:tc>
          <w:tcPr>
            <w:tcW w:w="567" w:type="dxa"/>
            <w:noWrap/>
          </w:tcPr>
          <w:p>
            <w:pPr>
              <w:pStyle w:val="yTableNAm"/>
            </w:pPr>
            <w:r>
              <w:t>7.</w:t>
            </w:r>
          </w:p>
        </w:tc>
        <w:tc>
          <w:tcPr>
            <w:tcW w:w="5245" w:type="dxa"/>
            <w:noWrap/>
          </w:tcPr>
          <w:p>
            <w:pPr>
              <w:pStyle w:val="yTableNAm"/>
              <w:tabs>
                <w:tab w:val="clear" w:pos="567"/>
                <w:tab w:val="right" w:leader="dot" w:pos="5160"/>
              </w:tabs>
              <w:ind w:right="135"/>
            </w:pPr>
            <w:r>
              <w:t xml:space="preserve">Rejected account payment (where payment made through Australia Post) </w:t>
            </w:r>
            <w:r>
              <w:tab/>
            </w:r>
          </w:p>
        </w:tc>
        <w:tc>
          <w:tcPr>
            <w:tcW w:w="1191" w:type="dxa"/>
            <w:noWrap/>
            <w:vAlign w:val="bottom"/>
          </w:tcPr>
          <w:p>
            <w:pPr>
              <w:pStyle w:val="yTableNAm"/>
              <w:jc w:val="right"/>
            </w:pPr>
            <w:r>
              <w:t>$29.68</w:t>
            </w:r>
          </w:p>
        </w:tc>
      </w:tr>
      <w:tr>
        <w:trPr>
          <w:cantSplit/>
        </w:trPr>
        <w:tc>
          <w:tcPr>
            <w:tcW w:w="567" w:type="dxa"/>
            <w:noWrap/>
          </w:tcPr>
          <w:p>
            <w:pPr>
              <w:pStyle w:val="yTableNAm"/>
              <w:keepNext/>
            </w:pPr>
            <w:r>
              <w:t>8.</w:t>
            </w:r>
          </w:p>
        </w:tc>
        <w:tc>
          <w:tcPr>
            <w:tcW w:w="5245" w:type="dxa"/>
            <w:noWrap/>
          </w:tcPr>
          <w:p>
            <w:pPr>
              <w:pStyle w:val="yTableNAm"/>
              <w:keepNext/>
              <w:ind w:right="135"/>
            </w:pPr>
            <w:r>
              <w:t>A transaction fee where a consumer makes a payment to the corporation by means of a credit card or debit card</w:t>
            </w:r>
          </w:p>
        </w:tc>
        <w:tc>
          <w:tcPr>
            <w:tcW w:w="1191" w:type="dxa"/>
            <w:noWrap/>
          </w:tcPr>
          <w:p>
            <w:pPr>
              <w:pStyle w:val="yTableNAm"/>
              <w:keepNext/>
              <w:jc w:val="right"/>
            </w:pPr>
            <w:r>
              <w:t>The permitted surcharge for the payment</w:t>
            </w:r>
          </w:p>
        </w:tc>
      </w:tr>
      <w:tr>
        <w:trPr>
          <w:cantSplit/>
        </w:trPr>
        <w:tc>
          <w:tcPr>
            <w:tcW w:w="567" w:type="dxa"/>
            <w:noWrap/>
          </w:tcPr>
          <w:p>
            <w:pPr>
              <w:pStyle w:val="yTableNAm"/>
            </w:pPr>
            <w:r>
              <w:t>9.</w:t>
            </w:r>
          </w:p>
        </w:tc>
        <w:tc>
          <w:tcPr>
            <w:tcW w:w="5245" w:type="dxa"/>
            <w:noWrap/>
          </w:tcPr>
          <w:p>
            <w:pPr>
              <w:pStyle w:val="yTableNAm"/>
              <w:tabs>
                <w:tab w:val="clear" w:pos="567"/>
                <w:tab w:val="right" w:leader="dot" w:pos="5160"/>
              </w:tabs>
              <w:ind w:right="135"/>
            </w:pPr>
            <w:r>
              <w:t xml:space="preserve">Remote configurations </w:t>
            </w:r>
            <w:r>
              <w:tab/>
            </w:r>
          </w:p>
        </w:tc>
        <w:tc>
          <w:tcPr>
            <w:tcW w:w="1191" w:type="dxa"/>
            <w:noWrap/>
          </w:tcPr>
          <w:p>
            <w:pPr>
              <w:pStyle w:val="yTableNAm"/>
              <w:jc w:val="right"/>
            </w:pPr>
            <w:r>
              <w:t>$28.39</w:t>
            </w:r>
          </w:p>
        </w:tc>
      </w:tr>
      <w:tr>
        <w:trPr>
          <w:cantSplit/>
        </w:trPr>
        <w:tc>
          <w:tcPr>
            <w:tcW w:w="567" w:type="dxa"/>
            <w:noWrap/>
          </w:tcPr>
          <w:p>
            <w:pPr>
              <w:pStyle w:val="yTableNAm"/>
            </w:pPr>
            <w:r>
              <w:t>10.</w:t>
            </w:r>
          </w:p>
        </w:tc>
        <w:tc>
          <w:tcPr>
            <w:tcW w:w="5245" w:type="dxa"/>
            <w:noWrap/>
          </w:tcPr>
          <w:p>
            <w:pPr>
              <w:pStyle w:val="yTableNAm"/>
              <w:tabs>
                <w:tab w:val="clear" w:pos="567"/>
                <w:tab w:val="right" w:leader="dot" w:pos="5160"/>
              </w:tabs>
              <w:ind w:right="135"/>
            </w:pPr>
            <w:r>
              <w:t xml:space="preserve">Meter damage fee </w:t>
            </w:r>
            <w:r>
              <w:tab/>
            </w:r>
          </w:p>
        </w:tc>
        <w:tc>
          <w:tcPr>
            <w:tcW w:w="1191" w:type="dxa"/>
            <w:noWrap/>
          </w:tcPr>
          <w:p>
            <w:pPr>
              <w:pStyle w:val="yTableNAm"/>
              <w:jc w:val="right"/>
            </w:pPr>
            <w:r>
              <w:t>$919.00</w:t>
            </w:r>
          </w:p>
        </w:tc>
      </w:tr>
      <w:tr>
        <w:trPr>
          <w:cantSplit/>
        </w:trPr>
        <w:tc>
          <w:tcPr>
            <w:tcW w:w="567" w:type="dxa"/>
            <w:noWrap/>
          </w:tcPr>
          <w:p>
            <w:pPr>
              <w:pStyle w:val="yTableNAm"/>
            </w:pPr>
            <w:r>
              <w:t>11.</w:t>
            </w:r>
          </w:p>
        </w:tc>
        <w:tc>
          <w:tcPr>
            <w:tcW w:w="5245" w:type="dxa"/>
            <w:noWrap/>
          </w:tcPr>
          <w:p>
            <w:pPr>
              <w:pStyle w:val="yTableNAm"/>
              <w:tabs>
                <w:tab w:val="clear" w:pos="567"/>
                <w:tab w:val="right" w:leader="dot" w:pos="5160"/>
              </w:tabs>
              <w:ind w:right="135"/>
            </w:pPr>
            <w:r>
              <w:t xml:space="preserve">Remote connection or disconnection </w:t>
            </w:r>
            <w:r>
              <w:tab/>
            </w:r>
          </w:p>
        </w:tc>
        <w:tc>
          <w:tcPr>
            <w:tcW w:w="1191" w:type="dxa"/>
            <w:noWrap/>
          </w:tcPr>
          <w:p>
            <w:pPr>
              <w:pStyle w:val="yTableNAm"/>
              <w:jc w:val="right"/>
            </w:pPr>
            <w:r>
              <w:t>$6.70</w:t>
            </w:r>
          </w:p>
        </w:tc>
      </w:tr>
      <w:tr>
        <w:trPr>
          <w:cantSplit/>
        </w:trPr>
        <w:tc>
          <w:tcPr>
            <w:tcW w:w="567" w:type="dxa"/>
            <w:noWrap/>
          </w:tcPr>
          <w:p>
            <w:pPr>
              <w:pStyle w:val="yTableNAm"/>
              <w:keepNext/>
            </w:pPr>
            <w:r>
              <w:lastRenderedPageBreak/>
              <w:t>12.</w:t>
            </w:r>
          </w:p>
        </w:tc>
        <w:tc>
          <w:tcPr>
            <w:tcW w:w="5245" w:type="dxa"/>
            <w:noWrap/>
          </w:tcPr>
          <w:p>
            <w:pPr>
              <w:pStyle w:val="yTableNAm"/>
              <w:keepNext/>
              <w:tabs>
                <w:tab w:val="clear" w:pos="567"/>
                <w:tab w:val="right" w:leader="dot" w:pos="5160"/>
              </w:tabs>
              <w:ind w:right="135"/>
            </w:pPr>
            <w:r>
              <w:t xml:space="preserve">Paper bill fee </w:t>
            </w:r>
            <w:r>
              <w:tab/>
            </w:r>
          </w:p>
        </w:tc>
        <w:tc>
          <w:tcPr>
            <w:tcW w:w="1191" w:type="dxa"/>
            <w:noWrap/>
          </w:tcPr>
          <w:p>
            <w:pPr>
              <w:pStyle w:val="yTableNAm"/>
              <w:keepNext/>
              <w:jc w:val="right"/>
            </w:pPr>
            <w:r>
              <w:t>$1.29</w:t>
            </w:r>
          </w:p>
        </w:tc>
      </w:tr>
      <w:tr>
        <w:trPr>
          <w:cantSplit/>
        </w:trPr>
        <w:tc>
          <w:tcPr>
            <w:tcW w:w="567" w:type="dxa"/>
            <w:tcBorders>
              <w:bottom w:val="single" w:sz="4" w:space="0" w:color="auto"/>
            </w:tcBorders>
            <w:noWrap/>
          </w:tcPr>
          <w:p>
            <w:pPr>
              <w:pStyle w:val="yTableNAm"/>
              <w:keepNext/>
            </w:pPr>
            <w:r>
              <w:t>13.</w:t>
            </w:r>
          </w:p>
        </w:tc>
        <w:tc>
          <w:tcPr>
            <w:tcW w:w="5245" w:type="dxa"/>
            <w:tcBorders>
              <w:bottom w:val="single" w:sz="4" w:space="0" w:color="auto"/>
            </w:tcBorders>
            <w:noWrap/>
          </w:tcPr>
          <w:p>
            <w:pPr>
              <w:pStyle w:val="yTableNAm"/>
              <w:keepNext/>
              <w:tabs>
                <w:tab w:val="clear" w:pos="567"/>
                <w:tab w:val="right" w:leader="dot" w:pos="5160"/>
              </w:tabs>
              <w:ind w:right="135"/>
            </w:pPr>
            <w:r>
              <w:t>Over</w:t>
            </w:r>
            <w:r>
              <w:noBreakHyphen/>
              <w:t>the</w:t>
            </w:r>
            <w:r>
              <w:noBreakHyphen/>
              <w:t xml:space="preserve">counter payment fee </w:t>
            </w:r>
            <w:r>
              <w:tab/>
            </w:r>
          </w:p>
        </w:tc>
        <w:tc>
          <w:tcPr>
            <w:tcW w:w="1191" w:type="dxa"/>
            <w:tcBorders>
              <w:bottom w:val="single" w:sz="4" w:space="0" w:color="auto"/>
            </w:tcBorders>
            <w:noWrap/>
          </w:tcPr>
          <w:p>
            <w:pPr>
              <w:pStyle w:val="yTableNAm"/>
              <w:keepNext/>
              <w:jc w:val="right"/>
            </w:pPr>
            <w:r>
              <w:t>$2.74</w:t>
            </w:r>
          </w:p>
        </w:tc>
      </w:tr>
    </w:tbl>
    <w:p>
      <w:pPr>
        <w:pStyle w:val="yFootnotesection"/>
        <w:keepNext/>
      </w:pPr>
      <w:r>
        <w:tab/>
        <w:t>[Schedule 4 inserted: SL 2024/103 bl. 6.]</w:t>
      </w:r>
    </w:p>
    <w:bookmarkEnd w:id="92"/>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76" w:right="2405" w:bottom="3542" w:left="2405" w:header="706" w:footer="3544" w:gutter="0"/>
          <w:cols w:space="720"/>
          <w:noEndnote/>
          <w:docGrid w:linePitch="326"/>
        </w:sectPr>
      </w:pPr>
    </w:p>
    <w:p>
      <w:pPr>
        <w:pStyle w:val="nHeading2"/>
      </w:pPr>
      <w:bookmarkStart w:id="93" w:name="_Toc170208780"/>
      <w:bookmarkStart w:id="94" w:name="_Toc170212608"/>
      <w:bookmarkStart w:id="95" w:name="_Toc170293105"/>
      <w:r>
        <w:lastRenderedPageBreak/>
        <w:t>Notes</w:t>
      </w:r>
      <w:bookmarkEnd w:id="93"/>
      <w:bookmarkEnd w:id="94"/>
      <w:bookmarkEnd w:id="95"/>
    </w:p>
    <w:p>
      <w:pPr>
        <w:pStyle w:val="nStatement"/>
      </w:pPr>
      <w:r>
        <w:t xml:space="preserve">This is a compilation of the </w:t>
      </w:r>
      <w:r>
        <w:rPr>
          <w:i/>
          <w:noProof/>
        </w:rPr>
        <w:t>Energy Operators (Regional Power Corporation) (Charges) By-laws 2006</w:t>
      </w:r>
      <w:r>
        <w:t xml:space="preserve"> and includes amendments made by other written laws. For provisions that have come into operation, and for information about any reprints, see the compilation table.</w:t>
      </w:r>
    </w:p>
    <w:p>
      <w:pPr>
        <w:pStyle w:val="nHeading3"/>
      </w:pPr>
      <w:bookmarkStart w:id="96" w:name="_Toc170293106"/>
      <w:r>
        <w:t>Compilation table</w:t>
      </w:r>
      <w:bookmarkEnd w:id="96"/>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rPr>
            </w:pPr>
            <w:r>
              <w:rPr>
                <w:i/>
                <w:noProof/>
                <w:snapToGrid w:val="0"/>
              </w:rPr>
              <w:t>Energy Operators (Regional Power Corporation) (Charges) By</w:t>
            </w:r>
            <w:r>
              <w:rPr>
                <w:i/>
                <w:noProof/>
                <w:snapToGrid w:val="0"/>
              </w:rPr>
              <w:noBreakHyphen/>
              <w:t>laws 2006</w:t>
            </w:r>
          </w:p>
        </w:tc>
        <w:tc>
          <w:tcPr>
            <w:tcW w:w="1276" w:type="dxa"/>
          </w:tcPr>
          <w:p>
            <w:pPr>
              <w:pStyle w:val="nTable"/>
              <w:keepNext/>
              <w:keepLines/>
              <w:spacing w:after="40"/>
            </w:pPr>
            <w:r>
              <w:t>31 Mar 2006 p. 1279</w:t>
            </w:r>
            <w:r>
              <w:noBreakHyphen/>
              <w:t>97</w:t>
            </w:r>
          </w:p>
        </w:tc>
        <w:tc>
          <w:tcPr>
            <w:tcW w:w="2693" w:type="dxa"/>
          </w:tcPr>
          <w:p>
            <w:pPr>
              <w:pStyle w:val="nTable"/>
              <w:keepNext/>
              <w:keepLines/>
              <w:spacing w:after="40"/>
            </w:pPr>
            <w:r>
              <w:t>1 Apr 2006 (see bl. 2)</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2007</w:t>
            </w:r>
          </w:p>
        </w:tc>
        <w:tc>
          <w:tcPr>
            <w:tcW w:w="1276" w:type="dxa"/>
          </w:tcPr>
          <w:p>
            <w:pPr>
              <w:pStyle w:val="nTable"/>
              <w:keepLines/>
              <w:spacing w:after="40"/>
            </w:pPr>
            <w:r>
              <w:t>29 Jun 2007 p. 3192</w:t>
            </w:r>
            <w:r>
              <w:noBreakHyphen/>
              <w:t>3</w:t>
            </w:r>
          </w:p>
        </w:tc>
        <w:tc>
          <w:tcPr>
            <w:tcW w:w="2693" w:type="dxa"/>
          </w:tcPr>
          <w:p>
            <w:pPr>
              <w:pStyle w:val="nTable"/>
              <w:keepLines/>
              <w:spacing w:after="40"/>
            </w:pPr>
            <w:r>
              <w:t>bl. 1 and 2: 29 Jun 2007 (see bl. 2(a));</w:t>
            </w:r>
            <w:r>
              <w:br/>
              <w:t>By</w:t>
            </w:r>
            <w:r>
              <w:noBreakHyphen/>
              <w:t>laws other than bl. 1 and 2: 1 Jul 2007 (see bl. 2(b))</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Cs/>
              </w:rPr>
            </w:pPr>
            <w:r>
              <w:rPr>
                <w:i/>
                <w:noProof/>
                <w:snapToGrid w:val="0"/>
              </w:rPr>
              <w:t>Energy Operators (Regional Power Corporation) (Charges) Amendment By</w:t>
            </w:r>
            <w:r>
              <w:rPr>
                <w:i/>
                <w:noProof/>
                <w:snapToGrid w:val="0"/>
              </w:rPr>
              <w:noBreakHyphen/>
              <w:t>laws 2009</w:t>
            </w:r>
            <w:r>
              <w:rPr>
                <w:iCs/>
                <w:noProof/>
                <w:snapToGrid w:val="0"/>
              </w:rPr>
              <w:t xml:space="preserve"> </w:t>
            </w:r>
          </w:p>
        </w:tc>
        <w:tc>
          <w:tcPr>
            <w:tcW w:w="1276" w:type="dxa"/>
          </w:tcPr>
          <w:p>
            <w:pPr>
              <w:pStyle w:val="nTable"/>
              <w:keepLines/>
              <w:spacing w:after="40"/>
            </w:pPr>
            <w:r>
              <w:t>30 </w:t>
            </w:r>
            <w:r>
              <w:rPr>
                <w:noProof/>
                <w:snapToGrid w:val="0"/>
              </w:rPr>
              <w:t>Mar</w:t>
            </w:r>
            <w:r>
              <w:t> 2009 p. 997</w:t>
            </w:r>
            <w:r>
              <w:noBreakHyphen/>
              <w:t>1017</w:t>
            </w:r>
          </w:p>
        </w:tc>
        <w:tc>
          <w:tcPr>
            <w:tcW w:w="2693" w:type="dxa"/>
          </w:tcPr>
          <w:p>
            <w:pPr>
              <w:pStyle w:val="nTable"/>
              <w:keepLines/>
              <w:spacing w:after="40"/>
            </w:pPr>
            <w:r>
              <w:rPr>
                <w:iCs/>
                <w:noProof/>
                <w:snapToGrid w:val="0"/>
              </w:rPr>
              <w:t>bl. </w:t>
            </w:r>
            <w:r>
              <w:t>1 and 2: 30 Mar 2009 (see bl. 2(a));</w:t>
            </w:r>
            <w:r>
              <w:br/>
              <w:t>bl. 3 and Pt. 2: 1 Apr 2009 (see bl. 2(b));</w:t>
            </w:r>
            <w:r>
              <w:br/>
              <w:t>Pt. 3: 1 Jul 2009 (see bl. 2(c))</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keepLines/>
              <w:spacing w:after="40"/>
              <w:rPr>
                <w:iCs/>
                <w:noProof/>
                <w:snapToGrid w:val="0"/>
              </w:rPr>
            </w:pPr>
            <w:r>
              <w:rPr>
                <w:b/>
                <w:bCs/>
                <w:iCs/>
                <w:noProof/>
                <w:snapToGrid w:val="0"/>
              </w:rPr>
              <w:t xml:space="preserve">Reprint 1: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16 Oct 2009</w:t>
            </w:r>
            <w:r>
              <w:rPr>
                <w:iCs/>
                <w:noProof/>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Cs/>
              </w:rPr>
            </w:pPr>
            <w:r>
              <w:rPr>
                <w:i/>
                <w:noProof/>
                <w:snapToGrid w:val="0"/>
              </w:rPr>
              <w:t>Energy Operators (Regional Power Corporation) (Charges) Amendment By</w:t>
            </w:r>
            <w:r>
              <w:rPr>
                <w:i/>
                <w:noProof/>
                <w:snapToGrid w:val="0"/>
              </w:rPr>
              <w:noBreakHyphen/>
              <w:t>laws 2010</w:t>
            </w:r>
            <w:r>
              <w:rPr>
                <w:iCs/>
                <w:noProof/>
                <w:snapToGrid w:val="0"/>
              </w:rPr>
              <w:t xml:space="preserve"> </w:t>
            </w:r>
          </w:p>
        </w:tc>
        <w:tc>
          <w:tcPr>
            <w:tcW w:w="1276" w:type="dxa"/>
          </w:tcPr>
          <w:p>
            <w:pPr>
              <w:pStyle w:val="nTable"/>
              <w:keepLines/>
              <w:spacing w:after="40"/>
            </w:pPr>
            <w:r>
              <w:t>26 Mar 2010 p. 1171-89</w:t>
            </w:r>
          </w:p>
        </w:tc>
        <w:tc>
          <w:tcPr>
            <w:tcW w:w="2693" w:type="dxa"/>
          </w:tcPr>
          <w:p>
            <w:pPr>
              <w:pStyle w:val="nTable"/>
              <w:keepLines/>
              <w:spacing w:after="40"/>
            </w:pPr>
            <w:r>
              <w:t>Pt. 1: 26 Mar 2010 (see bl. 2(a));</w:t>
            </w:r>
            <w:r>
              <w:br/>
              <w:t>Pt. 2: 1 Apr 2010 (see bl. 2(b));</w:t>
            </w:r>
            <w:r>
              <w:br/>
              <w:t>Pt. 3: 1 Jul 2010 (see bl. 2(c))</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2011</w:t>
            </w:r>
          </w:p>
        </w:tc>
        <w:tc>
          <w:tcPr>
            <w:tcW w:w="1276" w:type="dxa"/>
          </w:tcPr>
          <w:p>
            <w:pPr>
              <w:pStyle w:val="nTable"/>
              <w:keepLines/>
              <w:spacing w:after="40"/>
            </w:pPr>
            <w:r>
              <w:t>24 Jun 2011 p. 2495</w:t>
            </w:r>
            <w:r>
              <w:noBreakHyphen/>
              <w:t>8</w:t>
            </w:r>
          </w:p>
        </w:tc>
        <w:tc>
          <w:tcPr>
            <w:tcW w:w="2693" w:type="dxa"/>
          </w:tcPr>
          <w:p>
            <w:pPr>
              <w:pStyle w:val="nTable"/>
              <w:keepLines/>
              <w:spacing w:after="40"/>
            </w:pPr>
            <w:r>
              <w:t>bl. 1 and 2: 24 Jun 2011 (see bl. 2(a));</w:t>
            </w:r>
            <w:r>
              <w:br/>
              <w:t>By</w:t>
            </w:r>
            <w:r>
              <w:noBreakHyphen/>
              <w:t>laws other than bl. 1 and 2: 1 Jul 2011 (see bl. 2(b))</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noProof/>
                <w:snapToGrid w:val="0"/>
              </w:rPr>
            </w:pPr>
            <w:r>
              <w:rPr>
                <w:i/>
                <w:noProof/>
                <w:snapToGrid w:val="0"/>
              </w:rPr>
              <w:t>Energy Operators (Regional Power Corporation) (Charges) Amendment By laws 2012</w:t>
            </w:r>
          </w:p>
        </w:tc>
        <w:tc>
          <w:tcPr>
            <w:tcW w:w="1276" w:type="dxa"/>
          </w:tcPr>
          <w:p>
            <w:pPr>
              <w:pStyle w:val="nTable"/>
              <w:keepLines/>
              <w:spacing w:after="40"/>
            </w:pPr>
            <w:r>
              <w:t>29 Jun 2012 p. 2899-911</w:t>
            </w:r>
          </w:p>
        </w:tc>
        <w:tc>
          <w:tcPr>
            <w:tcW w:w="2693" w:type="dxa"/>
          </w:tcPr>
          <w:p>
            <w:pPr>
              <w:pStyle w:val="nTable"/>
              <w:keepLines/>
              <w:spacing w:after="40"/>
            </w:pPr>
            <w:r>
              <w:t>bl. 1 and 2: 29 Jun 2012 (see bl. 2(a));</w:t>
            </w:r>
            <w:r>
              <w:br/>
              <w:t>By</w:t>
            </w:r>
            <w:r>
              <w:noBreakHyphen/>
              <w:t>laws other than bl. 1 and 2: 1 Jul 2012 (see bl. 2(b))</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noProof/>
                <w:snapToGrid w:val="0"/>
              </w:rPr>
            </w:pPr>
            <w:r>
              <w:rPr>
                <w:i/>
                <w:noProof/>
                <w:snapToGrid w:val="0"/>
              </w:rPr>
              <w:t>Energy Operators (Regional Power Corporation) (Charges) Amendment By laws (No. 2) 2012</w:t>
            </w:r>
          </w:p>
        </w:tc>
        <w:tc>
          <w:tcPr>
            <w:tcW w:w="1276" w:type="dxa"/>
          </w:tcPr>
          <w:p>
            <w:pPr>
              <w:pStyle w:val="nTable"/>
              <w:keepLines/>
              <w:spacing w:after="40"/>
            </w:pPr>
            <w:r>
              <w:t>21 Sep 2012 p. 4423</w:t>
            </w:r>
          </w:p>
        </w:tc>
        <w:tc>
          <w:tcPr>
            <w:tcW w:w="2693" w:type="dxa"/>
          </w:tcPr>
          <w:p>
            <w:pPr>
              <w:pStyle w:val="nTable"/>
              <w:keepLines/>
              <w:spacing w:after="40"/>
            </w:pPr>
            <w:r>
              <w:t>bl. 1 and 2: 21 Sep 2012 (see bl. 2(a));</w:t>
            </w:r>
            <w:r>
              <w:br/>
              <w:t>By</w:t>
            </w:r>
            <w:r>
              <w:noBreakHyphen/>
              <w:t>laws other than bl. 1 and 2: 1 Oct 2012 (see bl. 2(b))</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noProof/>
                <w:snapToGrid w:val="0"/>
              </w:rPr>
            </w:pPr>
            <w:r>
              <w:rPr>
                <w:i/>
                <w:noProof/>
                <w:snapToGrid w:val="0"/>
              </w:rPr>
              <w:t>Energy Operators (Regional Power Corporation) (Charges) Amendment By-laws 2013</w:t>
            </w:r>
          </w:p>
        </w:tc>
        <w:tc>
          <w:tcPr>
            <w:tcW w:w="1276" w:type="dxa"/>
          </w:tcPr>
          <w:p>
            <w:pPr>
              <w:pStyle w:val="nTable"/>
              <w:keepLines/>
              <w:spacing w:after="40"/>
            </w:pPr>
            <w:r>
              <w:t>14 Jun 2013 p. 2223-7</w:t>
            </w:r>
          </w:p>
        </w:tc>
        <w:tc>
          <w:tcPr>
            <w:tcW w:w="2693" w:type="dxa"/>
          </w:tcPr>
          <w:p>
            <w:pPr>
              <w:pStyle w:val="nTable"/>
              <w:keepLines/>
              <w:spacing w:after="40"/>
            </w:pPr>
            <w:r>
              <w:t>bl. 1 and 2: 14 Jun 2013 (see bl. 2(a));</w:t>
            </w:r>
            <w:r>
              <w:br/>
              <w:t>By</w:t>
            </w:r>
            <w:r>
              <w:noBreakHyphen/>
              <w:t>laws other than bl. 1 and 2: 1 Jul 2013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noProof/>
                <w:snapToGrid w:val="0"/>
              </w:rPr>
            </w:pPr>
            <w:r>
              <w:rPr>
                <w:i/>
                <w:noProof/>
                <w:snapToGrid w:val="0"/>
              </w:rPr>
              <w:lastRenderedPageBreak/>
              <w:t>Energy Operators (Regional Power Corporation) (Charges) Amendment By</w:t>
            </w:r>
            <w:r>
              <w:rPr>
                <w:i/>
                <w:noProof/>
                <w:snapToGrid w:val="0"/>
              </w:rPr>
              <w:noBreakHyphen/>
              <w:t>laws (No. 2) 2013</w:t>
            </w:r>
          </w:p>
        </w:tc>
        <w:tc>
          <w:tcPr>
            <w:tcW w:w="1276" w:type="dxa"/>
            <w:shd w:val="clear" w:color="auto" w:fill="auto"/>
          </w:tcPr>
          <w:p>
            <w:pPr>
              <w:pStyle w:val="nTable"/>
              <w:keepLines/>
              <w:spacing w:after="40"/>
            </w:pPr>
            <w:r>
              <w:t>30 Aug 2013 p. 4093-6</w:t>
            </w:r>
          </w:p>
        </w:tc>
        <w:tc>
          <w:tcPr>
            <w:tcW w:w="2693" w:type="dxa"/>
            <w:shd w:val="clear" w:color="auto" w:fill="auto"/>
          </w:tcPr>
          <w:p>
            <w:pPr>
              <w:pStyle w:val="nTable"/>
              <w:keepLines/>
              <w:spacing w:after="40"/>
            </w:pPr>
            <w:r>
              <w:t>bl. 1 and 2: 30 Aug 2013 (see bl. 2(a));</w:t>
            </w:r>
            <w:r>
              <w:br/>
              <w:t>By</w:t>
            </w:r>
            <w:r>
              <w:noBreakHyphen/>
              <w:t>laws other than bl. 1 and 2: 1 Sep 2013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2014</w:t>
            </w:r>
          </w:p>
        </w:tc>
        <w:tc>
          <w:tcPr>
            <w:tcW w:w="1276" w:type="dxa"/>
            <w:shd w:val="clear" w:color="auto" w:fill="auto"/>
          </w:tcPr>
          <w:p>
            <w:pPr>
              <w:pStyle w:val="nTable"/>
              <w:keepLines/>
              <w:spacing w:after="40"/>
            </w:pPr>
            <w:r>
              <w:t>27 Jun 2014 p. 2319-26</w:t>
            </w:r>
          </w:p>
        </w:tc>
        <w:tc>
          <w:tcPr>
            <w:tcW w:w="2693" w:type="dxa"/>
            <w:shd w:val="clear" w:color="auto" w:fill="auto"/>
          </w:tcPr>
          <w:p>
            <w:pPr>
              <w:pStyle w:val="nTable"/>
              <w:keepLines/>
              <w:spacing w:after="40"/>
            </w:pPr>
            <w:r>
              <w:t>bl. 1 and 2: 27 Jun 2014 (see bl. 2(a));</w:t>
            </w:r>
            <w:r>
              <w:br/>
              <w:t>By</w:t>
            </w:r>
            <w:r>
              <w:noBreakHyphen/>
              <w:t>laws other than bl. 1 and 2: 1 Jul 2014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(No. 2) 2014</w:t>
            </w:r>
          </w:p>
        </w:tc>
        <w:tc>
          <w:tcPr>
            <w:tcW w:w="1276" w:type="dxa"/>
            <w:shd w:val="clear" w:color="auto" w:fill="auto"/>
          </w:tcPr>
          <w:p>
            <w:pPr>
              <w:pStyle w:val="nTable"/>
              <w:keepLines/>
              <w:spacing w:after="40"/>
            </w:pPr>
            <w:r>
              <w:t>22 Aug 2014 p. 3017</w:t>
            </w:r>
            <w:r>
              <w:noBreakHyphen/>
              <w:t>23</w:t>
            </w:r>
          </w:p>
        </w:tc>
        <w:tc>
          <w:tcPr>
            <w:tcW w:w="2693" w:type="dxa"/>
            <w:shd w:val="clear" w:color="auto" w:fill="auto"/>
          </w:tcPr>
          <w:p>
            <w:pPr>
              <w:pStyle w:val="nTable"/>
              <w:keepLines/>
              <w:spacing w:after="40"/>
            </w:pPr>
            <w:r>
              <w:t>bl. 1 and 2: 22 Aug 2014 (see bl. 2(a));</w:t>
            </w:r>
            <w:r>
              <w:br/>
              <w:t>By</w:t>
            </w:r>
            <w:r>
              <w:noBreakHyphen/>
              <w:t>laws other than bl. 1 and 2: 1 Sep 2014 (see bl.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keepLines/>
              <w:spacing w:after="40"/>
            </w:pPr>
            <w:r>
              <w:rPr>
                <w:b/>
                <w:bCs/>
                <w:iCs/>
                <w:noProof/>
                <w:snapToGrid w:val="0"/>
              </w:rPr>
              <w:t xml:space="preserve">Reprint 2: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3 Oct 2014</w:t>
            </w:r>
            <w:r>
              <w:rPr>
                <w:iCs/>
                <w:noProof/>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b/>
                <w:bCs/>
                <w:iCs/>
                <w:noProof/>
                <w:snapToGrid w:val="0"/>
              </w:rPr>
            </w:pPr>
            <w:r>
              <w:rPr>
                <w:i/>
                <w:noProof/>
                <w:snapToGrid w:val="0"/>
              </w:rPr>
              <w:t>Energy Operators (Regional Power Corporation) (Charges) Amendment By</w:t>
            </w:r>
            <w:r>
              <w:rPr>
                <w:i/>
                <w:noProof/>
                <w:snapToGrid w:val="0"/>
              </w:rPr>
              <w:noBreakHyphen/>
              <w:t>laws 2015</w:t>
            </w:r>
          </w:p>
        </w:tc>
        <w:tc>
          <w:tcPr>
            <w:tcW w:w="1276" w:type="dxa"/>
            <w:shd w:val="clear" w:color="auto" w:fill="auto"/>
          </w:tcPr>
          <w:p>
            <w:pPr>
              <w:pStyle w:val="nTable"/>
              <w:keepLines/>
              <w:spacing w:after="40"/>
              <w:rPr>
                <w:b/>
                <w:bCs/>
                <w:iCs/>
                <w:noProof/>
                <w:snapToGrid w:val="0"/>
              </w:rPr>
            </w:pPr>
            <w:r>
              <w:t>26 Jun 2015 p. 2247</w:t>
            </w:r>
            <w:r>
              <w:noBreakHyphen/>
              <w:t>52</w:t>
            </w:r>
          </w:p>
        </w:tc>
        <w:tc>
          <w:tcPr>
            <w:tcW w:w="2693" w:type="dxa"/>
            <w:shd w:val="clear" w:color="auto" w:fill="auto"/>
          </w:tcPr>
          <w:p>
            <w:pPr>
              <w:pStyle w:val="nTable"/>
              <w:keepLines/>
              <w:spacing w:after="40"/>
              <w:rPr>
                <w:b/>
                <w:bCs/>
                <w:iCs/>
                <w:noProof/>
                <w:snapToGrid w:val="0"/>
              </w:rPr>
            </w:pPr>
            <w:r>
              <w:t>bl. 1 and 2: 26 Jun 2015 (see bl. 2(a));</w:t>
            </w:r>
            <w:r>
              <w:br/>
              <w:t>By</w:t>
            </w:r>
            <w:r>
              <w:noBreakHyphen/>
              <w:t>laws other than bl. 1 and 2: 1 Jul 2015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2016</w:t>
            </w:r>
          </w:p>
        </w:tc>
        <w:tc>
          <w:tcPr>
            <w:tcW w:w="1276" w:type="dxa"/>
            <w:shd w:val="clear" w:color="auto" w:fill="auto"/>
          </w:tcPr>
          <w:p>
            <w:pPr>
              <w:pStyle w:val="nTable"/>
              <w:keepLines/>
              <w:spacing w:after="40"/>
            </w:pPr>
            <w:r>
              <w:t>28 Jun 2016 p. 2626</w:t>
            </w:r>
            <w:r>
              <w:noBreakHyphen/>
              <w:t>8</w:t>
            </w:r>
          </w:p>
        </w:tc>
        <w:tc>
          <w:tcPr>
            <w:tcW w:w="2693" w:type="dxa"/>
            <w:shd w:val="clear" w:color="auto" w:fill="auto"/>
          </w:tcPr>
          <w:p>
            <w:pPr>
              <w:pStyle w:val="nTable"/>
              <w:keepLines/>
              <w:spacing w:after="40"/>
            </w:pPr>
            <w:r>
              <w:t>bl. 1 and 2: 28 Jun 2016 (see bl. 2(a));</w:t>
            </w:r>
            <w:r>
              <w:br/>
              <w:t>By</w:t>
            </w:r>
            <w:r>
              <w:noBreakHyphen/>
              <w:t>laws other than bl. 1 and 2: 1 Jul 2016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noProof/>
                <w:snapToGrid w:val="0"/>
              </w:rPr>
            </w:pPr>
            <w:r>
              <w:rPr>
                <w:i/>
              </w:rPr>
              <w:t>Energy Operators (Regional Power Corporation) (Charges) Amendment By</w:t>
            </w:r>
            <w:r>
              <w:rPr>
                <w:i/>
              </w:rPr>
              <w:noBreakHyphen/>
              <w:t>laws (No. 2) 2016</w:t>
            </w:r>
          </w:p>
        </w:tc>
        <w:tc>
          <w:tcPr>
            <w:tcW w:w="1276" w:type="dxa"/>
            <w:shd w:val="clear" w:color="auto" w:fill="auto"/>
          </w:tcPr>
          <w:p>
            <w:pPr>
              <w:pStyle w:val="nTable"/>
              <w:keepLines/>
              <w:spacing w:after="40"/>
            </w:pPr>
            <w:r>
              <w:t>31 Aug 2016 p. 3707</w:t>
            </w:r>
            <w:r>
              <w:noBreakHyphen/>
              <w:t>10</w:t>
            </w:r>
          </w:p>
        </w:tc>
        <w:tc>
          <w:tcPr>
            <w:tcW w:w="2693" w:type="dxa"/>
            <w:shd w:val="clear" w:color="auto" w:fill="auto"/>
          </w:tcPr>
          <w:p>
            <w:pPr>
              <w:pStyle w:val="nTable"/>
              <w:keepLines/>
              <w:spacing w:after="40"/>
            </w:pPr>
            <w:r>
              <w:t>bl. 1 and 2: 31 Aug 2016 (see bl. 2(a));</w:t>
            </w:r>
            <w:r>
              <w:br/>
              <w:t>By</w:t>
            </w:r>
            <w:r>
              <w:noBreakHyphen/>
              <w:t>laws other than bl. 1 and 2: 1 Sep 2016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rPr>
            </w:pPr>
            <w:r>
              <w:rPr>
                <w:i/>
              </w:rPr>
              <w:t>Energy Operators (Regional Power Corporation) (Charges) Amendment By</w:t>
            </w:r>
            <w:r>
              <w:rPr>
                <w:i/>
              </w:rPr>
              <w:noBreakHyphen/>
              <w:t>laws 2017</w:t>
            </w:r>
          </w:p>
        </w:tc>
        <w:tc>
          <w:tcPr>
            <w:tcW w:w="1276" w:type="dxa"/>
            <w:shd w:val="clear" w:color="auto" w:fill="auto"/>
          </w:tcPr>
          <w:p>
            <w:pPr>
              <w:pStyle w:val="nTable"/>
              <w:keepLines/>
              <w:spacing w:after="40"/>
            </w:pPr>
            <w:r>
              <w:t>27 Jun 2017 p. 3419</w:t>
            </w:r>
            <w:r>
              <w:noBreakHyphen/>
              <w:t>24</w:t>
            </w:r>
          </w:p>
        </w:tc>
        <w:tc>
          <w:tcPr>
            <w:tcW w:w="2693" w:type="dxa"/>
            <w:shd w:val="clear" w:color="auto" w:fill="auto"/>
          </w:tcPr>
          <w:p>
            <w:pPr>
              <w:pStyle w:val="nTable"/>
              <w:keepLines/>
              <w:spacing w:after="40"/>
            </w:pPr>
            <w:r>
              <w:t>bl. 1 and 2: 27 Jun 2017 (see bl. 2(a));</w:t>
            </w:r>
            <w:r>
              <w:br/>
              <w:t>By-laws other than bl. 1 and 2: 1 Jul 2017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rPr>
            </w:pPr>
            <w:r>
              <w:rPr>
                <w:i/>
              </w:rPr>
              <w:t>Energy Operators (Regional Power Corporation) (Charges) Amendment By</w:t>
            </w:r>
            <w:r>
              <w:rPr>
                <w:i/>
              </w:rPr>
              <w:noBreakHyphen/>
              <w:t>laws (No. 2) 2017</w:t>
            </w:r>
          </w:p>
        </w:tc>
        <w:tc>
          <w:tcPr>
            <w:tcW w:w="1276" w:type="dxa"/>
            <w:shd w:val="clear" w:color="auto" w:fill="auto"/>
          </w:tcPr>
          <w:p>
            <w:pPr>
              <w:pStyle w:val="nTable"/>
              <w:keepLines/>
              <w:spacing w:after="40"/>
            </w:pPr>
            <w:r>
              <w:t>30 Jun 2017 p. 3562</w:t>
            </w:r>
            <w:r>
              <w:noBreakHyphen/>
              <w:t>4</w:t>
            </w:r>
          </w:p>
        </w:tc>
        <w:tc>
          <w:tcPr>
            <w:tcW w:w="2693" w:type="dxa"/>
            <w:shd w:val="clear" w:color="auto" w:fill="auto"/>
          </w:tcPr>
          <w:p>
            <w:pPr>
              <w:pStyle w:val="nTable"/>
              <w:keepLines/>
              <w:spacing w:after="40"/>
            </w:pPr>
            <w:r>
              <w:t>bl. 1 and 2: 30 Jun 2017 (see bl. 2(a));</w:t>
            </w:r>
            <w:r>
              <w:br/>
              <w:t>By-laws other than bl. 1 and 2: 1 Jul 2017 (see bl.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rPr>
            </w:pPr>
            <w:r>
              <w:rPr>
                <w:i/>
              </w:rPr>
              <w:t>Energy Operators (Regional Power Corporation) (Charges) Amendment By</w:t>
            </w:r>
            <w:r>
              <w:rPr>
                <w:i/>
              </w:rPr>
              <w:noBreakHyphen/>
              <w:t>laws (No. 3) 2017</w:t>
            </w:r>
          </w:p>
        </w:tc>
        <w:tc>
          <w:tcPr>
            <w:tcW w:w="1276" w:type="dxa"/>
            <w:shd w:val="clear" w:color="auto" w:fill="auto"/>
          </w:tcPr>
          <w:p>
            <w:pPr>
              <w:pStyle w:val="nTable"/>
              <w:keepLines/>
              <w:spacing w:after="40"/>
            </w:pPr>
            <w:r>
              <w:t>22 Dec 2017 p. 5978</w:t>
            </w:r>
            <w:r>
              <w:noBreakHyphen/>
              <w:t>83</w:t>
            </w:r>
          </w:p>
        </w:tc>
        <w:tc>
          <w:tcPr>
            <w:tcW w:w="2693" w:type="dxa"/>
            <w:shd w:val="clear" w:color="auto" w:fill="auto"/>
          </w:tcPr>
          <w:p>
            <w:pPr>
              <w:pStyle w:val="nTable"/>
              <w:keepLines/>
              <w:spacing w:after="40"/>
            </w:pPr>
            <w:r>
              <w:t>bl. 1 and 2: 22 Dec 2017 (see bl. 2(a));</w:t>
            </w:r>
            <w:r>
              <w:br/>
              <w:t>By-laws other than bl. 1 and 2: 1 Jan 2018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rPr>
            </w:pPr>
            <w:r>
              <w:rPr>
                <w:i/>
              </w:rPr>
              <w:lastRenderedPageBreak/>
              <w:t>Energy Operators (Regional Power Corporation) (Charges) Amendment By</w:t>
            </w:r>
            <w:r>
              <w:rPr>
                <w:i/>
              </w:rPr>
              <w:noBreakHyphen/>
              <w:t>laws 2018</w:t>
            </w:r>
          </w:p>
        </w:tc>
        <w:tc>
          <w:tcPr>
            <w:tcW w:w="1276" w:type="dxa"/>
            <w:shd w:val="clear" w:color="auto" w:fill="auto"/>
          </w:tcPr>
          <w:p>
            <w:pPr>
              <w:pStyle w:val="nTable"/>
              <w:keepLines/>
              <w:spacing w:after="40"/>
            </w:pPr>
            <w:r>
              <w:t>26 Jun 2018 p. 2361</w:t>
            </w:r>
            <w:r>
              <w:noBreakHyphen/>
              <w:t>71</w:t>
            </w:r>
          </w:p>
        </w:tc>
        <w:tc>
          <w:tcPr>
            <w:tcW w:w="2693" w:type="dxa"/>
            <w:shd w:val="clear" w:color="auto" w:fill="auto"/>
          </w:tcPr>
          <w:p>
            <w:pPr>
              <w:pStyle w:val="nTable"/>
              <w:keepLines/>
              <w:spacing w:after="40"/>
            </w:pPr>
            <w:r>
              <w:t>bl. 1 and 2: 26 Jun 2018 (see bl. 2(a));</w:t>
            </w:r>
            <w:r>
              <w:br/>
              <w:t>By-laws other than bl. 1 and 2: 1 Jul 2018 (see bl. 2(b))</w:t>
            </w:r>
          </w:p>
        </w:tc>
      </w:tr>
      <w:tr>
        <w:trPr>
          <w:cantSplit/>
        </w:trPr>
        <w:tc>
          <w:tcPr>
            <w:tcW w:w="3119" w:type="dxa"/>
            <w:tcBorders>
              <w:top w:val="nil"/>
              <w:bottom w:val="nil"/>
            </w:tcBorders>
            <w:shd w:val="clear" w:color="auto" w:fill="auto"/>
          </w:tcPr>
          <w:p>
            <w:pPr>
              <w:pStyle w:val="nTable"/>
              <w:keepLines/>
              <w:spacing w:after="40"/>
              <w:rPr>
                <w:i/>
              </w:rPr>
            </w:pPr>
            <w:r>
              <w:rPr>
                <w:i/>
              </w:rPr>
              <w:t>Energy Operators (Regional Power Corporation) (Charges) Amendment By</w:t>
            </w:r>
            <w:r>
              <w:rPr>
                <w:i/>
              </w:rPr>
              <w:noBreakHyphen/>
              <w:t>laws 2019</w:t>
            </w:r>
          </w:p>
        </w:tc>
        <w:tc>
          <w:tcPr>
            <w:tcW w:w="1276" w:type="dxa"/>
            <w:tcBorders>
              <w:top w:val="nil"/>
              <w:bottom w:val="nil"/>
            </w:tcBorders>
            <w:shd w:val="clear" w:color="auto" w:fill="auto"/>
          </w:tcPr>
          <w:p>
            <w:pPr>
              <w:pStyle w:val="nTable"/>
              <w:keepLines/>
              <w:spacing w:after="40"/>
            </w:pPr>
            <w:r>
              <w:t>21 Jun 2019 p. 2127</w:t>
            </w:r>
            <w:r>
              <w:noBreakHyphen/>
              <w:t>36</w:t>
            </w:r>
          </w:p>
        </w:tc>
        <w:tc>
          <w:tcPr>
            <w:tcW w:w="2693" w:type="dxa"/>
            <w:tcBorders>
              <w:top w:val="nil"/>
              <w:bottom w:val="nil"/>
            </w:tcBorders>
            <w:shd w:val="clear" w:color="auto" w:fill="auto"/>
          </w:tcPr>
          <w:p>
            <w:pPr>
              <w:pStyle w:val="nTable"/>
              <w:keepLines/>
              <w:spacing w:after="40"/>
            </w:pPr>
            <w:r>
              <w:t>bl. 1 and 2: 21 Jun 2019 (see bl. 2(a));</w:t>
            </w:r>
            <w:r>
              <w:br/>
              <w:t>By-laws other than bl. 1 and 2: 1 Jul 2019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rPr>
            </w:pPr>
            <w:r>
              <w:rPr>
                <w:i/>
              </w:rPr>
              <w:t>Energy Operators (Regional Power Corporation) (Charges) Amendment By-laws 2020</w:t>
            </w:r>
          </w:p>
        </w:tc>
        <w:tc>
          <w:tcPr>
            <w:tcW w:w="1276" w:type="dxa"/>
            <w:shd w:val="clear" w:color="auto" w:fill="auto"/>
          </w:tcPr>
          <w:p>
            <w:pPr>
              <w:pStyle w:val="nTable"/>
              <w:keepLines/>
              <w:spacing w:after="40"/>
            </w:pPr>
            <w:r>
              <w:t>SL 2020/78 9 Jun 2020</w:t>
            </w:r>
          </w:p>
        </w:tc>
        <w:tc>
          <w:tcPr>
            <w:tcW w:w="2693" w:type="dxa"/>
            <w:shd w:val="clear" w:color="auto" w:fill="auto"/>
          </w:tcPr>
          <w:p>
            <w:pPr>
              <w:pStyle w:val="nTable"/>
              <w:keepLines/>
              <w:spacing w:after="40"/>
            </w:pPr>
            <w:r>
              <w:t>bl. 1 and 2: 9 Jun 2020 (see bl. 2(a));</w:t>
            </w:r>
            <w:r>
              <w:br/>
              <w:t>By-laws other than bl. 1 and 2: 1 Jul 2020 (see bl. 2(b))</w:t>
            </w:r>
          </w:p>
        </w:tc>
      </w:tr>
      <w:tr>
        <w:trPr>
          <w:cantSplit/>
        </w:trPr>
        <w:tc>
          <w:tcPr>
            <w:tcW w:w="3119" w:type="dxa"/>
            <w:tcBorders>
              <w:top w:val="nil"/>
              <w:bottom w:val="nil"/>
            </w:tcBorders>
            <w:shd w:val="clear" w:color="auto" w:fill="auto"/>
          </w:tcPr>
          <w:p>
            <w:pPr>
              <w:pStyle w:val="nTable"/>
              <w:keepLines/>
              <w:spacing w:after="40"/>
              <w:rPr>
                <w:i/>
              </w:rPr>
            </w:pPr>
            <w:r>
              <w:rPr>
                <w:i/>
              </w:rPr>
              <w:t>Energy Operators (Regional Power Corporation) (Charges) Amendment By-laws 2021</w:t>
            </w:r>
          </w:p>
        </w:tc>
        <w:tc>
          <w:tcPr>
            <w:tcW w:w="1276" w:type="dxa"/>
            <w:tcBorders>
              <w:top w:val="nil"/>
              <w:bottom w:val="nil"/>
            </w:tcBorders>
            <w:shd w:val="clear" w:color="auto" w:fill="auto"/>
          </w:tcPr>
          <w:p>
            <w:pPr>
              <w:pStyle w:val="nTable"/>
              <w:keepLines/>
              <w:spacing w:after="40"/>
            </w:pPr>
            <w:r>
              <w:t>SL 2021/110 29 Jun 2021</w:t>
            </w:r>
          </w:p>
        </w:tc>
        <w:tc>
          <w:tcPr>
            <w:tcW w:w="2693" w:type="dxa"/>
            <w:tcBorders>
              <w:top w:val="nil"/>
              <w:bottom w:val="nil"/>
            </w:tcBorders>
            <w:shd w:val="clear" w:color="auto" w:fill="auto"/>
          </w:tcPr>
          <w:p>
            <w:pPr>
              <w:pStyle w:val="nTable"/>
              <w:keepLines/>
              <w:spacing w:after="40"/>
            </w:pPr>
            <w:r>
              <w:t>bl. 1 and 2: 29 Jun 2021 (see bl. 2(a));</w:t>
            </w:r>
            <w:r>
              <w:br/>
              <w:t>By-laws other than bl. 1 and 2: 1 Jul 2021 (see bl. 2(b))</w:t>
            </w:r>
          </w:p>
        </w:tc>
      </w:tr>
      <w:tr>
        <w:trPr>
          <w:cantSplit/>
        </w:trPr>
        <w:tc>
          <w:tcPr>
            <w:tcW w:w="3119" w:type="dxa"/>
            <w:tcBorders>
              <w:top w:val="nil"/>
              <w:bottom w:val="nil"/>
            </w:tcBorders>
            <w:shd w:val="clear" w:color="auto" w:fill="auto"/>
          </w:tcPr>
          <w:p>
            <w:pPr>
              <w:pStyle w:val="nTable"/>
              <w:keepLines/>
              <w:spacing w:after="40"/>
              <w:rPr>
                <w:i/>
              </w:rPr>
            </w:pPr>
            <w:r>
              <w:rPr>
                <w:i/>
              </w:rPr>
              <w:t>Energy Operators (Regional Power Corporation) (Charges) Amendment By</w:t>
            </w:r>
            <w:r>
              <w:rPr>
                <w:i/>
              </w:rPr>
              <w:noBreakHyphen/>
              <w:t>laws 2022</w:t>
            </w:r>
          </w:p>
        </w:tc>
        <w:tc>
          <w:tcPr>
            <w:tcW w:w="1276" w:type="dxa"/>
            <w:tcBorders>
              <w:top w:val="nil"/>
              <w:bottom w:val="nil"/>
            </w:tcBorders>
            <w:shd w:val="clear" w:color="auto" w:fill="auto"/>
          </w:tcPr>
          <w:p>
            <w:pPr>
              <w:pStyle w:val="nTable"/>
              <w:keepLines/>
              <w:spacing w:after="40"/>
            </w:pPr>
            <w:r>
              <w:t>SL 2022/71 3 Jun 2022</w:t>
            </w:r>
          </w:p>
        </w:tc>
        <w:tc>
          <w:tcPr>
            <w:tcW w:w="2693" w:type="dxa"/>
            <w:tcBorders>
              <w:top w:val="nil"/>
              <w:bottom w:val="nil"/>
            </w:tcBorders>
            <w:shd w:val="clear" w:color="auto" w:fill="auto"/>
          </w:tcPr>
          <w:p>
            <w:pPr>
              <w:pStyle w:val="nTable"/>
              <w:keepLines/>
              <w:spacing w:after="40"/>
            </w:pPr>
            <w:r>
              <w:t>bl. 1 and 2: 3 Jun 2022 (see bl. 2(a));</w:t>
            </w:r>
            <w:r>
              <w:br/>
              <w:t>By-laws other than bl. 1 and 2: 1 Jul 2022 (see bl. 2(b))</w:t>
            </w:r>
          </w:p>
        </w:tc>
      </w:tr>
      <w:tr>
        <w:trPr>
          <w:cantSplit/>
        </w:trPr>
        <w:tc>
          <w:tcPr>
            <w:tcW w:w="3119" w:type="dxa"/>
            <w:tcBorders>
              <w:top w:val="nil"/>
              <w:bottom w:val="nil"/>
            </w:tcBorders>
            <w:shd w:val="clear" w:color="auto" w:fill="auto"/>
          </w:tcPr>
          <w:p>
            <w:pPr>
              <w:pStyle w:val="nTable"/>
              <w:keepLines/>
              <w:spacing w:after="40"/>
              <w:rPr>
                <w:i/>
              </w:rPr>
            </w:pPr>
            <w:r>
              <w:rPr>
                <w:i/>
              </w:rPr>
              <w:t>Energy Operators (Regional Power Corporation) (Charges) Amendment By</w:t>
            </w:r>
            <w:r>
              <w:rPr>
                <w:i/>
              </w:rPr>
              <w:noBreakHyphen/>
              <w:t>laws 2023</w:t>
            </w:r>
          </w:p>
        </w:tc>
        <w:tc>
          <w:tcPr>
            <w:tcW w:w="1276" w:type="dxa"/>
            <w:tcBorders>
              <w:top w:val="nil"/>
              <w:bottom w:val="nil"/>
            </w:tcBorders>
            <w:shd w:val="clear" w:color="auto" w:fill="auto"/>
          </w:tcPr>
          <w:p>
            <w:pPr>
              <w:pStyle w:val="nTable"/>
              <w:keepLines/>
              <w:spacing w:after="40"/>
            </w:pPr>
            <w:r>
              <w:t>SL 2022/84 27 Jun 2023</w:t>
            </w:r>
          </w:p>
        </w:tc>
        <w:tc>
          <w:tcPr>
            <w:tcW w:w="2693" w:type="dxa"/>
            <w:tcBorders>
              <w:top w:val="nil"/>
              <w:bottom w:val="nil"/>
            </w:tcBorders>
            <w:shd w:val="clear" w:color="auto" w:fill="auto"/>
          </w:tcPr>
          <w:p>
            <w:pPr>
              <w:pStyle w:val="nTable"/>
              <w:keepLines/>
              <w:spacing w:after="40"/>
            </w:pPr>
            <w:r>
              <w:t>bl. 1 and 2: 27 Jun 2023 (see bl. 2(a));</w:t>
            </w:r>
            <w:r>
              <w:br/>
              <w:t>By</w:t>
            </w:r>
            <w:r>
              <w:noBreakHyphen/>
              <w:t>laws other than bl. 1 and 2: 1 Jul 2023 (see bl. 2(b))</w:t>
            </w:r>
          </w:p>
        </w:tc>
      </w:tr>
      <w:tr>
        <w:tblPrEx>
          <w:tblBorders>
            <w:top w:val="none" w:sz="0" w:space="0" w:color="auto"/>
            <w:bottom w:val="none" w:sz="0" w:space="0" w:color="auto"/>
            <w:insideH w:val="none" w:sz="0" w:space="0" w:color="auto"/>
          </w:tblBorders>
        </w:tblPrEx>
        <w:trPr>
          <w:cantSplit/>
        </w:trPr>
        <w:tc>
          <w:tcPr>
            <w:tcW w:w="3119" w:type="dxa"/>
            <w:tcBorders>
              <w:bottom w:val="single" w:sz="8" w:space="0" w:color="auto"/>
            </w:tcBorders>
            <w:shd w:val="clear" w:color="auto" w:fill="auto"/>
          </w:tcPr>
          <w:p>
            <w:pPr>
              <w:pStyle w:val="nTable"/>
              <w:keepLines/>
              <w:spacing w:after="40"/>
              <w:rPr>
                <w:i/>
              </w:rPr>
            </w:pPr>
            <w:r>
              <w:rPr>
                <w:i/>
              </w:rPr>
              <w:t>Energy Operators (Regional Power Corporation) (Charges) Amendment By</w:t>
            </w:r>
            <w:r>
              <w:rPr>
                <w:i/>
              </w:rPr>
              <w:noBreakHyphen/>
              <w:t>laws 2024</w:t>
            </w:r>
          </w:p>
        </w:tc>
        <w:tc>
          <w:tcPr>
            <w:tcW w:w="1276" w:type="dxa"/>
            <w:tcBorders>
              <w:bottom w:val="single" w:sz="8" w:space="0" w:color="auto"/>
            </w:tcBorders>
            <w:shd w:val="clear" w:color="auto" w:fill="auto"/>
          </w:tcPr>
          <w:p>
            <w:pPr>
              <w:pStyle w:val="nTable"/>
              <w:keepLines/>
              <w:spacing w:after="40"/>
            </w:pPr>
            <w:r>
              <w:t>SL 2024/103 14 Jun 2024</w:t>
            </w:r>
          </w:p>
        </w:tc>
        <w:tc>
          <w:tcPr>
            <w:tcW w:w="2693" w:type="dxa"/>
            <w:tcBorders>
              <w:bottom w:val="single" w:sz="8" w:space="0" w:color="auto"/>
            </w:tcBorders>
            <w:shd w:val="clear" w:color="auto" w:fill="auto"/>
          </w:tcPr>
          <w:p>
            <w:pPr>
              <w:pStyle w:val="nTable"/>
              <w:keepLines/>
              <w:spacing w:after="40"/>
            </w:pPr>
            <w:r>
              <w:t>bl. 1 and 2: 14 Jun 2024 (see bl. 2(a));</w:t>
            </w:r>
            <w:r>
              <w:br/>
              <w:t>By-laws other than bl. 1 and 2: 1 Jul 2024 (see bl. 2(b))</w:t>
            </w:r>
          </w:p>
        </w:tc>
      </w:tr>
    </w:tbl>
    <w:p/>
    <w:p>
      <w:pPr>
        <w:sectPr>
          <w:headerReference w:type="even" r:id="rId32"/>
          <w:headerReference w:type="default" r:id="rId33"/>
          <w:pgSz w:w="11907" w:h="16840" w:code="9"/>
          <w:pgMar w:top="2376" w:right="2404" w:bottom="3544" w:left="2404" w:header="720" w:footer="3544" w:gutter="0"/>
          <w:cols w:space="720"/>
          <w:noEndnote/>
          <w:docGrid w:linePitch="326"/>
        </w:sectPr>
      </w:pPr>
    </w:p>
    <w:p>
      <w:pPr>
        <w:pStyle w:val="nHeading2"/>
        <w:rPr>
          <w:sz w:val="28"/>
        </w:rPr>
      </w:pPr>
      <w:bookmarkStart w:id="98" w:name="_Toc170208783"/>
      <w:bookmarkStart w:id="99" w:name="_Toc170212610"/>
      <w:bookmarkStart w:id="100" w:name="_Toc170293107"/>
      <w:r>
        <w:rPr>
          <w:sz w:val="28"/>
        </w:rPr>
        <w:lastRenderedPageBreak/>
        <w:t>Defined terms</w:t>
      </w:r>
      <w:bookmarkEnd w:id="98"/>
      <w:bookmarkEnd w:id="99"/>
      <w:bookmarkEnd w:id="1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corporation</w:t>
      </w:r>
      <w:r>
        <w:tab/>
        <w:t>3</w:t>
      </w:r>
    </w:p>
    <w:p>
      <w:pPr>
        <w:pStyle w:val="DefinedTerms"/>
      </w:pPr>
      <w:r>
        <w:t>dwelling</w:t>
      </w:r>
      <w:r>
        <w:tab/>
        <w:t>3</w:t>
      </w:r>
    </w:p>
    <w:p>
      <w:pPr>
        <w:pStyle w:val="DefinedTerms"/>
      </w:pPr>
      <w:r>
        <w:t>Esperance network</w:t>
      </w:r>
      <w:r>
        <w:tab/>
        <w:t>Sch. 1 cl. 7(1)</w:t>
      </w:r>
    </w:p>
    <w:p>
      <w:pPr>
        <w:pStyle w:val="DefinedTerms"/>
      </w:pPr>
      <w:r>
        <w:t>exceeds the applicable peak allowance</w:t>
      </w:r>
      <w:r>
        <w:tab/>
        <w:t>Sch. 1 cl. 7(2)</w:t>
      </w:r>
    </w:p>
    <w:p>
      <w:pPr>
        <w:pStyle w:val="DefinedTerms"/>
      </w:pPr>
      <w:r>
        <w:t>government consumer</w:t>
      </w:r>
      <w:r>
        <w:tab/>
        <w:t>4(1A)</w:t>
      </w:r>
    </w:p>
    <w:p>
      <w:pPr>
        <w:pStyle w:val="DefinedTerms"/>
      </w:pPr>
      <w:r>
        <w:t>interest period</w:t>
      </w:r>
      <w:r>
        <w:tab/>
        <w:t>12(1)</w:t>
      </w:r>
    </w:p>
    <w:p>
      <w:pPr>
        <w:pStyle w:val="DefinedTerms"/>
      </w:pPr>
      <w:r>
        <w:t>MyPower non-residential tariff</w:t>
      </w:r>
      <w:r>
        <w:tab/>
        <w:t>Sch. 1 cl. 9(1)</w:t>
      </w:r>
    </w:p>
    <w:p>
      <w:pPr>
        <w:pStyle w:val="DefinedTerms"/>
      </w:pPr>
      <w:r>
        <w:t>MyPower residential tariff</w:t>
      </w:r>
      <w:r>
        <w:tab/>
        <w:t>Sch. 1 cl. 8(1)</w:t>
      </w:r>
    </w:p>
    <w:p>
      <w:pPr>
        <w:pStyle w:val="DefinedTerms"/>
      </w:pPr>
      <w:r>
        <w:t>MyPower tariff</w:t>
      </w:r>
      <w:r>
        <w:tab/>
        <w:t>Sch. 1 cl. 7(1)</w:t>
      </w:r>
    </w:p>
    <w:p>
      <w:pPr>
        <w:pStyle w:val="DefinedTerms"/>
      </w:pPr>
      <w:r>
        <w:t>North West interconnected system</w:t>
      </w:r>
      <w:r>
        <w:tab/>
        <w:t>4(1A)</w:t>
      </w:r>
    </w:p>
    <w:p>
      <w:pPr>
        <w:pStyle w:val="DefinedTerms"/>
      </w:pPr>
      <w:r>
        <w:t>original tariff</w:t>
      </w:r>
      <w:r>
        <w:tab/>
        <w:t>Sch. 1 cl. 8(5)  and 9(5)</w:t>
      </w:r>
    </w:p>
    <w:p>
      <w:pPr>
        <w:pStyle w:val="DefinedTerms"/>
      </w:pPr>
      <w:r>
        <w:t>peak day</w:t>
      </w:r>
      <w:r>
        <w:tab/>
        <w:t>Sch. 1 cl. 7(1)</w:t>
      </w:r>
    </w:p>
    <w:p>
      <w:pPr>
        <w:pStyle w:val="DefinedTerms"/>
      </w:pPr>
      <w:r>
        <w:t>peak period</w:t>
      </w:r>
      <w:r>
        <w:tab/>
        <w:t>Sch. 1 cl. 7(1)</w:t>
      </w:r>
    </w:p>
    <w:p>
      <w:pPr>
        <w:pStyle w:val="DefinedTerms"/>
      </w:pPr>
      <w:r>
        <w:t>peak time</w:t>
      </w:r>
      <w:r>
        <w:tab/>
        <w:t>Sch. 1 cl. 7(1)</w:t>
      </w:r>
    </w:p>
    <w:p>
      <w:pPr>
        <w:pStyle w:val="DefinedTerms"/>
      </w:pPr>
      <w:r>
        <w:t>permitted surcharge</w:t>
      </w:r>
      <w:r>
        <w:tab/>
        <w:t>3</w:t>
      </w:r>
    </w:p>
    <w:p>
      <w:pPr>
        <w:pStyle w:val="DefinedTerms"/>
      </w:pPr>
      <w:r>
        <w:t>RBA cash rate</w:t>
      </w:r>
      <w:r>
        <w:tab/>
        <w:t>3</w:t>
      </w:r>
    </w:p>
    <w:p>
      <w:pPr>
        <w:pStyle w:val="DefinedTerms"/>
      </w:pPr>
      <w:r>
        <w:t>RBA Standard No. 3 of 2016</w:t>
      </w:r>
      <w:r>
        <w:tab/>
        <w:t>3</w:t>
      </w:r>
    </w:p>
    <w:p>
      <w:pPr>
        <w:pStyle w:val="DefinedTerms"/>
      </w:pPr>
      <w:r>
        <w:t>regional non-integrated system</w:t>
      </w:r>
      <w:r>
        <w:tab/>
        <w:t>4(1A)</w:t>
      </w:r>
    </w:p>
    <w:p>
      <w:pPr>
        <w:pStyle w:val="DefinedTerms"/>
      </w:pPr>
      <w:r>
        <w:t>relevant period</w:t>
      </w:r>
      <w:r>
        <w:tab/>
        <w:t>8(1)</w:t>
      </w:r>
    </w:p>
    <w:p>
      <w:pPr>
        <w:pStyle w:val="DefinedTerms"/>
      </w:pPr>
      <w:r>
        <w:t>residential tariff</w:t>
      </w:r>
      <w:r>
        <w:tab/>
        <w:t>3</w:t>
      </w:r>
    </w:p>
    <w:p>
      <w:pPr>
        <w:pStyle w:val="DefinedTerms"/>
      </w:pPr>
      <w:r>
        <w:t>South West interconnected system</w:t>
      </w:r>
      <w:r>
        <w:tab/>
        <w:t>4(1A)</w:t>
      </w:r>
    </w:p>
    <w:p>
      <w:pPr>
        <w:pStyle w:val="DefinedTerms"/>
      </w:pPr>
      <w:r>
        <w:t>Tariff</w:t>
      </w:r>
      <w:r>
        <w:tab/>
        <w:t>3</w:t>
      </w:r>
    </w:p>
    <w:p>
      <w:pPr>
        <w:pStyle w:val="DefinedTerms"/>
      </w:pPr>
      <w:r>
        <w:t>unit</w:t>
      </w:r>
      <w:r>
        <w:tab/>
        <w:t>3</w:t>
      </w:r>
    </w:p>
    <w:p/>
    <w:p>
      <w:pPr>
        <w:sectPr>
          <w:headerReference w:type="even" r:id="rId34"/>
          <w:headerReference w:type="default" r:id="rId3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25398C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1E20A90" w14:textId="227691DA" w:rsidR="001B3575" w:rsidRDefault="00F60EA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83AF4">
                        <w:rPr>
                          <w:sz w:val="16"/>
                        </w:rPr>
                        <w:t>2024</w:t>
                      </w:r>
                      <w:r>
                        <w:rPr>
                          <w:sz w:val="16"/>
                        </w:rPr>
                        <w:fldChar w:fldCharType="end"/>
                      </w:r>
                      <w:r>
                        <w:rPr>
                          <w:sz w:val="16"/>
                        </w:rPr>
                        <w:t>.</w:t>
                      </w:r>
                    </w:p>
                    <w:p w14:paraId="67BC27C0" w14:textId="77777777" w:rsidR="001B3575" w:rsidRDefault="00F60EA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84DF11A" w14:textId="5796A46D" w:rsidR="001B3575" w:rsidRDefault="00F60EA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83AF4">
                        <w:rPr>
                          <w:sz w:val="16"/>
                        </w:rPr>
                        <w:t>2024</w:t>
                      </w:r>
                      <w:r>
                        <w:rPr>
                          <w:sz w:val="16"/>
                        </w:rPr>
                        <w:fldChar w:fldCharType="end"/>
                      </w:r>
                      <w:r>
                        <w:rPr>
                          <w:sz w:val="16"/>
                        </w:rPr>
                        <w:t>.</w:t>
                      </w:r>
                    </w:p>
                    <w:p w14:paraId="2127520E" w14:textId="77777777" w:rsidR="001B3575" w:rsidRDefault="00F60EA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02-r0-00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02-r0-00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02-r0-00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02-r0-00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02-r0-00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02-r0-00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cl.</w:t>
          </w:r>
          <w:r>
            <w:t> </w:t>
          </w:r>
          <w:r>
            <w:rPr>
              <w:b/>
            </w:rPr>
            <w:fldChar w:fldCharType="begin"/>
          </w:r>
          <w:r>
            <w:rPr>
              <w:b/>
            </w:rPr>
            <w:instrText xml:space="preserve"> STYLEREF \* charformat CharSClsNo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cl.</w:t>
          </w:r>
          <w:r>
            <w:t> </w:t>
          </w:r>
          <w:r>
            <w:rPr>
              <w:b/>
            </w:rPr>
            <w:fldChar w:fldCharType="begin"/>
          </w:r>
          <w:r>
            <w:rPr>
              <w:b/>
            </w:rPr>
            <w:instrText xml:space="preserve"> STYLEREF \* charformat CharSClsNo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Supply charges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MyPower tariffs</w:t>
          </w:r>
          <w:r>
            <w:fldChar w:fldCharType="end"/>
          </w:r>
        </w:p>
      </w:tc>
    </w:tr>
    <w:tr>
      <w:trPr>
        <w:jc w:val="center"/>
      </w:trPr>
      <w:tc>
        <w:tcPr>
          <w:tcW w:w="1548" w:type="dxa"/>
        </w:tcPr>
        <w:p>
          <w:pPr>
            <w:pStyle w:val="Header"/>
            <w:spacing w:before="40"/>
          </w:pPr>
          <w:r>
            <w:rPr>
              <w:b/>
            </w:rPr>
            <w:t>cl.</w:t>
          </w:r>
          <w:r>
            <w:t> </w:t>
          </w:r>
          <w:r>
            <w:rPr>
              <w:b/>
            </w:rPr>
            <w:fldChar w:fldCharType="begin"/>
          </w:r>
          <w:r>
            <w:rPr>
              <w:b/>
            </w:rPr>
            <w:instrText xml:space="preserve"> STYLEREF \* charformat CharSClsNo </w:instrText>
          </w:r>
          <w:r>
            <w:rPr>
              <w:b/>
            </w:rPr>
            <w:fldChar w:fldCharType="separate"/>
          </w:r>
          <w:r>
            <w:rPr>
              <w:b/>
            </w:rPr>
            <w:t>10</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Supply charges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MyPower tariffs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cl.</w:t>
          </w:r>
          <w:r>
            <w:t> </w:t>
          </w:r>
          <w:r>
            <w:rPr>
              <w:b/>
            </w:rPr>
            <w:fldChar w:fldCharType="begin"/>
          </w:r>
          <w:r>
            <w:rPr>
              <w:b/>
            </w:rPr>
            <w:instrText xml:space="preserve"> STYLEREF \* charformat CharSClsNo </w:instrText>
          </w:r>
          <w:r>
            <w:rPr>
              <w:b/>
            </w:rPr>
            <w:fldChar w:fldCharType="separate"/>
          </w:r>
          <w:r>
            <w:rPr>
              <w:b/>
            </w:rPr>
            <w:t>10</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Supply charges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MyPower tariffs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Unmetered supply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Miscellaneous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Unmetered supply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Miscellaneous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7" w:name="Compilation"/>
    <w:bookmarkEnd w:id="97"/>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1" w:name="DefinedTerms"/>
    <w:bookmarkEnd w:id="101"/>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2" w:name="Coversheet"/>
    <w:bookmarkEnd w:id="1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E90DB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596F4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BE2AE3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E6ED0D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F22A1B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56DE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7E4D3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2085D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F64FE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2D034B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6588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114945"/>
    <w:docVar w:name="WAFER_20140109160013" w:val="RemoveTocBookmarks,RemoveUnusedBookmarks,RemoveLanguageTags,UsedStyles,ResetPageSize,UpdateArrangement"/>
    <w:docVar w:name="WAFER_20140109160013_GUID" w:val="597ce826-c891-4391-929e-52345abcbb4e"/>
    <w:docVar w:name="WAFER_20140109160850" w:val="RemoveTocBookmarks,RunningHeaders"/>
    <w:docVar w:name="WAFER_20140109160850_GUID" w:val="8e2363bd-147c-4c8f-965d-8f2e313c4978"/>
    <w:docVar w:name="WAFER_20140124152351" w:val="RemoveTocBookmarks,RemoveUnusedBookmarks,RemoveLanguageTags,UsedStyles,ResetPageSize,UpdateArrangement"/>
    <w:docVar w:name="WAFER_20140124152351_GUID" w:val="1d542b1f-4767-48a8-9d30-e1915dccd2fb"/>
    <w:docVar w:name="WAFER_20140519103650" w:val="RemoveTocBookmarks,RemoveUnusedBookmarks,RemoveLanguageTags,UsedStyles,RemoveTrackChanges"/>
    <w:docVar w:name="WAFER_20140519103650_GUID" w:val="d73844cc-20bd-42a3-8bb5-74b7a8440811"/>
    <w:docVar w:name="WAFER_20140519103703" w:val="RemoveTocBookmarks,RemoveLanguageTags,RemoveTrackChanges,RunningHeaders"/>
    <w:docVar w:name="WAFER_20140519103703_GUID" w:val="07ecff26-6531-40c2-9a09-8af23538b091"/>
    <w:docVar w:name="WAFER_20140922082909" w:val="RemoveTocBookmarks,RemoveLanguageTags,RemoveTrackChanges,RunningHeaders"/>
    <w:docVar w:name="WAFER_20140922082909_GUID" w:val="da7fba0f-d427-448f-961d-4f4d96158ea2"/>
    <w:docVar w:name="WAFER_20140922082921" w:val="RemoveTocBookmarks,RemoveLanguageTags,RemoveTrackChanges,RunningHeaders"/>
    <w:docVar w:name="WAFER_20140922082921_GUID" w:val="b3a5b271-ea8d-41bc-9e41-b27063a8c7a7"/>
    <w:docVar w:name="WAFER_20150414151054" w:val="ResetPageSize,UpdateArrangement,UpdateNTable"/>
    <w:docVar w:name="WAFER_20150414151054_GUID" w:val="46851967-8f5a-42ab-96a4-172d3cc2ad5a"/>
    <w:docVar w:name="WAFER_20151105123815" w:val="UpdateStyles,UsedStyles"/>
    <w:docVar w:name="WAFER_20151105123815_GUID" w:val="ade06537-8239-4bda-9e24-3495d3fa0532"/>
    <w:docVar w:name="WAFER_20171221105436" w:val="RemoveTocBookmarks,RemoveUnusedBookmarks,RemoveLanguageTags,UsedStyles,ResetPageSize"/>
    <w:docVar w:name="WAFER_20171221105436_GUID" w:val="dfeb6ce3-1b3b-4ccc-ae20-71f39e0f13d0"/>
    <w:docVar w:name="WAFER_202006081119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1913_GUID" w:val="ff7006cf-a376-47c7-946b-71e3db0240b5"/>
    <w:docVar w:name="WAFER_20200616153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53643_GUID" w:val="d96eb03f-dbf9-49bf-9d74-0e653f6aed65"/>
    <w:docVar w:name="WAFER_202106281204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20451_GUID" w:val="991b22ca-6e56-49f9-acd4-071107d29e99"/>
    <w:docVar w:name="WAFER_202206231451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45147_GUID" w:val="b8a1539f-e2ab-4218-ba91-4f43eaf73a23"/>
    <w:docVar w:name="WAFER_20230623162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162143_GUID" w:val="764df158-63a6-4377-8a87-b9a9346c1391"/>
    <w:docVar w:name="WAFER_202312281038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3820_GUID" w:val="45da9258-ca5f-49c5-a371-9782a46d4870"/>
    <w:docVar w:name="WAFER_202406131107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3110712_GUID" w:val="6a1c0a92-da1b-4588-bbb9-7c2e010d0af0"/>
    <w:docVar w:name="WAFER_202406251149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4945_GUID" w:val="3160a516-36e0-41b7-b94c-25d448e66e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5889"/>
    <o:shapelayout v:ext="edit">
      <o:idmap v:ext="edit" data="1"/>
    </o:shapelayout>
  </w:shapeDefaults>
  <w:decimalSymbol w:val="."/>
  <w:listSeparator w:val=","/>
  <w15:docId w15:val="{BD8C0DAB-B347-43A6-8367-A2D3EE019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AC2D17-C958-4A3A-92A9-D3C1A2430F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5505</Words>
  <Characters>27031</Characters>
  <Application>Microsoft Office Word</Application>
  <DocSecurity>0</DocSecurity>
  <Lines>1228</Lines>
  <Paragraphs>774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31762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(Regional Power Corporation) (Charges) By-laws 2006 - 02-r0-00</dc:title>
  <dc:subject/>
  <dc:creator/>
  <cp:keywords/>
  <dc:description/>
  <cp:lastModifiedBy>Master Repository Process</cp:lastModifiedBy>
  <cp:revision>4</cp:revision>
  <cp:lastPrinted>2019-06-24T07:21:00Z</cp:lastPrinted>
  <dcterms:created xsi:type="dcterms:W3CDTF">2025-05-28T05:43:00Z</dcterms:created>
  <dcterms:modified xsi:type="dcterms:W3CDTF">2025-05-28T05:44:00Z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1279-97</vt:lpwstr>
  </property>
  <property fmtid="{D5CDD505-2E9C-101B-9397-08002B2CF9AE}" pid="3" name="OwlsUID">
    <vt:i4>38408</vt:i4>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2014-10-02T16:00:00Z</vt:filetime>
  </property>
  <property fmtid="{D5CDD505-2E9C-101B-9397-08002B2CF9AE}" pid="7" name="AsAtDate">
    <vt:lpwstr>01 Jul 2024</vt:lpwstr>
  </property>
  <property fmtid="{D5CDD505-2E9C-101B-9397-08002B2CF9AE}" pid="8" name="Suffix">
    <vt:lpwstr>02-r0-00</vt:lpwstr>
  </property>
  <property fmtid="{D5CDD505-2E9C-101B-9397-08002B2CF9AE}" pid="9" name="Official">
    <vt:lpwstr/>
  </property>
  <property fmtid="{D5CDD505-2E9C-101B-9397-08002B2CF9AE}" pid="10" name="CommencementDate">
    <vt:lpwstr>20240701</vt:lpwstr>
  </property>
  <property fmtid="{D5CDD505-2E9C-101B-9397-08002B2CF9AE}" pid="11" name="CommencementAsAt">
    <vt:filetime>2024-06-30T16:00:00Z</vt:filetime>
  </property>
  <property fmtid="{D5CDD505-2E9C-101B-9397-08002B2CF9AE}" pid="12" name="CommencementYear">
    <vt:lpwstr>2024</vt:lpwstr>
  </property>
</Properties>
</file>