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_Toc170295188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_Toc170295189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_Toc170295190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_Toc170295192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_Toc170295193 \h </w:instrText>
      </w:r>
      <w:r>
        <w:fldChar w:fldCharType="separate"/>
      </w:r>
      <w:r>
        <w:t>3</w:t>
      </w:r>
      <w:r>
        <w:fldChar w:fldCharType="end"/>
      </w:r>
    </w:p>
    <w:p>
      <w:pPr>
        <w:pStyle w:val="TOC8"/>
        <w:rPr>
          <w:rFonts w:asciiTheme="minorHAnsi" w:eastAsiaTheme="minorEastAsia" w:hAnsiTheme="minorHAnsi" w:cstheme="minorBidi"/>
          <w:szCs w:val="22"/>
        </w:rPr>
      </w:pPr>
      <w:r>
        <w:t>6.</w:t>
      </w:r>
      <w:r>
        <w:tab/>
        <w:t>Fees of Marshal</w:t>
      </w:r>
      <w:r>
        <w:tab/>
      </w:r>
      <w:r>
        <w:fldChar w:fldCharType="begin"/>
      </w:r>
      <w:r>
        <w:instrText xml:space="preserve"> PAGEREF _Toc170295194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_Toc170295195 \h </w:instrText>
      </w:r>
      <w:r>
        <w:fldChar w:fldCharType="separate"/>
      </w:r>
      <w:r>
        <w:t>3</w:t>
      </w:r>
      <w:r>
        <w:fldChar w:fldCharType="end"/>
      </w:r>
    </w:p>
    <w:p>
      <w:pPr>
        <w:pStyle w:val="TOC8"/>
        <w:rPr>
          <w:rFonts w:asciiTheme="minorHAnsi" w:eastAsiaTheme="minorEastAsia" w:hAnsiTheme="minorHAnsi" w:cstheme="minorBidi"/>
          <w:szCs w:val="22"/>
        </w:rPr>
      </w:pPr>
      <w:r>
        <w:t>7A.</w:t>
      </w:r>
      <w:r>
        <w:tab/>
        <w:t>Child welfare officer (Act s. 5(1))</w:t>
      </w:r>
      <w:r>
        <w:tab/>
      </w:r>
      <w:r>
        <w:fldChar w:fldCharType="begin"/>
      </w:r>
      <w:r>
        <w:instrText xml:space="preserve"> PAGEREF _Toc170295196 \h </w:instrText>
      </w:r>
      <w:r>
        <w:fldChar w:fldCharType="separate"/>
      </w:r>
      <w:r>
        <w:t>4</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_Toc170295197 \h </w:instrText>
      </w:r>
      <w:r>
        <w:fldChar w:fldCharType="separate"/>
      </w:r>
      <w:r>
        <w:t>5</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_Toc170295198 \h </w:instrText>
      </w:r>
      <w:r>
        <w:fldChar w:fldCharType="separate"/>
      </w:r>
      <w:r>
        <w:t>5</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_Toc170295199 \h </w:instrText>
      </w:r>
      <w:r>
        <w:fldChar w:fldCharType="separate"/>
      </w:r>
      <w:r>
        <w:t>5</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_Toc170295200 \h </w:instrText>
      </w:r>
      <w:r>
        <w:fldChar w:fldCharType="separate"/>
      </w:r>
      <w:r>
        <w:t>6</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_Toc170295201 \h </w:instrText>
      </w:r>
      <w:r>
        <w:fldChar w:fldCharType="separate"/>
      </w:r>
      <w:r>
        <w:t>6</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_Toc170295202 \h </w:instrText>
      </w:r>
      <w:r>
        <w:fldChar w:fldCharType="separate"/>
      </w:r>
      <w:r>
        <w:t>6</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_Toc170295203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_Toc170295204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_Toc170295205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_Toc170295206 \h </w:instrText>
      </w:r>
      <w:r>
        <w:fldChar w:fldCharType="separate"/>
      </w:r>
      <w:r>
        <w:t>7</w:t>
      </w:r>
      <w:r>
        <w:fldChar w:fldCharType="end"/>
      </w:r>
    </w:p>
    <w:p>
      <w:pPr>
        <w:pStyle w:val="TOC8"/>
        <w:rPr>
          <w:rFonts w:asciiTheme="minorHAnsi" w:eastAsiaTheme="minorEastAsia" w:hAnsiTheme="minorHAnsi" w:cstheme="minorBidi"/>
          <w:szCs w:val="22"/>
        </w:rPr>
      </w:pPr>
      <w:r>
        <w:t>17A.</w:t>
      </w:r>
      <w:r>
        <w:tab/>
        <w:t>Authorities prescribed (Act s. 243(8)(aa))</w:t>
      </w:r>
      <w:r>
        <w:tab/>
      </w:r>
      <w:r>
        <w:fldChar w:fldCharType="begin"/>
      </w:r>
      <w:r>
        <w:instrText xml:space="preserve"> PAGEREF _Toc170295207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_Toc170295210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_Toc170295212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_Toc170295214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_Toc170295216 \h </w:instrText>
      </w:r>
      <w:r>
        <w:fldChar w:fldCharType="separate"/>
      </w:r>
      <w:r>
        <w:t>12</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_Toc170295217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_Toc170295219 \h </w:instrText>
      </w:r>
      <w:r>
        <w:fldChar w:fldCharType="separate"/>
      </w:r>
      <w:r>
        <w:t>13</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_Toc170295220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_Toc170295222 \h </w:instrText>
      </w:r>
      <w:r>
        <w:fldChar w:fldCharType="separate"/>
      </w:r>
      <w:r>
        <w:t>15</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_Toc170295223 \h </w:instrText>
      </w:r>
      <w:r>
        <w:fldChar w:fldCharType="separate"/>
      </w:r>
      <w:r>
        <w:t>16</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_Toc170295224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_Toc170295226 \h </w:instrText>
      </w:r>
      <w:r>
        <w:fldChar w:fldCharType="separate"/>
      </w:r>
      <w:r>
        <w:t>18</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_Toc170295227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_Toc170295229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_Toc170295231 \h </w:instrText>
      </w:r>
      <w:r>
        <w:fldChar w:fldCharType="separate"/>
      </w:r>
      <w:r>
        <w:t>22</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_Toc170295232 \h </w:instrText>
      </w:r>
      <w:r>
        <w:fldChar w:fldCharType="separate"/>
      </w:r>
      <w:r>
        <w:t>22</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_Toc170295233 \h </w:instrText>
      </w:r>
      <w:r>
        <w:fldChar w:fldCharType="separate"/>
      </w:r>
      <w:r>
        <w:t>23</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_Toc170295234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_Toc170295237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2" w:name="_Toc170207359"/>
      <w:bookmarkStart w:id="3" w:name="_Toc170207899"/>
      <w:bookmarkStart w:id="4" w:name="_Toc17029518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13 May 2011 p. 1738.]</w:t>
      </w:r>
    </w:p>
    <w:p>
      <w:pPr>
        <w:pStyle w:val="Heading5"/>
        <w:spacing w:before="240"/>
      </w:pPr>
      <w:bookmarkStart w:id="5" w:name="_Toc170295188"/>
      <w:r>
        <w:rPr>
          <w:rStyle w:val="CharSectno"/>
        </w:rPr>
        <w:t>1</w:t>
      </w:r>
      <w:r>
        <w:t>.</w:t>
      </w:r>
      <w:r>
        <w:tab/>
        <w:t>Citation</w:t>
      </w:r>
      <w:bookmarkEnd w:id="5"/>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6" w:name="_Toc170295189"/>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bookmarkStart w:id="7" w:name="Start_Cursor"/>
      <w:bookmarkEnd w:id="7"/>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8" w:name="_Toc17029519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9" w:name="_Toc170207363"/>
      <w:bookmarkStart w:id="10" w:name="_Toc170207903"/>
      <w:bookmarkStart w:id="11" w:name="_Toc170295191"/>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Footnoteheading"/>
      </w:pPr>
      <w:r>
        <w:tab/>
        <w:t>[Heading inserted: Gazette 13 May 2011 p. 1738.]</w:t>
      </w:r>
    </w:p>
    <w:p>
      <w:pPr>
        <w:pStyle w:val="Heading5"/>
        <w:rPr>
          <w:snapToGrid w:val="0"/>
        </w:rPr>
      </w:pPr>
      <w:bookmarkStart w:id="12" w:name="_Toc170295192"/>
      <w:r>
        <w:rPr>
          <w:rStyle w:val="CharSectno"/>
        </w:rPr>
        <w:t>4</w:t>
      </w:r>
      <w:r>
        <w:rPr>
          <w:snapToGrid w:val="0"/>
        </w:rPr>
        <w:t>.</w:t>
      </w:r>
      <w:r>
        <w:rPr>
          <w:snapToGrid w:val="0"/>
        </w:rPr>
        <w:tab/>
        <w:t>Dispensing with compliance with these regulations</w:t>
      </w:r>
      <w:bookmarkEnd w:id="12"/>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3" w:name="_Toc170295193"/>
      <w:r>
        <w:rPr>
          <w:rStyle w:val="CharSectno"/>
        </w:rPr>
        <w:t>5</w:t>
      </w:r>
      <w:r>
        <w:rPr>
          <w:snapToGrid w:val="0"/>
        </w:rPr>
        <w:t>.</w:t>
      </w:r>
      <w:r>
        <w:rPr>
          <w:snapToGrid w:val="0"/>
        </w:rPr>
        <w:tab/>
        <w:t>Court registry</w:t>
      </w:r>
      <w:bookmarkEnd w:id="13"/>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14" w:name="_Toc170295194"/>
      <w:r>
        <w:rPr>
          <w:rStyle w:val="CharSectno"/>
        </w:rPr>
        <w:t>6</w:t>
      </w:r>
      <w:r>
        <w:t>.</w:t>
      </w:r>
      <w:r>
        <w:tab/>
        <w:t>Fees of Marshal</w:t>
      </w:r>
      <w:bookmarkEnd w:id="14"/>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15" w:name="_Toc170295195"/>
      <w:r>
        <w:rPr>
          <w:rStyle w:val="CharSectno"/>
        </w:rPr>
        <w:t>7</w:t>
      </w:r>
      <w:r>
        <w:rPr>
          <w:snapToGrid w:val="0"/>
        </w:rPr>
        <w:t>.</w:t>
      </w:r>
      <w:r>
        <w:rPr>
          <w:snapToGrid w:val="0"/>
        </w:rPr>
        <w:tab/>
        <w:t>Recording and transcripts of proceedings</w:t>
      </w:r>
      <w:bookmarkEnd w:id="15"/>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lastRenderedPageBreak/>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16" w:name="_Toc170295196"/>
      <w:r>
        <w:rPr>
          <w:rStyle w:val="CharSectno"/>
        </w:rPr>
        <w:t>7A</w:t>
      </w:r>
      <w:r>
        <w:t>.</w:t>
      </w:r>
      <w:r>
        <w:tab/>
        <w:t>Child welfare officer (Act s. 5(1))</w:t>
      </w:r>
      <w:bookmarkEnd w:id="16"/>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lastRenderedPageBreak/>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17" w:name="_Toc170295197"/>
      <w:r>
        <w:rPr>
          <w:rStyle w:val="CharSectno"/>
        </w:rPr>
        <w:t>8</w:t>
      </w:r>
      <w:r>
        <w:t>.</w:t>
      </w:r>
      <w:r>
        <w:tab/>
        <w:t>Family Law Regulations Part 5 adopted</w:t>
      </w:r>
      <w:bookmarkEnd w:id="17"/>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18" w:name="_Toc170295198"/>
      <w:r>
        <w:rPr>
          <w:rStyle w:val="CharSectno"/>
        </w:rPr>
        <w:t>9</w:t>
      </w:r>
      <w:r>
        <w:t>.</w:t>
      </w:r>
      <w:r>
        <w:tab/>
        <w:t>Family Law Regulation 8A adopted (Act s. 65D)</w:t>
      </w:r>
      <w:bookmarkEnd w:id="18"/>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19" w:name="_Toc170295199"/>
      <w:r>
        <w:rPr>
          <w:rStyle w:val="CharSectno"/>
        </w:rPr>
        <w:t>10</w:t>
      </w:r>
      <w:r>
        <w:t>.</w:t>
      </w:r>
      <w:r>
        <w:tab/>
        <w:t>Matters prescribed (Act s. 66H(7)(b))</w:t>
      </w:r>
      <w:bookmarkEnd w:id="19"/>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lastRenderedPageBreak/>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20" w:name="_Toc170295200"/>
      <w:r>
        <w:rPr>
          <w:rStyle w:val="CharSectno"/>
        </w:rPr>
        <w:t>11</w:t>
      </w:r>
      <w:r>
        <w:t>.</w:t>
      </w:r>
      <w:r>
        <w:tab/>
        <w:t>Registration of court decision (Act s. 176(6))</w:t>
      </w:r>
      <w:bookmarkEnd w:id="20"/>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21" w:name="_Toc170295201"/>
      <w:r>
        <w:rPr>
          <w:rStyle w:val="CharSectno"/>
        </w:rPr>
        <w:t>12</w:t>
      </w:r>
      <w:r>
        <w:t>.</w:t>
      </w:r>
      <w:r>
        <w:tab/>
        <w:t>Government agencies prescribed (Act s. 202K)</w:t>
      </w:r>
      <w:bookmarkEnd w:id="21"/>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22" w:name="_Toc170295202"/>
      <w:r>
        <w:rPr>
          <w:rStyle w:val="CharSectno"/>
        </w:rPr>
        <w:t>13</w:t>
      </w:r>
      <w:r>
        <w:t>.</w:t>
      </w:r>
      <w:r>
        <w:tab/>
        <w:t>Third party expenses (Act s. 205ZLK)</w:t>
      </w:r>
      <w:bookmarkEnd w:id="22"/>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23" w:name="_Toc170295203"/>
      <w:r>
        <w:rPr>
          <w:rStyle w:val="CharSectno"/>
        </w:rPr>
        <w:lastRenderedPageBreak/>
        <w:t>14F</w:t>
      </w:r>
      <w:r>
        <w:t>.</w:t>
      </w:r>
      <w:r>
        <w:tab/>
        <w:t>Pensions, allowances, benefits prescribed (Act s. 205T)</w:t>
      </w:r>
      <w:bookmarkEnd w:id="23"/>
    </w:p>
    <w:p>
      <w:pPr>
        <w:pStyle w:val="Subsection"/>
        <w:keepNext/>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24" w:name="_Toc170295204"/>
      <w:r>
        <w:rPr>
          <w:rStyle w:val="CharSectno"/>
        </w:rPr>
        <w:t>15</w:t>
      </w:r>
      <w:r>
        <w:rPr>
          <w:snapToGrid w:val="0"/>
        </w:rPr>
        <w:t>.</w:t>
      </w:r>
      <w:r>
        <w:rPr>
          <w:snapToGrid w:val="0"/>
        </w:rPr>
        <w:tab/>
        <w:t>Parentage testing procedures</w:t>
      </w:r>
      <w:bookmarkEnd w:id="24"/>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25" w:name="_Toc170295205"/>
      <w:r>
        <w:rPr>
          <w:rStyle w:val="CharSectno"/>
        </w:rPr>
        <w:t>16</w:t>
      </w:r>
      <w:r>
        <w:rPr>
          <w:snapToGrid w:val="0"/>
        </w:rPr>
        <w:t>.</w:t>
      </w:r>
      <w:r>
        <w:rPr>
          <w:snapToGrid w:val="0"/>
        </w:rPr>
        <w:tab/>
        <w:t>Parentage testing reports</w:t>
      </w:r>
      <w:bookmarkEnd w:id="25"/>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26" w:name="_Toc170295206"/>
      <w:r>
        <w:rPr>
          <w:rStyle w:val="CharSectno"/>
        </w:rPr>
        <w:t>17</w:t>
      </w:r>
      <w:r>
        <w:rPr>
          <w:snapToGrid w:val="0"/>
        </w:rPr>
        <w:t>.</w:t>
      </w:r>
      <w:r>
        <w:rPr>
          <w:snapToGrid w:val="0"/>
        </w:rPr>
        <w:tab/>
        <w:t>Registration in a court of orders etc. made by another court</w:t>
      </w:r>
      <w:bookmarkEnd w:id="26"/>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lastRenderedPageBreak/>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27" w:name="_Toc170295207"/>
      <w:r>
        <w:rPr>
          <w:rStyle w:val="CharSectno"/>
        </w:rPr>
        <w:t>17A</w:t>
      </w:r>
      <w:r>
        <w:t>.</w:t>
      </w:r>
      <w:r>
        <w:tab/>
        <w:t>Authorities prescribed (Act s. 243(8)(aa))</w:t>
      </w:r>
      <w:bookmarkEnd w:id="27"/>
    </w:p>
    <w:p>
      <w:pPr>
        <w:pStyle w:val="Subsection"/>
      </w:pPr>
      <w:r>
        <w:tab/>
      </w:r>
      <w:r>
        <w:tab/>
        <w:t>For the purposes of section 243(8)(aa) each of the following authorities is prescribed —</w:t>
      </w:r>
    </w:p>
    <w:p>
      <w:pPr>
        <w:pStyle w:val="Indenta"/>
      </w:pPr>
      <w:r>
        <w:tab/>
        <w:t>(a)</w:t>
      </w:r>
      <w:r>
        <w:tab/>
        <w:t>for New South Wales — the Department of Communities and Justice;</w:t>
      </w:r>
    </w:p>
    <w:p>
      <w:pPr>
        <w:pStyle w:val="Indenta"/>
      </w:pPr>
      <w:r>
        <w:tab/>
        <w:t>(b)</w:t>
      </w:r>
      <w:r>
        <w:tab/>
        <w:t>for Tasmania — the Department of Communities Tasmania;</w:t>
      </w:r>
    </w:p>
    <w:p>
      <w:pPr>
        <w:pStyle w:val="Indenta"/>
      </w:pPr>
      <w:r>
        <w:tab/>
        <w:t>(c)</w:t>
      </w:r>
      <w:r>
        <w:tab/>
        <w:t>for Victoria — the Department of Families, Fairness and Housing;</w:t>
      </w:r>
    </w:p>
    <w:p>
      <w:pPr>
        <w:pStyle w:val="Indenta"/>
      </w:pPr>
      <w:r>
        <w:tab/>
        <w:t>(d)</w:t>
      </w:r>
      <w:r>
        <w:tab/>
        <w:t>for Queensland — the Department of Children, Youth Justice and Multicultural Affairs;</w:t>
      </w:r>
    </w:p>
    <w:p>
      <w:pPr>
        <w:pStyle w:val="Indenta"/>
      </w:pPr>
      <w:r>
        <w:tab/>
        <w:t>(e)</w:t>
      </w:r>
      <w:r>
        <w:tab/>
        <w:t>for the Australian Capital Territory — the Community Services Directorate;</w:t>
      </w:r>
    </w:p>
    <w:p>
      <w:pPr>
        <w:pStyle w:val="Indenta"/>
      </w:pPr>
      <w:r>
        <w:tab/>
        <w:t>(f)</w:t>
      </w:r>
      <w:r>
        <w:tab/>
        <w:t>for the Northern Territory — the Department of Territory Families, Housing and Communities;</w:t>
      </w:r>
    </w:p>
    <w:p>
      <w:pPr>
        <w:pStyle w:val="Indenta"/>
      </w:pPr>
      <w:r>
        <w:tab/>
        <w:t>(g)</w:t>
      </w:r>
      <w:r>
        <w:tab/>
        <w:t>for South Australia — the Department for Child Protection;</w:t>
      </w:r>
    </w:p>
    <w:p>
      <w:pPr>
        <w:pStyle w:val="Indenta"/>
      </w:pPr>
      <w:r>
        <w:tab/>
        <w:t>(h)</w:t>
      </w:r>
      <w:r>
        <w:tab/>
        <w:t xml:space="preserve">for Western Australia — the department of the Public Service principally assisting in the administration of the </w:t>
      </w:r>
      <w:r>
        <w:rPr>
          <w:i/>
        </w:rPr>
        <w:t>Children and Community Services Act 2004</w:t>
      </w:r>
      <w:r>
        <w:t>.</w:t>
      </w:r>
    </w:p>
    <w:p>
      <w:pPr>
        <w:pStyle w:val="Footnotesection"/>
      </w:pPr>
      <w:r>
        <w:tab/>
        <w:t>[Regulation 17A inserted: SL 2022/45 r. 6.]</w:t>
      </w:r>
    </w:p>
    <w:p>
      <w:pPr>
        <w:pStyle w:val="Heading2"/>
      </w:pPr>
      <w:bookmarkStart w:id="28" w:name="_Toc170207380"/>
      <w:bookmarkStart w:id="29" w:name="_Toc170207920"/>
      <w:bookmarkStart w:id="30" w:name="_Toc170295208"/>
      <w:r>
        <w:rPr>
          <w:rStyle w:val="CharPartNo"/>
        </w:rPr>
        <w:lastRenderedPageBreak/>
        <w:t>Part 3</w:t>
      </w:r>
      <w:r>
        <w:rPr>
          <w:b w:val="0"/>
        </w:rPr>
        <w:t> </w:t>
      </w:r>
      <w:r>
        <w:t>—</w:t>
      </w:r>
      <w:r>
        <w:rPr>
          <w:b w:val="0"/>
        </w:rPr>
        <w:t> </w:t>
      </w:r>
      <w:r>
        <w:rPr>
          <w:rStyle w:val="CharPartText"/>
        </w:rPr>
        <w:t>Court fees</w:t>
      </w:r>
      <w:bookmarkEnd w:id="28"/>
      <w:bookmarkEnd w:id="29"/>
      <w:bookmarkEnd w:id="30"/>
    </w:p>
    <w:p>
      <w:pPr>
        <w:pStyle w:val="Footnoteheading"/>
      </w:pPr>
      <w:r>
        <w:tab/>
        <w:t>[Heading inserted: Gazette 14 Dec 2012 p. 6236.]</w:t>
      </w:r>
    </w:p>
    <w:p>
      <w:pPr>
        <w:pStyle w:val="Heading3"/>
      </w:pPr>
      <w:bookmarkStart w:id="31" w:name="_Toc170207381"/>
      <w:bookmarkStart w:id="32" w:name="_Toc170207921"/>
      <w:bookmarkStart w:id="33" w:name="_Toc170295209"/>
      <w:r>
        <w:rPr>
          <w:rStyle w:val="CharDivNo"/>
        </w:rPr>
        <w:t>Division 1</w:t>
      </w:r>
      <w:r>
        <w:t> — </w:t>
      </w:r>
      <w:r>
        <w:rPr>
          <w:rStyle w:val="CharDivText"/>
        </w:rPr>
        <w:t>Preliminary</w:t>
      </w:r>
      <w:bookmarkEnd w:id="31"/>
      <w:bookmarkEnd w:id="32"/>
      <w:bookmarkEnd w:id="33"/>
    </w:p>
    <w:p>
      <w:pPr>
        <w:pStyle w:val="Footnoteheading"/>
      </w:pPr>
      <w:r>
        <w:tab/>
        <w:t>[Heading inserted: Gazette 14 Dec 2012 p. 6236.]</w:t>
      </w:r>
    </w:p>
    <w:p>
      <w:pPr>
        <w:pStyle w:val="Heading5"/>
      </w:pPr>
      <w:bookmarkStart w:id="34" w:name="_Toc170295210"/>
      <w:r>
        <w:rPr>
          <w:rStyle w:val="CharSectno"/>
        </w:rPr>
        <w:t>18</w:t>
      </w:r>
      <w:r>
        <w:t>.</w:t>
      </w:r>
      <w:r>
        <w:tab/>
        <w:t>Terms used</w:t>
      </w:r>
      <w:bookmarkEnd w:id="34"/>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lastRenderedPageBreak/>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35" w:name="_Toc170207383"/>
      <w:bookmarkStart w:id="36" w:name="_Toc170207923"/>
      <w:bookmarkStart w:id="37" w:name="_Toc170295211"/>
      <w:r>
        <w:rPr>
          <w:rStyle w:val="CharDivNo"/>
        </w:rPr>
        <w:t>Division 2</w:t>
      </w:r>
      <w:r>
        <w:t> — </w:t>
      </w:r>
      <w:r>
        <w:rPr>
          <w:rStyle w:val="CharDivText"/>
        </w:rPr>
        <w:t>Fees — general</w:t>
      </w:r>
      <w:bookmarkEnd w:id="35"/>
      <w:bookmarkEnd w:id="36"/>
      <w:bookmarkEnd w:id="37"/>
    </w:p>
    <w:p>
      <w:pPr>
        <w:pStyle w:val="Footnoteheading"/>
      </w:pPr>
      <w:r>
        <w:tab/>
        <w:t>[Heading inserted: Gazette 14 Dec 2012 p. 6237.]</w:t>
      </w:r>
    </w:p>
    <w:p>
      <w:pPr>
        <w:pStyle w:val="Heading5"/>
      </w:pPr>
      <w:bookmarkStart w:id="38" w:name="_Toc170295212"/>
      <w:r>
        <w:rPr>
          <w:rStyle w:val="CharSectno"/>
        </w:rPr>
        <w:t>19</w:t>
      </w:r>
      <w:r>
        <w:t>.</w:t>
      </w:r>
      <w:r>
        <w:tab/>
        <w:t>Fees (Sch. 1)</w:t>
      </w:r>
      <w:bookmarkEnd w:id="38"/>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lastRenderedPageBreak/>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39" w:name="_Toc170207385"/>
      <w:bookmarkStart w:id="40" w:name="_Toc170207925"/>
      <w:bookmarkStart w:id="41" w:name="_Toc170295213"/>
      <w:r>
        <w:rPr>
          <w:rStyle w:val="CharDivNo"/>
        </w:rPr>
        <w:t>Division 3</w:t>
      </w:r>
      <w:r>
        <w:t> — </w:t>
      </w:r>
      <w:r>
        <w:rPr>
          <w:rStyle w:val="CharDivText"/>
        </w:rPr>
        <w:t>Liability to pay fee</w:t>
      </w:r>
      <w:bookmarkEnd w:id="39"/>
      <w:bookmarkEnd w:id="40"/>
      <w:bookmarkEnd w:id="41"/>
    </w:p>
    <w:p>
      <w:pPr>
        <w:pStyle w:val="Footnoteheading"/>
      </w:pPr>
      <w:r>
        <w:tab/>
        <w:t>[Heading inserted: Gazette 14 Dec 2012 p. 6238.]</w:t>
      </w:r>
    </w:p>
    <w:p>
      <w:pPr>
        <w:pStyle w:val="Heading5"/>
      </w:pPr>
      <w:bookmarkStart w:id="42" w:name="_Toc170295214"/>
      <w:r>
        <w:rPr>
          <w:rStyle w:val="CharSectno"/>
        </w:rPr>
        <w:t>20</w:t>
      </w:r>
      <w:r>
        <w:t>.</w:t>
      </w:r>
      <w:r>
        <w:tab/>
        <w:t>Persons liable to pay fee</w:t>
      </w:r>
      <w:bookmarkEnd w:id="42"/>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43" w:name="_Toc170207387"/>
      <w:bookmarkStart w:id="44" w:name="_Toc170207927"/>
      <w:bookmarkStart w:id="45" w:name="_Toc170295215"/>
      <w:r>
        <w:rPr>
          <w:rStyle w:val="CharDivNo"/>
        </w:rPr>
        <w:lastRenderedPageBreak/>
        <w:t>Division 4</w:t>
      </w:r>
      <w:r>
        <w:t> — </w:t>
      </w:r>
      <w:r>
        <w:rPr>
          <w:rStyle w:val="CharDivText"/>
        </w:rPr>
        <w:t>Exemptions from liability to pay fee</w:t>
      </w:r>
      <w:bookmarkEnd w:id="43"/>
      <w:bookmarkEnd w:id="44"/>
      <w:bookmarkEnd w:id="45"/>
    </w:p>
    <w:p>
      <w:pPr>
        <w:pStyle w:val="Footnoteheading"/>
        <w:keepNext/>
        <w:keepLines/>
      </w:pPr>
      <w:r>
        <w:tab/>
        <w:t>[Heading inserted: Gazette 14 Dec 2012 p. 6239.]</w:t>
      </w:r>
    </w:p>
    <w:p>
      <w:pPr>
        <w:pStyle w:val="Heading5"/>
      </w:pPr>
      <w:bookmarkStart w:id="46" w:name="_Toc170295216"/>
      <w:r>
        <w:rPr>
          <w:rStyle w:val="CharSectno"/>
        </w:rPr>
        <w:t>21A</w:t>
      </w:r>
      <w:r>
        <w:t>.</w:t>
      </w:r>
      <w:r>
        <w:tab/>
        <w:t>Persons exempt from paying fee: general</w:t>
      </w:r>
      <w:bookmarkEnd w:id="46"/>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lastRenderedPageBreak/>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47" w:name="_Toc170295217"/>
      <w:r>
        <w:rPr>
          <w:rStyle w:val="CharSectno"/>
        </w:rPr>
        <w:t>21B</w:t>
      </w:r>
      <w:r>
        <w:t>.</w:t>
      </w:r>
      <w:r>
        <w:tab/>
        <w:t>Persons exempt from paying fee: financial hardship</w:t>
      </w:r>
      <w:bookmarkEnd w:id="47"/>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48" w:name="_Toc170207390"/>
      <w:bookmarkStart w:id="49" w:name="_Toc170207930"/>
      <w:bookmarkStart w:id="50" w:name="_Toc170295218"/>
      <w:r>
        <w:rPr>
          <w:rStyle w:val="CharDivNo"/>
        </w:rPr>
        <w:t>Division 5</w:t>
      </w:r>
      <w:r>
        <w:t> — </w:t>
      </w:r>
      <w:r>
        <w:rPr>
          <w:rStyle w:val="CharDivText"/>
        </w:rPr>
        <w:t>When fee is not payable</w:t>
      </w:r>
      <w:bookmarkEnd w:id="48"/>
      <w:bookmarkEnd w:id="49"/>
      <w:bookmarkEnd w:id="50"/>
    </w:p>
    <w:p>
      <w:pPr>
        <w:pStyle w:val="Footnoteheading"/>
      </w:pPr>
      <w:r>
        <w:tab/>
        <w:t>[Heading inserted: Gazette 14 Dec 2012 p. 6241.]</w:t>
      </w:r>
    </w:p>
    <w:p>
      <w:pPr>
        <w:pStyle w:val="Heading5"/>
      </w:pPr>
      <w:bookmarkStart w:id="51" w:name="_Toc170295219"/>
      <w:r>
        <w:rPr>
          <w:rStyle w:val="CharSectno"/>
        </w:rPr>
        <w:t>21C</w:t>
      </w:r>
      <w:r>
        <w:t>.</w:t>
      </w:r>
      <w:r>
        <w:tab/>
        <w:t>Fee not payable by liable person if already paid</w:t>
      </w:r>
      <w:bookmarkEnd w:id="51"/>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52" w:name="_Toc170295220"/>
      <w:r>
        <w:rPr>
          <w:rStyle w:val="CharSectno"/>
        </w:rPr>
        <w:lastRenderedPageBreak/>
        <w:t>21D</w:t>
      </w:r>
      <w:r>
        <w:t>.</w:t>
      </w:r>
      <w:r>
        <w:tab/>
        <w:t>Proceedings in which fee not payable</w:t>
      </w:r>
      <w:bookmarkEnd w:id="52"/>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lastRenderedPageBreak/>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53" w:name="_Toc170207393"/>
      <w:bookmarkStart w:id="54" w:name="_Toc170207933"/>
      <w:bookmarkStart w:id="55" w:name="_Toc170295221"/>
      <w:r>
        <w:rPr>
          <w:rStyle w:val="CharDivNo"/>
        </w:rPr>
        <w:t>Division 6</w:t>
      </w:r>
      <w:r>
        <w:t> — </w:t>
      </w:r>
      <w:r>
        <w:rPr>
          <w:rStyle w:val="CharDivText"/>
        </w:rPr>
        <w:t>Payment of fees</w:t>
      </w:r>
      <w:bookmarkEnd w:id="53"/>
      <w:bookmarkEnd w:id="54"/>
      <w:bookmarkEnd w:id="55"/>
    </w:p>
    <w:p>
      <w:pPr>
        <w:pStyle w:val="Footnoteheading"/>
      </w:pPr>
      <w:r>
        <w:tab/>
        <w:t>[Heading inserted: Gazette 14 Dec 2012 p. 6242.]</w:t>
      </w:r>
    </w:p>
    <w:p>
      <w:pPr>
        <w:pStyle w:val="Heading5"/>
      </w:pPr>
      <w:bookmarkStart w:id="56" w:name="_Toc170295222"/>
      <w:r>
        <w:rPr>
          <w:rStyle w:val="CharSectno"/>
        </w:rPr>
        <w:t>21E</w:t>
      </w:r>
      <w:r>
        <w:t>.</w:t>
      </w:r>
      <w:r>
        <w:tab/>
        <w:t>When fee must be paid</w:t>
      </w:r>
      <w:bookmarkEnd w:id="56"/>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lastRenderedPageBreak/>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57" w:name="_Toc170295223"/>
      <w:r>
        <w:rPr>
          <w:rStyle w:val="CharSectno"/>
        </w:rPr>
        <w:t>21F</w:t>
      </w:r>
      <w:r>
        <w:t>.</w:t>
      </w:r>
      <w:r>
        <w:tab/>
        <w:t>Deferral of payment of fees</w:t>
      </w:r>
      <w:bookmarkEnd w:id="57"/>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keepNext/>
      </w:pPr>
      <w:r>
        <w:lastRenderedPageBreak/>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58" w:name="_Toc170295224"/>
      <w:r>
        <w:rPr>
          <w:rStyle w:val="CharSectno"/>
        </w:rPr>
        <w:t>21G</w:t>
      </w:r>
      <w:r>
        <w:t>.</w:t>
      </w:r>
      <w:r>
        <w:tab/>
        <w:t>What happens if fee not paid</w:t>
      </w:r>
      <w:bookmarkEnd w:id="58"/>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59" w:name="_Toc170207397"/>
      <w:bookmarkStart w:id="60" w:name="_Toc170207937"/>
      <w:bookmarkStart w:id="61" w:name="_Toc170295225"/>
      <w:r>
        <w:rPr>
          <w:rStyle w:val="CharDivNo"/>
        </w:rPr>
        <w:lastRenderedPageBreak/>
        <w:t>Division 7</w:t>
      </w:r>
      <w:r>
        <w:t> — </w:t>
      </w:r>
      <w:r>
        <w:rPr>
          <w:rStyle w:val="CharDivText"/>
        </w:rPr>
        <w:t>Miscellaneous</w:t>
      </w:r>
      <w:bookmarkEnd w:id="59"/>
      <w:bookmarkEnd w:id="60"/>
      <w:bookmarkEnd w:id="61"/>
    </w:p>
    <w:p>
      <w:pPr>
        <w:pStyle w:val="Footnoteheading"/>
      </w:pPr>
      <w:r>
        <w:tab/>
        <w:t>[Heading inserted: Gazette 14 Dec 2012 p. 6245.]</w:t>
      </w:r>
    </w:p>
    <w:p>
      <w:pPr>
        <w:pStyle w:val="Heading5"/>
      </w:pPr>
      <w:bookmarkStart w:id="62" w:name="_Toc170295226"/>
      <w:r>
        <w:rPr>
          <w:rStyle w:val="CharSectno"/>
        </w:rPr>
        <w:t>21H</w:t>
      </w:r>
      <w:r>
        <w:t>.</w:t>
      </w:r>
      <w:r>
        <w:tab/>
        <w:t>Refund of fee</w:t>
      </w:r>
      <w:bookmarkEnd w:id="62"/>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lastRenderedPageBreak/>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lastRenderedPageBreak/>
        <w:t>[</w:t>
      </w:r>
      <w:r>
        <w:rPr>
          <w:b/>
        </w:rPr>
        <w:t>21I.</w:t>
      </w:r>
      <w:r>
        <w:tab/>
        <w:t>Deleted: SL 2021/137 r. 4.]</w:t>
      </w:r>
    </w:p>
    <w:p>
      <w:pPr>
        <w:pStyle w:val="Heading5"/>
      </w:pPr>
      <w:bookmarkStart w:id="63" w:name="_Toc170295227"/>
      <w:r>
        <w:rPr>
          <w:rStyle w:val="CharSectno"/>
        </w:rPr>
        <w:t>21J</w:t>
      </w:r>
      <w:r>
        <w:t>.</w:t>
      </w:r>
      <w:r>
        <w:tab/>
        <w:t>Recovery of fees due</w:t>
      </w:r>
      <w:bookmarkEnd w:id="6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64" w:name="_Toc170207400"/>
      <w:bookmarkStart w:id="65" w:name="_Toc170207940"/>
      <w:bookmarkStart w:id="66" w:name="_Toc170295228"/>
      <w:r>
        <w:rPr>
          <w:rStyle w:val="CharPartNo"/>
        </w:rPr>
        <w:lastRenderedPageBreak/>
        <w:t>Part 4</w:t>
      </w:r>
      <w:r>
        <w:rPr>
          <w:rStyle w:val="CharDivNo"/>
        </w:rPr>
        <w:t> </w:t>
      </w:r>
      <w:r>
        <w:t>—</w:t>
      </w:r>
      <w:r>
        <w:rPr>
          <w:rStyle w:val="CharDivText"/>
        </w:rPr>
        <w:t> </w:t>
      </w:r>
      <w:r>
        <w:rPr>
          <w:rStyle w:val="CharPartText"/>
        </w:rPr>
        <w:t>Review</w:t>
      </w:r>
      <w:bookmarkEnd w:id="64"/>
      <w:bookmarkEnd w:id="65"/>
      <w:bookmarkEnd w:id="66"/>
    </w:p>
    <w:p>
      <w:pPr>
        <w:pStyle w:val="Footnoteheading"/>
      </w:pPr>
      <w:r>
        <w:tab/>
        <w:t>[Heading inserted: Gazette 13 May 2011 p. 1746.]</w:t>
      </w:r>
    </w:p>
    <w:p>
      <w:pPr>
        <w:pStyle w:val="Heading5"/>
      </w:pPr>
      <w:bookmarkStart w:id="67" w:name="_Toc170295229"/>
      <w:r>
        <w:rPr>
          <w:rStyle w:val="CharSectno"/>
        </w:rPr>
        <w:t>21</w:t>
      </w:r>
      <w:r>
        <w:t>.</w:t>
      </w:r>
      <w:r>
        <w:tab/>
        <w:t>Review of decisions under these regulations</w:t>
      </w:r>
      <w:bookmarkEnd w:id="67"/>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68" w:name="_Toc170207402"/>
      <w:bookmarkStart w:id="69" w:name="_Toc170207942"/>
      <w:bookmarkStart w:id="70" w:name="_Toc170295230"/>
      <w:r>
        <w:rPr>
          <w:rStyle w:val="CharPartNo"/>
        </w:rPr>
        <w:lastRenderedPageBreak/>
        <w:t>Part 5</w:t>
      </w:r>
      <w:r>
        <w:rPr>
          <w:rStyle w:val="CharDivNo"/>
        </w:rPr>
        <w:t> </w:t>
      </w:r>
      <w:r>
        <w:t>—</w:t>
      </w:r>
      <w:r>
        <w:rPr>
          <w:rStyle w:val="CharDivText"/>
        </w:rPr>
        <w:t> </w:t>
      </w:r>
      <w:r>
        <w:rPr>
          <w:rStyle w:val="CharPartText"/>
        </w:rPr>
        <w:t>Transitional provisions</w:t>
      </w:r>
      <w:bookmarkEnd w:id="68"/>
      <w:bookmarkEnd w:id="69"/>
      <w:bookmarkEnd w:id="70"/>
    </w:p>
    <w:p>
      <w:pPr>
        <w:pStyle w:val="Footnoteheading"/>
      </w:pPr>
      <w:r>
        <w:tab/>
        <w:t>[Heading inserted: Gazette 13 May 2011 p. 1746.]</w:t>
      </w:r>
    </w:p>
    <w:p>
      <w:pPr>
        <w:pStyle w:val="Heading5"/>
      </w:pPr>
      <w:bookmarkStart w:id="71" w:name="_Toc170295231"/>
      <w:r>
        <w:rPr>
          <w:rStyle w:val="CharSectno"/>
        </w:rPr>
        <w:t>22A</w:t>
      </w:r>
      <w:r>
        <w:t>.</w:t>
      </w:r>
      <w:r>
        <w:tab/>
        <w:t>Terms used</w:t>
      </w:r>
      <w:bookmarkEnd w:id="71"/>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72" w:name="_Toc170295232"/>
      <w:r>
        <w:rPr>
          <w:rStyle w:val="CharSectno"/>
        </w:rPr>
        <w:t>22</w:t>
      </w:r>
      <w:r>
        <w:t>.</w:t>
      </w:r>
      <w:r>
        <w:tab/>
        <w:t xml:space="preserve">Transitional provisions relating to </w:t>
      </w:r>
      <w:r>
        <w:rPr>
          <w:i/>
        </w:rPr>
        <w:t>Family Court Amendment Regulations 2011</w:t>
      </w:r>
      <w:bookmarkEnd w:id="72"/>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73" w:name="_Toc170295233"/>
      <w:r>
        <w:rPr>
          <w:rStyle w:val="CharSectno"/>
        </w:rPr>
        <w:lastRenderedPageBreak/>
        <w:t>23</w:t>
      </w:r>
      <w:r>
        <w:t>.</w:t>
      </w:r>
      <w:r>
        <w:tab/>
        <w:t xml:space="preserve">Transitional provisions relating to </w:t>
      </w:r>
      <w:r>
        <w:rPr>
          <w:i/>
        </w:rPr>
        <w:t>Family Court Amendment Regulations 2012</w:t>
      </w:r>
      <w:bookmarkEnd w:id="73"/>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74" w:name="_Toc170295234"/>
      <w:r>
        <w:rPr>
          <w:rStyle w:val="CharSectno"/>
        </w:rPr>
        <w:t>24</w:t>
      </w:r>
      <w:r>
        <w:rPr>
          <w:rStyle w:val="CharSClsNo"/>
        </w:rPr>
        <w:t>.</w:t>
      </w:r>
      <w:r>
        <w:rPr>
          <w:rStyle w:val="CharSClsNo"/>
        </w:rPr>
        <w:tab/>
        <w:t xml:space="preserve">Transitional provisions relating to </w:t>
      </w:r>
      <w:r>
        <w:rPr>
          <w:i/>
        </w:rPr>
        <w:t>Family Court Amendment Regulations (No. 3) 2015</w:t>
      </w:r>
      <w:bookmarkEnd w:id="74"/>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lastRenderedPageBreak/>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5" w:name="_Toc170199424"/>
      <w:bookmarkStart w:id="76" w:name="_Toc170199489"/>
      <w:bookmarkStart w:id="77" w:name="_Toc170199559"/>
      <w:bookmarkStart w:id="78" w:name="_Toc170207947"/>
      <w:bookmarkStart w:id="79" w:name="_Toc170295235"/>
      <w:bookmarkStart w:id="80" w:name="_Toc170207407"/>
      <w:r>
        <w:rPr>
          <w:rStyle w:val="CharSchNo"/>
        </w:rPr>
        <w:lastRenderedPageBreak/>
        <w:t>Schedule 1</w:t>
      </w:r>
      <w:r>
        <w:t> — </w:t>
      </w:r>
      <w:r>
        <w:rPr>
          <w:rStyle w:val="CharSchText"/>
        </w:rPr>
        <w:t>Fees</w:t>
      </w:r>
      <w:bookmarkEnd w:id="75"/>
      <w:bookmarkEnd w:id="76"/>
      <w:bookmarkEnd w:id="77"/>
      <w:bookmarkEnd w:id="78"/>
      <w:bookmarkEnd w:id="79"/>
    </w:p>
    <w:p>
      <w:pPr>
        <w:pStyle w:val="yShoulderClause"/>
      </w:pPr>
      <w:r>
        <w:t>[Pt. 3]</w:t>
      </w:r>
    </w:p>
    <w:p>
      <w:pPr>
        <w:pStyle w:val="yFootnoteheading"/>
        <w:spacing w:after="60"/>
      </w:pPr>
      <w:r>
        <w:tab/>
        <w:t>[Heading inserted: SL 2024/140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$425</w:t>
            </w:r>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$425</w:t>
            </w:r>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79" w:type="dxa"/>
            <w:noWrap/>
            <w:vAlign w:val="bottom"/>
          </w:tcPr>
          <w:p>
            <w:pPr>
              <w:pStyle w:val="yTableNAm"/>
              <w:jc w:val="right"/>
            </w:pPr>
            <w:r>
              <w:t>$1 045</w:t>
            </w:r>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79" w:type="dxa"/>
            <w:noWrap/>
            <w:vAlign w:val="bottom"/>
          </w:tcPr>
          <w:p>
            <w:pPr>
              <w:pStyle w:val="yTableNAm"/>
              <w:jc w:val="right"/>
            </w:pPr>
            <w:r>
              <w:t>$1 045</w:t>
            </w:r>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$200</w:t>
            </w:r>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$145</w:t>
            </w:r>
          </w:p>
        </w:tc>
      </w:tr>
      <w:tr>
        <w:trPr>
          <w:cantSplit/>
        </w:trPr>
        <w:tc>
          <w:tcPr>
            <w:tcW w:w="713" w:type="dxa"/>
            <w:noWrap/>
          </w:tcPr>
          <w:p>
            <w:pPr>
              <w:pStyle w:val="yTableNAm"/>
            </w:pPr>
            <w:r>
              <w:lastRenderedPageBreak/>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$695</w:t>
            </w:r>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$480</w:t>
            </w:r>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79" w:type="dxa"/>
            <w:noWrap/>
            <w:vAlign w:val="bottom"/>
          </w:tcPr>
          <w:p>
            <w:pPr>
              <w:pStyle w:val="yTableNAm"/>
              <w:jc w:val="right"/>
            </w:pPr>
            <w:r>
              <w:t>$1 665</w:t>
            </w:r>
          </w:p>
        </w:tc>
      </w:tr>
    </w:tbl>
    <w:p>
      <w:pPr>
        <w:pStyle w:val="yFootnotesection"/>
      </w:pPr>
      <w:r>
        <w:tab/>
        <w:t>[Schedule 1 inserted: SL 2024/140 r. 4.]</w:t>
      </w:r>
    </w:p>
    <w:bookmarkEnd w:id="8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82" w:name="_Toc170207408"/>
      <w:bookmarkStart w:id="83" w:name="_Toc170207948"/>
      <w:bookmarkStart w:id="84" w:name="_Toc170295236"/>
      <w:r>
        <w:lastRenderedPageBreak/>
        <w:t>Notes</w:t>
      </w:r>
      <w:bookmarkEnd w:id="82"/>
      <w:bookmarkEnd w:id="83"/>
      <w:bookmarkEnd w:id="84"/>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85" w:name="_Toc170295237"/>
      <w:r>
        <w:t>Compilation table</w:t>
      </w:r>
      <w:bookmarkEnd w:id="8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c>
          <w:tcPr>
            <w:tcW w:w="3118" w:type="dxa"/>
            <w:tcBorders>
              <w:top w:val="nil"/>
              <w:bottom w:val="nil"/>
            </w:tcBorders>
            <w:shd w:val="clear" w:color="auto" w:fill="auto"/>
          </w:tcPr>
          <w:p>
            <w:pPr>
              <w:pStyle w:val="nTable"/>
              <w:spacing w:after="40"/>
              <w:rPr>
                <w:i/>
              </w:rPr>
            </w:pPr>
            <w:r>
              <w:rPr>
                <w:i/>
              </w:rPr>
              <w:t>Family Court Amendment Regulations 2023</w:t>
            </w:r>
          </w:p>
        </w:tc>
        <w:tc>
          <w:tcPr>
            <w:tcW w:w="1276" w:type="dxa"/>
            <w:tcBorders>
              <w:top w:val="nil"/>
              <w:bottom w:val="nil"/>
            </w:tcBorders>
            <w:shd w:val="clear" w:color="auto" w:fill="auto"/>
          </w:tcPr>
          <w:p>
            <w:pPr>
              <w:pStyle w:val="nTable"/>
              <w:spacing w:after="40"/>
            </w:pPr>
            <w:r>
              <w:t>SL 2023/88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lastRenderedPageBreak/>
              <w:t>Family Court Amendment Regulations 2024</w:t>
            </w:r>
          </w:p>
        </w:tc>
        <w:tc>
          <w:tcPr>
            <w:tcW w:w="1276" w:type="dxa"/>
            <w:tcBorders>
              <w:bottom w:val="single" w:sz="8" w:space="0" w:color="auto"/>
            </w:tcBorders>
            <w:shd w:val="clear" w:color="auto" w:fill="auto"/>
          </w:tcPr>
          <w:p>
            <w:pPr>
              <w:pStyle w:val="nTable"/>
              <w:spacing w:after="40"/>
            </w:pPr>
            <w:r>
              <w:t>SL 2024/140 26 Jun 2024</w:t>
            </w:r>
          </w:p>
        </w:tc>
        <w:tc>
          <w:tcPr>
            <w:tcW w:w="2693" w:type="dxa"/>
            <w:tcBorders>
              <w:bottom w:val="single" w:sz="8" w:space="0" w:color="auto"/>
            </w:tcBorders>
            <w:shd w:val="clear" w:color="auto" w:fill="auto"/>
          </w:tcPr>
          <w:p>
            <w:pPr>
              <w:pStyle w:val="nTable"/>
              <w:spacing w:after="40"/>
            </w:pPr>
            <w:r>
              <w:t>r. 1 and 2: 26 Jun 2024 (see r. 2(a));</w:t>
            </w:r>
            <w:r>
              <w:br/>
              <w:t>Regulations other than r. 1 and 2: 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7" w:name="_Toc170207410"/>
      <w:bookmarkStart w:id="88" w:name="_Toc170207950"/>
      <w:bookmarkStart w:id="89" w:name="_Toc170295238"/>
      <w:r>
        <w:rPr>
          <w:sz w:val="28"/>
        </w:rPr>
        <w:lastRenderedPageBreak/>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current fees</w:t>
      </w:r>
      <w:r>
        <w:tab/>
        <w:t>24(1)</w:t>
      </w:r>
    </w:p>
    <w:p>
      <w:pPr>
        <w:pStyle w:val="DefinedTerms"/>
      </w:pPr>
      <w:r>
        <w:t>eligible financial or parenting proceedings</w:t>
      </w:r>
      <w:r>
        <w:tab/>
        <w:t>18</w:t>
      </w:r>
    </w:p>
    <w:p>
      <w:pPr>
        <w:pStyle w:val="DefinedTerms"/>
      </w:pPr>
      <w:r>
        <w:t>equivalent action</w:t>
      </w:r>
      <w:r>
        <w:tab/>
        <w:t>6(1)</w:t>
      </w:r>
    </w:p>
    <w:p>
      <w:pPr>
        <w:pStyle w:val="DefinedTerms"/>
      </w:pPr>
      <w:r>
        <w:t>Family Law Regulations</w:t>
      </w:r>
      <w:r>
        <w:tab/>
        <w:t>3(1)</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liable person</w:t>
      </w:r>
      <w:r>
        <w:tab/>
        <w:t>18</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section</w:t>
      </w:r>
      <w:r>
        <w:tab/>
        <w:t>3(1)</w:t>
      </w:r>
    </w:p>
    <w:p>
      <w:pPr>
        <w:pStyle w:val="DefinedTerms"/>
      </w:pPr>
      <w:r>
        <w:t>setting down fee</w:t>
      </w:r>
      <w:r>
        <w:tab/>
        <w:t>18</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FE1F4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C92852" w14:textId="56280104" w:rsidR="003423FE" w:rsidRDefault="000515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65B20">
                        <w:rPr>
                          <w:sz w:val="16"/>
                        </w:rPr>
                        <w:t>2024</w:t>
                      </w:r>
                      <w:r>
                        <w:rPr>
                          <w:sz w:val="16"/>
                        </w:rPr>
                        <w:fldChar w:fldCharType="end"/>
                      </w:r>
                      <w:r>
                        <w:rPr>
                          <w:sz w:val="16"/>
                        </w:rPr>
                        <w:t>.</w:t>
                      </w:r>
                    </w:p>
                    <w:p w14:paraId="311C9B38" w14:textId="77777777" w:rsidR="003423FE" w:rsidRDefault="000515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7B8D7C" w14:textId="6B7CF673" w:rsidR="003423FE" w:rsidRDefault="000515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65B20">
                        <w:rPr>
                          <w:sz w:val="16"/>
                        </w:rPr>
                        <w:t>2024</w:t>
                      </w:r>
                      <w:r>
                        <w:rPr>
                          <w:sz w:val="16"/>
                        </w:rPr>
                        <w:fldChar w:fldCharType="end"/>
                      </w:r>
                      <w:r>
                        <w:rPr>
                          <w:sz w:val="16"/>
                        </w:rPr>
                        <w:t>.</w:t>
                      </w:r>
                    </w:p>
                    <w:p w14:paraId="6BEF953A" w14:textId="77777777" w:rsidR="003423FE" w:rsidRDefault="0005155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0" w:name="DefinedTerms"/>
    <w:bookmarkEnd w:id="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2755"/>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6601</Words>
  <Characters>31160</Characters>
  <Application>Microsoft Office Word</Application>
  <DocSecurity>0</DocSecurity>
  <Lines>1005</Lines>
  <Paragraphs>662</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1998 - 03-j0-00</dc:title>
  <dc:subject/>
  <dc:creator/>
  <cp:keywords/>
  <dc:description/>
  <cp:lastModifiedBy>Master Repository Process</cp:lastModifiedBy>
  <cp:revision>4</cp:revision>
  <cp:lastPrinted>2016-01-19T02:54:00Z</cp:lastPrinted>
  <dcterms:created xsi:type="dcterms:W3CDTF">2025-06-05T02:51:00Z</dcterms:created>
  <dcterms:modified xsi:type="dcterms:W3CDTF">2025-06-05T02:51:00Z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01 Jul 2024</vt:lpwstr>
  </property>
  <property fmtid="{D5CDD505-2E9C-101B-9397-08002B2CF9AE}" pid="8" name="Suffix">
    <vt:lpwstr>03-j0-00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