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_Toc170305443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_Toc170305444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_Toc170305445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_Toc170305448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_Toc170305450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_Toc170305451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_Toc170305453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_Toc170305454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_Toc170305455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_Toc170305457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_Toc170305458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_Toc170305460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_Toc170305461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_Toc170305462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_Toc170305463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_Toc170305465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_Toc170305466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_Toc170305467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_Toc170305468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_Toc170305469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_Toc170305470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_Toc170305471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_Toc170305472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_Toc170305473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_Toc170305474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_Toc170305476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_Toc170305477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_Toc170305478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_Toc170305479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_Toc170305480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_Toc170305481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_Toc170305483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_Toc170305484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_Toc170305485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_Toc170305486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_Toc170305487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_Toc170305488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_Toc170305490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_Toc170305491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_Toc170305492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_Toc170305493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_Toc170305495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_Toc170305496 \h </w:instrText>
      </w:r>
      <w:r>
        <w:fldChar w:fldCharType="separate"/>
      </w:r>
      <w:r>
        <w:t>20</w:t>
      </w:r>
      <w:r>
        <w:fldChar w:fldCharType="end"/>
      </w:r>
    </w:p>
    <w:p>
      <w:pPr>
        <w:pStyle w:val="TOC8"/>
        <w:rPr>
          <w:rFonts w:asciiTheme="minorHAnsi" w:eastAsiaTheme="minorEastAsia" w:hAnsiTheme="minorHAnsi" w:cstheme="minorBidi"/>
          <w:szCs w:val="22"/>
        </w:rPr>
      </w:pPr>
      <w:r>
        <w:lastRenderedPageBreak/>
        <w:t>41A</w:t>
      </w:r>
      <w:r>
        <w:rPr>
          <w:snapToGrid w:val="0"/>
        </w:rPr>
        <w:t>.</w:t>
      </w:r>
      <w:r>
        <w:rPr>
          <w:snapToGrid w:val="0"/>
        </w:rPr>
        <w:tab/>
        <w:t>Vehicles not to be parked on jetties</w:t>
      </w:r>
      <w:r>
        <w:tab/>
      </w:r>
      <w:r>
        <w:fldChar w:fldCharType="begin"/>
      </w:r>
      <w:r>
        <w:instrText xml:space="preserve"> PAGEREF _Toc170305497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_Toc170305498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_Toc170305499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_Toc170305500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_Toc170305501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_Toc170305503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_Toc170305504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_Toc170305505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_Toc170305506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_Toc170305507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_Toc170305508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_Toc170305509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_Toc170305510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_Toc170305511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_Toc170305512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_Toc170305513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_Toc170305514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_Toc170305515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_Toc170305516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_Toc170305517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_Toc170305518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_Toc170305519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_Toc170305520 \h </w:instrText>
      </w:r>
      <w:r>
        <w:fldChar w:fldCharType="separate"/>
      </w:r>
      <w:r>
        <w:t>36</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_Toc170305521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11 — Burswood Jetty</w:t>
      </w:r>
    </w:p>
    <w:p>
      <w:pPr>
        <w:pStyle w:val="TOC8"/>
        <w:rPr>
          <w:rFonts w:asciiTheme="minorHAnsi" w:eastAsiaTheme="minorEastAsia" w:hAnsiTheme="minorHAnsi" w:cstheme="minorBidi"/>
          <w:szCs w:val="22"/>
        </w:rPr>
      </w:pPr>
      <w:r>
        <w:t>67DD.</w:t>
      </w:r>
      <w:r>
        <w:tab/>
        <w:t>Terms used</w:t>
      </w:r>
      <w:r>
        <w:tab/>
      </w:r>
      <w:r>
        <w:fldChar w:fldCharType="begin"/>
      </w:r>
      <w:r>
        <w:instrText xml:space="preserve"> PAGEREF _Toc170305523 \h </w:instrText>
      </w:r>
      <w:r>
        <w:fldChar w:fldCharType="separate"/>
      </w:r>
      <w:r>
        <w:t>37</w:t>
      </w:r>
      <w:r>
        <w:fldChar w:fldCharType="end"/>
      </w:r>
    </w:p>
    <w:p>
      <w:pPr>
        <w:pStyle w:val="TOC8"/>
        <w:rPr>
          <w:rFonts w:asciiTheme="minorHAnsi" w:eastAsiaTheme="minorEastAsia" w:hAnsiTheme="minorHAnsi" w:cstheme="minorBidi"/>
          <w:szCs w:val="22"/>
        </w:rPr>
      </w:pPr>
      <w:r>
        <w:t>67DE.</w:t>
      </w:r>
      <w:r>
        <w:tab/>
        <w:t>Application</w:t>
      </w:r>
      <w:r>
        <w:tab/>
      </w:r>
      <w:r>
        <w:fldChar w:fldCharType="begin"/>
      </w:r>
      <w:r>
        <w:instrText xml:space="preserve"> PAGEREF _Toc170305524 \h </w:instrText>
      </w:r>
      <w:r>
        <w:fldChar w:fldCharType="separate"/>
      </w:r>
      <w:r>
        <w:t>38</w:t>
      </w:r>
      <w:r>
        <w:fldChar w:fldCharType="end"/>
      </w:r>
    </w:p>
    <w:p>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_Toc170305525 \h </w:instrText>
      </w:r>
      <w:r>
        <w:fldChar w:fldCharType="separate"/>
      </w:r>
      <w:r>
        <w:t>38</w:t>
      </w:r>
      <w:r>
        <w:fldChar w:fldCharType="end"/>
      </w:r>
    </w:p>
    <w:p>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_Toc170305526 \h </w:instrText>
      </w:r>
      <w:r>
        <w:fldChar w:fldCharType="separate"/>
      </w:r>
      <w:r>
        <w:t>39</w:t>
      </w:r>
      <w:r>
        <w:fldChar w:fldCharType="end"/>
      </w:r>
    </w:p>
    <w:p>
      <w:pPr>
        <w:pStyle w:val="TOC8"/>
        <w:rPr>
          <w:rFonts w:asciiTheme="minorHAnsi" w:eastAsiaTheme="minorEastAsia" w:hAnsiTheme="minorHAnsi" w:cstheme="minorBidi"/>
          <w:szCs w:val="22"/>
        </w:rPr>
      </w:pPr>
      <w:r>
        <w:t>67DH.</w:t>
      </w:r>
      <w:r>
        <w:tab/>
        <w:t>Cancellation of Berth 1 permit</w:t>
      </w:r>
      <w:r>
        <w:tab/>
      </w:r>
      <w:r>
        <w:fldChar w:fldCharType="begin"/>
      </w:r>
      <w:r>
        <w:instrText xml:space="preserve"> PAGEREF _Toc170305527 \h </w:instrText>
      </w:r>
      <w:r>
        <w:fldChar w:fldCharType="separate"/>
      </w:r>
      <w:r>
        <w:t>39</w:t>
      </w:r>
      <w:r>
        <w:fldChar w:fldCharType="end"/>
      </w:r>
    </w:p>
    <w:p>
      <w:pPr>
        <w:pStyle w:val="TOC8"/>
        <w:rPr>
          <w:rFonts w:asciiTheme="minorHAnsi" w:eastAsiaTheme="minorEastAsia" w:hAnsiTheme="minorHAnsi" w:cstheme="minorBidi"/>
          <w:szCs w:val="22"/>
        </w:rPr>
      </w:pPr>
      <w:r>
        <w:t>67DI.</w:t>
      </w:r>
      <w:r>
        <w:tab/>
        <w:t>Use of Berth 1 otherwise than under Berth 1 permit</w:t>
      </w:r>
      <w:r>
        <w:tab/>
      </w:r>
      <w:r>
        <w:fldChar w:fldCharType="begin"/>
      </w:r>
      <w:r>
        <w:instrText xml:space="preserve"> PAGEREF _Toc170305528 \h </w:instrText>
      </w:r>
      <w:r>
        <w:fldChar w:fldCharType="separate"/>
      </w:r>
      <w:r>
        <w:t>40</w:t>
      </w:r>
      <w:r>
        <w:fldChar w:fldCharType="end"/>
      </w:r>
    </w:p>
    <w:p>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_Toc170305529 \h </w:instrText>
      </w:r>
      <w:r>
        <w:fldChar w:fldCharType="separate"/>
      </w:r>
      <w:r>
        <w:t>41</w:t>
      </w:r>
      <w:r>
        <w:fldChar w:fldCharType="end"/>
      </w:r>
    </w:p>
    <w:p>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_Toc170305530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_Toc170305533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_Toc170305535 \h </w:instrText>
      </w:r>
      <w:r>
        <w:fldChar w:fldCharType="separate"/>
      </w:r>
      <w:r>
        <w:t>43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_Toc170305536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_Toc170305537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_Toc170305539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_Toc170305540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_Toc170305541 \h </w:instrText>
      </w:r>
      <w:r>
        <w:fldChar w:fldCharType="separate"/>
      </w:r>
      <w:r>
        <w:t>46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_Toc170305542 \h </w:instrText>
      </w:r>
      <w:r>
        <w:fldChar w:fldCharType="separate"/>
      </w:r>
      <w:r>
        <w:t>47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_Toc170305543 \h </w:instrText>
      </w:r>
      <w:r>
        <w:fldChar w:fldCharType="separate"/>
      </w:r>
      <w:r>
        <w:t>48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_Toc170305544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_Toc170305545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_Toc170305546 \h </w:instrText>
      </w:r>
      <w:r>
        <w:fldChar w:fldCharType="separate"/>
      </w:r>
      <w:r>
        <w:t>48</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_Toc170305547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_Toc170305549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_Toc170305550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_Toc170305551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_Toc170305552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_Toc170305553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_Toc170305555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_Toc170305557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_Toc170305558 \h </w:instrText>
      </w:r>
      <w:r>
        <w:fldChar w:fldCharType="separate"/>
      </w:r>
      <w:r>
        <w:t>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_Toc170305559 \h </w:instrText>
      </w:r>
      <w:r>
        <w:fldChar w:fldCharType="separate"/>
      </w:r>
      <w:r>
        <w:t>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_Toc170305560 \h </w:instrText>
      </w:r>
      <w:r>
        <w:fldChar w:fldCharType="separate"/>
      </w:r>
      <w:r>
        <w:t>52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_Toc170305561 \h </w:instrText>
      </w:r>
      <w:r>
        <w:fldChar w:fldCharType="separate"/>
      </w:r>
      <w:r>
        <w:t>52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_Toc170305562 \h </w:instrText>
      </w:r>
      <w:r>
        <w:fldChar w:fldCharType="separate"/>
      </w:r>
      <w:r>
        <w:t>52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_Toc170305563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_Toc170305564 \h </w:instrText>
      </w:r>
      <w:r>
        <w:fldChar w:fldCharType="separate"/>
      </w:r>
      <w:r>
        <w:t>53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_Toc170305565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_Toc170305568 \h </w:instrText>
      </w:r>
      <w:r>
        <w:fldChar w:fldCharType="separate"/>
      </w:r>
      <w:r>
        <w:t>54</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_Toc170305569 \h </w:instrText>
      </w:r>
      <w:r>
        <w:fldChar w:fldCharType="separate"/>
      </w:r>
      <w:r>
        <w:t>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_Toc170305570 \h </w:instrText>
      </w:r>
      <w:r>
        <w:fldChar w:fldCharType="separate"/>
      </w:r>
      <w:r>
        <w:t>54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_Toc170305571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_Toc170305572 \h </w:instrText>
      </w:r>
      <w:r>
        <w:fldChar w:fldCharType="separate"/>
      </w:r>
      <w:r>
        <w:t>55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_Toc170305573 \h </w:instrText>
      </w:r>
      <w:r>
        <w:fldChar w:fldCharType="separate"/>
      </w:r>
      <w:r>
        <w:t>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_Toc170305574 \h </w:instrText>
      </w:r>
      <w:r>
        <w:fldChar w:fldCharType="separate"/>
      </w:r>
      <w:r>
        <w:t>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_Toc170305575 \h </w:instrText>
      </w:r>
      <w:r>
        <w:fldChar w:fldCharType="separate"/>
      </w:r>
      <w:r>
        <w:t>56</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_Toc170305576 \h </w:instrText>
      </w:r>
      <w:r>
        <w:fldChar w:fldCharType="separate"/>
      </w:r>
      <w:r>
        <w:t>56</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_Toc170305577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_Toc170305579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Licence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105J.</w:t>
      </w:r>
      <w:r>
        <w:tab/>
        <w:t>Terms used</w:t>
      </w:r>
      <w:r>
        <w:tab/>
      </w:r>
      <w:r>
        <w:fldChar w:fldCharType="begin"/>
      </w:r>
      <w:r>
        <w:instrText xml:space="preserve"> PAGEREF _Toc170305582 \h </w:instrText>
      </w:r>
      <w:r>
        <w:fldChar w:fldCharType="separate"/>
      </w:r>
      <w:r>
        <w:t>58</w:t>
      </w:r>
      <w:r>
        <w:fldChar w:fldCharType="end"/>
      </w:r>
    </w:p>
    <w:p>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_Toc170305583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Prescribed licence fees</w:t>
      </w:r>
    </w:p>
    <w:p>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_Toc170305585 \h </w:instrText>
      </w:r>
      <w:r>
        <w:fldChar w:fldCharType="separate"/>
      </w:r>
      <w:r>
        <w:t>61</w:t>
      </w:r>
      <w:r>
        <w:fldChar w:fldCharType="end"/>
      </w:r>
    </w:p>
    <w:p>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_Toc170305586 \h </w:instrText>
      </w:r>
      <w:r>
        <w:fldChar w:fldCharType="separate"/>
      </w:r>
      <w:r>
        <w:t>62</w:t>
      </w:r>
      <w:r>
        <w:fldChar w:fldCharType="end"/>
      </w:r>
    </w:p>
    <w:p>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_Toc170305587 \h </w:instrText>
      </w:r>
      <w:r>
        <w:fldChar w:fldCharType="separate"/>
      </w:r>
      <w:r>
        <w:t>62</w:t>
      </w:r>
      <w:r>
        <w:fldChar w:fldCharType="end"/>
      </w:r>
    </w:p>
    <w:p>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_Toc170305588 \h </w:instrText>
      </w:r>
      <w:r>
        <w:fldChar w:fldCharType="separate"/>
      </w:r>
      <w:r>
        <w:t>64</w:t>
      </w:r>
      <w:r>
        <w:fldChar w:fldCharType="end"/>
      </w:r>
    </w:p>
    <w:p>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_Toc170305589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_Toc170305591 \h </w:instrText>
      </w:r>
      <w:r>
        <w:fldChar w:fldCharType="separate"/>
      </w:r>
      <w:r>
        <w:t>65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_Toc170305592 \h </w:instrText>
      </w:r>
      <w:r>
        <w:fldChar w:fldCharType="separate"/>
      </w:r>
      <w:r>
        <w:t>65</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_Toc170305593 \h </w:instrText>
      </w:r>
      <w:r>
        <w:fldChar w:fldCharType="separate"/>
      </w:r>
      <w:r>
        <w:t>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_Toc170305594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Waiver and refund of fees</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_Toc170305596 \h </w:instrText>
      </w:r>
      <w:r>
        <w:fldChar w:fldCharType="separate"/>
      </w:r>
      <w:r>
        <w:t>67</w:t>
      </w:r>
      <w:r>
        <w:fldChar w:fldCharType="end"/>
      </w:r>
    </w:p>
    <w:p>
      <w:pPr>
        <w:pStyle w:val="TOC8"/>
        <w:rPr>
          <w:rFonts w:asciiTheme="minorHAnsi" w:eastAsiaTheme="minorEastAsia" w:hAnsiTheme="minorHAnsi" w:cstheme="minorBidi"/>
          <w:szCs w:val="22"/>
        </w:rPr>
      </w:pPr>
      <w:r>
        <w:t>110.</w:t>
      </w:r>
      <w:r>
        <w:tab/>
        <w:t>Authorised fee officers</w:t>
      </w:r>
      <w:r>
        <w:tab/>
      </w:r>
      <w:r>
        <w:fldChar w:fldCharType="begin"/>
      </w:r>
      <w:r>
        <w:instrText xml:space="preserve"> PAGEREF _Toc170305597 \h </w:instrText>
      </w:r>
      <w:r>
        <w:fldChar w:fldCharType="separate"/>
      </w:r>
      <w:r>
        <w:t>67</w:t>
      </w:r>
      <w:r>
        <w:fldChar w:fldCharType="end"/>
      </w:r>
    </w:p>
    <w:p>
      <w:pPr>
        <w:pStyle w:val="TOC8"/>
        <w:rPr>
          <w:rFonts w:asciiTheme="minorHAnsi" w:eastAsiaTheme="minorEastAsia" w:hAnsiTheme="minorHAnsi" w:cstheme="minorBidi"/>
          <w:szCs w:val="22"/>
        </w:rPr>
      </w:pPr>
      <w:r>
        <w:t>111.</w:t>
      </w:r>
      <w:r>
        <w:tab/>
        <w:t>Waiver of fees</w:t>
      </w:r>
      <w:r>
        <w:tab/>
      </w:r>
      <w:r>
        <w:fldChar w:fldCharType="begin"/>
      </w:r>
      <w:r>
        <w:instrText xml:space="preserve"> PAGEREF _Toc170305598 \h </w:instrText>
      </w:r>
      <w:r>
        <w:fldChar w:fldCharType="separate"/>
      </w:r>
      <w:r>
        <w:t>68</w:t>
      </w:r>
      <w:r>
        <w:fldChar w:fldCharType="end"/>
      </w:r>
    </w:p>
    <w:p>
      <w:pPr>
        <w:pStyle w:val="TOC8"/>
        <w:rPr>
          <w:rFonts w:asciiTheme="minorHAnsi" w:eastAsiaTheme="minorEastAsia" w:hAnsiTheme="minorHAnsi" w:cstheme="minorBidi"/>
          <w:szCs w:val="22"/>
        </w:rPr>
      </w:pPr>
      <w:r>
        <w:t>112.</w:t>
      </w:r>
      <w:r>
        <w:tab/>
        <w:t>Details of waivers to be accessible on website</w:t>
      </w:r>
      <w:r>
        <w:tab/>
      </w:r>
      <w:r>
        <w:fldChar w:fldCharType="begin"/>
      </w:r>
      <w:r>
        <w:instrText xml:space="preserve"> PAGEREF _Toc170305599 \h </w:instrText>
      </w:r>
      <w:r>
        <w:fldChar w:fldCharType="separate"/>
      </w:r>
      <w:r>
        <w:t>68</w:t>
      </w:r>
      <w:r>
        <w:fldChar w:fldCharType="end"/>
      </w:r>
    </w:p>
    <w:p>
      <w:pPr>
        <w:pStyle w:val="TOC8"/>
        <w:rPr>
          <w:rFonts w:asciiTheme="minorHAnsi" w:eastAsiaTheme="minorEastAsia" w:hAnsiTheme="minorHAnsi" w:cstheme="minorBidi"/>
          <w:szCs w:val="22"/>
        </w:rPr>
      </w:pPr>
      <w:r>
        <w:t>113.</w:t>
      </w:r>
      <w:r>
        <w:tab/>
        <w:t>Emergency waivers</w:t>
      </w:r>
      <w:r>
        <w:tab/>
      </w:r>
      <w:r>
        <w:fldChar w:fldCharType="begin"/>
      </w:r>
      <w:r>
        <w:instrText xml:space="preserve"> PAGEREF _Toc170305600 \h </w:instrText>
      </w:r>
      <w:r>
        <w:fldChar w:fldCharType="separate"/>
      </w:r>
      <w:r>
        <w:t>69</w:t>
      </w:r>
      <w:r>
        <w:fldChar w:fldCharType="end"/>
      </w:r>
    </w:p>
    <w:p>
      <w:pPr>
        <w:pStyle w:val="TOC8"/>
        <w:rPr>
          <w:rFonts w:asciiTheme="minorHAnsi" w:eastAsiaTheme="minorEastAsia" w:hAnsiTheme="minorHAnsi" w:cstheme="minorBidi"/>
          <w:szCs w:val="22"/>
        </w:rPr>
      </w:pPr>
      <w:r>
        <w:t>113A.</w:t>
      </w:r>
      <w:r>
        <w:tab/>
        <w:t>Partial waivers due to unavailable pens, berths or moorings</w:t>
      </w:r>
      <w:r>
        <w:tab/>
      </w:r>
      <w:r>
        <w:fldChar w:fldCharType="begin"/>
      </w:r>
      <w:r>
        <w:instrText xml:space="preserve"> PAGEREF _Toc170305601 \h </w:instrText>
      </w:r>
      <w:r>
        <w:fldChar w:fldCharType="separate"/>
      </w:r>
      <w:r>
        <w:t>69</w:t>
      </w:r>
      <w:r>
        <w:fldChar w:fldCharType="end"/>
      </w:r>
    </w:p>
    <w:p>
      <w:pPr>
        <w:pStyle w:val="TOC8"/>
        <w:rPr>
          <w:rFonts w:asciiTheme="minorHAnsi" w:eastAsiaTheme="minorEastAsia" w:hAnsiTheme="minorHAnsi" w:cstheme="minorBidi"/>
          <w:szCs w:val="22"/>
        </w:rPr>
      </w:pPr>
      <w:r>
        <w:t>114.</w:t>
      </w:r>
      <w:r>
        <w:tab/>
        <w:t>Effect of waiver or partial waiver</w:t>
      </w:r>
      <w:r>
        <w:tab/>
      </w:r>
      <w:r>
        <w:fldChar w:fldCharType="begin"/>
      </w:r>
      <w:r>
        <w:instrText xml:space="preserve"> PAGEREF _Toc170305602 \h </w:instrText>
      </w:r>
      <w:r>
        <w:fldChar w:fldCharType="separate"/>
      </w:r>
      <w:r>
        <w:t>70</w:t>
      </w:r>
      <w:r>
        <w:fldChar w:fldCharType="end"/>
      </w:r>
    </w:p>
    <w:p>
      <w:pPr>
        <w:pStyle w:val="TOC8"/>
        <w:rPr>
          <w:rFonts w:asciiTheme="minorHAnsi" w:eastAsiaTheme="minorEastAsia" w:hAnsiTheme="minorHAnsi" w:cstheme="minorBidi"/>
          <w:szCs w:val="22"/>
        </w:rPr>
      </w:pPr>
      <w:r>
        <w:t>115.</w:t>
      </w:r>
      <w:r>
        <w:tab/>
        <w:t>Refund of fees</w:t>
      </w:r>
      <w:r>
        <w:tab/>
      </w:r>
      <w:r>
        <w:fldChar w:fldCharType="begin"/>
      </w:r>
      <w:r>
        <w:instrText xml:space="preserve"> PAGEREF _Toc170305603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_Toc170305606 \h </w:instrText>
      </w:r>
      <w:r>
        <w:fldChar w:fldCharType="separate"/>
      </w:r>
      <w:r>
        <w:t>72</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_Toc170305607 \h </w:instrText>
      </w:r>
      <w:r>
        <w:fldChar w:fldCharType="separate"/>
      </w:r>
      <w:r>
        <w:t>72</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_Toc170305608 \h </w:instrText>
      </w:r>
      <w:r>
        <w:fldChar w:fldCharType="separate"/>
      </w:r>
      <w:r>
        <w:t>73</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_Toc170305609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_Toc170305611 \h </w:instrText>
      </w:r>
      <w:r>
        <w:fldChar w:fldCharType="separate"/>
      </w:r>
      <w:r>
        <w:t>74</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_Toc170305612 \h </w:instrText>
      </w:r>
      <w:r>
        <w:fldChar w:fldCharType="separate"/>
      </w:r>
      <w:r>
        <w:t>75</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_Toc170305613 \h </w:instrText>
      </w:r>
      <w:r>
        <w:fldChar w:fldCharType="separate"/>
      </w:r>
      <w:r>
        <w:t>76</w:t>
      </w:r>
      <w:r>
        <w:fldChar w:fldCharType="end"/>
      </w:r>
    </w:p>
    <w:p>
      <w:pPr>
        <w:pStyle w:val="TOC8"/>
        <w:rPr>
          <w:rFonts w:asciiTheme="minorHAnsi" w:eastAsiaTheme="minorEastAsia" w:hAnsiTheme="minorHAnsi" w:cstheme="minorBidi"/>
          <w:szCs w:val="22"/>
        </w:rPr>
      </w:pPr>
      <w:r>
        <w:t>8.</w:t>
      </w:r>
      <w:r>
        <w:tab/>
        <w:t>Bremer Bay</w:t>
      </w:r>
      <w:r>
        <w:tab/>
      </w:r>
      <w:r>
        <w:fldChar w:fldCharType="begin"/>
      </w:r>
      <w:r>
        <w:instrText xml:space="preserve"> PAGEREF _Toc170305614 \h </w:instrText>
      </w:r>
      <w:r>
        <w:fldChar w:fldCharType="separate"/>
      </w:r>
      <w:r>
        <w:t>76</w:t>
      </w:r>
      <w:r>
        <w:fldChar w:fldCharType="end"/>
      </w:r>
    </w:p>
    <w:p>
      <w:pPr>
        <w:pStyle w:val="TOC8"/>
        <w:rPr>
          <w:rFonts w:asciiTheme="minorHAnsi" w:eastAsiaTheme="minorEastAsia" w:hAnsiTheme="minorHAnsi" w:cstheme="minorBidi"/>
          <w:szCs w:val="22"/>
        </w:rPr>
      </w:pPr>
      <w:r>
        <w:t>9.</w:t>
      </w:r>
      <w:r>
        <w:tab/>
        <w:t>Bunbury, Casuarina Boat Harbour</w:t>
      </w:r>
      <w:r>
        <w:tab/>
      </w:r>
      <w:r>
        <w:fldChar w:fldCharType="begin"/>
      </w:r>
      <w:r>
        <w:instrText xml:space="preserve"> PAGEREF _Toc170305615 \h </w:instrText>
      </w:r>
      <w:r>
        <w:fldChar w:fldCharType="separate"/>
      </w:r>
      <w:r>
        <w:t>77</w:t>
      </w:r>
      <w:r>
        <w:fldChar w:fldCharType="end"/>
      </w:r>
    </w:p>
    <w:p>
      <w:pPr>
        <w:pStyle w:val="TOC8"/>
        <w:rPr>
          <w:rFonts w:asciiTheme="minorHAnsi" w:eastAsiaTheme="minorEastAsia" w:hAnsiTheme="minorHAnsi" w:cstheme="minorBidi"/>
          <w:szCs w:val="22"/>
        </w:rPr>
      </w:pPr>
      <w:r>
        <w:t>10.</w:t>
      </w:r>
      <w:r>
        <w:tab/>
        <w:t>Burswood Jetty</w:t>
      </w:r>
      <w:r>
        <w:tab/>
      </w:r>
      <w:r>
        <w:fldChar w:fldCharType="begin"/>
      </w:r>
      <w:r>
        <w:instrText xml:space="preserve"> PAGEREF _Toc170305616 \h </w:instrText>
      </w:r>
      <w:r>
        <w:fldChar w:fldCharType="separate"/>
      </w:r>
      <w:r>
        <w:t>78</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_Toc170305617 \h </w:instrText>
      </w:r>
      <w:r>
        <w:fldChar w:fldCharType="separate"/>
      </w:r>
      <w:r>
        <w:t>79</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_Toc170305618 \h </w:instrText>
      </w:r>
      <w:r>
        <w:fldChar w:fldCharType="separate"/>
      </w:r>
      <w:r>
        <w:t>80</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_Toc170305619 \h </w:instrText>
      </w:r>
      <w:r>
        <w:fldChar w:fldCharType="separate"/>
      </w:r>
      <w:r>
        <w:t>81</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_Toc170305620 \h </w:instrText>
      </w:r>
      <w:r>
        <w:fldChar w:fldCharType="separate"/>
      </w:r>
      <w:r>
        <w:t>81</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_Toc170305621 \h </w:instrText>
      </w:r>
      <w:r>
        <w:fldChar w:fldCharType="separate"/>
      </w:r>
      <w:r>
        <w:t>82</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_Toc170305622 \h </w:instrText>
      </w:r>
      <w:r>
        <w:fldChar w:fldCharType="separate"/>
      </w:r>
      <w:r>
        <w:t>83</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_Toc170305623 \h </w:instrText>
      </w:r>
      <w:r>
        <w:fldChar w:fldCharType="separate"/>
      </w:r>
      <w:r>
        <w:t>85</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_Toc170305624 \h </w:instrText>
      </w:r>
      <w:r>
        <w:fldChar w:fldCharType="separate"/>
      </w:r>
      <w:r>
        <w:t>86</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_Toc170305625 \h </w:instrText>
      </w:r>
      <w:r>
        <w:fldChar w:fldCharType="separate"/>
      </w:r>
      <w:r>
        <w:t>87</w:t>
      </w:r>
      <w:r>
        <w:fldChar w:fldCharType="end"/>
      </w:r>
    </w:p>
    <w:p>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_Toc170305626 \h </w:instrText>
      </w:r>
      <w:r>
        <w:fldChar w:fldCharType="separate"/>
      </w:r>
      <w:r>
        <w:t>88</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_Toc170305627 \h </w:instrText>
      </w:r>
      <w:r>
        <w:fldChar w:fldCharType="separate"/>
      </w:r>
      <w:r>
        <w:t>88</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_Toc170305628 \h </w:instrText>
      </w:r>
      <w:r>
        <w:fldChar w:fldCharType="separate"/>
      </w:r>
      <w:r>
        <w:t>89</w:t>
      </w:r>
      <w:r>
        <w:fldChar w:fldCharType="end"/>
      </w:r>
    </w:p>
    <w:p>
      <w:pPr>
        <w:pStyle w:val="TOC8"/>
        <w:rPr>
          <w:rFonts w:asciiTheme="minorHAnsi" w:eastAsiaTheme="minorEastAsia" w:hAnsiTheme="minorHAnsi" w:cstheme="minorBidi"/>
          <w:szCs w:val="22"/>
        </w:rPr>
      </w:pPr>
      <w:r>
        <w:t>24.</w:t>
      </w:r>
      <w:r>
        <w:tab/>
        <w:t>Leeman</w:t>
      </w:r>
      <w:r>
        <w:tab/>
      </w:r>
      <w:r>
        <w:fldChar w:fldCharType="begin"/>
      </w:r>
      <w:r>
        <w:instrText xml:space="preserve"> PAGEREF _Toc170305629 \h </w:instrText>
      </w:r>
      <w:r>
        <w:fldChar w:fldCharType="separate"/>
      </w:r>
      <w:r>
        <w:t>90</w:t>
      </w:r>
      <w:r>
        <w:fldChar w:fldCharType="end"/>
      </w:r>
    </w:p>
    <w:p>
      <w:pPr>
        <w:pStyle w:val="TOC8"/>
        <w:rPr>
          <w:rFonts w:asciiTheme="minorHAnsi" w:eastAsiaTheme="minorEastAsia" w:hAnsiTheme="minorHAnsi" w:cstheme="minorBidi"/>
          <w:szCs w:val="22"/>
        </w:rPr>
      </w:pPr>
      <w:r>
        <w:lastRenderedPageBreak/>
        <w:t>25.</w:t>
      </w:r>
      <w:r>
        <w:tab/>
        <w:t>Onslow, Beadon Creek Boat Harbour</w:t>
      </w:r>
      <w:r>
        <w:tab/>
      </w:r>
      <w:r>
        <w:fldChar w:fldCharType="begin"/>
      </w:r>
      <w:r>
        <w:instrText xml:space="preserve"> PAGEREF _Toc170305630 \h </w:instrText>
      </w:r>
      <w:r>
        <w:fldChar w:fldCharType="separate"/>
      </w:r>
      <w:r>
        <w:t>90</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_Toc170305631 \h </w:instrText>
      </w:r>
      <w:r>
        <w:fldChar w:fldCharType="separate"/>
      </w:r>
      <w:r>
        <w:t>92</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_Toc170305632 \h </w:instrText>
      </w:r>
      <w:r>
        <w:fldChar w:fldCharType="separate"/>
      </w:r>
      <w:r>
        <w:t>94</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_Toc170305633 \h </w:instrText>
      </w:r>
      <w:r>
        <w:fldChar w:fldCharType="separate"/>
      </w:r>
      <w:r>
        <w:t>94</w:t>
      </w:r>
      <w:r>
        <w:fldChar w:fldCharType="end"/>
      </w:r>
    </w:p>
    <w:p>
      <w:pPr>
        <w:pStyle w:val="TOC8"/>
        <w:rPr>
          <w:rFonts w:asciiTheme="minorHAnsi" w:eastAsiaTheme="minorEastAsia" w:hAnsiTheme="minorHAnsi" w:cstheme="minorBidi"/>
          <w:szCs w:val="22"/>
        </w:rPr>
      </w:pPr>
      <w:r>
        <w:t>28A.</w:t>
      </w:r>
      <w:r>
        <w:tab/>
        <w:t>Port Hedland, Spoilbank Marina</w:t>
      </w:r>
      <w:r>
        <w:tab/>
      </w:r>
      <w:r>
        <w:fldChar w:fldCharType="begin"/>
      </w:r>
      <w:r>
        <w:instrText xml:space="preserve"> PAGEREF _Toc170305634 \h </w:instrText>
      </w:r>
      <w:r>
        <w:fldChar w:fldCharType="separate"/>
      </w:r>
      <w:r>
        <w:t>95</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_Toc170305635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30.</w:t>
      </w:r>
      <w:r>
        <w:tab/>
        <w:t>Living on vessel</w:t>
      </w:r>
      <w:r>
        <w:tab/>
      </w:r>
      <w:r>
        <w:fldChar w:fldCharType="begin"/>
      </w:r>
      <w:r>
        <w:instrText xml:space="preserve"> PAGEREF _Toc170305637 \h </w:instrText>
      </w:r>
      <w:r>
        <w:fldChar w:fldCharType="separate"/>
      </w:r>
      <w:r>
        <w:t>98</w:t>
      </w:r>
      <w:r>
        <w:fldChar w:fldCharType="end"/>
      </w:r>
    </w:p>
    <w:p>
      <w:pPr>
        <w:pStyle w:val="TOC8"/>
        <w:rPr>
          <w:rFonts w:asciiTheme="minorHAnsi" w:eastAsiaTheme="minorEastAsia" w:hAnsiTheme="minorHAnsi" w:cstheme="minorBidi"/>
          <w:szCs w:val="22"/>
        </w:rPr>
      </w:pPr>
      <w:r>
        <w:t>31.</w:t>
      </w:r>
      <w:r>
        <w:tab/>
        <w:t>Electricity supply</w:t>
      </w:r>
      <w:r>
        <w:tab/>
      </w:r>
      <w:r>
        <w:fldChar w:fldCharType="begin"/>
      </w:r>
      <w:r>
        <w:instrText xml:space="preserve"> PAGEREF _Toc170305638 \h </w:instrText>
      </w:r>
      <w:r>
        <w:fldChar w:fldCharType="separate"/>
      </w:r>
      <w:r>
        <w:t>98</w:t>
      </w:r>
      <w:r>
        <w:fldChar w:fldCharType="end"/>
      </w:r>
    </w:p>
    <w:p>
      <w:pPr>
        <w:pStyle w:val="TOC8"/>
        <w:rPr>
          <w:rFonts w:asciiTheme="minorHAnsi" w:eastAsiaTheme="minorEastAsia" w:hAnsiTheme="minorHAnsi" w:cstheme="minorBidi"/>
          <w:szCs w:val="22"/>
        </w:rPr>
      </w:pPr>
      <w:r>
        <w:t>32.</w:t>
      </w:r>
      <w:r>
        <w:tab/>
        <w:t>Water supply</w:t>
      </w:r>
      <w:r>
        <w:tab/>
      </w:r>
      <w:r>
        <w:fldChar w:fldCharType="begin"/>
      </w:r>
      <w:r>
        <w:instrText xml:space="preserve"> PAGEREF _Toc170305639 \h </w:instrText>
      </w:r>
      <w:r>
        <w:fldChar w:fldCharType="separate"/>
      </w:r>
      <w:r>
        <w:t>99</w:t>
      </w:r>
      <w:r>
        <w:fldChar w:fldCharType="end"/>
      </w:r>
    </w:p>
    <w:p>
      <w:pPr>
        <w:pStyle w:val="TOC8"/>
        <w:rPr>
          <w:rFonts w:asciiTheme="minorHAnsi" w:eastAsiaTheme="minorEastAsia" w:hAnsiTheme="minorHAnsi" w:cstheme="minorBidi"/>
          <w:szCs w:val="22"/>
        </w:rPr>
      </w:pPr>
      <w:r>
        <w:t>33.</w:t>
      </w:r>
      <w:r>
        <w:tab/>
        <w:t>Rubbish removal</w:t>
      </w:r>
      <w:r>
        <w:tab/>
      </w:r>
      <w:r>
        <w:fldChar w:fldCharType="begin"/>
      </w:r>
      <w:r>
        <w:instrText xml:space="preserve"> PAGEREF _Toc170305640 \h </w:instrText>
      </w:r>
      <w:r>
        <w:fldChar w:fldCharType="separate"/>
      </w:r>
      <w:r>
        <w:t>99</w:t>
      </w:r>
      <w:r>
        <w:fldChar w:fldCharType="end"/>
      </w:r>
    </w:p>
    <w:p>
      <w:pPr>
        <w:pStyle w:val="TOC8"/>
        <w:rPr>
          <w:rFonts w:asciiTheme="minorHAnsi" w:eastAsiaTheme="minorEastAsia" w:hAnsiTheme="minorHAnsi" w:cstheme="minorBidi"/>
          <w:szCs w:val="22"/>
        </w:rPr>
      </w:pPr>
      <w:r>
        <w:t>34.</w:t>
      </w:r>
      <w:r>
        <w:tab/>
        <w:t>Passengers and cargo</w:t>
      </w:r>
      <w:r>
        <w:tab/>
      </w:r>
      <w:r>
        <w:fldChar w:fldCharType="begin"/>
      </w:r>
      <w:r>
        <w:instrText xml:space="preserve"> PAGEREF _Toc170305641 \h </w:instrText>
      </w:r>
      <w:r>
        <w:fldChar w:fldCharType="separate"/>
      </w:r>
      <w:r>
        <w:t>99</w:t>
      </w:r>
      <w:r>
        <w:fldChar w:fldCharType="end"/>
      </w:r>
    </w:p>
    <w:p>
      <w:pPr>
        <w:pStyle w:val="TOC8"/>
        <w:rPr>
          <w:rFonts w:asciiTheme="minorHAnsi" w:eastAsiaTheme="minorEastAsia" w:hAnsiTheme="minorHAnsi" w:cstheme="minorBidi"/>
          <w:szCs w:val="22"/>
        </w:rPr>
      </w:pPr>
      <w:r>
        <w:t>35.</w:t>
      </w:r>
      <w:r>
        <w:tab/>
        <w:t>Floating dinghy pens</w:t>
      </w:r>
      <w:r>
        <w:tab/>
      </w:r>
      <w:r>
        <w:fldChar w:fldCharType="begin"/>
      </w:r>
      <w:r>
        <w:instrText xml:space="preserve"> PAGEREF _Toc170305642 \h </w:instrText>
      </w:r>
      <w:r>
        <w:fldChar w:fldCharType="separate"/>
      </w:r>
      <w:r>
        <w:t>100</w:t>
      </w:r>
      <w:r>
        <w:fldChar w:fldCharType="end"/>
      </w:r>
    </w:p>
    <w:p>
      <w:pPr>
        <w:pStyle w:val="TOC8"/>
        <w:rPr>
          <w:rFonts w:asciiTheme="minorHAnsi" w:eastAsiaTheme="minorEastAsia" w:hAnsiTheme="minorHAnsi" w:cstheme="minorBidi"/>
          <w:szCs w:val="22"/>
        </w:rPr>
      </w:pPr>
      <w:r>
        <w:t>36.</w:t>
      </w:r>
      <w:r>
        <w:tab/>
        <w:t>Use of jetty hardstand or appurtenant area</w:t>
      </w:r>
      <w:r>
        <w:tab/>
      </w:r>
      <w:r>
        <w:fldChar w:fldCharType="begin"/>
      </w:r>
      <w:r>
        <w:instrText xml:space="preserve"> PAGEREF _Toc170305643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_Toc170305645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_Toc170305648 \h </w:instrText>
      </w:r>
      <w:r>
        <w:fldChar w:fldCharType="separate"/>
      </w:r>
      <w:r>
        <w:t>103</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_Toc170305649 \h </w:instrText>
      </w:r>
      <w:r>
        <w:fldChar w:fldCharType="separate"/>
      </w:r>
      <w:r>
        <w:t>103</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_Toc170305650 \h </w:instrText>
      </w:r>
      <w:r>
        <w:fldChar w:fldCharType="separate"/>
      </w:r>
      <w:r>
        <w:t>104</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_Toc170305651 \h </w:instrText>
      </w:r>
      <w:r>
        <w:fldChar w:fldCharType="separate"/>
      </w:r>
      <w:r>
        <w:t>104</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_Toc170305652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_Toc170305654 \h </w:instrText>
      </w:r>
      <w:r>
        <w:fldChar w:fldCharType="separate"/>
      </w:r>
      <w:r>
        <w:t>105</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_Toc170305655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_Toc170305657 \h </w:instrText>
      </w:r>
      <w:r>
        <w:fldChar w:fldCharType="separate"/>
      </w:r>
      <w:r>
        <w:t>106</w:t>
      </w:r>
      <w:r>
        <w:fldChar w:fldCharType="end"/>
      </w:r>
    </w:p>
    <w:p>
      <w:pPr>
        <w:pStyle w:val="TOC8"/>
        <w:rPr>
          <w:rFonts w:asciiTheme="minorHAnsi" w:eastAsiaTheme="minorEastAsia" w:hAnsiTheme="minorHAnsi" w:cstheme="minorBidi"/>
          <w:szCs w:val="22"/>
        </w:rPr>
      </w:pPr>
      <w:r>
        <w:t>8A.</w:t>
      </w:r>
      <w:r>
        <w:tab/>
        <w:t>Fremantle Fishing Boat Harbour</w:t>
      </w:r>
      <w:r>
        <w:tab/>
      </w:r>
      <w:r>
        <w:fldChar w:fldCharType="begin"/>
      </w:r>
      <w:r>
        <w:instrText xml:space="preserve"> PAGEREF _Toc170305658 \h </w:instrText>
      </w:r>
      <w:r>
        <w:fldChar w:fldCharType="separate"/>
      </w:r>
      <w:r>
        <w:t>107</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_Toc170305659 \h </w:instrText>
      </w:r>
      <w:r>
        <w:fldChar w:fldCharType="separate"/>
      </w:r>
      <w:r>
        <w:t>108</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_Toc170305660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_Toc170305663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_Toc170305664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2" w:name="_Toc170215583"/>
      <w:bookmarkStart w:id="3" w:name="_Toc170225298"/>
      <w:bookmarkStart w:id="4" w:name="_Toc170305442"/>
      <w:r>
        <w:rPr>
          <w:rStyle w:val="CharPartNo"/>
        </w:rPr>
        <w:t>Part 1A</w:t>
      </w:r>
      <w:r>
        <w:rPr>
          <w:b w:val="0"/>
        </w:rPr>
        <w:t> </w:t>
      </w:r>
      <w:r>
        <w:t>—</w:t>
      </w:r>
      <w:r>
        <w:rPr>
          <w:b w:val="0"/>
        </w:rPr>
        <w:t> </w:t>
      </w:r>
      <w:r>
        <w:rPr>
          <w:rStyle w:val="CharPartText"/>
        </w:rPr>
        <w:t>Preliminary</w:t>
      </w:r>
      <w:bookmarkEnd w:id="2"/>
      <w:bookmarkEnd w:id="3"/>
      <w:bookmarkEnd w:id="4"/>
    </w:p>
    <w:p>
      <w:pPr>
        <w:pStyle w:val="Footnoteheading"/>
      </w:pPr>
      <w:r>
        <w:tab/>
        <w:t>[Heading inserted: Gazette 25 May 2018 p. 1669.]</w:t>
      </w:r>
    </w:p>
    <w:p>
      <w:pPr>
        <w:pStyle w:val="Heading5"/>
        <w:rPr>
          <w:snapToGrid w:val="0"/>
        </w:rPr>
      </w:pPr>
      <w:bookmarkStart w:id="5" w:name="_Toc170305443"/>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6" w:name="_Toc170305444"/>
      <w:r>
        <w:rPr>
          <w:rStyle w:val="CharSectno"/>
        </w:rPr>
        <w:t>2</w:t>
      </w:r>
      <w:r>
        <w:t>.</w:t>
      </w:r>
      <w:r>
        <w:tab/>
        <w:t>Liability for dues and charges</w:t>
      </w:r>
      <w:bookmarkEnd w:id="6"/>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Ednotesection"/>
        <w:spacing w:before="180"/>
      </w:pPr>
      <w:r>
        <w:t>[</w:t>
      </w:r>
      <w:r>
        <w:rPr>
          <w:b/>
        </w:rPr>
        <w:t>2A.</w:t>
      </w:r>
      <w:r>
        <w:tab/>
        <w:t xml:space="preserve">Deleted: SL 2023/43 r. 4.] </w:t>
      </w:r>
    </w:p>
    <w:p>
      <w:pPr>
        <w:pStyle w:val="Heading5"/>
        <w:rPr>
          <w:snapToGrid w:val="0"/>
        </w:rPr>
      </w:pPr>
      <w:bookmarkStart w:id="7" w:name="_Toc170305445"/>
      <w:r>
        <w:rPr>
          <w:rStyle w:val="CharSectno"/>
        </w:rPr>
        <w:t>3</w:t>
      </w:r>
      <w:r>
        <w:rPr>
          <w:snapToGrid w:val="0"/>
        </w:rPr>
        <w:t>.</w:t>
      </w:r>
      <w:r>
        <w:rPr>
          <w:snapToGrid w:val="0"/>
        </w:rPr>
        <w:tab/>
        <w:t>Terms used</w:t>
      </w:r>
      <w:bookmarkEnd w:id="7"/>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lastRenderedPageBreak/>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lastRenderedPageBreak/>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SL 2024/56 r. 4.] </w:t>
      </w:r>
    </w:p>
    <w:p>
      <w:pPr>
        <w:pStyle w:val="Heading2"/>
      </w:pPr>
      <w:bookmarkStart w:id="8" w:name="_Toc170215587"/>
      <w:bookmarkStart w:id="9" w:name="_Toc170225302"/>
      <w:bookmarkStart w:id="10" w:name="_Toc170305446"/>
      <w:r>
        <w:rPr>
          <w:rStyle w:val="CharPartNo"/>
        </w:rPr>
        <w:lastRenderedPageBreak/>
        <w:t>Part 1</w:t>
      </w:r>
      <w:r>
        <w:t> — </w:t>
      </w:r>
      <w:r>
        <w:rPr>
          <w:rStyle w:val="CharPartText"/>
        </w:rPr>
        <w:t>Regulations applying to jetties controlled by the Department</w:t>
      </w:r>
      <w:bookmarkEnd w:id="8"/>
      <w:bookmarkEnd w:id="9"/>
      <w:bookmarkEnd w:id="10"/>
      <w:r>
        <w:rPr>
          <w:rStyle w:val="CharPartText"/>
        </w:rPr>
        <w:t xml:space="preserve"> </w:t>
      </w:r>
    </w:p>
    <w:p>
      <w:pPr>
        <w:pStyle w:val="Footnoteheading"/>
      </w:pPr>
      <w:r>
        <w:tab/>
        <w:t xml:space="preserve">[Heading inserted: Gazette 19 May 1989 p. 1494.] </w:t>
      </w:r>
    </w:p>
    <w:p>
      <w:pPr>
        <w:pStyle w:val="Heading3"/>
        <w:rPr>
          <w:snapToGrid w:val="0"/>
        </w:rPr>
      </w:pPr>
      <w:bookmarkStart w:id="11" w:name="_Toc170215588"/>
      <w:bookmarkStart w:id="12" w:name="_Toc170225303"/>
      <w:bookmarkStart w:id="13" w:name="_Toc170305447"/>
      <w:r>
        <w:rPr>
          <w:rStyle w:val="CharDivNo"/>
        </w:rPr>
        <w:t>Division 1</w:t>
      </w:r>
      <w:r>
        <w:rPr>
          <w:snapToGrid w:val="0"/>
        </w:rPr>
        <w:t> — </w:t>
      </w:r>
      <w:r>
        <w:rPr>
          <w:rStyle w:val="CharDivText"/>
        </w:rPr>
        <w:t>Application of this Part</w:t>
      </w:r>
      <w:bookmarkEnd w:id="11"/>
      <w:bookmarkEnd w:id="12"/>
      <w:bookmarkEnd w:id="13"/>
      <w:r>
        <w:rPr>
          <w:rStyle w:val="CharDivText"/>
        </w:rPr>
        <w:t xml:space="preserve"> </w:t>
      </w:r>
    </w:p>
    <w:p>
      <w:pPr>
        <w:pStyle w:val="Footnoteheading"/>
      </w:pPr>
      <w:r>
        <w:tab/>
        <w:t xml:space="preserve">[Heading inserted: Gazette 19 May 1989 p. 1494.] </w:t>
      </w:r>
    </w:p>
    <w:p>
      <w:pPr>
        <w:pStyle w:val="Heading5"/>
        <w:rPr>
          <w:snapToGrid w:val="0"/>
        </w:rPr>
      </w:pPr>
      <w:bookmarkStart w:id="14" w:name="_Toc170305448"/>
      <w:r>
        <w:rPr>
          <w:rStyle w:val="CharSectno"/>
        </w:rPr>
        <w:t>3A</w:t>
      </w:r>
      <w:r>
        <w:rPr>
          <w:snapToGrid w:val="0"/>
        </w:rPr>
        <w:t>.</w:t>
      </w:r>
      <w:r>
        <w:rPr>
          <w:snapToGrid w:val="0"/>
        </w:rPr>
        <w:tab/>
        <w:t>Application</w:t>
      </w:r>
      <w:bookmarkEnd w:id="1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15" w:name="_Toc170215590"/>
      <w:bookmarkStart w:id="16" w:name="_Toc170225305"/>
      <w:bookmarkStart w:id="17" w:name="_Toc170305449"/>
      <w:r>
        <w:rPr>
          <w:rStyle w:val="CharDivNo"/>
        </w:rPr>
        <w:t>Division 2</w:t>
      </w:r>
      <w:r>
        <w:rPr>
          <w:snapToGrid w:val="0"/>
        </w:rPr>
        <w:t> — </w:t>
      </w:r>
      <w:r>
        <w:rPr>
          <w:rStyle w:val="CharDivText"/>
        </w:rPr>
        <w:t>Arrival and movement of vessels</w:t>
      </w:r>
      <w:bookmarkEnd w:id="15"/>
      <w:bookmarkEnd w:id="16"/>
      <w:bookmarkEnd w:id="17"/>
      <w:r>
        <w:rPr>
          <w:rStyle w:val="CharDivText"/>
        </w:rPr>
        <w:t xml:space="preserve"> </w:t>
      </w:r>
    </w:p>
    <w:p>
      <w:pPr>
        <w:pStyle w:val="Footnoteheading"/>
      </w:pPr>
      <w:r>
        <w:tab/>
        <w:t xml:space="preserve">[Heading inserted: Gazette 19 May 1989 p. 1494.] </w:t>
      </w:r>
    </w:p>
    <w:p>
      <w:pPr>
        <w:pStyle w:val="Heading5"/>
        <w:rPr>
          <w:snapToGrid w:val="0"/>
        </w:rPr>
      </w:pPr>
      <w:bookmarkStart w:id="18" w:name="_Toc170305450"/>
      <w:r>
        <w:rPr>
          <w:rStyle w:val="CharSectno"/>
        </w:rPr>
        <w:t>4</w:t>
      </w:r>
      <w:r>
        <w:rPr>
          <w:snapToGrid w:val="0"/>
        </w:rPr>
        <w:t>.</w:t>
      </w:r>
      <w:r>
        <w:rPr>
          <w:snapToGrid w:val="0"/>
        </w:rPr>
        <w:tab/>
        <w:t>Master or agent to report arrival</w:t>
      </w:r>
      <w:bookmarkEnd w:id="18"/>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19" w:name="_Toc170305451"/>
      <w:r>
        <w:rPr>
          <w:rStyle w:val="CharSectno"/>
        </w:rPr>
        <w:t>5</w:t>
      </w:r>
      <w:r>
        <w:rPr>
          <w:snapToGrid w:val="0"/>
        </w:rPr>
        <w:t>.</w:t>
      </w:r>
      <w:r>
        <w:rPr>
          <w:snapToGrid w:val="0"/>
        </w:rPr>
        <w:tab/>
        <w:t>Vessels to change berths</w:t>
      </w:r>
      <w:bookmarkEnd w:id="1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20" w:name="_Toc170215593"/>
      <w:bookmarkStart w:id="21" w:name="_Toc170225308"/>
      <w:bookmarkStart w:id="22" w:name="_Toc170305452"/>
      <w:r>
        <w:rPr>
          <w:rStyle w:val="CharDivNo"/>
        </w:rPr>
        <w:lastRenderedPageBreak/>
        <w:t>Division 3</w:t>
      </w:r>
      <w:r>
        <w:rPr>
          <w:snapToGrid w:val="0"/>
        </w:rPr>
        <w:t> — </w:t>
      </w:r>
      <w:r>
        <w:rPr>
          <w:rStyle w:val="CharDivText"/>
        </w:rPr>
        <w:t>Berthing dues</w:t>
      </w:r>
      <w:bookmarkEnd w:id="20"/>
      <w:bookmarkEnd w:id="21"/>
      <w:bookmarkEnd w:id="22"/>
      <w:r>
        <w:rPr>
          <w:rStyle w:val="CharDivText"/>
        </w:rPr>
        <w:t xml:space="preserve"> </w:t>
      </w:r>
    </w:p>
    <w:p>
      <w:pPr>
        <w:pStyle w:val="Footnoteheading"/>
        <w:keepNext/>
        <w:keepLines/>
      </w:pPr>
      <w:r>
        <w:tab/>
        <w:t xml:space="preserve">[Heading inserted: Gazette 19 May 1989 p. 1494.] </w:t>
      </w:r>
    </w:p>
    <w:p>
      <w:pPr>
        <w:pStyle w:val="Heading5"/>
      </w:pPr>
      <w:bookmarkStart w:id="23" w:name="_Toc170305453"/>
      <w:r>
        <w:rPr>
          <w:rStyle w:val="CharSectno"/>
        </w:rPr>
        <w:t>6</w:t>
      </w:r>
      <w:r>
        <w:t>.</w:t>
      </w:r>
      <w:r>
        <w:tab/>
        <w:t>Berthing dues</w:t>
      </w:r>
      <w:bookmarkEnd w:id="23"/>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(ia)</w:t>
      </w:r>
      <w:r>
        <w:tab/>
        <w:t>by a recreational vessel that is 25 m or more in length — an amount calculated using standard Rate 1 set out in Schedule 1 clause 1;</w:t>
      </w:r>
    </w:p>
    <w:p>
      <w:pPr>
        <w:pStyle w:val="Indenti"/>
      </w:pPr>
      <w:r>
        <w:tab/>
        <w:t>(ii)</w:t>
      </w:r>
      <w:r>
        <w:tab/>
        <w:t>by a recreational vessel that is less than 25 m in length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 xml:space="preserve">In respect of a vessel lying alongside a jetty for the purposes of transhipping cargo to or from a lighter or other vessel, a berthing due is payable as if the cargo had been landed on or </w:t>
      </w:r>
      <w:r>
        <w:lastRenderedPageBreak/>
        <w:t>taken off the jetty in place of being taken from or placed in the lighter or other vessel.</w:t>
      </w:r>
    </w:p>
    <w:p>
      <w:pPr>
        <w:pStyle w:val="Footnotesection"/>
      </w:pPr>
      <w:r>
        <w:tab/>
        <w:t>[Regulation 6 inserted: Gazette 25 Jul 2014 p. 2610-11; amended: Gazette 22 Jul 2015 p. 2952; 25 May 2018 p. 1670; 31 May 2019 p. 1756; SL 2023/43 r. 5.]</w:t>
      </w:r>
    </w:p>
    <w:p>
      <w:pPr>
        <w:pStyle w:val="Heading5"/>
      </w:pPr>
      <w:bookmarkStart w:id="24" w:name="_Toc170305454"/>
      <w:r>
        <w:rPr>
          <w:rStyle w:val="CharSectno"/>
        </w:rPr>
        <w:t>6A</w:t>
      </w:r>
      <w:r>
        <w:t>.</w:t>
      </w:r>
      <w:r>
        <w:tab/>
        <w:t>Requirement to pay berthing dues</w:t>
      </w:r>
      <w:bookmarkEnd w:id="24"/>
    </w:p>
    <w:p>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pPr>
        <w:pStyle w:val="Subsection"/>
      </w:pPr>
      <w:r>
        <w:tab/>
        <w:t>(2)</w:t>
      </w:r>
      <w:r>
        <w:tab/>
        <w:t>A person given a notice under subregulation (1) must pay the berthing dues specified in the notice on or before the day specified in the notice.</w:t>
      </w:r>
    </w:p>
    <w:p>
      <w:pPr>
        <w:pStyle w:val="Penstart"/>
      </w:pPr>
      <w:r>
        <w:tab/>
        <w:t>Penalty for this subregulation: a fine of $500.</w:t>
      </w:r>
    </w:p>
    <w:p>
      <w:pPr>
        <w:pStyle w:val="Subsection"/>
      </w:pPr>
      <w:r>
        <w:tab/>
        <w:t>(3)</w:t>
      </w:r>
      <w:r>
        <w:tab/>
        <w:t>Subregulation (2) does not apply if the person and the Department have agreed in writing that the person will pay the berthing dues specified in the notice on a day after the day specified in the notice.</w:t>
      </w:r>
    </w:p>
    <w:p>
      <w:pPr>
        <w:pStyle w:val="Footnotesection"/>
      </w:pPr>
      <w:r>
        <w:tab/>
        <w:t xml:space="preserve">[Regulation 6A inserted: SL 2023/43 r. 6.] </w:t>
      </w:r>
    </w:p>
    <w:p>
      <w:pPr>
        <w:pStyle w:val="Heading5"/>
        <w:rPr>
          <w:snapToGrid w:val="0"/>
        </w:rPr>
      </w:pPr>
      <w:bookmarkStart w:id="25" w:name="_Toc170305455"/>
      <w:r>
        <w:rPr>
          <w:rStyle w:val="CharSectno"/>
        </w:rPr>
        <w:t>7</w:t>
      </w:r>
      <w:r>
        <w:rPr>
          <w:snapToGrid w:val="0"/>
        </w:rPr>
        <w:t>.</w:t>
      </w:r>
      <w:r>
        <w:rPr>
          <w:snapToGrid w:val="0"/>
        </w:rPr>
        <w:tab/>
        <w:t>Computation of berthing dues</w:t>
      </w:r>
      <w:bookmarkEnd w:id="2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26" w:name="_Toc170215597"/>
      <w:bookmarkStart w:id="27" w:name="_Toc170225312"/>
      <w:bookmarkStart w:id="28" w:name="_Toc170305456"/>
      <w:r>
        <w:rPr>
          <w:rStyle w:val="CharDivNo"/>
        </w:rPr>
        <w:lastRenderedPageBreak/>
        <w:t>Division 3A</w:t>
      </w:r>
      <w:r>
        <w:t> — </w:t>
      </w:r>
      <w:r>
        <w:rPr>
          <w:rStyle w:val="CharDivText"/>
        </w:rPr>
        <w:t>Manifests</w:t>
      </w:r>
      <w:bookmarkEnd w:id="26"/>
      <w:bookmarkEnd w:id="27"/>
      <w:bookmarkEnd w:id="28"/>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29" w:name="_Toc170305457"/>
      <w:r>
        <w:rPr>
          <w:rStyle w:val="CharSectno"/>
        </w:rPr>
        <w:t>8</w:t>
      </w:r>
      <w:r>
        <w:rPr>
          <w:snapToGrid w:val="0"/>
        </w:rPr>
        <w:t>.</w:t>
      </w:r>
      <w:r>
        <w:rPr>
          <w:snapToGrid w:val="0"/>
        </w:rPr>
        <w:tab/>
        <w:t>Inwards manifests</w:t>
      </w:r>
      <w:bookmarkEnd w:id="29"/>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30" w:name="_Toc170305458"/>
      <w:r>
        <w:rPr>
          <w:rStyle w:val="CharSectno"/>
        </w:rPr>
        <w:t>9</w:t>
      </w:r>
      <w:r>
        <w:rPr>
          <w:snapToGrid w:val="0"/>
        </w:rPr>
        <w:t>.</w:t>
      </w:r>
      <w:r>
        <w:rPr>
          <w:snapToGrid w:val="0"/>
        </w:rPr>
        <w:tab/>
        <w:t>Outwards manifests</w:t>
      </w:r>
      <w:bookmarkEnd w:id="30"/>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31" w:name="_Toc170215600"/>
      <w:bookmarkStart w:id="32" w:name="_Toc170225315"/>
      <w:bookmarkStart w:id="33" w:name="_Toc170305459"/>
      <w:r>
        <w:rPr>
          <w:rStyle w:val="CharDivNo"/>
        </w:rPr>
        <w:t>Division 4</w:t>
      </w:r>
      <w:r>
        <w:rPr>
          <w:snapToGrid w:val="0"/>
        </w:rPr>
        <w:t> — </w:t>
      </w:r>
      <w:r>
        <w:rPr>
          <w:rStyle w:val="CharDivText"/>
        </w:rPr>
        <w:t>Wharfage dues, handling and haulage charges</w:t>
      </w:r>
      <w:bookmarkEnd w:id="31"/>
      <w:bookmarkEnd w:id="32"/>
      <w:bookmarkEnd w:id="33"/>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34" w:name="_Toc170305460"/>
      <w:r>
        <w:rPr>
          <w:rStyle w:val="CharSectno"/>
        </w:rPr>
        <w:t>10A</w:t>
      </w:r>
      <w:r>
        <w:rPr>
          <w:snapToGrid w:val="0"/>
        </w:rPr>
        <w:t>.</w:t>
      </w:r>
      <w:r>
        <w:rPr>
          <w:snapToGrid w:val="0"/>
        </w:rPr>
        <w:tab/>
        <w:t>Payment of dues and charges</w:t>
      </w:r>
      <w:bookmarkEnd w:id="34"/>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35" w:name="_Toc170305461"/>
      <w:r>
        <w:rPr>
          <w:rStyle w:val="CharSectno"/>
        </w:rPr>
        <w:t>11</w:t>
      </w:r>
      <w:r>
        <w:rPr>
          <w:snapToGrid w:val="0"/>
        </w:rPr>
        <w:t>.</w:t>
      </w:r>
      <w:r>
        <w:rPr>
          <w:snapToGrid w:val="0"/>
        </w:rPr>
        <w:tab/>
        <w:t>Charges for transhipment cargo</w:t>
      </w:r>
      <w:bookmarkEnd w:id="3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36" w:name="_Toc170305462"/>
      <w:r>
        <w:rPr>
          <w:rStyle w:val="CharSectno"/>
        </w:rPr>
        <w:t>11B</w:t>
      </w:r>
      <w:r>
        <w:rPr>
          <w:snapToGrid w:val="0"/>
        </w:rPr>
        <w:t>.</w:t>
      </w:r>
      <w:r>
        <w:rPr>
          <w:snapToGrid w:val="0"/>
        </w:rPr>
        <w:tab/>
        <w:t>Charges on vessels’ stores, including fuel oil</w:t>
      </w:r>
      <w:bookmarkEnd w:id="36"/>
      <w:r>
        <w:rPr>
          <w:snapToGrid w:val="0"/>
        </w:rPr>
        <w:t xml:space="preserve"> </w:t>
      </w:r>
    </w:p>
    <w:p>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Ednotesection"/>
        <w:spacing w:before="180"/>
      </w:pPr>
      <w:r>
        <w:t>[</w:t>
      </w:r>
      <w:r>
        <w:rPr>
          <w:b/>
        </w:rPr>
        <w:t>12.</w:t>
      </w:r>
      <w:r>
        <w:tab/>
        <w:t xml:space="preserve">Deleted: SL 2023/43 r. 7.] </w:t>
      </w:r>
    </w:p>
    <w:p>
      <w:pPr>
        <w:pStyle w:val="Heading5"/>
        <w:rPr>
          <w:snapToGrid w:val="0"/>
        </w:rPr>
      </w:pPr>
      <w:bookmarkStart w:id="37" w:name="_Toc170305463"/>
      <w:r>
        <w:rPr>
          <w:rStyle w:val="CharSectno"/>
        </w:rPr>
        <w:t>13</w:t>
      </w:r>
      <w:r>
        <w:rPr>
          <w:snapToGrid w:val="0"/>
        </w:rPr>
        <w:t>.</w:t>
      </w:r>
      <w:r>
        <w:rPr>
          <w:snapToGrid w:val="0"/>
        </w:rPr>
        <w:tab/>
        <w:t>Extra charges</w:t>
      </w:r>
      <w:bookmarkEnd w:id="37"/>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38" w:name="_Toc170215605"/>
      <w:bookmarkStart w:id="39" w:name="_Toc170225320"/>
      <w:bookmarkStart w:id="40" w:name="_Toc170305464"/>
      <w:r>
        <w:rPr>
          <w:rStyle w:val="CharDivNo"/>
        </w:rPr>
        <w:lastRenderedPageBreak/>
        <w:t>Division 5</w:t>
      </w:r>
      <w:r>
        <w:rPr>
          <w:snapToGrid w:val="0"/>
        </w:rPr>
        <w:t> — </w:t>
      </w:r>
      <w:r>
        <w:rPr>
          <w:rStyle w:val="CharDivText"/>
        </w:rPr>
        <w:t>Handling of cargo</w:t>
      </w:r>
      <w:bookmarkEnd w:id="38"/>
      <w:bookmarkEnd w:id="39"/>
      <w:bookmarkEnd w:id="40"/>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41" w:name="_Toc170305465"/>
      <w:r>
        <w:rPr>
          <w:rStyle w:val="CharSectno"/>
        </w:rPr>
        <w:t>14</w:t>
      </w:r>
      <w:r>
        <w:rPr>
          <w:snapToGrid w:val="0"/>
        </w:rPr>
        <w:t>.</w:t>
      </w:r>
      <w:r>
        <w:rPr>
          <w:snapToGrid w:val="0"/>
        </w:rPr>
        <w:tab/>
        <w:t>Cargo not to be placed on jetties or premises without authority</w:t>
      </w:r>
      <w:bookmarkEnd w:id="41"/>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42" w:name="_Toc170305466"/>
      <w:r>
        <w:rPr>
          <w:rStyle w:val="CharSectno"/>
        </w:rPr>
        <w:t>15</w:t>
      </w:r>
      <w:r>
        <w:rPr>
          <w:snapToGrid w:val="0"/>
        </w:rPr>
        <w:t>.</w:t>
      </w:r>
      <w:r>
        <w:rPr>
          <w:snapToGrid w:val="0"/>
        </w:rPr>
        <w:tab/>
        <w:t>Discharging of cargo may be stopped</w:t>
      </w:r>
      <w:bookmarkEnd w:id="42"/>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43" w:name="_Toc170305467"/>
      <w:r>
        <w:rPr>
          <w:rStyle w:val="CharSectno"/>
        </w:rPr>
        <w:t>16</w:t>
      </w:r>
      <w:r>
        <w:rPr>
          <w:snapToGrid w:val="0"/>
        </w:rPr>
        <w:t>.</w:t>
      </w:r>
      <w:r>
        <w:rPr>
          <w:snapToGrid w:val="0"/>
        </w:rPr>
        <w:tab/>
        <w:t>Goods not to be shifted without authority</w:t>
      </w:r>
      <w:bookmarkEnd w:id="4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44" w:name="_Toc170305468"/>
      <w:r>
        <w:rPr>
          <w:rStyle w:val="CharSectno"/>
        </w:rPr>
        <w:lastRenderedPageBreak/>
        <w:t>17</w:t>
      </w:r>
      <w:r>
        <w:rPr>
          <w:snapToGrid w:val="0"/>
        </w:rPr>
        <w:t>.</w:t>
      </w:r>
      <w:r>
        <w:rPr>
          <w:snapToGrid w:val="0"/>
        </w:rPr>
        <w:tab/>
        <w:t>Bulk cargo not to be deposited without authority</w:t>
      </w:r>
      <w:bookmarkEnd w:id="44"/>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45" w:name="_Toc170305469"/>
      <w:r>
        <w:rPr>
          <w:rStyle w:val="CharSectno"/>
        </w:rPr>
        <w:t>18</w:t>
      </w:r>
      <w:r>
        <w:rPr>
          <w:snapToGrid w:val="0"/>
        </w:rPr>
        <w:t>.</w:t>
      </w:r>
      <w:r>
        <w:rPr>
          <w:snapToGrid w:val="0"/>
        </w:rPr>
        <w:tab/>
        <w:t>Outward cargo advice notes</w:t>
      </w:r>
      <w:bookmarkEnd w:id="45"/>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46" w:name="_Toc170305470"/>
      <w:r>
        <w:rPr>
          <w:rStyle w:val="CharSectno"/>
        </w:rPr>
        <w:t>19</w:t>
      </w:r>
      <w:r>
        <w:rPr>
          <w:snapToGrid w:val="0"/>
        </w:rPr>
        <w:t>.</w:t>
      </w:r>
      <w:r>
        <w:rPr>
          <w:snapToGrid w:val="0"/>
        </w:rPr>
        <w:tab/>
        <w:t>Outward cargo</w:t>
      </w:r>
      <w:bookmarkEnd w:id="46"/>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47" w:name="_Toc170305471"/>
      <w:r>
        <w:rPr>
          <w:rStyle w:val="CharSectno"/>
        </w:rPr>
        <w:t>20</w:t>
      </w:r>
      <w:r>
        <w:rPr>
          <w:snapToGrid w:val="0"/>
        </w:rPr>
        <w:t>.</w:t>
      </w:r>
      <w:r>
        <w:rPr>
          <w:snapToGrid w:val="0"/>
        </w:rPr>
        <w:tab/>
        <w:t>Dangerous cargo not to be shipped without permission</w:t>
      </w:r>
      <w:bookmarkEnd w:id="47"/>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48" w:name="_Toc170305472"/>
      <w:r>
        <w:rPr>
          <w:rStyle w:val="CharSectno"/>
        </w:rPr>
        <w:lastRenderedPageBreak/>
        <w:t>21</w:t>
      </w:r>
      <w:r>
        <w:rPr>
          <w:snapToGrid w:val="0"/>
        </w:rPr>
        <w:t>.</w:t>
      </w:r>
      <w:r>
        <w:rPr>
          <w:snapToGrid w:val="0"/>
        </w:rPr>
        <w:tab/>
        <w:t>Dangerous cargo may be refused or examined</w:t>
      </w:r>
      <w:bookmarkEnd w:id="4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49" w:name="_Toc170305473"/>
      <w:r>
        <w:rPr>
          <w:rStyle w:val="CharSectno"/>
        </w:rPr>
        <w:t>22</w:t>
      </w:r>
      <w:r>
        <w:rPr>
          <w:snapToGrid w:val="0"/>
        </w:rPr>
        <w:t>.</w:t>
      </w:r>
      <w:r>
        <w:rPr>
          <w:snapToGrid w:val="0"/>
        </w:rPr>
        <w:tab/>
        <w:t>Marking of heavy packages</w:t>
      </w:r>
      <w:bookmarkEnd w:id="49"/>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 xml:space="preserve">when it is neither practicable to weigh nor to mark or label legibly any package or article as required by </w:t>
      </w:r>
      <w:r>
        <w:rPr>
          <w:snapToGrid w:val="0"/>
        </w:rPr>
        <w:lastRenderedPageBreak/>
        <w:t>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50" w:name="_Toc170305474"/>
      <w:r>
        <w:rPr>
          <w:rStyle w:val="CharSectno"/>
        </w:rPr>
        <w:t>23</w:t>
      </w:r>
      <w:r>
        <w:rPr>
          <w:snapToGrid w:val="0"/>
        </w:rPr>
        <w:t>.</w:t>
      </w:r>
      <w:r>
        <w:rPr>
          <w:snapToGrid w:val="0"/>
        </w:rPr>
        <w:tab/>
        <w:t>False statements</w:t>
      </w:r>
      <w:bookmarkEnd w:id="5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51" w:name="_Toc170215616"/>
      <w:bookmarkStart w:id="52" w:name="_Toc170225331"/>
      <w:bookmarkStart w:id="53" w:name="_Toc170305475"/>
      <w:r>
        <w:rPr>
          <w:rStyle w:val="CharDivNo"/>
        </w:rPr>
        <w:t>Division 6</w:t>
      </w:r>
      <w:r>
        <w:rPr>
          <w:snapToGrid w:val="0"/>
        </w:rPr>
        <w:t> — </w:t>
      </w:r>
      <w:r>
        <w:rPr>
          <w:rStyle w:val="CharDivText"/>
        </w:rPr>
        <w:t>Receipt, delivery and storage of cargo</w:t>
      </w:r>
      <w:bookmarkEnd w:id="51"/>
      <w:bookmarkEnd w:id="52"/>
      <w:bookmarkEnd w:id="53"/>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54" w:name="_Toc170305476"/>
      <w:r>
        <w:rPr>
          <w:rStyle w:val="CharSectno"/>
        </w:rPr>
        <w:t>25</w:t>
      </w:r>
      <w:r>
        <w:rPr>
          <w:snapToGrid w:val="0"/>
        </w:rPr>
        <w:t>.</w:t>
      </w:r>
      <w:r>
        <w:rPr>
          <w:snapToGrid w:val="0"/>
        </w:rPr>
        <w:tab/>
        <w:t>Storage charges</w:t>
      </w:r>
      <w:bookmarkEnd w:id="54"/>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lastRenderedPageBreak/>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55" w:name="_Toc170305477"/>
      <w:r>
        <w:rPr>
          <w:rStyle w:val="CharSectno"/>
        </w:rPr>
        <w:t>26</w:t>
      </w:r>
      <w:r>
        <w:rPr>
          <w:snapToGrid w:val="0"/>
        </w:rPr>
        <w:t>.</w:t>
      </w:r>
      <w:r>
        <w:rPr>
          <w:snapToGrid w:val="0"/>
        </w:rPr>
        <w:tab/>
        <w:t>Department not bound to find storage accommodation</w:t>
      </w:r>
      <w:bookmarkEnd w:id="55"/>
      <w:r>
        <w:rPr>
          <w:snapToGrid w:val="0"/>
        </w:rPr>
        <w:t xml:space="preserve"> </w:t>
      </w:r>
    </w:p>
    <w:p>
      <w:pPr>
        <w:pStyle w:val="Subsection"/>
        <w:rPr>
          <w:snapToGrid w:val="0"/>
        </w:rPr>
      </w:pPr>
      <w:r>
        <w:rPr>
          <w:snapToGrid w:val="0"/>
        </w:rPr>
        <w:tab/>
      </w:r>
      <w:r>
        <w:rPr>
          <w:snapToGrid w:val="0"/>
        </w:rPr>
        <w:tab/>
        <w:t xml:space="preserve">The Department shall not be bound to find storage room for any goods, either in any shed or on any jetty. After notification to </w:t>
      </w:r>
      <w:r>
        <w:rPr>
          <w:snapToGrid w:val="0"/>
        </w:rPr>
        <w:lastRenderedPageBreak/>
        <w:t>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56" w:name="_Toc170305478"/>
      <w:r>
        <w:rPr>
          <w:rStyle w:val="CharSectno"/>
        </w:rPr>
        <w:t>27</w:t>
      </w:r>
      <w:r>
        <w:rPr>
          <w:snapToGrid w:val="0"/>
        </w:rPr>
        <w:t>.</w:t>
      </w:r>
      <w:r>
        <w:rPr>
          <w:snapToGrid w:val="0"/>
        </w:rPr>
        <w:tab/>
        <w:t>Goods may be disposed of</w:t>
      </w:r>
      <w:bookmarkEnd w:id="56"/>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57" w:name="_Toc170305479"/>
      <w:r>
        <w:rPr>
          <w:rStyle w:val="CharSectno"/>
        </w:rPr>
        <w:t>28</w:t>
      </w:r>
      <w:r>
        <w:rPr>
          <w:snapToGrid w:val="0"/>
        </w:rPr>
        <w:t>.</w:t>
      </w:r>
      <w:r>
        <w:rPr>
          <w:snapToGrid w:val="0"/>
        </w:rPr>
        <w:tab/>
        <w:t>Goods to be checked before delivery</w:t>
      </w:r>
      <w:bookmarkEnd w:id="5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58" w:name="_Toc170305480"/>
      <w:r>
        <w:rPr>
          <w:rStyle w:val="CharSectno"/>
        </w:rPr>
        <w:t>29</w:t>
      </w:r>
      <w:r>
        <w:rPr>
          <w:snapToGrid w:val="0"/>
        </w:rPr>
        <w:t>.</w:t>
      </w:r>
      <w:r>
        <w:rPr>
          <w:snapToGrid w:val="0"/>
        </w:rPr>
        <w:tab/>
        <w:t>Delay in delivery</w:t>
      </w:r>
      <w:bookmarkEnd w:id="58"/>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59" w:name="_Toc170305481"/>
      <w:r>
        <w:rPr>
          <w:rStyle w:val="CharSectno"/>
        </w:rPr>
        <w:lastRenderedPageBreak/>
        <w:t>30</w:t>
      </w:r>
      <w:r>
        <w:rPr>
          <w:snapToGrid w:val="0"/>
        </w:rPr>
        <w:t>.</w:t>
      </w:r>
      <w:r>
        <w:rPr>
          <w:snapToGrid w:val="0"/>
        </w:rPr>
        <w:tab/>
        <w:t>Wrong delivery</w:t>
      </w:r>
      <w:bookmarkEnd w:id="5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60" w:name="_Toc170215623"/>
      <w:bookmarkStart w:id="61" w:name="_Toc170225338"/>
      <w:bookmarkStart w:id="62" w:name="_Toc170305482"/>
      <w:r>
        <w:rPr>
          <w:rStyle w:val="CharDivNo"/>
        </w:rPr>
        <w:t>Division 7</w:t>
      </w:r>
      <w:r>
        <w:rPr>
          <w:snapToGrid w:val="0"/>
        </w:rPr>
        <w:t> — </w:t>
      </w:r>
      <w:r>
        <w:rPr>
          <w:rStyle w:val="CharDivText"/>
        </w:rPr>
        <w:t>Responsibility of Department</w:t>
      </w:r>
      <w:bookmarkEnd w:id="60"/>
      <w:bookmarkEnd w:id="61"/>
      <w:bookmarkEnd w:id="62"/>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63" w:name="_Toc170305483"/>
      <w:r>
        <w:rPr>
          <w:rStyle w:val="CharSectno"/>
        </w:rPr>
        <w:t>31</w:t>
      </w:r>
      <w:r>
        <w:rPr>
          <w:snapToGrid w:val="0"/>
        </w:rPr>
        <w:t>.</w:t>
      </w:r>
      <w:r>
        <w:rPr>
          <w:snapToGrid w:val="0"/>
        </w:rPr>
        <w:tab/>
        <w:t>Custody of cargo</w:t>
      </w:r>
      <w:bookmarkEnd w:id="63"/>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64" w:name="_Toc170305484"/>
      <w:r>
        <w:rPr>
          <w:rStyle w:val="CharSectno"/>
        </w:rPr>
        <w:t>32</w:t>
      </w:r>
      <w:r>
        <w:rPr>
          <w:snapToGrid w:val="0"/>
        </w:rPr>
        <w:t>.</w:t>
      </w:r>
      <w:r>
        <w:rPr>
          <w:snapToGrid w:val="0"/>
        </w:rPr>
        <w:tab/>
        <w:t>Goods without receipts</w:t>
      </w:r>
      <w:bookmarkEnd w:id="6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65" w:name="_Toc170305485"/>
      <w:r>
        <w:rPr>
          <w:rStyle w:val="CharSectno"/>
        </w:rPr>
        <w:t>33</w:t>
      </w:r>
      <w:r>
        <w:rPr>
          <w:snapToGrid w:val="0"/>
        </w:rPr>
        <w:t>.</w:t>
      </w:r>
      <w:r>
        <w:rPr>
          <w:snapToGrid w:val="0"/>
        </w:rPr>
        <w:tab/>
        <w:t>Goods stacked on jetties</w:t>
      </w:r>
      <w:bookmarkEnd w:id="65"/>
      <w:r>
        <w:rPr>
          <w:snapToGrid w:val="0"/>
        </w:rPr>
        <w:t xml:space="preserve"> </w:t>
      </w:r>
    </w:p>
    <w:p>
      <w:pPr>
        <w:pStyle w:val="Subsection"/>
        <w:rPr>
          <w:snapToGrid w:val="0"/>
        </w:rPr>
      </w:pPr>
      <w:r>
        <w:rPr>
          <w:snapToGrid w:val="0"/>
        </w:rPr>
        <w:tab/>
      </w:r>
      <w:r>
        <w:rPr>
          <w:snapToGrid w:val="0"/>
        </w:rPr>
        <w:tab/>
        <w:t xml:space="preserve">The Department and the officer in charge shall not be liable for any loss, damage, or injury whatsoever or howsoever occasioned to any goods stacked on any jetty for the </w:t>
      </w:r>
      <w:r>
        <w:rPr>
          <w:snapToGrid w:val="0"/>
        </w:rPr>
        <w:lastRenderedPageBreak/>
        <w:t>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66" w:name="_Toc170305486"/>
      <w:r>
        <w:rPr>
          <w:rStyle w:val="CharSectno"/>
        </w:rPr>
        <w:t>34</w:t>
      </w:r>
      <w:r>
        <w:rPr>
          <w:snapToGrid w:val="0"/>
        </w:rPr>
        <w:t>.</w:t>
      </w:r>
      <w:r>
        <w:rPr>
          <w:snapToGrid w:val="0"/>
        </w:rPr>
        <w:tab/>
        <w:t>Cargo damaged by fire etc.</w:t>
      </w:r>
      <w:bookmarkEnd w:id="6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67" w:name="_Toc170305487"/>
      <w:r>
        <w:rPr>
          <w:rStyle w:val="CharSectno"/>
        </w:rPr>
        <w:t>35</w:t>
      </w:r>
      <w:r>
        <w:rPr>
          <w:snapToGrid w:val="0"/>
        </w:rPr>
        <w:t>.</w:t>
      </w:r>
      <w:r>
        <w:rPr>
          <w:snapToGrid w:val="0"/>
        </w:rPr>
        <w:tab/>
        <w:t>Goods insufficiently packed</w:t>
      </w:r>
      <w:bookmarkEnd w:id="6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68" w:name="_Toc170305488"/>
      <w:r>
        <w:rPr>
          <w:rStyle w:val="CharSectno"/>
        </w:rPr>
        <w:t>36</w:t>
      </w:r>
      <w:r>
        <w:rPr>
          <w:snapToGrid w:val="0"/>
        </w:rPr>
        <w:t>.</w:t>
      </w:r>
      <w:r>
        <w:rPr>
          <w:snapToGrid w:val="0"/>
        </w:rPr>
        <w:tab/>
        <w:t>Claims in respect of cargo</w:t>
      </w:r>
      <w:bookmarkEnd w:id="68"/>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69" w:name="_Toc170215630"/>
      <w:bookmarkStart w:id="70" w:name="_Toc170225345"/>
      <w:bookmarkStart w:id="71" w:name="_Toc170305489"/>
      <w:r>
        <w:rPr>
          <w:rStyle w:val="CharDivNo"/>
        </w:rPr>
        <w:lastRenderedPageBreak/>
        <w:t>Division 8</w:t>
      </w:r>
      <w:r>
        <w:rPr>
          <w:snapToGrid w:val="0"/>
        </w:rPr>
        <w:t> — </w:t>
      </w:r>
      <w:r>
        <w:rPr>
          <w:rStyle w:val="CharDivText"/>
        </w:rPr>
        <w:t>Working hours</w:t>
      </w:r>
      <w:bookmarkEnd w:id="69"/>
      <w:bookmarkEnd w:id="70"/>
      <w:bookmarkEnd w:id="71"/>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72" w:name="_Toc170305490"/>
      <w:r>
        <w:rPr>
          <w:rStyle w:val="CharSectno"/>
        </w:rPr>
        <w:t>37</w:t>
      </w:r>
      <w:r>
        <w:rPr>
          <w:snapToGrid w:val="0"/>
        </w:rPr>
        <w:t>.</w:t>
      </w:r>
      <w:r>
        <w:rPr>
          <w:snapToGrid w:val="0"/>
        </w:rPr>
        <w:tab/>
        <w:t>Ordinary time</w:t>
      </w:r>
      <w:bookmarkEnd w:id="72"/>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73" w:name="_Toc170305491"/>
      <w:r>
        <w:rPr>
          <w:rStyle w:val="CharSectno"/>
        </w:rPr>
        <w:t>38</w:t>
      </w:r>
      <w:r>
        <w:rPr>
          <w:snapToGrid w:val="0"/>
        </w:rPr>
        <w:t>.</w:t>
      </w:r>
      <w:r>
        <w:rPr>
          <w:snapToGrid w:val="0"/>
        </w:rPr>
        <w:tab/>
        <w:t>Overtime</w:t>
      </w:r>
      <w:bookmarkEnd w:id="7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74" w:name="_Toc170305492"/>
      <w:r>
        <w:rPr>
          <w:rStyle w:val="CharSectno"/>
        </w:rPr>
        <w:t>38A</w:t>
      </w:r>
      <w:r>
        <w:rPr>
          <w:snapToGrid w:val="0"/>
        </w:rPr>
        <w:t>.</w:t>
      </w:r>
      <w:r>
        <w:rPr>
          <w:snapToGrid w:val="0"/>
        </w:rPr>
        <w:tab/>
        <w:t>Wages incurred through ships’ delays to be paid for</w:t>
      </w:r>
      <w:bookmarkEnd w:id="74"/>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75" w:name="_Toc170305493"/>
      <w:r>
        <w:rPr>
          <w:rStyle w:val="CharSectno"/>
        </w:rPr>
        <w:t>39</w:t>
      </w:r>
      <w:r>
        <w:rPr>
          <w:snapToGrid w:val="0"/>
        </w:rPr>
        <w:t>.</w:t>
      </w:r>
      <w:r>
        <w:rPr>
          <w:snapToGrid w:val="0"/>
        </w:rPr>
        <w:tab/>
        <w:t>Master to give notice of desire to work</w:t>
      </w:r>
      <w:bookmarkEnd w:id="75"/>
      <w:r>
        <w:rPr>
          <w:snapToGrid w:val="0"/>
        </w:rPr>
        <w:t xml:space="preserve"> </w:t>
      </w:r>
    </w:p>
    <w:p>
      <w:pPr>
        <w:pStyle w:val="Subsection"/>
        <w:rPr>
          <w:snapToGrid w:val="0"/>
        </w:rPr>
      </w:pPr>
      <w:r>
        <w:rPr>
          <w:snapToGrid w:val="0"/>
        </w:rPr>
        <w:tab/>
      </w:r>
      <w:r>
        <w:rPr>
          <w:snapToGrid w:val="0"/>
        </w:rPr>
        <w:tab/>
        <w:t xml:space="preserve">The master of a vessel desiring to work any hours, not being working hours as defined above, shall give to the officer in </w:t>
      </w:r>
      <w:r>
        <w:rPr>
          <w:snapToGrid w:val="0"/>
        </w:rPr>
        <w:lastRenderedPageBreak/>
        <w:t>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76" w:name="_Toc170215635"/>
      <w:bookmarkStart w:id="77" w:name="_Toc170225350"/>
      <w:bookmarkStart w:id="78" w:name="_Toc170305494"/>
      <w:r>
        <w:rPr>
          <w:rStyle w:val="CharDivNo"/>
        </w:rPr>
        <w:t>Division 9</w:t>
      </w:r>
      <w:r>
        <w:rPr>
          <w:snapToGrid w:val="0"/>
        </w:rPr>
        <w:t> — </w:t>
      </w:r>
      <w:r>
        <w:rPr>
          <w:rStyle w:val="CharDivText"/>
        </w:rPr>
        <w:t>Livestock or vehicles on jetties or premises</w:t>
      </w:r>
      <w:bookmarkEnd w:id="76"/>
      <w:bookmarkEnd w:id="77"/>
      <w:bookmarkEnd w:id="78"/>
      <w:r>
        <w:rPr>
          <w:rStyle w:val="CharDivText"/>
        </w:rPr>
        <w:t xml:space="preserve"> </w:t>
      </w:r>
    </w:p>
    <w:p>
      <w:pPr>
        <w:pStyle w:val="Footnoteheading"/>
      </w:pPr>
      <w:r>
        <w:tab/>
        <w:t xml:space="preserve">[Heading inserted: Gazette 19 May 1989 p. 1494.] </w:t>
      </w:r>
    </w:p>
    <w:p>
      <w:pPr>
        <w:pStyle w:val="Heading5"/>
        <w:rPr>
          <w:snapToGrid w:val="0"/>
        </w:rPr>
      </w:pPr>
      <w:bookmarkStart w:id="79" w:name="_Toc170305495"/>
      <w:r>
        <w:rPr>
          <w:rStyle w:val="CharSectno"/>
        </w:rPr>
        <w:t>40</w:t>
      </w:r>
      <w:r>
        <w:rPr>
          <w:snapToGrid w:val="0"/>
        </w:rPr>
        <w:t>.</w:t>
      </w:r>
      <w:r>
        <w:rPr>
          <w:snapToGrid w:val="0"/>
        </w:rPr>
        <w:tab/>
        <w:t>Livestock on jetties or premises</w:t>
      </w:r>
      <w:bookmarkEnd w:id="7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80" w:name="_Toc170305496"/>
      <w:r>
        <w:rPr>
          <w:rStyle w:val="CharSectno"/>
        </w:rPr>
        <w:t>41</w:t>
      </w:r>
      <w:r>
        <w:rPr>
          <w:snapToGrid w:val="0"/>
        </w:rPr>
        <w:t>.</w:t>
      </w:r>
      <w:r>
        <w:rPr>
          <w:snapToGrid w:val="0"/>
        </w:rPr>
        <w:tab/>
        <w:t>Riding vehicles etc. on jetties or premises</w:t>
      </w:r>
      <w:bookmarkEnd w:id="8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81" w:name="_Toc170305497"/>
      <w:r>
        <w:rPr>
          <w:rStyle w:val="CharSectno"/>
        </w:rPr>
        <w:t>41A</w:t>
      </w:r>
      <w:r>
        <w:rPr>
          <w:snapToGrid w:val="0"/>
        </w:rPr>
        <w:t>.</w:t>
      </w:r>
      <w:r>
        <w:rPr>
          <w:snapToGrid w:val="0"/>
        </w:rPr>
        <w:tab/>
        <w:t>Vehicles not to be parked on jetties</w:t>
      </w:r>
      <w:bookmarkEnd w:id="81"/>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82" w:name="_Toc170305498"/>
      <w:r>
        <w:rPr>
          <w:rStyle w:val="CharSectno"/>
        </w:rPr>
        <w:lastRenderedPageBreak/>
        <w:t>41B</w:t>
      </w:r>
      <w:r>
        <w:rPr>
          <w:snapToGrid w:val="0"/>
        </w:rPr>
        <w:t>.</w:t>
      </w:r>
      <w:r>
        <w:rPr>
          <w:snapToGrid w:val="0"/>
        </w:rPr>
        <w:tab/>
        <w:t>Department not responsible for vehicles on jetties</w:t>
      </w:r>
      <w:bookmarkEnd w:id="82"/>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83" w:name="_Toc170305499"/>
      <w:r>
        <w:rPr>
          <w:rStyle w:val="CharSectno"/>
        </w:rPr>
        <w:t>42</w:t>
      </w:r>
      <w:r>
        <w:rPr>
          <w:snapToGrid w:val="0"/>
        </w:rPr>
        <w:t>.</w:t>
      </w:r>
      <w:r>
        <w:rPr>
          <w:snapToGrid w:val="0"/>
        </w:rPr>
        <w:tab/>
        <w:t>Drivers of vehicles to obey instructions</w:t>
      </w:r>
      <w:bookmarkEnd w:id="83"/>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84" w:name="_Toc170305500"/>
      <w:r>
        <w:rPr>
          <w:rStyle w:val="CharSectno"/>
        </w:rPr>
        <w:t>42A</w:t>
      </w:r>
      <w:r>
        <w:t>.</w:t>
      </w:r>
      <w:r>
        <w:tab/>
        <w:t>Charges for vehicular use of jetty</w:t>
      </w:r>
      <w:bookmarkEnd w:id="84"/>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85" w:name="_Toc170305501"/>
      <w:r>
        <w:rPr>
          <w:rStyle w:val="CharSectno"/>
        </w:rPr>
        <w:t>43</w:t>
      </w:r>
      <w:r>
        <w:rPr>
          <w:snapToGrid w:val="0"/>
        </w:rPr>
        <w:t>.</w:t>
      </w:r>
      <w:r>
        <w:rPr>
          <w:snapToGrid w:val="0"/>
        </w:rPr>
        <w:tab/>
        <w:t>Persons not to be on jetties when livestock is being handled</w:t>
      </w:r>
      <w:bookmarkEnd w:id="85"/>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rPr>
          <w:snapToGrid w:val="0"/>
        </w:rPr>
      </w:pPr>
      <w:bookmarkStart w:id="86" w:name="_Toc170215643"/>
      <w:bookmarkStart w:id="87" w:name="_Toc170225358"/>
      <w:bookmarkStart w:id="88" w:name="_Toc170305502"/>
      <w:r>
        <w:rPr>
          <w:rStyle w:val="CharDivNo"/>
        </w:rPr>
        <w:lastRenderedPageBreak/>
        <w:t>Division 10</w:t>
      </w:r>
      <w:r>
        <w:rPr>
          <w:snapToGrid w:val="0"/>
        </w:rPr>
        <w:t> — </w:t>
      </w:r>
      <w:r>
        <w:rPr>
          <w:rStyle w:val="CharDivText"/>
        </w:rPr>
        <w:t>Miscellaneous</w:t>
      </w:r>
      <w:bookmarkEnd w:id="86"/>
      <w:bookmarkEnd w:id="87"/>
      <w:bookmarkEnd w:id="88"/>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89" w:name="_Toc170305503"/>
      <w:r>
        <w:rPr>
          <w:rStyle w:val="CharSectno"/>
        </w:rPr>
        <w:t>44</w:t>
      </w:r>
      <w:r>
        <w:rPr>
          <w:snapToGrid w:val="0"/>
        </w:rPr>
        <w:t>.</w:t>
      </w:r>
      <w:r>
        <w:rPr>
          <w:snapToGrid w:val="0"/>
        </w:rPr>
        <w:tab/>
        <w:t>Bill posting, defacement and obscenity</w:t>
      </w:r>
      <w:bookmarkEnd w:id="8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90" w:name="_Toc170305504"/>
      <w:r>
        <w:rPr>
          <w:rStyle w:val="CharSectno"/>
        </w:rPr>
        <w:t>45</w:t>
      </w:r>
      <w:r>
        <w:rPr>
          <w:snapToGrid w:val="0"/>
        </w:rPr>
        <w:t>.</w:t>
      </w:r>
      <w:r>
        <w:rPr>
          <w:snapToGrid w:val="0"/>
        </w:rPr>
        <w:tab/>
        <w:t>Disorderly persons</w:t>
      </w:r>
      <w:bookmarkEnd w:id="90"/>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lastRenderedPageBreak/>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91" w:name="_Toc170305505"/>
      <w:r>
        <w:rPr>
          <w:rStyle w:val="CharSectno"/>
        </w:rPr>
        <w:t>46</w:t>
      </w:r>
      <w:r>
        <w:rPr>
          <w:snapToGrid w:val="0"/>
        </w:rPr>
        <w:t>.</w:t>
      </w:r>
      <w:r>
        <w:rPr>
          <w:snapToGrid w:val="0"/>
        </w:rPr>
        <w:tab/>
        <w:t>Fires not to be lit</w:t>
      </w:r>
      <w:bookmarkEnd w:id="9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92" w:name="_Toc170305506"/>
      <w:r>
        <w:rPr>
          <w:rStyle w:val="CharSectno"/>
        </w:rPr>
        <w:t>47</w:t>
      </w:r>
      <w:r>
        <w:rPr>
          <w:snapToGrid w:val="0"/>
        </w:rPr>
        <w:t>.</w:t>
      </w:r>
      <w:r>
        <w:rPr>
          <w:snapToGrid w:val="0"/>
        </w:rPr>
        <w:tab/>
        <w:t>Gates to be shut</w:t>
      </w:r>
      <w:bookmarkEnd w:id="92"/>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93" w:name="_Toc170305507"/>
      <w:r>
        <w:rPr>
          <w:rStyle w:val="CharSectno"/>
        </w:rPr>
        <w:t>48</w:t>
      </w:r>
      <w:r>
        <w:rPr>
          <w:snapToGrid w:val="0"/>
        </w:rPr>
        <w:t>.</w:t>
      </w:r>
      <w:r>
        <w:rPr>
          <w:snapToGrid w:val="0"/>
        </w:rPr>
        <w:tab/>
        <w:t>Interference with lights</w:t>
      </w:r>
      <w:bookmarkEnd w:id="9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94" w:name="_Toc170305508"/>
      <w:r>
        <w:rPr>
          <w:rStyle w:val="CharSectno"/>
        </w:rPr>
        <w:t>49</w:t>
      </w:r>
      <w:r>
        <w:rPr>
          <w:snapToGrid w:val="0"/>
        </w:rPr>
        <w:t>.</w:t>
      </w:r>
      <w:r>
        <w:rPr>
          <w:snapToGrid w:val="0"/>
        </w:rPr>
        <w:tab/>
        <w:t>Interference with or damaging property</w:t>
      </w:r>
      <w:bookmarkEnd w:id="9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 xml:space="preserve">move any part of the rolling stock or appliances on any tramway or premises, or leave the same on any part of </w:t>
      </w:r>
      <w:r>
        <w:rPr>
          <w:snapToGrid w:val="0"/>
        </w:rPr>
        <w:lastRenderedPageBreak/>
        <w:t>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95" w:name="_Toc170305509"/>
      <w:r>
        <w:rPr>
          <w:rStyle w:val="CharSectno"/>
        </w:rPr>
        <w:t>50</w:t>
      </w:r>
      <w:r>
        <w:rPr>
          <w:snapToGrid w:val="0"/>
        </w:rPr>
        <w:t>.</w:t>
      </w:r>
      <w:r>
        <w:rPr>
          <w:snapToGrid w:val="0"/>
        </w:rPr>
        <w:tab/>
        <w:t>Lost property</w:t>
      </w:r>
      <w:bookmarkEnd w:id="95"/>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96" w:name="_Toc170305510"/>
      <w:r>
        <w:rPr>
          <w:rStyle w:val="CharSectno"/>
        </w:rPr>
        <w:t>51</w:t>
      </w:r>
      <w:r>
        <w:rPr>
          <w:snapToGrid w:val="0"/>
        </w:rPr>
        <w:t>.</w:t>
      </w:r>
      <w:r>
        <w:rPr>
          <w:snapToGrid w:val="0"/>
        </w:rPr>
        <w:tab/>
        <w:t>Obstruction of officers, or premises</w:t>
      </w:r>
      <w:bookmarkEnd w:id="9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97" w:name="_Toc170305511"/>
      <w:r>
        <w:rPr>
          <w:rStyle w:val="CharSectno"/>
        </w:rPr>
        <w:lastRenderedPageBreak/>
        <w:t>52</w:t>
      </w:r>
      <w:r>
        <w:rPr>
          <w:snapToGrid w:val="0"/>
        </w:rPr>
        <w:t>.</w:t>
      </w:r>
      <w:r>
        <w:rPr>
          <w:snapToGrid w:val="0"/>
        </w:rPr>
        <w:tab/>
        <w:t>Obstruction of or damage to jetties or premises</w:t>
      </w:r>
      <w:bookmarkEnd w:id="9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98" w:name="_Toc170305512"/>
      <w:r>
        <w:rPr>
          <w:rStyle w:val="CharSectno"/>
        </w:rPr>
        <w:t>53</w:t>
      </w:r>
      <w:r>
        <w:rPr>
          <w:snapToGrid w:val="0"/>
        </w:rPr>
        <w:t>.</w:t>
      </w:r>
      <w:r>
        <w:rPr>
          <w:snapToGrid w:val="0"/>
        </w:rPr>
        <w:tab/>
        <w:t>Rubbish etc. not to be thrown</w:t>
      </w:r>
      <w:bookmarkEnd w:id="98"/>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99" w:name="_Toc170305513"/>
      <w:r>
        <w:rPr>
          <w:rStyle w:val="CharSectno"/>
        </w:rPr>
        <w:lastRenderedPageBreak/>
        <w:t>53A</w:t>
      </w:r>
      <w:r>
        <w:t>.</w:t>
      </w:r>
      <w:r>
        <w:tab/>
        <w:t>Charges for rubbish removal</w:t>
      </w:r>
      <w:bookmarkEnd w:id="99"/>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00" w:name="_Toc170305514"/>
      <w:r>
        <w:rPr>
          <w:rStyle w:val="CharSectno"/>
        </w:rPr>
        <w:t>54</w:t>
      </w:r>
      <w:r>
        <w:rPr>
          <w:snapToGrid w:val="0"/>
        </w:rPr>
        <w:t>.</w:t>
      </w:r>
      <w:r>
        <w:rPr>
          <w:snapToGrid w:val="0"/>
        </w:rPr>
        <w:tab/>
        <w:t>Sale of articles prohibited</w:t>
      </w:r>
      <w:bookmarkEnd w:id="100"/>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01" w:name="_Toc170305515"/>
      <w:r>
        <w:rPr>
          <w:rStyle w:val="CharSectno"/>
        </w:rPr>
        <w:t>55</w:t>
      </w:r>
      <w:r>
        <w:rPr>
          <w:snapToGrid w:val="0"/>
        </w:rPr>
        <w:t>.</w:t>
      </w:r>
      <w:r>
        <w:rPr>
          <w:snapToGrid w:val="0"/>
        </w:rPr>
        <w:tab/>
        <w:t>Smoking and loitering</w:t>
      </w:r>
      <w:bookmarkEnd w:id="10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02" w:name="_Toc170305516"/>
      <w:r>
        <w:rPr>
          <w:rStyle w:val="CharSectno"/>
        </w:rPr>
        <w:t>56</w:t>
      </w:r>
      <w:r>
        <w:rPr>
          <w:snapToGrid w:val="0"/>
        </w:rPr>
        <w:t>.</w:t>
      </w:r>
      <w:r>
        <w:rPr>
          <w:snapToGrid w:val="0"/>
        </w:rPr>
        <w:tab/>
        <w:t>Trespassing</w:t>
      </w:r>
      <w:bookmarkEnd w:id="102"/>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03" w:name="_Toc170305517"/>
      <w:r>
        <w:rPr>
          <w:rStyle w:val="CharSectno"/>
        </w:rPr>
        <w:lastRenderedPageBreak/>
        <w:t>67A</w:t>
      </w:r>
      <w:r>
        <w:rPr>
          <w:snapToGrid w:val="0"/>
        </w:rPr>
        <w:t>.</w:t>
      </w:r>
      <w:r>
        <w:rPr>
          <w:snapToGrid w:val="0"/>
        </w:rPr>
        <w:tab/>
        <w:t>Conditions for construction and installation of pipelines</w:t>
      </w:r>
      <w:bookmarkEnd w:id="10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 xml:space="preserve">Where the Department is of the opinion that it is in the interest of public safety so to do it may by notice in writing given to the owner of a pipeline require such </w:t>
      </w:r>
      <w:r>
        <w:rPr>
          <w:snapToGrid w:val="0"/>
        </w:rPr>
        <w:lastRenderedPageBreak/>
        <w:t>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 xml:space="preserve">Devil” or product separation device operation and back loading. This valve must be kept closed and locked except when the pipeline </w:t>
      </w:r>
      <w:r>
        <w:rPr>
          <w:snapToGrid w:val="0"/>
        </w:rPr>
        <w:lastRenderedPageBreak/>
        <w:t>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 xml:space="preserve">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w:t>
      </w:r>
      <w:r>
        <w:rPr>
          <w:snapToGrid w:val="0"/>
        </w:rPr>
        <w:lastRenderedPageBreak/>
        <w:t>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04" w:name="_Toc170305518"/>
      <w:r>
        <w:rPr>
          <w:rStyle w:val="CharSectno"/>
        </w:rPr>
        <w:t>67B</w:t>
      </w:r>
      <w:r>
        <w:rPr>
          <w:snapToGrid w:val="0"/>
        </w:rPr>
        <w:t>.</w:t>
      </w:r>
      <w:r>
        <w:rPr>
          <w:snapToGrid w:val="0"/>
        </w:rPr>
        <w:tab/>
        <w:t>Maintenance and operation of pipelines</w:t>
      </w:r>
      <w:bookmarkEnd w:id="104"/>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lastRenderedPageBreak/>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w:t>
      </w:r>
      <w:r>
        <w:rPr>
          <w:snapToGrid w:val="0"/>
        </w:rPr>
        <w:lastRenderedPageBreak/>
        <w:t>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 xml:space="preserve">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w:t>
      </w:r>
      <w:r>
        <w:rPr>
          <w:snapToGrid w:val="0"/>
        </w:rPr>
        <w:lastRenderedPageBreak/>
        <w:t>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 xml:space="preserve">proof construction, </w:t>
      </w:r>
      <w:r>
        <w:rPr>
          <w:snapToGrid w:val="0"/>
        </w:rPr>
        <w:lastRenderedPageBreak/>
        <w:t>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 xml:space="preserve">On completion of pumping operations pipelines outside storage installations and used for the transmission of inflammable liquids with a flash point less than 61°C shall be thoroughly cleared of the inflammable </w:t>
      </w:r>
      <w:r>
        <w:rPr>
          <w:snapToGrid w:val="0"/>
        </w:rPr>
        <w:lastRenderedPageBreak/>
        <w:t>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 xml:space="preserve">Arrangements shall be made by the master of the vessel to ensure that there shall be sufficient staff of officers and men available at all times to ensure the efficient </w:t>
      </w:r>
      <w:r>
        <w:rPr>
          <w:snapToGrid w:val="0"/>
        </w:rPr>
        <w:lastRenderedPageBreak/>
        <w:t>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05" w:name="_Toc170305519"/>
      <w:r>
        <w:rPr>
          <w:rStyle w:val="CharSectno"/>
        </w:rPr>
        <w:t>67D</w:t>
      </w:r>
      <w:r>
        <w:rPr>
          <w:snapToGrid w:val="0"/>
        </w:rPr>
        <w:t>.</w:t>
      </w:r>
      <w:r>
        <w:rPr>
          <w:snapToGrid w:val="0"/>
        </w:rPr>
        <w:tab/>
        <w:t>Penalty for failure to remove or amend pipeline</w:t>
      </w:r>
      <w:bookmarkEnd w:id="105"/>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06" w:name="_Toc170305520"/>
      <w:r>
        <w:rPr>
          <w:rStyle w:val="CharSectno"/>
        </w:rPr>
        <w:t>67DA</w:t>
      </w:r>
      <w:r>
        <w:t>.</w:t>
      </w:r>
      <w:r>
        <w:tab/>
        <w:t>Fuelling vessels at service jetties limited</w:t>
      </w:r>
      <w:bookmarkEnd w:id="106"/>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107" w:name="_Toc170305521"/>
      <w:r>
        <w:rPr>
          <w:rStyle w:val="CharSectno"/>
        </w:rPr>
        <w:lastRenderedPageBreak/>
        <w:t>67DC</w:t>
      </w:r>
      <w:r>
        <w:t>.</w:t>
      </w:r>
      <w:r>
        <w:tab/>
        <w:t>Controlling short term access to service jetty</w:t>
      </w:r>
      <w:bookmarkEnd w:id="107"/>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108" w:name="_Toc170215663"/>
      <w:bookmarkStart w:id="109" w:name="_Toc170225378"/>
      <w:bookmarkStart w:id="110" w:name="_Toc170305522"/>
      <w:r>
        <w:rPr>
          <w:rStyle w:val="CharDivNo"/>
        </w:rPr>
        <w:t>Division 11</w:t>
      </w:r>
      <w:r>
        <w:t> — </w:t>
      </w:r>
      <w:r>
        <w:rPr>
          <w:rStyle w:val="CharDivText"/>
        </w:rPr>
        <w:t>Burswood Jetty</w:t>
      </w:r>
      <w:bookmarkEnd w:id="108"/>
      <w:bookmarkEnd w:id="109"/>
      <w:bookmarkEnd w:id="110"/>
    </w:p>
    <w:p>
      <w:pPr>
        <w:pStyle w:val="Footnoteheading"/>
      </w:pPr>
      <w:r>
        <w:tab/>
        <w:t>[Heading inserted: SL 2020/128 r. 6.]</w:t>
      </w:r>
    </w:p>
    <w:p>
      <w:pPr>
        <w:pStyle w:val="Heading5"/>
      </w:pPr>
      <w:bookmarkStart w:id="111" w:name="_Toc170305523"/>
      <w:r>
        <w:rPr>
          <w:rStyle w:val="CharSectno"/>
        </w:rPr>
        <w:t>67DD</w:t>
      </w:r>
      <w:r>
        <w:t>.</w:t>
      </w:r>
      <w:r>
        <w:tab/>
        <w:t>Terms used</w:t>
      </w:r>
      <w:bookmarkEnd w:id="111"/>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112" w:name="_Toc170305524"/>
      <w:r>
        <w:rPr>
          <w:rStyle w:val="CharSectno"/>
        </w:rPr>
        <w:lastRenderedPageBreak/>
        <w:t>67DE</w:t>
      </w:r>
      <w:r>
        <w:t>.</w:t>
      </w:r>
      <w:r>
        <w:tab/>
        <w:t>Application</w:t>
      </w:r>
      <w:bookmarkEnd w:id="112"/>
    </w:p>
    <w:p>
      <w:pPr>
        <w:pStyle w:val="Subsection"/>
        <w:keepNext/>
      </w:pPr>
      <w:r>
        <w:tab/>
      </w:r>
      <w:r>
        <w:tab/>
        <w:t>This Division applies to Burswood Jetty.</w:t>
      </w:r>
    </w:p>
    <w:p>
      <w:pPr>
        <w:pStyle w:val="Footnotesection"/>
      </w:pPr>
      <w:r>
        <w:tab/>
        <w:t>[Regulation 67DE inserted: SL 2020/128 r. 6.]</w:t>
      </w:r>
    </w:p>
    <w:p>
      <w:pPr>
        <w:pStyle w:val="Heading5"/>
      </w:pPr>
      <w:bookmarkStart w:id="113" w:name="_Toc170305525"/>
      <w:r>
        <w:rPr>
          <w:rStyle w:val="CharSectno"/>
        </w:rPr>
        <w:t>67DF</w:t>
      </w:r>
      <w:r>
        <w:t>.</w:t>
      </w:r>
      <w:r>
        <w:tab/>
        <w:t>Permit may be granted for exclusive use of Berth 1 at certain times</w:t>
      </w:r>
      <w:bookmarkEnd w:id="113"/>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114" w:name="_Toc170305526"/>
      <w:r>
        <w:rPr>
          <w:rStyle w:val="CharSectno"/>
        </w:rPr>
        <w:lastRenderedPageBreak/>
        <w:t>67DG</w:t>
      </w:r>
      <w:r>
        <w:t>.</w:t>
      </w:r>
      <w:r>
        <w:tab/>
        <w:t>Duration and conditions of, and payment for, Berth 1 permit</w:t>
      </w:r>
      <w:bookmarkEnd w:id="114"/>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 amended: SL 2023/43 r. 8.]</w:t>
      </w:r>
    </w:p>
    <w:p>
      <w:pPr>
        <w:pStyle w:val="Heading5"/>
      </w:pPr>
      <w:bookmarkStart w:id="115" w:name="_Toc170305527"/>
      <w:r>
        <w:rPr>
          <w:rStyle w:val="CharSectno"/>
        </w:rPr>
        <w:t>67DH</w:t>
      </w:r>
      <w:r>
        <w:t>.</w:t>
      </w:r>
      <w:r>
        <w:tab/>
        <w:t>Cancellation of Berth 1 permit</w:t>
      </w:r>
      <w:bookmarkEnd w:id="115"/>
    </w:p>
    <w:p>
      <w:pPr>
        <w:pStyle w:val="Subsection"/>
        <w:keepNext/>
      </w:pPr>
      <w:r>
        <w:tab/>
      </w:r>
      <w:r>
        <w:tab/>
        <w:t xml:space="preserve">The Department may cancel a Berth 1 permit if — </w:t>
      </w:r>
    </w:p>
    <w:p>
      <w:pPr>
        <w:pStyle w:val="Indenta"/>
      </w:pPr>
      <w:r>
        <w:tab/>
        <w:t>(a)</w:t>
      </w:r>
      <w:r>
        <w:tab/>
        <w:t>a payment referred to in regulation 67DG(2) is not made in accordance with regulation 67DG(2);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lastRenderedPageBreak/>
        <w:tab/>
        <w:t>(ii)</w:t>
      </w:r>
      <w:r>
        <w:tab/>
        <w:t>any of these regulations relating to the maintenance of good order or safety on or about a public jetty.</w:t>
      </w:r>
    </w:p>
    <w:p>
      <w:pPr>
        <w:pStyle w:val="Footnotesection"/>
      </w:pPr>
      <w:r>
        <w:tab/>
        <w:t>[Regulation 67DH inserted: SL 2020/128 r. 6; amended: SL 2023/43 r. 9.]</w:t>
      </w:r>
    </w:p>
    <w:p>
      <w:pPr>
        <w:pStyle w:val="Heading5"/>
      </w:pPr>
      <w:bookmarkStart w:id="116" w:name="_Toc170305528"/>
      <w:r>
        <w:rPr>
          <w:rStyle w:val="CharSectno"/>
        </w:rPr>
        <w:t>67DI</w:t>
      </w:r>
      <w:r>
        <w:t>.</w:t>
      </w:r>
      <w:r>
        <w:tab/>
        <w:t>Use of Berth 1 otherwise than under Berth 1 permit</w:t>
      </w:r>
      <w:bookmarkEnd w:id="116"/>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117" w:name="_Toc170305529"/>
      <w:r>
        <w:rPr>
          <w:rStyle w:val="CharSectno"/>
        </w:rPr>
        <w:lastRenderedPageBreak/>
        <w:t>67DJ</w:t>
      </w:r>
      <w:r>
        <w:t>.</w:t>
      </w:r>
      <w:r>
        <w:tab/>
        <w:t>Use of Berth 2 and Berth 3</w:t>
      </w:r>
      <w:bookmarkEnd w:id="117"/>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118" w:name="_Toc170305530"/>
      <w:r>
        <w:rPr>
          <w:rStyle w:val="CharSectno"/>
        </w:rPr>
        <w:t>67DK</w:t>
      </w:r>
      <w:r>
        <w:t>.</w:t>
      </w:r>
      <w:r>
        <w:tab/>
        <w:t>Temporary closure of Burswood Jetty or berth</w:t>
      </w:r>
      <w:bookmarkEnd w:id="118"/>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lastRenderedPageBreak/>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119" w:name="_Toc170215672"/>
      <w:bookmarkStart w:id="120" w:name="_Toc170225387"/>
      <w:bookmarkStart w:id="121" w:name="_Toc170305531"/>
      <w:r>
        <w:rPr>
          <w:rStyle w:val="CharPartNo"/>
        </w:rPr>
        <w:lastRenderedPageBreak/>
        <w:t>Part 2</w:t>
      </w:r>
      <w:r>
        <w:t> — </w:t>
      </w:r>
      <w:r>
        <w:rPr>
          <w:rStyle w:val="CharPartText"/>
        </w:rPr>
        <w:t>Regulations applying to jetties within the Port of Perth</w:t>
      </w:r>
      <w:bookmarkEnd w:id="119"/>
      <w:bookmarkEnd w:id="120"/>
      <w:bookmarkEnd w:id="121"/>
      <w:r>
        <w:rPr>
          <w:rStyle w:val="CharPartText"/>
        </w:rPr>
        <w:t xml:space="preserve"> </w:t>
      </w:r>
    </w:p>
    <w:p>
      <w:pPr>
        <w:pStyle w:val="Footnoteheading"/>
      </w:pPr>
      <w:r>
        <w:tab/>
        <w:t xml:space="preserve">[Heading inserted: Gazette 19 May 1989 p. 1494.] </w:t>
      </w:r>
    </w:p>
    <w:p>
      <w:pPr>
        <w:pStyle w:val="Heading3"/>
        <w:rPr>
          <w:snapToGrid w:val="0"/>
        </w:rPr>
      </w:pPr>
      <w:bookmarkStart w:id="122" w:name="_Toc170215673"/>
      <w:bookmarkStart w:id="123" w:name="_Toc170225388"/>
      <w:bookmarkStart w:id="124" w:name="_Toc170305532"/>
      <w:r>
        <w:rPr>
          <w:rStyle w:val="CharDivNo"/>
        </w:rPr>
        <w:t>Division 1</w:t>
      </w:r>
      <w:r>
        <w:rPr>
          <w:snapToGrid w:val="0"/>
        </w:rPr>
        <w:t> — </w:t>
      </w:r>
      <w:r>
        <w:rPr>
          <w:rStyle w:val="CharDivText"/>
        </w:rPr>
        <w:t>Application of this Part</w:t>
      </w:r>
      <w:bookmarkEnd w:id="122"/>
      <w:bookmarkEnd w:id="123"/>
      <w:bookmarkEnd w:id="124"/>
      <w:r>
        <w:rPr>
          <w:rStyle w:val="CharDivText"/>
        </w:rPr>
        <w:t xml:space="preserve"> </w:t>
      </w:r>
    </w:p>
    <w:p>
      <w:pPr>
        <w:pStyle w:val="Footnoteheading"/>
      </w:pPr>
      <w:r>
        <w:tab/>
        <w:t xml:space="preserve">[Heading inserted: Gazette 19 May 1989 p. 1494.] </w:t>
      </w:r>
    </w:p>
    <w:p>
      <w:pPr>
        <w:pStyle w:val="Heading5"/>
        <w:rPr>
          <w:snapToGrid w:val="0"/>
        </w:rPr>
      </w:pPr>
      <w:bookmarkStart w:id="125" w:name="_Toc170305533"/>
      <w:r>
        <w:rPr>
          <w:rStyle w:val="CharSectno"/>
        </w:rPr>
        <w:t>67E</w:t>
      </w:r>
      <w:r>
        <w:rPr>
          <w:snapToGrid w:val="0"/>
        </w:rPr>
        <w:t>.</w:t>
      </w:r>
      <w:r>
        <w:rPr>
          <w:snapToGrid w:val="0"/>
        </w:rPr>
        <w:tab/>
        <w:t>Application</w:t>
      </w:r>
      <w:bookmarkEnd w:id="125"/>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126" w:name="_Toc170215675"/>
      <w:bookmarkStart w:id="127" w:name="_Toc170225390"/>
      <w:bookmarkStart w:id="128" w:name="_Toc170305534"/>
      <w:r>
        <w:rPr>
          <w:rStyle w:val="CharDivNo"/>
        </w:rPr>
        <w:t>Division 2</w:t>
      </w:r>
      <w:r>
        <w:rPr>
          <w:snapToGrid w:val="0"/>
        </w:rPr>
        <w:t> — </w:t>
      </w:r>
      <w:r>
        <w:rPr>
          <w:rStyle w:val="CharDivText"/>
        </w:rPr>
        <w:t>Management and use of jetties</w:t>
      </w:r>
      <w:bookmarkEnd w:id="126"/>
      <w:bookmarkEnd w:id="127"/>
      <w:bookmarkEnd w:id="128"/>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29" w:name="_Toc170305535"/>
      <w:r>
        <w:rPr>
          <w:rStyle w:val="CharSectno"/>
        </w:rPr>
        <w:t>68</w:t>
      </w:r>
      <w:r>
        <w:rPr>
          <w:snapToGrid w:val="0"/>
        </w:rPr>
        <w:t>.</w:t>
      </w:r>
      <w:r>
        <w:rPr>
          <w:snapToGrid w:val="0"/>
        </w:rPr>
        <w:tab/>
        <w:t>Control of jetties</w:t>
      </w:r>
      <w:bookmarkEnd w:id="129"/>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30" w:name="_Toc170305536"/>
      <w:r>
        <w:rPr>
          <w:rStyle w:val="CharSectno"/>
        </w:rPr>
        <w:t>69</w:t>
      </w:r>
      <w:r>
        <w:rPr>
          <w:snapToGrid w:val="0"/>
        </w:rPr>
        <w:t>.</w:t>
      </w:r>
      <w:r>
        <w:rPr>
          <w:snapToGrid w:val="0"/>
        </w:rPr>
        <w:tab/>
        <w:t>Use of jetties</w:t>
      </w:r>
      <w:bookmarkEnd w:id="130"/>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31" w:name="_Toc170305537"/>
      <w:r>
        <w:rPr>
          <w:rStyle w:val="CharSectno"/>
        </w:rPr>
        <w:lastRenderedPageBreak/>
        <w:t>70</w:t>
      </w:r>
      <w:r>
        <w:rPr>
          <w:snapToGrid w:val="0"/>
        </w:rPr>
        <w:t>.</w:t>
      </w:r>
      <w:r>
        <w:rPr>
          <w:snapToGrid w:val="0"/>
        </w:rPr>
        <w:tab/>
        <w:t>Jetties may be closed</w:t>
      </w:r>
      <w:bookmarkEnd w:id="131"/>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32" w:name="_Toc170215679"/>
      <w:bookmarkStart w:id="133" w:name="_Toc170225394"/>
      <w:bookmarkStart w:id="134" w:name="_Toc170305538"/>
      <w:r>
        <w:rPr>
          <w:rStyle w:val="CharDivNo"/>
        </w:rPr>
        <w:t>Division 3</w:t>
      </w:r>
      <w:r>
        <w:rPr>
          <w:snapToGrid w:val="0"/>
        </w:rPr>
        <w:t> — </w:t>
      </w:r>
      <w:r>
        <w:rPr>
          <w:rStyle w:val="CharDivText"/>
        </w:rPr>
        <w:t>Mooring and berthing of vessels</w:t>
      </w:r>
      <w:bookmarkEnd w:id="132"/>
      <w:bookmarkEnd w:id="133"/>
      <w:bookmarkEnd w:id="134"/>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35" w:name="_Toc170305539"/>
      <w:r>
        <w:rPr>
          <w:rStyle w:val="CharSectno"/>
        </w:rPr>
        <w:t>71</w:t>
      </w:r>
      <w:r>
        <w:rPr>
          <w:snapToGrid w:val="0"/>
        </w:rPr>
        <w:t>.</w:t>
      </w:r>
      <w:r>
        <w:rPr>
          <w:snapToGrid w:val="0"/>
        </w:rPr>
        <w:tab/>
        <w:t>Permit required to moor etc. alongside jetty or buoy</w:t>
      </w:r>
      <w:bookmarkEnd w:id="13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36" w:name="_Toc170305540"/>
      <w:r>
        <w:rPr>
          <w:rStyle w:val="CharSectno"/>
        </w:rPr>
        <w:t>72</w:t>
      </w:r>
      <w:r>
        <w:rPr>
          <w:snapToGrid w:val="0"/>
        </w:rPr>
        <w:t>.</w:t>
      </w:r>
      <w:r>
        <w:rPr>
          <w:snapToGrid w:val="0"/>
        </w:rPr>
        <w:tab/>
        <w:t>Duration of, and charges for, permits</w:t>
      </w:r>
      <w:bookmarkEnd w:id="136"/>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pPr>
      <w:r>
        <w:lastRenderedPageBreak/>
        <w:tab/>
        <w:t>(2)</w:t>
      </w:r>
      <w:r>
        <w:tab/>
        <w:t xml:space="preserve">The charge for a permit under regulation 71 or 73 granted to the owner of a vessel is the appropriate charge set out in Schedule 3, or provided for in subregulation (3A), and must be paid — </w:t>
      </w:r>
    </w:p>
    <w:p>
      <w:pPr>
        <w:pStyle w:val="Indenta"/>
        <w:rPr>
          <w:snapToGrid w:val="0"/>
        </w:rPr>
      </w:pPr>
      <w:r>
        <w:tab/>
        <w:t>(a)</w:t>
      </w:r>
      <w:r>
        <w:tab/>
        <w:t xml:space="preserve">on the date the </w:t>
      </w:r>
      <w:r>
        <w:rPr>
          <w:snapToGrid w:val="0"/>
        </w:rPr>
        <w:t>permit is granted;</w:t>
      </w:r>
      <w:r>
        <w:t xml:space="preserve"> or </w:t>
      </w:r>
    </w:p>
    <w:p>
      <w:pPr>
        <w:pStyle w:val="Indenta"/>
      </w:pPr>
      <w:r>
        <w:tab/>
        <w:t>(b)</w:t>
      </w:r>
      <w:r>
        <w:tab/>
        <w:t xml:space="preserve">on or before any other date specified in — </w:t>
      </w:r>
    </w:p>
    <w:p>
      <w:pPr>
        <w:pStyle w:val="Indenti"/>
      </w:pPr>
      <w:r>
        <w:tab/>
        <w:t>(i)</w:t>
      </w:r>
      <w:r>
        <w:tab/>
        <w:t xml:space="preserve">a notice given by the chief executive officer to the owner of the vessel; or </w:t>
      </w:r>
    </w:p>
    <w:p>
      <w:pPr>
        <w:pStyle w:val="Indenti"/>
      </w:pPr>
      <w:r>
        <w:tab/>
        <w:t>(ii)</w:t>
      </w:r>
      <w:r>
        <w:tab/>
        <w:t>a written agreement between the owner of the vessel and the Department.</w:t>
      </w:r>
    </w:p>
    <w:p>
      <w:pPr>
        <w:pStyle w:val="Ednotesubsection"/>
        <w:spacing w:before="120"/>
      </w:pPr>
      <w:r>
        <w:tab/>
        <w:t>[(3)</w:t>
      </w:r>
      <w:r>
        <w:tab/>
        <w:t>deleted]</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(ia)</w:t>
      </w:r>
      <w:r>
        <w:tab/>
        <w:t>by a recreational vessel that is 25 m or more in length — an amount calculated using standard Rate 1 set out in Schedule 3 clause 2;</w:t>
      </w:r>
    </w:p>
    <w:p>
      <w:pPr>
        <w:pStyle w:val="Indenti"/>
      </w:pPr>
      <w:r>
        <w:tab/>
        <w:t>(ii)</w:t>
      </w:r>
      <w:r>
        <w:tab/>
        <w:t>by a recreational vessel that is less than 25 m in length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lastRenderedPageBreak/>
        <w:tab/>
        <w:t>(4)</w:t>
      </w:r>
      <w:r>
        <w:rPr>
          <w:snapToGrid w:val="0"/>
        </w:rPr>
        <w:tab/>
        <w:t xml:space="preserve">A permit may be cancelled and the berth reallocated by the Department where payment is not made in </w:t>
      </w:r>
      <w:r>
        <w:t>accordance with subregulation (2).</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Ednotesubsection"/>
        <w:spacing w:before="120"/>
      </w:pPr>
      <w:r>
        <w:tab/>
        <w:t>[(7)</w:t>
      </w:r>
      <w:r>
        <w:tab/>
        <w:t>deleted]</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pPr>
        <w:pStyle w:val="Heading5"/>
        <w:rPr>
          <w:snapToGrid w:val="0"/>
        </w:rPr>
      </w:pPr>
      <w:bookmarkStart w:id="137" w:name="_Toc170305541"/>
      <w:r>
        <w:rPr>
          <w:rStyle w:val="CharSectno"/>
        </w:rPr>
        <w:t>73</w:t>
      </w:r>
      <w:r>
        <w:rPr>
          <w:snapToGrid w:val="0"/>
        </w:rPr>
        <w:t>.</w:t>
      </w:r>
      <w:r>
        <w:rPr>
          <w:snapToGrid w:val="0"/>
        </w:rPr>
        <w:tab/>
        <w:t>Permit for exclusive use of berth</w:t>
      </w:r>
      <w:bookmarkEnd w:id="137"/>
      <w:r>
        <w:rPr>
          <w:snapToGrid w:val="0"/>
        </w:rPr>
        <w:t xml:space="preserve"> </w:t>
      </w:r>
    </w:p>
    <w:p>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lastRenderedPageBreak/>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SL 2023/43 r. 11.] </w:t>
      </w:r>
    </w:p>
    <w:p>
      <w:pPr>
        <w:pStyle w:val="Heading5"/>
        <w:rPr>
          <w:snapToGrid w:val="0"/>
        </w:rPr>
      </w:pPr>
      <w:bookmarkStart w:id="138" w:name="_Toc170305542"/>
      <w:r>
        <w:rPr>
          <w:rStyle w:val="CharSectno"/>
        </w:rPr>
        <w:t>74</w:t>
      </w:r>
      <w:r>
        <w:rPr>
          <w:snapToGrid w:val="0"/>
        </w:rPr>
        <w:t>.</w:t>
      </w:r>
      <w:r>
        <w:rPr>
          <w:snapToGrid w:val="0"/>
        </w:rPr>
        <w:tab/>
        <w:t>Manner of mooring vessels</w:t>
      </w:r>
      <w:bookmarkEnd w:id="13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39" w:name="_Toc170305543"/>
      <w:r>
        <w:rPr>
          <w:rStyle w:val="CharSectno"/>
        </w:rPr>
        <w:lastRenderedPageBreak/>
        <w:t>75</w:t>
      </w:r>
      <w:r>
        <w:rPr>
          <w:snapToGrid w:val="0"/>
        </w:rPr>
        <w:t>.</w:t>
      </w:r>
      <w:r>
        <w:rPr>
          <w:snapToGrid w:val="0"/>
        </w:rPr>
        <w:tab/>
        <w:t>Vessels not to remain at jetties longer than necessary</w:t>
      </w:r>
      <w:bookmarkEnd w:id="13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40" w:name="_Toc170305544"/>
      <w:r>
        <w:rPr>
          <w:rStyle w:val="CharSectno"/>
        </w:rPr>
        <w:t>76</w:t>
      </w:r>
      <w:r>
        <w:rPr>
          <w:snapToGrid w:val="0"/>
        </w:rPr>
        <w:t>.</w:t>
      </w:r>
      <w:r>
        <w:rPr>
          <w:snapToGrid w:val="0"/>
        </w:rPr>
        <w:tab/>
        <w:t>Mooring of rafts and boathouses</w:t>
      </w:r>
      <w:bookmarkEnd w:id="140"/>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41" w:name="_Toc170305545"/>
      <w:r>
        <w:rPr>
          <w:rStyle w:val="CharSectno"/>
        </w:rPr>
        <w:t>77</w:t>
      </w:r>
      <w:r>
        <w:rPr>
          <w:snapToGrid w:val="0"/>
        </w:rPr>
        <w:t>.</w:t>
      </w:r>
      <w:r>
        <w:rPr>
          <w:snapToGrid w:val="0"/>
        </w:rPr>
        <w:tab/>
        <w:t>Vessels to be in charge of competent person</w:t>
      </w:r>
      <w:bookmarkEnd w:id="141"/>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42" w:name="_Toc170305546"/>
      <w:r>
        <w:rPr>
          <w:rStyle w:val="CharSectno"/>
        </w:rPr>
        <w:t>78</w:t>
      </w:r>
      <w:r>
        <w:rPr>
          <w:snapToGrid w:val="0"/>
        </w:rPr>
        <w:t>.</w:t>
      </w:r>
      <w:r>
        <w:rPr>
          <w:snapToGrid w:val="0"/>
        </w:rPr>
        <w:tab/>
        <w:t>Approaching jetties after sunset</w:t>
      </w:r>
      <w:bookmarkEnd w:id="14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43" w:name="_Toc170305547"/>
      <w:r>
        <w:rPr>
          <w:rStyle w:val="CharSectno"/>
        </w:rPr>
        <w:t>78A</w:t>
      </w:r>
      <w:r>
        <w:t>.</w:t>
      </w:r>
      <w:r>
        <w:tab/>
        <w:t>Charges for sullage removal</w:t>
      </w:r>
      <w:bookmarkEnd w:id="143"/>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lastRenderedPageBreak/>
        <w:tab/>
        <w:t>[Regulation 78A inserted: Gazette 31 May 2019 p. 1758.]</w:t>
      </w:r>
    </w:p>
    <w:p>
      <w:pPr>
        <w:pStyle w:val="Heading3"/>
        <w:keepLines/>
        <w:rPr>
          <w:snapToGrid w:val="0"/>
        </w:rPr>
      </w:pPr>
      <w:bookmarkStart w:id="144" w:name="_Toc170215689"/>
      <w:bookmarkStart w:id="145" w:name="_Toc170225404"/>
      <w:bookmarkStart w:id="146" w:name="_Toc170305548"/>
      <w:r>
        <w:rPr>
          <w:rStyle w:val="CharDivNo"/>
        </w:rPr>
        <w:t>Division 4</w:t>
      </w:r>
      <w:r>
        <w:rPr>
          <w:snapToGrid w:val="0"/>
        </w:rPr>
        <w:t> — </w:t>
      </w:r>
      <w:r>
        <w:rPr>
          <w:rStyle w:val="CharDivText"/>
        </w:rPr>
        <w:t>Loading or discharging cargo</w:t>
      </w:r>
      <w:bookmarkEnd w:id="144"/>
      <w:bookmarkEnd w:id="145"/>
      <w:bookmarkEnd w:id="146"/>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47" w:name="_Toc170305549"/>
      <w:r>
        <w:rPr>
          <w:rStyle w:val="CharSectno"/>
        </w:rPr>
        <w:t>80</w:t>
      </w:r>
      <w:r>
        <w:rPr>
          <w:snapToGrid w:val="0"/>
        </w:rPr>
        <w:t>.</w:t>
      </w:r>
      <w:r>
        <w:rPr>
          <w:snapToGrid w:val="0"/>
        </w:rPr>
        <w:tab/>
        <w:t>Vessels loading or discharging</w:t>
      </w:r>
      <w:bookmarkEnd w:id="14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48" w:name="_Toc170305550"/>
      <w:r>
        <w:rPr>
          <w:rStyle w:val="CharSectno"/>
        </w:rPr>
        <w:t>81</w:t>
      </w:r>
      <w:r>
        <w:rPr>
          <w:snapToGrid w:val="0"/>
        </w:rPr>
        <w:t>.</w:t>
      </w:r>
      <w:r>
        <w:rPr>
          <w:snapToGrid w:val="0"/>
        </w:rPr>
        <w:tab/>
        <w:t>Cargo to be removed</w:t>
      </w:r>
      <w:bookmarkEnd w:id="14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lastRenderedPageBreak/>
        <w:tab/>
        <w:t xml:space="preserve">[Regulation 81 amended: Gazette 19 May 1989 p. 1495.] </w:t>
      </w:r>
    </w:p>
    <w:p>
      <w:pPr>
        <w:pStyle w:val="Heading5"/>
        <w:rPr>
          <w:snapToGrid w:val="0"/>
        </w:rPr>
      </w:pPr>
      <w:bookmarkStart w:id="149" w:name="_Toc170305551"/>
      <w:r>
        <w:rPr>
          <w:rStyle w:val="CharSectno"/>
        </w:rPr>
        <w:t>82</w:t>
      </w:r>
      <w:r>
        <w:rPr>
          <w:snapToGrid w:val="0"/>
        </w:rPr>
        <w:t>.</w:t>
      </w:r>
      <w:r>
        <w:rPr>
          <w:snapToGrid w:val="0"/>
        </w:rPr>
        <w:tab/>
        <w:t>Cargo not to remain on jetties overnight</w:t>
      </w:r>
      <w:bookmarkEnd w:id="14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50" w:name="_Toc170305552"/>
      <w:r>
        <w:rPr>
          <w:rStyle w:val="CharSectno"/>
        </w:rPr>
        <w:t>83</w:t>
      </w:r>
      <w:r>
        <w:rPr>
          <w:snapToGrid w:val="0"/>
        </w:rPr>
        <w:t>.</w:t>
      </w:r>
      <w:r>
        <w:rPr>
          <w:snapToGrid w:val="0"/>
        </w:rPr>
        <w:tab/>
        <w:t>Explosives not to be handled without permission</w:t>
      </w:r>
      <w:bookmarkEnd w:id="15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51" w:name="_Toc170305553"/>
      <w:r>
        <w:rPr>
          <w:rStyle w:val="CharSectno"/>
        </w:rPr>
        <w:t>84</w:t>
      </w:r>
      <w:r>
        <w:rPr>
          <w:snapToGrid w:val="0"/>
        </w:rPr>
        <w:t>.</w:t>
      </w:r>
      <w:r>
        <w:rPr>
          <w:snapToGrid w:val="0"/>
        </w:rPr>
        <w:tab/>
        <w:t>Manner of handling cargo</w:t>
      </w:r>
      <w:bookmarkEnd w:id="15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52" w:name="_Toc170215695"/>
      <w:bookmarkStart w:id="153" w:name="_Toc170225410"/>
      <w:bookmarkStart w:id="154" w:name="_Toc170305554"/>
      <w:r>
        <w:rPr>
          <w:rStyle w:val="CharDivNo"/>
        </w:rPr>
        <w:t>Division 5</w:t>
      </w:r>
      <w:r>
        <w:rPr>
          <w:snapToGrid w:val="0"/>
        </w:rPr>
        <w:t> — </w:t>
      </w:r>
      <w:r>
        <w:rPr>
          <w:rStyle w:val="CharDivText"/>
        </w:rPr>
        <w:t>Navigation of vessels</w:t>
      </w:r>
      <w:bookmarkEnd w:id="152"/>
      <w:bookmarkEnd w:id="153"/>
      <w:bookmarkEnd w:id="154"/>
      <w:r>
        <w:rPr>
          <w:rStyle w:val="CharDivText"/>
        </w:rPr>
        <w:t xml:space="preserve"> </w:t>
      </w:r>
    </w:p>
    <w:p>
      <w:pPr>
        <w:pStyle w:val="Footnoteheading"/>
      </w:pPr>
      <w:r>
        <w:tab/>
        <w:t xml:space="preserve">[Heading inserted: Gazette 19 May 1989 p. 1494.] </w:t>
      </w:r>
    </w:p>
    <w:p>
      <w:pPr>
        <w:pStyle w:val="Heading5"/>
        <w:rPr>
          <w:snapToGrid w:val="0"/>
        </w:rPr>
      </w:pPr>
      <w:bookmarkStart w:id="155" w:name="_Toc170305555"/>
      <w:r>
        <w:rPr>
          <w:rStyle w:val="CharSectno"/>
        </w:rPr>
        <w:t>85</w:t>
      </w:r>
      <w:r>
        <w:rPr>
          <w:snapToGrid w:val="0"/>
        </w:rPr>
        <w:t>.</w:t>
      </w:r>
      <w:r>
        <w:rPr>
          <w:snapToGrid w:val="0"/>
        </w:rPr>
        <w:tab/>
        <w:t>Power vessels approaching jetties</w:t>
      </w:r>
      <w:bookmarkEnd w:id="155"/>
      <w:r>
        <w:rPr>
          <w:snapToGrid w:val="0"/>
        </w:rPr>
        <w:t xml:space="preserve"> </w:t>
      </w:r>
    </w:p>
    <w:p>
      <w:pPr>
        <w:pStyle w:val="Subsection"/>
        <w:rPr>
          <w:snapToGrid w:val="0"/>
        </w:rPr>
      </w:pPr>
      <w:r>
        <w:rPr>
          <w:snapToGrid w:val="0"/>
        </w:rPr>
        <w:tab/>
        <w:t>(a)</w:t>
      </w:r>
      <w:r>
        <w:rPr>
          <w:snapToGrid w:val="0"/>
        </w:rPr>
        <w:tab/>
        <w:t xml:space="preserve">In the case of 2 power vessels approaching the same public jetty at the same time from opposite directions, the power vessel </w:t>
      </w:r>
      <w:r>
        <w:rPr>
          <w:snapToGrid w:val="0"/>
        </w:rPr>
        <w:lastRenderedPageBreak/>
        <w:t>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56" w:name="_Toc170215697"/>
      <w:bookmarkStart w:id="157" w:name="_Toc170225412"/>
      <w:bookmarkStart w:id="158" w:name="_Toc170305556"/>
      <w:r>
        <w:rPr>
          <w:rStyle w:val="CharDivNo"/>
        </w:rPr>
        <w:t>Division 6</w:t>
      </w:r>
      <w:r>
        <w:rPr>
          <w:snapToGrid w:val="0"/>
        </w:rPr>
        <w:t> — </w:t>
      </w:r>
      <w:r>
        <w:rPr>
          <w:rStyle w:val="CharDivText"/>
        </w:rPr>
        <w:t>Miscellaneous</w:t>
      </w:r>
      <w:bookmarkEnd w:id="156"/>
      <w:bookmarkEnd w:id="157"/>
      <w:bookmarkEnd w:id="158"/>
      <w:r>
        <w:rPr>
          <w:rStyle w:val="CharDivText"/>
        </w:rPr>
        <w:t xml:space="preserve"> </w:t>
      </w:r>
    </w:p>
    <w:p>
      <w:pPr>
        <w:pStyle w:val="Footnoteheading"/>
        <w:keepNext/>
      </w:pPr>
      <w:r>
        <w:tab/>
        <w:t xml:space="preserve">[Heading inserted: Gazette 19 May 1989 p. 1494.] </w:t>
      </w:r>
    </w:p>
    <w:p>
      <w:pPr>
        <w:pStyle w:val="Heading5"/>
        <w:rPr>
          <w:snapToGrid w:val="0"/>
        </w:rPr>
      </w:pPr>
      <w:bookmarkStart w:id="159" w:name="_Toc170305557"/>
      <w:r>
        <w:rPr>
          <w:rStyle w:val="CharSectno"/>
        </w:rPr>
        <w:t>86</w:t>
      </w:r>
      <w:r>
        <w:rPr>
          <w:snapToGrid w:val="0"/>
        </w:rPr>
        <w:t>.</w:t>
      </w:r>
      <w:r>
        <w:rPr>
          <w:snapToGrid w:val="0"/>
        </w:rPr>
        <w:tab/>
        <w:t>Bathing from jetties</w:t>
      </w:r>
      <w:bookmarkEnd w:id="159"/>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60" w:name="_Toc170305558"/>
      <w:r>
        <w:rPr>
          <w:rStyle w:val="CharSectno"/>
        </w:rPr>
        <w:t>87</w:t>
      </w:r>
      <w:r>
        <w:rPr>
          <w:snapToGrid w:val="0"/>
        </w:rPr>
        <w:t>.</w:t>
      </w:r>
      <w:r>
        <w:rPr>
          <w:snapToGrid w:val="0"/>
        </w:rPr>
        <w:tab/>
        <w:t>Damage to jetties</w:t>
      </w:r>
      <w:bookmarkEnd w:id="160"/>
      <w:r>
        <w:rPr>
          <w:snapToGrid w:val="0"/>
        </w:rPr>
        <w:t xml:space="preserve"> </w:t>
      </w:r>
    </w:p>
    <w:p>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pPr>
        <w:pStyle w:val="Footnotesection"/>
      </w:pPr>
      <w:r>
        <w:lastRenderedPageBreak/>
        <w:tab/>
        <w:t xml:space="preserve">[Regulation 87 amended: Gazette 19 May 1989 p. 1495; SL 2023/43 r. 12.] </w:t>
      </w:r>
    </w:p>
    <w:p>
      <w:pPr>
        <w:pStyle w:val="Heading5"/>
        <w:rPr>
          <w:snapToGrid w:val="0"/>
        </w:rPr>
      </w:pPr>
      <w:bookmarkStart w:id="161" w:name="_Toc170305559"/>
      <w:r>
        <w:rPr>
          <w:rStyle w:val="CharSectno"/>
        </w:rPr>
        <w:t>88</w:t>
      </w:r>
      <w:r>
        <w:rPr>
          <w:snapToGrid w:val="0"/>
        </w:rPr>
        <w:t>.</w:t>
      </w:r>
      <w:r>
        <w:rPr>
          <w:snapToGrid w:val="0"/>
        </w:rPr>
        <w:tab/>
        <w:t>Fishing from certain places prohibited</w:t>
      </w:r>
      <w:bookmarkEnd w:id="161"/>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162" w:name="_Toc170305560"/>
      <w:r>
        <w:rPr>
          <w:rStyle w:val="CharSectno"/>
        </w:rPr>
        <w:t>89</w:t>
      </w:r>
      <w:r>
        <w:rPr>
          <w:snapToGrid w:val="0"/>
        </w:rPr>
        <w:t>.</w:t>
      </w:r>
      <w:r>
        <w:rPr>
          <w:snapToGrid w:val="0"/>
        </w:rPr>
        <w:tab/>
        <w:t>Fishing nets on jetties</w:t>
      </w:r>
      <w:bookmarkEnd w:id="16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63" w:name="_Toc170305561"/>
      <w:r>
        <w:rPr>
          <w:rStyle w:val="CharSectno"/>
        </w:rPr>
        <w:t>90</w:t>
      </w:r>
      <w:r>
        <w:rPr>
          <w:snapToGrid w:val="0"/>
        </w:rPr>
        <w:t>.</w:t>
      </w:r>
      <w:r>
        <w:rPr>
          <w:snapToGrid w:val="0"/>
        </w:rPr>
        <w:tab/>
        <w:t>Gangways to be provided</w:t>
      </w:r>
      <w:bookmarkEnd w:id="16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64" w:name="_Toc170305562"/>
      <w:r>
        <w:rPr>
          <w:rStyle w:val="CharSectno"/>
        </w:rPr>
        <w:t>91</w:t>
      </w:r>
      <w:r>
        <w:rPr>
          <w:snapToGrid w:val="0"/>
        </w:rPr>
        <w:t>.</w:t>
      </w:r>
      <w:r>
        <w:rPr>
          <w:snapToGrid w:val="0"/>
        </w:rPr>
        <w:tab/>
        <w:t>Interference with jetties or approaches</w:t>
      </w:r>
      <w:bookmarkEnd w:id="164"/>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65" w:name="_Toc170305563"/>
      <w:r>
        <w:rPr>
          <w:rStyle w:val="CharSectno"/>
        </w:rPr>
        <w:lastRenderedPageBreak/>
        <w:t>92</w:t>
      </w:r>
      <w:r>
        <w:rPr>
          <w:snapToGrid w:val="0"/>
        </w:rPr>
        <w:t>.</w:t>
      </w:r>
      <w:r>
        <w:rPr>
          <w:snapToGrid w:val="0"/>
        </w:rPr>
        <w:tab/>
        <w:t>Lifebuoys on jetties</w:t>
      </w:r>
      <w:bookmarkEnd w:id="165"/>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66" w:name="_Toc170305564"/>
      <w:r>
        <w:rPr>
          <w:rStyle w:val="CharSectno"/>
        </w:rPr>
        <w:t>93</w:t>
      </w:r>
      <w:r>
        <w:rPr>
          <w:snapToGrid w:val="0"/>
        </w:rPr>
        <w:t>.</w:t>
      </w:r>
      <w:r>
        <w:rPr>
          <w:snapToGrid w:val="0"/>
        </w:rPr>
        <w:tab/>
        <w:t>Obstruction of jetties or officers</w:t>
      </w:r>
      <w:bookmarkEnd w:id="166"/>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67" w:name="_Toc170305565"/>
      <w:r>
        <w:rPr>
          <w:rStyle w:val="CharSectno"/>
        </w:rPr>
        <w:t>94</w:t>
      </w:r>
      <w:r>
        <w:rPr>
          <w:snapToGrid w:val="0"/>
        </w:rPr>
        <w:t>.</w:t>
      </w:r>
      <w:r>
        <w:rPr>
          <w:snapToGrid w:val="0"/>
        </w:rPr>
        <w:tab/>
        <w:t>Rubbish not to be thrown in river etc.</w:t>
      </w:r>
      <w:bookmarkEnd w:id="167"/>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168" w:name="_Toc170215707"/>
      <w:bookmarkStart w:id="169" w:name="_Toc170225422"/>
      <w:bookmarkStart w:id="170" w:name="_Toc170305566"/>
      <w:r>
        <w:rPr>
          <w:rStyle w:val="CharPartNo"/>
        </w:rPr>
        <w:lastRenderedPageBreak/>
        <w:t>Part 3</w:t>
      </w:r>
      <w:r>
        <w:t> — </w:t>
      </w:r>
      <w:r>
        <w:rPr>
          <w:rStyle w:val="CharPartText"/>
        </w:rPr>
        <w:t>Special provisions applying at particular ports</w:t>
      </w:r>
      <w:bookmarkEnd w:id="168"/>
      <w:bookmarkEnd w:id="169"/>
      <w:bookmarkEnd w:id="170"/>
      <w:r>
        <w:rPr>
          <w:rStyle w:val="CharPartText"/>
        </w:rPr>
        <w:t xml:space="preserve"> </w:t>
      </w:r>
    </w:p>
    <w:p>
      <w:pPr>
        <w:pStyle w:val="Footnoteheading"/>
      </w:pPr>
      <w:r>
        <w:tab/>
        <w:t xml:space="preserve">[Heading inserted: Gazette 19 May 1989 p. 1494.] </w:t>
      </w:r>
    </w:p>
    <w:p>
      <w:pPr>
        <w:pStyle w:val="Heading3"/>
        <w:rPr>
          <w:snapToGrid w:val="0"/>
        </w:rPr>
      </w:pPr>
      <w:bookmarkStart w:id="171" w:name="_Toc170215708"/>
      <w:bookmarkStart w:id="172" w:name="_Toc170225423"/>
      <w:bookmarkStart w:id="173" w:name="_Toc170305567"/>
      <w:r>
        <w:rPr>
          <w:rStyle w:val="CharDivNo"/>
        </w:rPr>
        <w:t>Division 1</w:t>
      </w:r>
      <w:r>
        <w:rPr>
          <w:snapToGrid w:val="0"/>
        </w:rPr>
        <w:t> — </w:t>
      </w:r>
      <w:r>
        <w:rPr>
          <w:rStyle w:val="CharDivText"/>
        </w:rPr>
        <w:t>Use of slipways</w:t>
      </w:r>
      <w:bookmarkEnd w:id="171"/>
      <w:bookmarkEnd w:id="172"/>
      <w:bookmarkEnd w:id="173"/>
      <w:r>
        <w:rPr>
          <w:rStyle w:val="CharDivText"/>
        </w:rPr>
        <w:t xml:space="preserve"> </w:t>
      </w:r>
    </w:p>
    <w:p>
      <w:pPr>
        <w:pStyle w:val="Footnoteheading"/>
      </w:pPr>
      <w:r>
        <w:tab/>
        <w:t xml:space="preserve">[Heading inserted: Gazette 19 May 1989 p. 1494.] </w:t>
      </w:r>
    </w:p>
    <w:p>
      <w:pPr>
        <w:pStyle w:val="Heading5"/>
      </w:pPr>
      <w:bookmarkStart w:id="174" w:name="_Toc170305568"/>
      <w:r>
        <w:rPr>
          <w:rStyle w:val="CharSectno"/>
        </w:rPr>
        <w:t>95</w:t>
      </w:r>
      <w:r>
        <w:t>.</w:t>
      </w:r>
      <w:r>
        <w:tab/>
        <w:t>Management and control of departmental slipways</w:t>
      </w:r>
      <w:bookmarkEnd w:id="174"/>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175" w:name="_Toc170305569"/>
      <w:r>
        <w:rPr>
          <w:rStyle w:val="CharSectno"/>
        </w:rPr>
        <w:t>95A</w:t>
      </w:r>
      <w:r>
        <w:t>.</w:t>
      </w:r>
      <w:r>
        <w:tab/>
        <w:t>Use of slipway</w:t>
      </w:r>
      <w:bookmarkEnd w:id="175"/>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76" w:name="_Toc170305570"/>
      <w:r>
        <w:rPr>
          <w:rStyle w:val="CharSectno"/>
        </w:rPr>
        <w:t>96</w:t>
      </w:r>
      <w:r>
        <w:rPr>
          <w:snapToGrid w:val="0"/>
        </w:rPr>
        <w:t>.</w:t>
      </w:r>
      <w:r>
        <w:rPr>
          <w:snapToGrid w:val="0"/>
        </w:rPr>
        <w:tab/>
        <w:t>Charges for use of slipway</w:t>
      </w:r>
      <w:bookmarkEnd w:id="176"/>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77" w:name="_Toc170305571"/>
      <w:r>
        <w:rPr>
          <w:rStyle w:val="CharSectno"/>
        </w:rPr>
        <w:t>97</w:t>
      </w:r>
      <w:r>
        <w:rPr>
          <w:snapToGrid w:val="0"/>
        </w:rPr>
        <w:t>.</w:t>
      </w:r>
      <w:r>
        <w:rPr>
          <w:snapToGrid w:val="0"/>
        </w:rPr>
        <w:tab/>
        <w:t>Government vessels may take precedence</w:t>
      </w:r>
      <w:bookmarkEnd w:id="177"/>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178" w:name="_Toc170305572"/>
      <w:r>
        <w:rPr>
          <w:rStyle w:val="CharSectno"/>
        </w:rPr>
        <w:t>98</w:t>
      </w:r>
      <w:r>
        <w:rPr>
          <w:snapToGrid w:val="0"/>
        </w:rPr>
        <w:t>.</w:t>
      </w:r>
      <w:r>
        <w:rPr>
          <w:snapToGrid w:val="0"/>
        </w:rPr>
        <w:tab/>
        <w:t>Vessels may forfeit their turn</w:t>
      </w:r>
      <w:bookmarkEnd w:id="17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179" w:name="_Toc170305573"/>
      <w:r>
        <w:rPr>
          <w:rStyle w:val="CharSectno"/>
        </w:rPr>
        <w:t>99</w:t>
      </w:r>
      <w:r>
        <w:rPr>
          <w:snapToGrid w:val="0"/>
        </w:rPr>
        <w:t>.</w:t>
      </w:r>
      <w:r>
        <w:rPr>
          <w:snapToGrid w:val="0"/>
        </w:rPr>
        <w:tab/>
        <w:t>Department will not undertake repairs etc.</w:t>
      </w:r>
      <w:bookmarkEnd w:id="17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180" w:name="_Toc170305574"/>
      <w:r>
        <w:rPr>
          <w:rStyle w:val="CharSectno"/>
        </w:rPr>
        <w:lastRenderedPageBreak/>
        <w:t>100</w:t>
      </w:r>
      <w:r>
        <w:rPr>
          <w:snapToGrid w:val="0"/>
        </w:rPr>
        <w:t>.</w:t>
      </w:r>
      <w:r>
        <w:rPr>
          <w:snapToGrid w:val="0"/>
        </w:rPr>
        <w:tab/>
        <w:t>Department not responsible for damage to vessel when in use of slip</w:t>
      </w:r>
      <w:bookmarkEnd w:id="180"/>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181" w:name="_Toc170305575"/>
      <w:r>
        <w:rPr>
          <w:rStyle w:val="CharSectno"/>
        </w:rPr>
        <w:t>101</w:t>
      </w:r>
      <w:r>
        <w:rPr>
          <w:snapToGrid w:val="0"/>
        </w:rPr>
        <w:t>.</w:t>
      </w:r>
      <w:r>
        <w:rPr>
          <w:snapToGrid w:val="0"/>
        </w:rPr>
        <w:tab/>
        <w:t>Duties of owner or master using slipway</w:t>
      </w:r>
      <w:bookmarkEnd w:id="18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182" w:name="_Toc170305576"/>
      <w:r>
        <w:rPr>
          <w:rStyle w:val="CharSectno"/>
        </w:rPr>
        <w:t>101A</w:t>
      </w:r>
      <w:r>
        <w:rPr>
          <w:snapToGrid w:val="0"/>
        </w:rPr>
        <w:t>.</w:t>
      </w:r>
      <w:r>
        <w:rPr>
          <w:snapToGrid w:val="0"/>
        </w:rPr>
        <w:tab/>
        <w:t>Slipping of more than one vessel at a time</w:t>
      </w:r>
      <w:bookmarkEnd w:id="182"/>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Lines w:val="0"/>
        <w:spacing w:before="180"/>
        <w:rPr>
          <w:snapToGrid w:val="0"/>
        </w:rPr>
      </w:pPr>
      <w:bookmarkStart w:id="183" w:name="_Toc170305577"/>
      <w:r>
        <w:rPr>
          <w:rStyle w:val="CharSectno"/>
        </w:rPr>
        <w:lastRenderedPageBreak/>
        <w:t>101B</w:t>
      </w:r>
      <w:r>
        <w:rPr>
          <w:snapToGrid w:val="0"/>
        </w:rPr>
        <w:t>.</w:t>
      </w:r>
      <w:r>
        <w:rPr>
          <w:snapToGrid w:val="0"/>
        </w:rPr>
        <w:tab/>
        <w:t>Dispute procedure</w:t>
      </w:r>
      <w:bookmarkEnd w:id="183"/>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184" w:name="_Toc170215719"/>
      <w:bookmarkStart w:id="185" w:name="_Toc170225434"/>
      <w:bookmarkStart w:id="186" w:name="_Toc170305578"/>
      <w:r>
        <w:rPr>
          <w:rStyle w:val="CharDivNo"/>
        </w:rPr>
        <w:t>Division 2</w:t>
      </w:r>
      <w:r>
        <w:rPr>
          <w:snapToGrid w:val="0"/>
        </w:rPr>
        <w:t> — </w:t>
      </w:r>
      <w:r>
        <w:rPr>
          <w:rStyle w:val="CharDivText"/>
        </w:rPr>
        <w:t>Use of mooring springs</w:t>
      </w:r>
      <w:bookmarkEnd w:id="184"/>
      <w:bookmarkEnd w:id="185"/>
      <w:bookmarkEnd w:id="186"/>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187" w:name="_Toc170305579"/>
      <w:r>
        <w:rPr>
          <w:rStyle w:val="CharSectno"/>
        </w:rPr>
        <w:t>105F</w:t>
      </w:r>
      <w:r>
        <w:rPr>
          <w:snapToGrid w:val="0"/>
        </w:rPr>
        <w:t>.</w:t>
      </w:r>
      <w:r>
        <w:rPr>
          <w:snapToGrid w:val="0"/>
        </w:rPr>
        <w:tab/>
        <w:t>Approaching bollard or jetty to which mooring spring or rope fastened</w:t>
      </w:r>
      <w:bookmarkEnd w:id="18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188" w:name="_Toc170215721"/>
      <w:bookmarkStart w:id="189" w:name="_Toc170225436"/>
      <w:bookmarkStart w:id="190" w:name="_Toc170305580"/>
      <w:r>
        <w:rPr>
          <w:rStyle w:val="CharPartNo"/>
        </w:rPr>
        <w:lastRenderedPageBreak/>
        <w:t>Part 3A</w:t>
      </w:r>
      <w:r>
        <w:rPr>
          <w:b w:val="0"/>
        </w:rPr>
        <w:t> </w:t>
      </w:r>
      <w:r>
        <w:t>—</w:t>
      </w:r>
      <w:r>
        <w:rPr>
          <w:b w:val="0"/>
        </w:rPr>
        <w:t> </w:t>
      </w:r>
      <w:r>
        <w:rPr>
          <w:rStyle w:val="CharPartText"/>
        </w:rPr>
        <w:t>Licence fees</w:t>
      </w:r>
      <w:bookmarkEnd w:id="188"/>
      <w:bookmarkEnd w:id="189"/>
      <w:bookmarkEnd w:id="190"/>
    </w:p>
    <w:p>
      <w:pPr>
        <w:pStyle w:val="Footnoteheading"/>
      </w:pPr>
      <w:r>
        <w:tab/>
        <w:t>[Heading inserted: SL 2020/96 r. 5.]</w:t>
      </w:r>
    </w:p>
    <w:p>
      <w:pPr>
        <w:pStyle w:val="Heading3"/>
      </w:pPr>
      <w:bookmarkStart w:id="191" w:name="_Toc170215722"/>
      <w:bookmarkStart w:id="192" w:name="_Toc170225437"/>
      <w:bookmarkStart w:id="193" w:name="_Toc170305581"/>
      <w:r>
        <w:rPr>
          <w:rStyle w:val="CharDivNo"/>
        </w:rPr>
        <w:t>Division 1</w:t>
      </w:r>
      <w:r>
        <w:t> — </w:t>
      </w:r>
      <w:r>
        <w:rPr>
          <w:rStyle w:val="CharDivText"/>
        </w:rPr>
        <w:t>Preliminary</w:t>
      </w:r>
      <w:bookmarkEnd w:id="191"/>
      <w:bookmarkEnd w:id="192"/>
      <w:bookmarkEnd w:id="193"/>
    </w:p>
    <w:p>
      <w:pPr>
        <w:pStyle w:val="Footnoteheading"/>
      </w:pPr>
      <w:r>
        <w:tab/>
        <w:t>[Heading inserted: SL 2020/96 r. 5.]</w:t>
      </w:r>
    </w:p>
    <w:p>
      <w:pPr>
        <w:pStyle w:val="Heading5"/>
      </w:pPr>
      <w:bookmarkStart w:id="194" w:name="_Toc170305582"/>
      <w:r>
        <w:rPr>
          <w:rStyle w:val="CharSectno"/>
        </w:rPr>
        <w:t>105J</w:t>
      </w:r>
      <w:r>
        <w:t>.</w:t>
      </w:r>
      <w:r>
        <w:tab/>
        <w:t>Terms used</w:t>
      </w:r>
      <w:bookmarkEnd w:id="194"/>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lastRenderedPageBreak/>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195" w:name="_Toc170305583"/>
      <w:r>
        <w:rPr>
          <w:rStyle w:val="CharSectno"/>
        </w:rPr>
        <w:t>105K</w:t>
      </w:r>
      <w:r>
        <w:t>.</w:t>
      </w:r>
      <w:r>
        <w:tab/>
        <w:t>Obligation to pay licence fees</w:t>
      </w:r>
      <w:bookmarkEnd w:id="195"/>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pPr>
        <w:pStyle w:val="Footnotesection"/>
      </w:pPr>
      <w:r>
        <w:tab/>
        <w:t>[Regulation 105K inserted: SL 2020/96 r. 5.]</w:t>
      </w:r>
    </w:p>
    <w:p>
      <w:pPr>
        <w:pStyle w:val="Heading3"/>
      </w:pPr>
      <w:bookmarkStart w:id="196" w:name="_Toc170215725"/>
      <w:bookmarkStart w:id="197" w:name="_Toc170225440"/>
      <w:bookmarkStart w:id="198" w:name="_Toc170305584"/>
      <w:r>
        <w:rPr>
          <w:rStyle w:val="CharDivNo"/>
        </w:rPr>
        <w:t>Division 2</w:t>
      </w:r>
      <w:r>
        <w:t> — </w:t>
      </w:r>
      <w:r>
        <w:rPr>
          <w:rStyle w:val="CharDivText"/>
        </w:rPr>
        <w:t>Prescribed licence fees</w:t>
      </w:r>
      <w:bookmarkEnd w:id="196"/>
      <w:bookmarkEnd w:id="197"/>
      <w:bookmarkEnd w:id="198"/>
    </w:p>
    <w:p>
      <w:pPr>
        <w:pStyle w:val="Footnoteheading"/>
      </w:pPr>
      <w:r>
        <w:tab/>
        <w:t>[Heading inserted: SL 2020/96 r. 5.]</w:t>
      </w:r>
    </w:p>
    <w:p>
      <w:pPr>
        <w:pStyle w:val="Heading5"/>
      </w:pPr>
      <w:bookmarkStart w:id="199" w:name="_Toc170305585"/>
      <w:r>
        <w:rPr>
          <w:rStyle w:val="CharSectno"/>
        </w:rPr>
        <w:t>105L</w:t>
      </w:r>
      <w:r>
        <w:t>.</w:t>
      </w:r>
      <w:r>
        <w:tab/>
        <w:t>Private licence for certain type of ramp on freehold land</w:t>
      </w:r>
      <w:bookmarkEnd w:id="199"/>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$155.15;</w:t>
      </w:r>
    </w:p>
    <w:p>
      <w:pPr>
        <w:pStyle w:val="Indenta"/>
      </w:pPr>
      <w:r>
        <w:tab/>
        <w:t>(b)</w:t>
      </w:r>
      <w:r>
        <w:tab/>
        <w:t>a replacement licence fee of $155.15;</w:t>
      </w:r>
    </w:p>
    <w:p>
      <w:pPr>
        <w:pStyle w:val="Indenta"/>
      </w:pPr>
      <w:r>
        <w:tab/>
        <w:t>(c)</w:t>
      </w:r>
      <w:r>
        <w:tab/>
        <w:t>an amended licence fee of $150.60;</w:t>
      </w:r>
    </w:p>
    <w:p>
      <w:pPr>
        <w:pStyle w:val="Indenta"/>
        <w:keepNext/>
      </w:pPr>
      <w:r>
        <w:tab/>
        <w:t>(d)</w:t>
      </w:r>
      <w:r>
        <w:tab/>
        <w:t>an annual licence fee of $52.40.</w:t>
      </w:r>
    </w:p>
    <w:p>
      <w:pPr>
        <w:pStyle w:val="Footnotesection"/>
      </w:pPr>
      <w:r>
        <w:tab/>
        <w:t>[Regulation 105L inserted: SL 2020/96 r. 5; amended: SL 2021/68 r. 8; SL 2022/48 r. 7; SL 2023/43 r. 19; SL 2024/56 r. 7.]</w:t>
      </w:r>
    </w:p>
    <w:p>
      <w:pPr>
        <w:pStyle w:val="Heading5"/>
      </w:pPr>
      <w:bookmarkStart w:id="200" w:name="_Toc170305586"/>
      <w:r>
        <w:rPr>
          <w:rStyle w:val="CharSectno"/>
        </w:rPr>
        <w:lastRenderedPageBreak/>
        <w:t>105M</w:t>
      </w:r>
      <w:r>
        <w:t>.</w:t>
      </w:r>
      <w:r>
        <w:tab/>
        <w:t>Private licence for jetty not used for business purposes</w:t>
      </w:r>
      <w:bookmarkEnd w:id="200"/>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$699.10;</w:t>
      </w:r>
    </w:p>
    <w:p>
      <w:pPr>
        <w:pStyle w:val="Indenta"/>
      </w:pPr>
      <w:r>
        <w:tab/>
        <w:t>(b)</w:t>
      </w:r>
      <w:r>
        <w:tab/>
        <w:t>a replacement licence fee of $451.85;</w:t>
      </w:r>
    </w:p>
    <w:p>
      <w:pPr>
        <w:pStyle w:val="Indenta"/>
      </w:pPr>
      <w:r>
        <w:tab/>
        <w:t>(c)</w:t>
      </w:r>
      <w:r>
        <w:tab/>
        <w:t>an amended licence fee of $150.60;</w:t>
      </w:r>
    </w:p>
    <w:p>
      <w:pPr>
        <w:pStyle w:val="Indenta"/>
      </w:pPr>
      <w:r>
        <w:tab/>
        <w:t>(d)</w:t>
      </w:r>
      <w:r>
        <w:tab/>
        <w:t>an annual licence fee of $159.65.</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$622.05;</w:t>
      </w:r>
    </w:p>
    <w:p>
      <w:pPr>
        <w:pStyle w:val="Indenta"/>
      </w:pPr>
      <w:r>
        <w:tab/>
        <w:t>(b)</w:t>
      </w:r>
      <w:r>
        <w:tab/>
        <w:t>a replacement licence fee of $451.85;</w:t>
      </w:r>
    </w:p>
    <w:p>
      <w:pPr>
        <w:pStyle w:val="Indenta"/>
      </w:pPr>
      <w:r>
        <w:tab/>
        <w:t>(c)</w:t>
      </w:r>
      <w:r>
        <w:tab/>
        <w:t>an amended licence fee of $150.60;</w:t>
      </w:r>
    </w:p>
    <w:p>
      <w:pPr>
        <w:pStyle w:val="Indenta"/>
        <w:keepNext/>
      </w:pPr>
      <w:r>
        <w:tab/>
        <w:t>(d)</w:t>
      </w:r>
      <w:r>
        <w:tab/>
        <w:t>an annual licence fee of $79.95.</w:t>
      </w:r>
    </w:p>
    <w:p>
      <w:pPr>
        <w:pStyle w:val="Footnotesection"/>
      </w:pPr>
      <w:r>
        <w:tab/>
        <w:t>[Regulation 105M inserted: SL 2020/96 r. 5; amended: SL 2021/68 r. 8; SL 2022/48 r. 8; SL 2023/43 r. 19; SL 2024/56 r. 7.]</w:t>
      </w:r>
    </w:p>
    <w:p>
      <w:pPr>
        <w:pStyle w:val="Heading5"/>
      </w:pPr>
      <w:bookmarkStart w:id="201" w:name="_Toc170305587"/>
      <w:r>
        <w:rPr>
          <w:rStyle w:val="CharSectno"/>
        </w:rPr>
        <w:t>105N</w:t>
      </w:r>
      <w:r>
        <w:t>.</w:t>
      </w:r>
      <w:r>
        <w:tab/>
        <w:t>Private licence for jetty used for business purposes</w:t>
      </w:r>
      <w:bookmarkEnd w:id="201"/>
    </w:p>
    <w:p>
      <w:pPr>
        <w:pStyle w:val="Subsection"/>
      </w:pPr>
      <w:r>
        <w:tab/>
        <w:t>(1)</w:t>
      </w:r>
      <w:r>
        <w:tab/>
        <w:t>This regulation applies to a private licence that is a business licence but is not a local government public licence.</w:t>
      </w:r>
    </w:p>
    <w:p>
      <w:pPr>
        <w:pStyle w:val="Subsection"/>
        <w:keepNext/>
      </w:pPr>
      <w:r>
        <w:lastRenderedPageBreak/>
        <w:tab/>
        <w:t>(2)</w:t>
      </w:r>
      <w:r>
        <w:tab/>
        <w:t xml:space="preserve">Subject to subregulations (3) to (5), the following fees are prescribed for a private licence to which this regulation applies — </w:t>
      </w:r>
    </w:p>
    <w:p>
      <w:pPr>
        <w:pStyle w:val="Indenta"/>
      </w:pPr>
      <w:r>
        <w:tab/>
        <w:t>(a)</w:t>
      </w:r>
      <w:r>
        <w:tab/>
        <w:t>a new licence fee of $1 474.55;</w:t>
      </w:r>
    </w:p>
    <w:p>
      <w:pPr>
        <w:pStyle w:val="Indenta"/>
      </w:pPr>
      <w:r>
        <w:tab/>
        <w:t>(b)</w:t>
      </w:r>
      <w:r>
        <w:tab/>
        <w:t>a replacement licence fee of $1 101.95;</w:t>
      </w:r>
    </w:p>
    <w:p>
      <w:pPr>
        <w:pStyle w:val="Indenta"/>
      </w:pPr>
      <w:r>
        <w:tab/>
        <w:t>(c)</w:t>
      </w:r>
      <w:r>
        <w:tab/>
        <w:t>an amended licence fee of $150.60;</w:t>
      </w:r>
    </w:p>
    <w:p>
      <w:pPr>
        <w:pStyle w:val="Indenta"/>
      </w:pPr>
      <w:r>
        <w:tab/>
        <w:t>(d)</w:t>
      </w:r>
      <w:r>
        <w:tab/>
        <w:t>an annual licence fee of $809.25.</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$2 161.05;</w:t>
      </w:r>
    </w:p>
    <w:p>
      <w:pPr>
        <w:pStyle w:val="Indenta"/>
      </w:pPr>
      <w:r>
        <w:tab/>
        <w:t>(b)</w:t>
      </w:r>
      <w:r>
        <w:tab/>
        <w:t>a replacement licence fee of $1 101.95;</w:t>
      </w:r>
    </w:p>
    <w:p>
      <w:pPr>
        <w:pStyle w:val="Indenta"/>
      </w:pPr>
      <w:r>
        <w:tab/>
        <w:t>(c)</w:t>
      </w:r>
      <w:r>
        <w:tab/>
        <w:t>an amended licence fee of $150.60;</w:t>
      </w:r>
    </w:p>
    <w:p>
      <w:pPr>
        <w:pStyle w:val="Indenta"/>
      </w:pPr>
      <w:r>
        <w:tab/>
        <w:t>(d)</w:t>
      </w:r>
      <w:r>
        <w:tab/>
        <w:t>an annual licence fee of $1 213.20.</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$2 850.00;</w:t>
      </w:r>
    </w:p>
    <w:p>
      <w:pPr>
        <w:pStyle w:val="Indenta"/>
      </w:pPr>
      <w:r>
        <w:tab/>
        <w:t>(b)</w:t>
      </w:r>
      <w:r>
        <w:tab/>
        <w:t>a replacement licence fee of $1 101.95;</w:t>
      </w:r>
    </w:p>
    <w:p>
      <w:pPr>
        <w:pStyle w:val="Indenta"/>
      </w:pPr>
      <w:r>
        <w:tab/>
        <w:t>(c)</w:t>
      </w:r>
      <w:r>
        <w:tab/>
        <w:t>an amended licence fee of $150.60;</w:t>
      </w:r>
    </w:p>
    <w:p>
      <w:pPr>
        <w:pStyle w:val="Indenta"/>
        <w:keepNext/>
      </w:pPr>
      <w:r>
        <w:tab/>
        <w:t>(d)</w:t>
      </w:r>
      <w:r>
        <w:tab/>
        <w:t>an annual licence fee of $1 617.60.</w:t>
      </w:r>
    </w:p>
    <w:p>
      <w:pPr>
        <w:pStyle w:val="Footnotesection"/>
      </w:pPr>
      <w:r>
        <w:tab/>
        <w:t>[Regulation 105N inserted: SL 2020/96 r. 5; amended: SL 2021/68 r. 8; SL 2022/48 r. 9; SL 2023/43 r. 19; SL 2024/56 r. 7.]</w:t>
      </w:r>
    </w:p>
    <w:p>
      <w:pPr>
        <w:pStyle w:val="Heading5"/>
      </w:pPr>
      <w:bookmarkStart w:id="202" w:name="_Toc170305588"/>
      <w:r>
        <w:rPr>
          <w:rStyle w:val="CharSectno"/>
        </w:rPr>
        <w:lastRenderedPageBreak/>
        <w:t>105O</w:t>
      </w:r>
      <w:r>
        <w:t>.</w:t>
      </w:r>
      <w:r>
        <w:tab/>
        <w:t>Fuel pipeline licence</w:t>
      </w:r>
      <w:bookmarkEnd w:id="202"/>
    </w:p>
    <w:p>
      <w:pPr>
        <w:pStyle w:val="Subsection"/>
        <w:keepNext/>
      </w:pPr>
      <w:r>
        <w:tab/>
      </w:r>
      <w:r>
        <w:tab/>
        <w:t xml:space="preserve">The following fees are prescribed for a fuel pipeline licence — </w:t>
      </w:r>
    </w:p>
    <w:p>
      <w:pPr>
        <w:pStyle w:val="Indenta"/>
      </w:pPr>
      <w:r>
        <w:tab/>
        <w:t>(a)</w:t>
      </w:r>
      <w:r>
        <w:tab/>
        <w:t>a new licence fee of $1 622.00;</w:t>
      </w:r>
    </w:p>
    <w:p>
      <w:pPr>
        <w:pStyle w:val="Indenta"/>
      </w:pPr>
      <w:r>
        <w:tab/>
        <w:t>(b)</w:t>
      </w:r>
      <w:r>
        <w:tab/>
        <w:t>a replacement licence fee of $1 211.05;</w:t>
      </w:r>
    </w:p>
    <w:p>
      <w:pPr>
        <w:pStyle w:val="Indenta"/>
      </w:pPr>
      <w:r>
        <w:tab/>
        <w:t>(c)</w:t>
      </w:r>
      <w:r>
        <w:tab/>
        <w:t>an amended licence fee of $165.65;</w:t>
      </w:r>
    </w:p>
    <w:p>
      <w:pPr>
        <w:pStyle w:val="Indenta"/>
        <w:keepNext/>
      </w:pPr>
      <w:r>
        <w:tab/>
        <w:t>(d)</w:t>
      </w:r>
      <w:r>
        <w:tab/>
        <w:t>an annual licence fee of $890.15.</w:t>
      </w:r>
    </w:p>
    <w:p>
      <w:pPr>
        <w:pStyle w:val="Footnotesection"/>
      </w:pPr>
      <w:r>
        <w:tab/>
        <w:t>[Regulation 105O inserted: SL 2022/48 r. 10; amended: SL 2023/43 r. 19; SL 2024/56 r. 7.]</w:t>
      </w:r>
    </w:p>
    <w:p>
      <w:pPr>
        <w:pStyle w:val="Heading5"/>
      </w:pPr>
      <w:bookmarkStart w:id="203" w:name="_Toc170305589"/>
      <w:r>
        <w:rPr>
          <w:rStyle w:val="CharSectno"/>
        </w:rPr>
        <w:t>105P</w:t>
      </w:r>
      <w:r>
        <w:t>.</w:t>
      </w:r>
      <w:r>
        <w:tab/>
        <w:t>Local government public licence</w:t>
      </w:r>
      <w:bookmarkEnd w:id="203"/>
    </w:p>
    <w:p>
      <w:pPr>
        <w:pStyle w:val="Subsection"/>
        <w:keepNext/>
      </w:pPr>
      <w:r>
        <w:tab/>
      </w:r>
      <w:r>
        <w:tab/>
        <w:t xml:space="preserve">The following fees are prescribed for a local government public licence — </w:t>
      </w:r>
    </w:p>
    <w:p>
      <w:pPr>
        <w:pStyle w:val="Indenta"/>
      </w:pPr>
      <w:r>
        <w:tab/>
        <w:t>(a)</w:t>
      </w:r>
      <w:r>
        <w:tab/>
        <w:t>a new licence fee of $104.65;</w:t>
      </w:r>
    </w:p>
    <w:p>
      <w:pPr>
        <w:pStyle w:val="Indenta"/>
      </w:pPr>
      <w:r>
        <w:tab/>
        <w:t>(b)</w:t>
      </w:r>
      <w:r>
        <w:tab/>
        <w:t>a replacement licence fee of $104.65;</w:t>
      </w:r>
    </w:p>
    <w:p>
      <w:pPr>
        <w:pStyle w:val="Indenta"/>
      </w:pPr>
      <w:r>
        <w:tab/>
        <w:t>(c)</w:t>
      </w:r>
      <w:r>
        <w:tab/>
        <w:t>an amended licence fee of $150.60;</w:t>
      </w:r>
    </w:p>
    <w:p>
      <w:pPr>
        <w:pStyle w:val="Indenta"/>
        <w:keepNext/>
      </w:pPr>
      <w:r>
        <w:tab/>
        <w:t>(d)</w:t>
      </w:r>
      <w:r>
        <w:tab/>
        <w:t>an annual licence fee of $46.45.</w:t>
      </w:r>
    </w:p>
    <w:p>
      <w:pPr>
        <w:pStyle w:val="Footnotesection"/>
      </w:pPr>
      <w:r>
        <w:tab/>
        <w:t>[Regulation 105P inserted: SL 2022/48 r. 10; amended: SL 2023/43 r. 19; SL 2024/56 r. 7.]</w:t>
      </w:r>
    </w:p>
    <w:p>
      <w:pPr>
        <w:pStyle w:val="Heading2"/>
      </w:pPr>
      <w:bookmarkStart w:id="204" w:name="_Toc170215731"/>
      <w:bookmarkStart w:id="205" w:name="_Toc170225446"/>
      <w:bookmarkStart w:id="206" w:name="_Toc170305590"/>
      <w:r>
        <w:rPr>
          <w:rStyle w:val="CharPartNo"/>
        </w:rPr>
        <w:lastRenderedPageBreak/>
        <w:t>Part 4</w:t>
      </w:r>
      <w:r>
        <w:rPr>
          <w:rStyle w:val="CharDivNo"/>
        </w:rPr>
        <w:t> </w:t>
      </w:r>
      <w:r>
        <w:t>—</w:t>
      </w:r>
      <w:r>
        <w:rPr>
          <w:rStyle w:val="CharDivText"/>
        </w:rPr>
        <w:t> </w:t>
      </w:r>
      <w:r>
        <w:rPr>
          <w:rStyle w:val="CharPartText"/>
        </w:rPr>
        <w:t>Breach of regulations and penalties</w:t>
      </w:r>
      <w:bookmarkEnd w:id="204"/>
      <w:bookmarkEnd w:id="205"/>
      <w:bookmarkEnd w:id="206"/>
    </w:p>
    <w:p>
      <w:pPr>
        <w:pStyle w:val="Footnoteheading"/>
      </w:pPr>
      <w:r>
        <w:tab/>
        <w:t xml:space="preserve">[Heading inserted: Gazette 19 May 1989 p. 1494.] </w:t>
      </w:r>
    </w:p>
    <w:p>
      <w:pPr>
        <w:pStyle w:val="Heading5"/>
        <w:rPr>
          <w:snapToGrid w:val="0"/>
        </w:rPr>
      </w:pPr>
      <w:bookmarkStart w:id="207" w:name="_Toc170305591"/>
      <w:r>
        <w:rPr>
          <w:rStyle w:val="CharSectno"/>
        </w:rPr>
        <w:t>106</w:t>
      </w:r>
      <w:r>
        <w:rPr>
          <w:snapToGrid w:val="0"/>
        </w:rPr>
        <w:t>.</w:t>
      </w:r>
      <w:r>
        <w:rPr>
          <w:snapToGrid w:val="0"/>
        </w:rPr>
        <w:tab/>
        <w:t>Powers of officer of Department</w:t>
      </w:r>
      <w:bookmarkEnd w:id="207"/>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208" w:name="_Toc170305592"/>
      <w:r>
        <w:rPr>
          <w:rStyle w:val="CharSectno"/>
        </w:rPr>
        <w:t>107</w:t>
      </w:r>
      <w:r>
        <w:rPr>
          <w:snapToGrid w:val="0"/>
        </w:rPr>
        <w:t>.</w:t>
      </w:r>
      <w:r>
        <w:rPr>
          <w:snapToGrid w:val="0"/>
        </w:rPr>
        <w:tab/>
        <w:t>Recovery of expenses incurred by breaches of regulations</w:t>
      </w:r>
      <w:bookmarkEnd w:id="20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209" w:name="_Toc170305593"/>
      <w:r>
        <w:rPr>
          <w:rStyle w:val="CharSectno"/>
        </w:rPr>
        <w:t>107A</w:t>
      </w:r>
      <w:r>
        <w:rPr>
          <w:snapToGrid w:val="0"/>
        </w:rPr>
        <w:t>.</w:t>
      </w:r>
      <w:r>
        <w:rPr>
          <w:snapToGrid w:val="0"/>
        </w:rPr>
        <w:tab/>
        <w:t>Police have authority to enforce regulations</w:t>
      </w:r>
      <w:bookmarkEnd w:id="20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210" w:name="_Toc170305594"/>
      <w:r>
        <w:rPr>
          <w:rStyle w:val="CharSectno"/>
        </w:rPr>
        <w:lastRenderedPageBreak/>
        <w:t>108</w:t>
      </w:r>
      <w:r>
        <w:rPr>
          <w:snapToGrid w:val="0"/>
        </w:rPr>
        <w:t>.</w:t>
      </w:r>
      <w:r>
        <w:rPr>
          <w:snapToGrid w:val="0"/>
        </w:rPr>
        <w:tab/>
        <w:t>Penalty for offences</w:t>
      </w:r>
      <w:bookmarkEnd w:id="21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Heading2"/>
      </w:pPr>
      <w:bookmarkStart w:id="211" w:name="_Toc170215736"/>
      <w:bookmarkStart w:id="212" w:name="_Toc170225451"/>
      <w:bookmarkStart w:id="213" w:name="_Toc170305595"/>
      <w:r>
        <w:rPr>
          <w:rStyle w:val="CharPartNo"/>
        </w:rPr>
        <w:lastRenderedPageBreak/>
        <w:t>Part 5</w:t>
      </w:r>
      <w:r>
        <w:rPr>
          <w:rStyle w:val="CharDivNo"/>
        </w:rPr>
        <w:t> </w:t>
      </w:r>
      <w:r>
        <w:t>—</w:t>
      </w:r>
      <w:r>
        <w:rPr>
          <w:rStyle w:val="CharDivText"/>
        </w:rPr>
        <w:t> </w:t>
      </w:r>
      <w:r>
        <w:rPr>
          <w:rStyle w:val="CharPartText"/>
        </w:rPr>
        <w:t>Waiver and refund of fees</w:t>
      </w:r>
      <w:bookmarkEnd w:id="211"/>
      <w:bookmarkEnd w:id="212"/>
      <w:bookmarkEnd w:id="213"/>
    </w:p>
    <w:p>
      <w:pPr>
        <w:pStyle w:val="Footnoteheading"/>
        <w:rPr>
          <w:snapToGrid w:val="0"/>
        </w:rPr>
      </w:pPr>
      <w:r>
        <w:rPr>
          <w:snapToGrid w:val="0"/>
        </w:rPr>
        <w:tab/>
        <w:t>[Heading inserted: SL 2022/47 r. 5.]</w:t>
      </w:r>
    </w:p>
    <w:p>
      <w:pPr>
        <w:pStyle w:val="Heading5"/>
      </w:pPr>
      <w:bookmarkStart w:id="214" w:name="_Toc170305596"/>
      <w:r>
        <w:rPr>
          <w:rStyle w:val="CharSectno"/>
        </w:rPr>
        <w:t>109</w:t>
      </w:r>
      <w:r>
        <w:t>.</w:t>
      </w:r>
      <w:r>
        <w:tab/>
        <w:t>Terms used</w:t>
      </w:r>
      <w:bookmarkEnd w:id="214"/>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215" w:name="_Toc170305597"/>
      <w:r>
        <w:rPr>
          <w:rStyle w:val="CharSectno"/>
        </w:rPr>
        <w:t>110</w:t>
      </w:r>
      <w:r>
        <w:t>.</w:t>
      </w:r>
      <w:r>
        <w:tab/>
        <w:t>Authorised fee officers</w:t>
      </w:r>
      <w:bookmarkEnd w:id="215"/>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216" w:name="_Toc170305598"/>
      <w:r>
        <w:rPr>
          <w:rStyle w:val="CharSectno"/>
        </w:rPr>
        <w:lastRenderedPageBreak/>
        <w:t>111</w:t>
      </w:r>
      <w:r>
        <w:t>.</w:t>
      </w:r>
      <w:r>
        <w:tab/>
        <w:t>Waiver of fees</w:t>
      </w:r>
      <w:bookmarkEnd w:id="216"/>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217" w:name="_Toc170305599"/>
      <w:r>
        <w:rPr>
          <w:rStyle w:val="CharSectno"/>
        </w:rPr>
        <w:t>112</w:t>
      </w:r>
      <w:r>
        <w:t>.</w:t>
      </w:r>
      <w:r>
        <w:tab/>
        <w:t>Details of waivers to be accessible on website</w:t>
      </w:r>
      <w:bookmarkEnd w:id="217"/>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218" w:name="_Toc170305600"/>
      <w:r>
        <w:rPr>
          <w:rStyle w:val="CharSectno"/>
        </w:rPr>
        <w:t>113</w:t>
      </w:r>
      <w:r>
        <w:t>.</w:t>
      </w:r>
      <w:r>
        <w:tab/>
        <w:t>Emergency waivers</w:t>
      </w:r>
      <w:bookmarkEnd w:id="218"/>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219" w:name="_Toc170305601"/>
      <w:r>
        <w:rPr>
          <w:rStyle w:val="CharSectno"/>
        </w:rPr>
        <w:t>113A</w:t>
      </w:r>
      <w:r>
        <w:t>.</w:t>
      </w:r>
      <w:r>
        <w:tab/>
        <w:t>Partial waivers due to unavailable pens, berths or moorings</w:t>
      </w:r>
      <w:bookmarkEnd w:id="219"/>
    </w:p>
    <w:p>
      <w:pPr>
        <w:pStyle w:val="Subsection"/>
      </w:pPr>
      <w:r>
        <w:tab/>
        <w:t>(1)</w:t>
      </w:r>
      <w:r>
        <w:tab/>
        <w:t xml:space="preserve">Subregulation (2) applies if — </w:t>
      </w:r>
    </w:p>
    <w:p>
      <w:pPr>
        <w:pStyle w:val="Indenta"/>
      </w:pPr>
      <w:r>
        <w:tab/>
        <w:t>(a)</w:t>
      </w:r>
      <w:r>
        <w:tab/>
        <w:t>a vessel is allocated a pen at a jetty that is longer than necessary for the vessel due to the unavailability of a suitable 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pPr>
        <w:pStyle w:val="Indenta"/>
      </w:pPr>
      <w:r>
        <w:tab/>
        <w:t>(a)</w:t>
      </w:r>
      <w:r>
        <w:tab/>
        <w:t>a pen, berth or mooring of a different type at the first jetty; or</w:t>
      </w:r>
    </w:p>
    <w:p>
      <w:pPr>
        <w:pStyle w:val="Indenta"/>
      </w:pPr>
      <w:r>
        <w:lastRenderedPageBreak/>
        <w:tab/>
        <w:t>(b)</w:t>
      </w:r>
      <w:r>
        <w:tab/>
        <w:t xml:space="preserve">a pen, berth or mooring at a different jetty (the </w:t>
      </w:r>
      <w:r>
        <w:rPr>
          <w:rStyle w:val="CharDefText"/>
        </w:rPr>
        <w:t>second jetty</w:t>
      </w:r>
      <w:r>
        <w:t xml:space="preserve">) that is — </w:t>
      </w:r>
    </w:p>
    <w:p>
      <w:pPr>
        <w:pStyle w:val="Indenti"/>
      </w:pPr>
      <w:r>
        <w:tab/>
        <w:t>(i)</w:t>
      </w:r>
      <w:r>
        <w:tab/>
        <w:t xml:space="preserve">the same type or a different type; or </w:t>
      </w:r>
    </w:p>
    <w:p>
      <w:pPr>
        <w:pStyle w:val="Indenti"/>
      </w:pPr>
      <w:r>
        <w:tab/>
        <w:t>(ii)</w:t>
      </w:r>
      <w:r>
        <w:tab/>
        <w:t>the same size or a different size.</w:t>
      </w:r>
    </w:p>
    <w:p>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pPr>
        <w:pStyle w:val="Footnotesection"/>
      </w:pPr>
      <w:r>
        <w:tab/>
        <w:t>[Regulation 113A inserted: SL 2023/43 r. 13.]</w:t>
      </w:r>
    </w:p>
    <w:p>
      <w:pPr>
        <w:pStyle w:val="Heading5"/>
      </w:pPr>
      <w:bookmarkStart w:id="220" w:name="_Toc170305602"/>
      <w:r>
        <w:rPr>
          <w:rStyle w:val="CharSectno"/>
        </w:rPr>
        <w:t>114</w:t>
      </w:r>
      <w:r>
        <w:t>.</w:t>
      </w:r>
      <w:r>
        <w:tab/>
        <w:t>Effect of waiver or partial waiver</w:t>
      </w:r>
      <w:bookmarkEnd w:id="220"/>
    </w:p>
    <w:p>
      <w:pPr>
        <w:pStyle w:val="Subsection"/>
      </w:pPr>
      <w:r>
        <w:tab/>
      </w:r>
      <w:r>
        <w:tab/>
        <w:t>Despite any other provision of these regulations, if a fee that would otherwise be payable is waived in whole or in part under regulation 111, 113 or 113A —</w:t>
      </w:r>
    </w:p>
    <w:p>
      <w:pPr>
        <w:pStyle w:val="Indenta"/>
      </w:pPr>
      <w:r>
        <w:tab/>
        <w:t>(a)</w:t>
      </w:r>
      <w:r>
        <w:tab/>
        <w:t xml:space="preserve">there is no requirement to pay — </w:t>
      </w:r>
    </w:p>
    <w:p>
      <w:pPr>
        <w:pStyle w:val="Indenti"/>
      </w:pPr>
      <w:r>
        <w:tab/>
        <w:t>(i)</w:t>
      </w:r>
      <w:r>
        <w:tab/>
        <w:t xml:space="preserve">if the fee is waived in whole — the fee; or </w:t>
      </w:r>
    </w:p>
    <w:p>
      <w:pPr>
        <w:pStyle w:val="Indenti"/>
      </w:pPr>
      <w:r>
        <w:tab/>
        <w:t>(ii)</w:t>
      </w:r>
      <w:r>
        <w:tab/>
        <w:t>if the fee is waived in part — the part of the fee that has been waived;</w:t>
      </w:r>
    </w:p>
    <w:p>
      <w:pPr>
        <w:pStyle w:val="Indenta"/>
      </w:pPr>
      <w:r>
        <w:tab/>
      </w:r>
      <w:r>
        <w:tab/>
        <w:t>and</w:t>
      </w:r>
    </w:p>
    <w:p>
      <w:pPr>
        <w:pStyle w:val="Indenta"/>
      </w:pPr>
      <w:r>
        <w:tab/>
        <w:t>(b)</w:t>
      </w:r>
      <w:r>
        <w:tab/>
        <w:t>the rights and obligations under the Act of every person are as they would be if the fee had not been waived or waived in part, and had been paid in full.</w:t>
      </w:r>
    </w:p>
    <w:p>
      <w:pPr>
        <w:pStyle w:val="Footnotesection"/>
      </w:pPr>
      <w:r>
        <w:tab/>
        <w:t>[Regulation 114 inserted: SL 2023/43 r. 13.]</w:t>
      </w:r>
    </w:p>
    <w:p>
      <w:pPr>
        <w:pStyle w:val="Heading5"/>
      </w:pPr>
      <w:bookmarkStart w:id="221" w:name="_Toc170305603"/>
      <w:r>
        <w:rPr>
          <w:rStyle w:val="CharSectno"/>
        </w:rPr>
        <w:t>115</w:t>
      </w:r>
      <w:r>
        <w:t>.</w:t>
      </w:r>
      <w:r>
        <w:tab/>
        <w:t>Refund of fees</w:t>
      </w:r>
      <w:bookmarkEnd w:id="221"/>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lastRenderedPageBreak/>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222" w:name="_Toc170215745"/>
      <w:bookmarkStart w:id="223" w:name="_Toc170225460"/>
      <w:bookmarkStart w:id="224" w:name="_Toc170305604"/>
      <w:r>
        <w:rPr>
          <w:rStyle w:val="CharSchNo"/>
        </w:rPr>
        <w:lastRenderedPageBreak/>
        <w:t>Schedule 1</w:t>
      </w:r>
      <w:r>
        <w:t> — </w:t>
      </w:r>
      <w:r>
        <w:rPr>
          <w:rStyle w:val="CharSchText"/>
        </w:rPr>
        <w:t>Dues and charges generally</w:t>
      </w:r>
      <w:bookmarkEnd w:id="222"/>
      <w:bookmarkEnd w:id="223"/>
      <w:bookmarkEnd w:id="224"/>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225" w:name="_Toc170215746"/>
      <w:bookmarkStart w:id="226" w:name="_Toc170225461"/>
      <w:bookmarkStart w:id="227" w:name="_Toc170305605"/>
      <w:r>
        <w:rPr>
          <w:rStyle w:val="CharSDivNo"/>
        </w:rPr>
        <w:t>Division 1</w:t>
      </w:r>
      <w:r>
        <w:t> — </w:t>
      </w:r>
      <w:r>
        <w:rPr>
          <w:rStyle w:val="CharSDivText"/>
        </w:rPr>
        <w:t>Preliminary matters</w:t>
      </w:r>
      <w:bookmarkEnd w:id="225"/>
      <w:bookmarkEnd w:id="226"/>
      <w:bookmarkEnd w:id="227"/>
    </w:p>
    <w:p>
      <w:pPr>
        <w:pStyle w:val="yFootnoteheading"/>
        <w:rPr>
          <w:snapToGrid w:val="0"/>
        </w:rPr>
      </w:pPr>
      <w:r>
        <w:rPr>
          <w:snapToGrid w:val="0"/>
        </w:rPr>
        <w:tab/>
        <w:t>[Heading inserted: SL 2021/68 r. 4.]</w:t>
      </w:r>
    </w:p>
    <w:p>
      <w:pPr>
        <w:pStyle w:val="yHeading5"/>
      </w:pPr>
      <w:bookmarkStart w:id="228" w:name="_Toc170305606"/>
      <w:r>
        <w:rPr>
          <w:rStyle w:val="CharSClsNo"/>
        </w:rPr>
        <w:t>1</w:t>
      </w:r>
      <w:r>
        <w:t>.</w:t>
      </w:r>
      <w:r>
        <w:tab/>
        <w:t>Standard rates for this Schedule</w:t>
      </w:r>
      <w:bookmarkEnd w:id="228"/>
    </w:p>
    <w:p>
      <w:pPr>
        <w:pStyle w:val="ySubsection"/>
      </w:pPr>
      <w:r>
        <w:tab/>
      </w:r>
      <w:r>
        <w:tab/>
        <w:t xml:space="preserve">In this Schedule, the following rates are standard rates — </w:t>
      </w:r>
    </w:p>
    <w:p>
      <w:pPr>
        <w:pStyle w:val="ySubsection"/>
        <w:rPr>
          <w:b/>
        </w:rPr>
      </w:pPr>
      <w:r>
        <w:rPr>
          <w:b/>
        </w:rPr>
        <w:tab/>
      </w:r>
      <w:r>
        <w:rPr>
          <w:b/>
        </w:rPr>
        <w:tab/>
        <w:t>Rate 1: a casual daily rate of $8.50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rPr>
      </w:pPr>
      <w:r>
        <w:rPr>
          <w:b/>
        </w:rPr>
        <w:tab/>
      </w:r>
      <w:r>
        <w:rPr>
          <w:b/>
        </w:rPr>
        <w:tab/>
        <w:t>Rate 2: a casual daily rate of $60.60</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rPr>
        <w:tab/>
      </w:r>
      <w:r>
        <w:rPr>
          <w:b/>
        </w:rPr>
        <w:tab/>
        <w:t>Rate 3: an annual rate of $97.15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 amended: SL 2023/43 r. 14 and 19; SL 2024/56 r. 7.]</w:t>
      </w:r>
    </w:p>
    <w:p>
      <w:pPr>
        <w:pStyle w:val="yHeading5"/>
      </w:pPr>
      <w:bookmarkStart w:id="229" w:name="_Toc170305607"/>
      <w:r>
        <w:rPr>
          <w:rStyle w:val="CharSClsNo"/>
        </w:rPr>
        <w:t>2</w:t>
      </w:r>
      <w:r>
        <w:t>.</w:t>
      </w:r>
      <w:r>
        <w:tab/>
        <w:t>Transferability of annual payments</w:t>
      </w:r>
      <w:bookmarkEnd w:id="229"/>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lastRenderedPageBreak/>
        <w:tab/>
        <w:t>(2)</w:t>
      </w:r>
      <w:r>
        <w:tab/>
        <w:t xml:space="preserve">A vessel for which there has been paid (including paid under the </w:t>
      </w:r>
      <w:r>
        <w:rPr>
          <w:i/>
          <w:iCs/>
        </w:rPr>
        <w:t>Shipping and Pilotage (Mooring Control Areas) Regulations 1983</w:t>
      </w:r>
      <w:r>
        <w:t>)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 amended: SL 2024/56 r. 5(1).]</w:t>
      </w:r>
    </w:p>
    <w:p>
      <w:pPr>
        <w:pStyle w:val="yHeading5"/>
      </w:pPr>
      <w:bookmarkStart w:id="230" w:name="_Toc170305608"/>
      <w:r>
        <w:rPr>
          <w:rStyle w:val="CharSClsNo"/>
        </w:rPr>
        <w:t>3</w:t>
      </w:r>
      <w:r>
        <w:t>.</w:t>
      </w:r>
      <w:r>
        <w:tab/>
        <w:t>Service jetty entitlements</w:t>
      </w:r>
      <w:bookmarkEnd w:id="230"/>
    </w:p>
    <w:p>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 amended: SL 2024/56 r. 5(2).]</w:t>
      </w:r>
    </w:p>
    <w:p>
      <w:pPr>
        <w:pStyle w:val="yHeading5"/>
      </w:pPr>
      <w:bookmarkStart w:id="231" w:name="_Toc170305609"/>
      <w:r>
        <w:rPr>
          <w:rStyle w:val="CharSClsNo"/>
        </w:rPr>
        <w:t>4</w:t>
      </w:r>
      <w:r>
        <w:t>.</w:t>
      </w:r>
      <w:r>
        <w:tab/>
        <w:t>Active loading and unloading</w:t>
      </w:r>
      <w:bookmarkEnd w:id="231"/>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232" w:name="_Toc170215751"/>
      <w:bookmarkStart w:id="233" w:name="_Toc170225466"/>
      <w:bookmarkStart w:id="234" w:name="_Toc170305610"/>
      <w:r>
        <w:rPr>
          <w:rStyle w:val="CharSDivNo"/>
        </w:rPr>
        <w:lastRenderedPageBreak/>
        <w:t>Division 2</w:t>
      </w:r>
      <w:r>
        <w:t> — </w:t>
      </w:r>
      <w:r>
        <w:rPr>
          <w:rStyle w:val="CharSDivText"/>
        </w:rPr>
        <w:t>Dues and charges for specified places</w:t>
      </w:r>
      <w:bookmarkEnd w:id="232"/>
      <w:bookmarkEnd w:id="233"/>
      <w:bookmarkEnd w:id="234"/>
    </w:p>
    <w:p>
      <w:pPr>
        <w:pStyle w:val="yFootnoteheading"/>
        <w:keepNext/>
      </w:pPr>
      <w:r>
        <w:tab/>
        <w:t>[Heading inserted: SL 2023/43 r. 15.]</w:t>
      </w:r>
    </w:p>
    <w:p>
      <w:pPr>
        <w:pStyle w:val="yHeading5"/>
      </w:pPr>
      <w:bookmarkStart w:id="235" w:name="_Toc170305611"/>
      <w:r>
        <w:rPr>
          <w:rStyle w:val="CharSClsNo"/>
        </w:rPr>
        <w:t>5</w:t>
      </w:r>
      <w:r>
        <w:t>.</w:t>
      </w:r>
      <w:r>
        <w:tab/>
        <w:t>Albany, Albany Waterfront Marina</w:t>
      </w:r>
      <w:bookmarkEnd w:id="235"/>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4.</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5 inserted: SL 2023/43 r. 15; amended: SL 2024/56 r. 7.]</w:t>
      </w:r>
    </w:p>
    <w:p>
      <w:pPr>
        <w:pStyle w:val="yHeading5"/>
      </w:pPr>
      <w:bookmarkStart w:id="236" w:name="_Toc170305612"/>
      <w:r>
        <w:rPr>
          <w:rStyle w:val="CharSClsNo"/>
        </w:rPr>
        <w:lastRenderedPageBreak/>
        <w:t>6</w:t>
      </w:r>
      <w:r>
        <w:t>.</w:t>
      </w:r>
      <w:r>
        <w:tab/>
        <w:t>Albany, Emu Point Boat Harbour</w:t>
      </w:r>
      <w:bookmarkEnd w:id="236"/>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445.80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536.90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6 inserted: SL 2023/43 r. 15; amended: SL 2024/56 r. 7.]</w:t>
      </w:r>
    </w:p>
    <w:p>
      <w:pPr>
        <w:pStyle w:val="yHeading5"/>
      </w:pPr>
      <w:bookmarkStart w:id="237" w:name="_Toc170305613"/>
      <w:r>
        <w:rPr>
          <w:rStyle w:val="CharSClsNo"/>
        </w:rPr>
        <w:lastRenderedPageBreak/>
        <w:t>7</w:t>
      </w:r>
      <w:r>
        <w:t>.</w:t>
      </w:r>
      <w:r>
        <w:tab/>
        <w:t>Augusta Boat Harbour</w:t>
      </w:r>
      <w:bookmarkEnd w:id="237"/>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7 inserted: SL 2023/43 r. 15; amended: SL 2024/56 r. 7.]</w:t>
      </w:r>
    </w:p>
    <w:p>
      <w:pPr>
        <w:pStyle w:val="yHeading5"/>
      </w:pPr>
      <w:bookmarkStart w:id="238" w:name="_Toc170305614"/>
      <w:r>
        <w:rPr>
          <w:rStyle w:val="CharSClsNo"/>
        </w:rPr>
        <w:t>8</w:t>
      </w:r>
      <w:r>
        <w:t>.</w:t>
      </w:r>
      <w:r>
        <w:tab/>
        <w:t>Bremer Bay</w:t>
      </w:r>
      <w:bookmarkEnd w:id="238"/>
    </w:p>
    <w:p>
      <w:pPr>
        <w:pStyle w:val="ySubsection"/>
      </w:pPr>
      <w:r>
        <w:tab/>
        <w:t>(1)</w:t>
      </w:r>
      <w:r>
        <w:tab/>
        <w:t>This clause applies to Bremer Bay.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 2023/43 r. 15; amended: SL 2024/56 r. 5(3).]</w:t>
      </w:r>
    </w:p>
    <w:p>
      <w:pPr>
        <w:pStyle w:val="yHeading5"/>
      </w:pPr>
      <w:bookmarkStart w:id="239" w:name="_Toc170305615"/>
      <w:r>
        <w:rPr>
          <w:rStyle w:val="CharSClsNo"/>
        </w:rPr>
        <w:t>9</w:t>
      </w:r>
      <w:r>
        <w:t>.</w:t>
      </w:r>
      <w:r>
        <w:tab/>
        <w:t>Bunbury, Casuarina Boat Harbour</w:t>
      </w:r>
      <w:bookmarkEnd w:id="239"/>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9 inserted: SL 2023/43 r. 15; amended: SL 2024/56 r. 7.]</w:t>
      </w:r>
    </w:p>
    <w:p>
      <w:pPr>
        <w:pStyle w:val="yHeading5"/>
      </w:pPr>
      <w:bookmarkStart w:id="240" w:name="_Toc170305616"/>
      <w:r>
        <w:rPr>
          <w:rStyle w:val="CharSClsNo"/>
        </w:rPr>
        <w:t>10</w:t>
      </w:r>
      <w:r>
        <w:t>.</w:t>
      </w:r>
      <w:r>
        <w:tab/>
        <w:t>Burswood Jetty</w:t>
      </w:r>
      <w:bookmarkEnd w:id="240"/>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tabs>
                <w:tab w:val="clear" w:pos="567"/>
              </w:tabs>
              <w:ind w:right="200"/>
              <w:jc w:val="right"/>
            </w:pPr>
            <w:r>
              <w:rPr>
                <w:szCs w:val="22"/>
              </w:rPr>
              <w:t>17 137.10</w:t>
            </w:r>
          </w:p>
        </w:tc>
      </w:tr>
      <w:tr>
        <w:trPr>
          <w:cantSplit/>
        </w:trPr>
        <w:tc>
          <w:tcPr>
            <w:tcW w:w="709" w:type="dxa"/>
            <w:noWrap/>
          </w:tcPr>
          <w:p>
            <w:pPr>
              <w:pStyle w:val="yTableNAm"/>
              <w:keepNext/>
            </w:pPr>
            <w:r>
              <w:t>2.</w:t>
            </w:r>
          </w:p>
        </w:tc>
        <w:tc>
          <w:tcPr>
            <w:tcW w:w="4819" w:type="dxa"/>
            <w:noWrap/>
          </w:tcPr>
          <w:p>
            <w:pPr>
              <w:pStyle w:val="yTableNAm"/>
              <w:keepNext/>
            </w:pPr>
            <w:r>
              <w:t xml:space="preserve">For the casual daily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pPr>
              <w:pStyle w:val="yTableNAm"/>
              <w:tabs>
                <w:tab w:val="clear" w:pos="567"/>
              </w:tabs>
              <w:ind w:right="200"/>
              <w:jc w:val="right"/>
            </w:pPr>
          </w:p>
        </w:tc>
      </w:tr>
      <w:tr>
        <w:trPr>
          <w:cantSplit/>
        </w:trPr>
        <w:tc>
          <w:tcPr>
            <w:tcW w:w="709" w:type="dxa"/>
            <w:noWrap/>
          </w:tcPr>
          <w:p>
            <w:pPr>
              <w:pStyle w:val="yTableNAm"/>
            </w:pPr>
            <w:r>
              <w:lastRenderedPageBreak/>
              <w:t>3.</w:t>
            </w:r>
          </w:p>
        </w:tc>
        <w:tc>
          <w:tcPr>
            <w:tcW w:w="4819" w:type="dxa"/>
            <w:noWrap/>
          </w:tcPr>
          <w:p>
            <w:pPr>
              <w:pStyle w:val="yTableNAm"/>
            </w:pPr>
            <w:r>
              <w:t xml:space="preserve">For the casual annual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tabs>
                <w:tab w:val="clear" w:pos="567"/>
              </w:tabs>
              <w:ind w:right="200"/>
              <w:jc w:val="right"/>
            </w:pPr>
          </w:p>
        </w:tc>
      </w:tr>
    </w:tbl>
    <w:p>
      <w:pPr>
        <w:pStyle w:val="yFootnotesection"/>
      </w:pPr>
      <w:r>
        <w:tab/>
        <w:t>[Clause 10 inserted: SL 2023/43 r. 15; amended: SL 2024/56 r. 7.]</w:t>
      </w:r>
    </w:p>
    <w:p>
      <w:pPr>
        <w:pStyle w:val="yHeading5"/>
      </w:pPr>
      <w:bookmarkStart w:id="241" w:name="_Toc170305617"/>
      <w:r>
        <w:rPr>
          <w:rStyle w:val="CharSClsNo"/>
        </w:rPr>
        <w:t>11</w:t>
      </w:r>
      <w:r>
        <w:t>.</w:t>
      </w:r>
      <w:r>
        <w:tab/>
        <w:t>Carnarvon Boat Harbour</w:t>
      </w:r>
      <w:bookmarkEnd w:id="241"/>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513.40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469.40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lastRenderedPageBreak/>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286.60</w:t>
            </w:r>
          </w:p>
        </w:tc>
      </w:tr>
      <w:tr>
        <w:trPr>
          <w:cantSplit/>
        </w:trPr>
        <w:tc>
          <w:tcPr>
            <w:tcW w:w="709" w:type="dxa"/>
            <w:noWrap/>
          </w:tcPr>
          <w:p>
            <w:pPr>
              <w:pStyle w:val="yTableNAm"/>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8.</w:t>
            </w:r>
          </w:p>
        </w:tc>
        <w:tc>
          <w:tcPr>
            <w:tcW w:w="4819" w:type="dxa"/>
            <w:noWrap/>
          </w:tcPr>
          <w:p>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9.</w:t>
            </w:r>
          </w:p>
        </w:tc>
        <w:tc>
          <w:tcPr>
            <w:tcW w:w="4819" w:type="dxa"/>
            <w:noWrap/>
          </w:tcPr>
          <w:p>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10.</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11 inserted: SL 2023/43 r. 15; amended: SL 2024/56 r. 7.]</w:t>
      </w:r>
    </w:p>
    <w:p>
      <w:pPr>
        <w:pStyle w:val="yHeading5"/>
      </w:pPr>
      <w:bookmarkStart w:id="242" w:name="_Toc170305618"/>
      <w:r>
        <w:rPr>
          <w:rStyle w:val="CharSClsNo"/>
        </w:rPr>
        <w:t>12</w:t>
      </w:r>
      <w:r>
        <w:t>.</w:t>
      </w:r>
      <w:r>
        <w:tab/>
        <w:t>Cervantes</w:t>
      </w:r>
      <w:bookmarkEnd w:id="242"/>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12 inserted: SL 2023/43 r. 15.]</w:t>
      </w:r>
    </w:p>
    <w:p>
      <w:pPr>
        <w:pStyle w:val="yHeading5"/>
      </w:pPr>
      <w:bookmarkStart w:id="243" w:name="_Toc170305619"/>
      <w:r>
        <w:rPr>
          <w:rStyle w:val="CharSClsNo"/>
        </w:rPr>
        <w:t>13</w:t>
      </w:r>
      <w:r>
        <w:t>.</w:t>
      </w:r>
      <w:r>
        <w:tab/>
        <w:t>Coral Bay Maritime Facility</w:t>
      </w:r>
      <w:bookmarkEnd w:id="243"/>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6095" w:type="dxa"/>
            <w:tcBorders>
              <w:top w:val="single" w:sz="4" w:space="0" w:color="auto"/>
              <w:bottom w:val="single" w:sz="4" w:space="0" w:color="auto"/>
            </w:tcBorders>
            <w:noWrap/>
          </w:tcPr>
          <w:p>
            <w:pPr>
              <w:pStyle w:val="yTableNAm"/>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short term use by any vessel, an amount calculated using standard Rate 3</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casual daily use by a commercial vessel, an amount calculated using standard Rate 1</w:t>
            </w:r>
          </w:p>
          <w:p>
            <w:pPr>
              <w:pStyle w:val="yTableNAm"/>
              <w:tabs>
                <w:tab w:val="clear" w:pos="567"/>
                <w:tab w:val="left" w:pos="309"/>
              </w:tabs>
              <w:ind w:left="309" w:hanging="309"/>
            </w:pPr>
            <w:r>
              <w:t>•</w:t>
            </w:r>
            <w:r>
              <w:tab/>
              <w:t>for casual daily use by a recreational vessel that is 25 m or more in length, an amount calculated using standard Rate 1</w:t>
            </w:r>
          </w:p>
          <w:p>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pPr>
        <w:pStyle w:val="yFootnotesection"/>
      </w:pPr>
      <w:r>
        <w:tab/>
        <w:t>[Clause 13 inserted: SL 2023/43 r. 15.]</w:t>
      </w:r>
    </w:p>
    <w:p>
      <w:pPr>
        <w:pStyle w:val="yHeading5"/>
      </w:pPr>
      <w:bookmarkStart w:id="244" w:name="_Toc170305620"/>
      <w:r>
        <w:rPr>
          <w:rStyle w:val="CharSClsNo"/>
        </w:rPr>
        <w:t>14</w:t>
      </w:r>
      <w:r>
        <w:t>.</w:t>
      </w:r>
      <w:r>
        <w:tab/>
        <w:t>Denham Maritime Facility</w:t>
      </w:r>
      <w:bookmarkEnd w:id="244"/>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501.55</w:t>
            </w:r>
          </w:p>
        </w:tc>
      </w:tr>
      <w:tr>
        <w:trPr>
          <w:cantSplit/>
        </w:trPr>
        <w:tc>
          <w:tcPr>
            <w:tcW w:w="709" w:type="dxa"/>
            <w:noWrap/>
          </w:tcPr>
          <w:p>
            <w:pPr>
              <w:pStyle w:val="yTableNAm"/>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14 inserted: SL 2023/43 r. 15; amended: SL 2024/56 r. 7.]</w:t>
      </w:r>
    </w:p>
    <w:p>
      <w:pPr>
        <w:pStyle w:val="yHeading5"/>
      </w:pPr>
      <w:bookmarkStart w:id="245" w:name="_Toc170305621"/>
      <w:r>
        <w:rPr>
          <w:rStyle w:val="CharSClsNo"/>
        </w:rPr>
        <w:t>15</w:t>
      </w:r>
      <w:r>
        <w:t>.</w:t>
      </w:r>
      <w:r>
        <w:tab/>
        <w:t>Esperance, Bandy Creek Boat Harbour</w:t>
      </w:r>
      <w:bookmarkEnd w:id="245"/>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435.50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lastRenderedPageBreak/>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15 inserted: SL 2023/43 r. 15; amended: SL 2024/56 r. 7.]</w:t>
      </w:r>
    </w:p>
    <w:p>
      <w:pPr>
        <w:pStyle w:val="yHeading5"/>
      </w:pPr>
      <w:bookmarkStart w:id="246" w:name="_Toc170305622"/>
      <w:r>
        <w:rPr>
          <w:rStyle w:val="CharSClsNo"/>
        </w:rPr>
        <w:t>16.</w:t>
      </w:r>
      <w:r>
        <w:tab/>
        <w:t>Exmouth</w:t>
      </w:r>
      <w:bookmarkEnd w:id="246"/>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lastRenderedPageBreak/>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788.15</w:t>
            </w:r>
          </w:p>
        </w:tc>
      </w:tr>
      <w:tr>
        <w:trPr>
          <w:cantSplit/>
        </w:trPr>
        <w:tc>
          <w:tcPr>
            <w:tcW w:w="709" w:type="dxa"/>
            <w:noWrap/>
          </w:tcPr>
          <w:p>
            <w:pPr>
              <w:pStyle w:val="yTableNAm"/>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788.15</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931.45</w:t>
            </w:r>
          </w:p>
        </w:tc>
      </w:tr>
      <w:tr>
        <w:trPr>
          <w:cantSplit/>
        </w:trPr>
        <w:tc>
          <w:tcPr>
            <w:tcW w:w="709" w:type="dxa"/>
            <w:noWrap/>
          </w:tcPr>
          <w:p>
            <w:pPr>
              <w:pStyle w:val="yTableNAm"/>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1 146.40</w:t>
            </w:r>
          </w:p>
        </w:tc>
      </w:tr>
      <w:tr>
        <w:trPr>
          <w:cantSplit/>
        </w:trPr>
        <w:tc>
          <w:tcPr>
            <w:tcW w:w="709" w:type="dxa"/>
            <w:noWrap/>
          </w:tcPr>
          <w:p>
            <w:pPr>
              <w:pStyle w:val="yTableNAm"/>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lastRenderedPageBreak/>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931.45</w:t>
            </w:r>
          </w:p>
        </w:tc>
      </w:tr>
      <w:tr>
        <w:trPr>
          <w:cantSplit/>
        </w:trPr>
        <w:tc>
          <w:tcPr>
            <w:tcW w:w="709" w:type="dxa"/>
            <w:noWrap/>
          </w:tcPr>
          <w:p>
            <w:pPr>
              <w:pStyle w:val="yTableNAm"/>
            </w:pPr>
            <w:r>
              <w:t>10.</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tabs>
                <w:tab w:val="clear" w:pos="567"/>
              </w:tabs>
              <w:ind w:right="200"/>
              <w:jc w:val="right"/>
            </w:pPr>
            <w:r>
              <w:rPr>
                <w:szCs w:val="22"/>
              </w:rPr>
              <w:t>13.10</w:t>
            </w:r>
          </w:p>
        </w:tc>
      </w:tr>
      <w:tr>
        <w:trPr>
          <w:cantSplit/>
        </w:trPr>
        <w:tc>
          <w:tcPr>
            <w:tcW w:w="709" w:type="dxa"/>
            <w:tcBorders>
              <w:bottom w:val="single" w:sz="4" w:space="0" w:color="auto"/>
            </w:tcBorders>
            <w:noWrap/>
          </w:tcPr>
          <w:p>
            <w:pPr>
              <w:pStyle w:val="yTableNAm"/>
            </w:pPr>
            <w:r>
              <w:t>13.</w:t>
            </w:r>
          </w:p>
        </w:tc>
        <w:tc>
          <w:tcPr>
            <w:tcW w:w="4819" w:type="dxa"/>
            <w:tcBorders>
              <w:bottom w:val="single" w:sz="4" w:space="0" w:color="auto"/>
            </w:tcBorders>
            <w:noWrap/>
          </w:tcPr>
          <w:p>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tabs>
                <w:tab w:val="clear" w:pos="567"/>
              </w:tabs>
              <w:ind w:right="200"/>
              <w:jc w:val="right"/>
            </w:pPr>
            <w:r>
              <w:rPr>
                <w:szCs w:val="22"/>
              </w:rPr>
              <w:t>10.10</w:t>
            </w:r>
          </w:p>
        </w:tc>
      </w:tr>
    </w:tbl>
    <w:p>
      <w:pPr>
        <w:pStyle w:val="yFootnotesection"/>
      </w:pPr>
      <w:r>
        <w:tab/>
        <w:t>[Clause 16 inserted: SL 2023/43 r. 15; amended: SL 2024/56 r. 7.]</w:t>
      </w:r>
    </w:p>
    <w:p>
      <w:pPr>
        <w:pStyle w:val="yEdnotesection"/>
      </w:pPr>
      <w:r>
        <w:t>[</w:t>
      </w:r>
      <w:r>
        <w:rPr>
          <w:b/>
          <w:bCs/>
        </w:rPr>
        <w:t>17.</w:t>
      </w:r>
      <w:r>
        <w:tab/>
        <w:t>Deleted: SL 2024/56 r. 5(4).]</w:t>
      </w:r>
    </w:p>
    <w:p>
      <w:pPr>
        <w:pStyle w:val="yHeading5"/>
      </w:pPr>
      <w:bookmarkStart w:id="247" w:name="_Toc170305623"/>
      <w:r>
        <w:rPr>
          <w:rStyle w:val="CharSClsNo"/>
        </w:rPr>
        <w:t>18</w:t>
      </w:r>
      <w:r>
        <w:t>.</w:t>
      </w:r>
      <w:r>
        <w:tab/>
        <w:t>Geraldton, Batavia Coast Boat Harbour</w:t>
      </w:r>
      <w:bookmarkEnd w:id="247"/>
    </w:p>
    <w:p>
      <w:pPr>
        <w:pStyle w:val="ySubsection"/>
      </w:pPr>
      <w:r>
        <w:tab/>
        <w:t>(1)</w:t>
      </w:r>
      <w:r>
        <w:tab/>
        <w:t>This clause applies to the Batavia Coast Boat Harbour at Geraldton.</w:t>
      </w:r>
    </w:p>
    <w:p>
      <w:pPr>
        <w:pStyle w:val="ySubsection"/>
      </w:pPr>
      <w:r>
        <w:lastRenderedPageBreak/>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18 inserted: SL 2023/43 r. 15; amended: SL 2024/56 r. 7.]</w:t>
      </w:r>
    </w:p>
    <w:p>
      <w:pPr>
        <w:pStyle w:val="yHeading5"/>
      </w:pPr>
      <w:bookmarkStart w:id="248" w:name="_Toc170305624"/>
      <w:r>
        <w:rPr>
          <w:rStyle w:val="CharSClsNo"/>
        </w:rPr>
        <w:t>19</w:t>
      </w:r>
      <w:r>
        <w:t>.</w:t>
      </w:r>
      <w:r>
        <w:tab/>
        <w:t>Green Head</w:t>
      </w:r>
      <w:bookmarkEnd w:id="248"/>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 2023/43 r. 15.]</w:t>
      </w:r>
    </w:p>
    <w:p>
      <w:pPr>
        <w:pStyle w:val="yHeading5"/>
      </w:pPr>
      <w:bookmarkStart w:id="249" w:name="_Toc170305625"/>
      <w:r>
        <w:rPr>
          <w:rStyle w:val="CharSClsNo"/>
        </w:rPr>
        <w:t>20</w:t>
      </w:r>
      <w:r>
        <w:t>.</w:t>
      </w:r>
      <w:r>
        <w:tab/>
        <w:t>Hopetoun</w:t>
      </w:r>
      <w:bookmarkEnd w:id="249"/>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 2023/43 r. 15.]</w:t>
      </w:r>
    </w:p>
    <w:p>
      <w:pPr>
        <w:pStyle w:val="yHeading5"/>
      </w:pPr>
      <w:bookmarkStart w:id="250" w:name="_Toc170305626"/>
      <w:r>
        <w:rPr>
          <w:rStyle w:val="CharSClsNo"/>
        </w:rPr>
        <w:lastRenderedPageBreak/>
        <w:t>21</w:t>
      </w:r>
      <w:r>
        <w:t>.</w:t>
      </w:r>
      <w:r>
        <w:tab/>
        <w:t>Jurien Boat Harbour</w:t>
      </w:r>
      <w:bookmarkEnd w:id="250"/>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501.55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21 inserted: SL 2023/43 r. 15; amended: SL 2024/56 r. 7.]</w:t>
      </w:r>
    </w:p>
    <w:p>
      <w:pPr>
        <w:pStyle w:val="yHeading5"/>
      </w:pPr>
      <w:bookmarkStart w:id="251" w:name="_Toc170305627"/>
      <w:r>
        <w:rPr>
          <w:rStyle w:val="CharSClsNo"/>
        </w:rPr>
        <w:t>22</w:t>
      </w:r>
      <w:r>
        <w:t>.</w:t>
      </w:r>
      <w:r>
        <w:tab/>
        <w:t>Kalbarri Boat Harbour</w:t>
      </w:r>
      <w:bookmarkEnd w:id="251"/>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571.20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571.20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22 inserted: SL 2023/43 r. 15; amended: SL 2024/56 r. 7.]</w:t>
      </w:r>
    </w:p>
    <w:p>
      <w:pPr>
        <w:pStyle w:val="yHeading5"/>
      </w:pPr>
      <w:bookmarkStart w:id="252" w:name="_Toc170305628"/>
      <w:r>
        <w:rPr>
          <w:rStyle w:val="CharSClsNo"/>
        </w:rPr>
        <w:t>23</w:t>
      </w:r>
      <w:r>
        <w:t>.</w:t>
      </w:r>
      <w:r>
        <w:tab/>
        <w:t>Lancelin</w:t>
      </w:r>
      <w:bookmarkEnd w:id="252"/>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 2023/43 r. 15.]</w:t>
      </w:r>
    </w:p>
    <w:p>
      <w:pPr>
        <w:pStyle w:val="yHeading5"/>
      </w:pPr>
      <w:bookmarkStart w:id="253" w:name="_Toc170305629"/>
      <w:r>
        <w:rPr>
          <w:rStyle w:val="CharSClsNo"/>
        </w:rPr>
        <w:t>24</w:t>
      </w:r>
      <w:r>
        <w:t>.</w:t>
      </w:r>
      <w:r>
        <w:tab/>
        <w:t>Leeman</w:t>
      </w:r>
      <w:bookmarkEnd w:id="253"/>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53" w:type="dxa"/>
            <w:tcBorders>
              <w:bottom w:val="single" w:sz="4" w:space="0" w:color="auto"/>
            </w:tcBorders>
            <w:noWrap/>
          </w:tcPr>
          <w:p>
            <w:pPr>
              <w:pStyle w:val="yTableNAm"/>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 2023/43 r. 15.]</w:t>
      </w:r>
    </w:p>
    <w:p>
      <w:pPr>
        <w:pStyle w:val="yHeading5"/>
      </w:pPr>
      <w:bookmarkStart w:id="254" w:name="_Toc170305630"/>
      <w:r>
        <w:rPr>
          <w:rStyle w:val="CharSClsNo"/>
        </w:rPr>
        <w:t>25</w:t>
      </w:r>
      <w:r>
        <w:t>.</w:t>
      </w:r>
      <w:r>
        <w:tab/>
        <w:t>Onslow, Beadon Creek Boat Harbour</w:t>
      </w:r>
      <w:bookmarkEnd w:id="254"/>
    </w:p>
    <w:p>
      <w:pPr>
        <w:pStyle w:val="ySubsection"/>
      </w:pPr>
      <w:r>
        <w:tab/>
        <w:t>(1)</w:t>
      </w:r>
      <w:r>
        <w:tab/>
        <w:t>This clause applies to the Beadon Creek Boat Harbour at Onslow.</w:t>
      </w:r>
    </w:p>
    <w:p>
      <w:pPr>
        <w:pStyle w:val="ySubsection"/>
      </w:pPr>
      <w:r>
        <w:lastRenderedPageBreak/>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tabs>
                <w:tab w:val="clear" w:pos="567"/>
              </w:tabs>
              <w:ind w:right="200"/>
              <w:jc w:val="right"/>
            </w:pPr>
            <w:r>
              <w:rPr>
                <w:szCs w:val="22"/>
              </w:rPr>
              <w:t>286.60</w:t>
            </w:r>
          </w:p>
        </w:tc>
      </w:tr>
      <w:tr>
        <w:trPr>
          <w:cantSplit/>
        </w:trPr>
        <w:tc>
          <w:tcPr>
            <w:tcW w:w="709" w:type="dxa"/>
            <w:noWrap/>
          </w:tcPr>
          <w:p>
            <w:pPr>
              <w:pStyle w:val="yTableNAm"/>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tabs>
                <w:tab w:val="clear" w:pos="567"/>
              </w:tabs>
              <w:ind w:right="200"/>
              <w:jc w:val="right"/>
            </w:pPr>
            <w:r>
              <w:rPr>
                <w:szCs w:val="22"/>
              </w:rPr>
              <w:t>501.55</w:t>
            </w:r>
          </w:p>
        </w:tc>
      </w:tr>
      <w:tr>
        <w:trPr>
          <w:cantSplit/>
        </w:trPr>
        <w:tc>
          <w:tcPr>
            <w:tcW w:w="709" w:type="dxa"/>
            <w:noWrap/>
          </w:tcPr>
          <w:p>
            <w:pPr>
              <w:pStyle w:val="yTableNAm"/>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tabs>
                <w:tab w:val="clear" w:pos="567"/>
              </w:tabs>
              <w:ind w:right="200"/>
              <w:jc w:val="right"/>
            </w:pPr>
            <w:r>
              <w:rPr>
                <w:szCs w:val="22"/>
              </w:rPr>
              <w:t>11.70</w:t>
            </w:r>
          </w:p>
        </w:tc>
      </w:tr>
      <w:tr>
        <w:trPr>
          <w:cantSplit/>
        </w:trPr>
        <w:tc>
          <w:tcPr>
            <w:tcW w:w="709" w:type="dxa"/>
            <w:noWrap/>
          </w:tcPr>
          <w:p>
            <w:pPr>
              <w:pStyle w:val="yTableNAm"/>
            </w:pPr>
            <w:r>
              <w:lastRenderedPageBreak/>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tabs>
                <w:tab w:val="clear" w:pos="567"/>
              </w:tabs>
              <w:ind w:right="200"/>
              <w:jc w:val="right"/>
            </w:pPr>
            <w:r>
              <w:rPr>
                <w:szCs w:val="22"/>
              </w:rPr>
              <w:t>85.95</w:t>
            </w:r>
          </w:p>
        </w:tc>
      </w:tr>
      <w:tr>
        <w:trPr>
          <w:cantSplit/>
        </w:trPr>
        <w:tc>
          <w:tcPr>
            <w:tcW w:w="709" w:type="dxa"/>
            <w:noWrap/>
          </w:tcPr>
          <w:p>
            <w:pPr>
              <w:pStyle w:val="yTableNAm"/>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tabs>
                <w:tab w:val="clear" w:pos="567"/>
              </w:tabs>
              <w:ind w:right="200"/>
              <w:jc w:val="right"/>
            </w:pPr>
            <w:r>
              <w:rPr>
                <w:szCs w:val="22"/>
              </w:rPr>
              <w:t>25.75</w:t>
            </w:r>
          </w:p>
        </w:tc>
      </w:tr>
      <w:tr>
        <w:trPr>
          <w:cantSplit/>
        </w:trPr>
        <w:tc>
          <w:tcPr>
            <w:tcW w:w="709" w:type="dxa"/>
            <w:tcBorders>
              <w:bottom w:val="single" w:sz="4" w:space="0" w:color="auto"/>
            </w:tcBorders>
            <w:noWrap/>
          </w:tcPr>
          <w:p>
            <w:pPr>
              <w:pStyle w:val="yTableNAm"/>
            </w:pPr>
            <w:r>
              <w:t>8.</w:t>
            </w:r>
          </w:p>
        </w:tc>
        <w:tc>
          <w:tcPr>
            <w:tcW w:w="4819" w:type="dxa"/>
            <w:tcBorders>
              <w:bottom w:val="single" w:sz="4" w:space="0" w:color="auto"/>
            </w:tcBorders>
            <w:noWrap/>
          </w:tcPr>
          <w:p>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pPr>
            <w:r>
              <w:rPr>
                <w:szCs w:val="22"/>
              </w:rPr>
              <w:t>10.10</w:t>
            </w:r>
          </w:p>
        </w:tc>
      </w:tr>
    </w:tbl>
    <w:p>
      <w:pPr>
        <w:pStyle w:val="yFootnotesection"/>
      </w:pPr>
      <w:r>
        <w:tab/>
        <w:t>[Clause 25 inserted: SL 2023/43 r. 15; amended: SL 2024/56 r. 7.]</w:t>
      </w:r>
    </w:p>
    <w:p>
      <w:pPr>
        <w:pStyle w:val="yHeading5"/>
      </w:pPr>
      <w:bookmarkStart w:id="255" w:name="_Toc170305631"/>
      <w:r>
        <w:rPr>
          <w:rStyle w:val="CharSClsNo"/>
        </w:rPr>
        <w:t>26</w:t>
      </w:r>
      <w:r>
        <w:t>.</w:t>
      </w:r>
      <w:r>
        <w:tab/>
        <w:t>Point Samson, Johns Creek Boat Harbour</w:t>
      </w:r>
      <w:bookmarkEnd w:id="255"/>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lastRenderedPageBreak/>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2"/>
              </w:rPr>
              <w:t>788.15</w:t>
            </w:r>
          </w:p>
        </w:tc>
      </w:tr>
      <w:tr>
        <w:trPr>
          <w:cantSplit/>
        </w:trPr>
        <w:tc>
          <w:tcPr>
            <w:tcW w:w="709" w:type="dxa"/>
            <w:noWrap/>
          </w:tcPr>
          <w:p>
            <w:pPr>
              <w:pStyle w:val="yTableNAm"/>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 berth at a service jetty by a recreational vessel that is 25 m or more in length,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6.</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rPr>
                <w:szCs w:val="24"/>
              </w:rPr>
            </w:pPr>
            <w:r>
              <w:rPr>
                <w:szCs w:val="22"/>
              </w:rPr>
              <w:t>10.10</w:t>
            </w:r>
          </w:p>
        </w:tc>
      </w:tr>
    </w:tbl>
    <w:p>
      <w:pPr>
        <w:pStyle w:val="ySubsection"/>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819" w:type="dxa"/>
            <w:noWrap/>
          </w:tcPr>
          <w:p>
            <w:pPr>
              <w:pStyle w:val="yTableNAm"/>
              <w:tabs>
                <w:tab w:val="clear" w:pos="567"/>
                <w:tab w:val="left" w:pos="309"/>
              </w:tabs>
            </w:pPr>
            <w:r>
              <w:t>•</w:t>
            </w:r>
            <w:r>
              <w:tab/>
              <w:t>if the vessel is 15 m or less in length</w:t>
            </w:r>
          </w:p>
        </w:tc>
        <w:tc>
          <w:tcPr>
            <w:tcW w:w="1276" w:type="dxa"/>
            <w:noWrap/>
            <w:vAlign w:val="bottom"/>
          </w:tcPr>
          <w:p>
            <w:pPr>
              <w:pStyle w:val="yTableNAm"/>
              <w:tabs>
                <w:tab w:val="clear" w:pos="567"/>
              </w:tabs>
              <w:ind w:right="200"/>
              <w:jc w:val="right"/>
              <w:rPr>
                <w:szCs w:val="24"/>
              </w:rPr>
            </w:pPr>
            <w:r>
              <w:rPr>
                <w:szCs w:val="22"/>
              </w:rPr>
              <w:t>241.80</w:t>
            </w: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pPr>
              <w:pStyle w:val="yTableNAm"/>
              <w:tabs>
                <w:tab w:val="clear" w:pos="567"/>
              </w:tabs>
              <w:ind w:right="200"/>
              <w:jc w:val="right"/>
              <w:rPr>
                <w:szCs w:val="24"/>
              </w:rPr>
            </w:pPr>
            <w:r>
              <w:rPr>
                <w:szCs w:val="22"/>
              </w:rPr>
              <w:t>352.95</w:t>
            </w:r>
          </w:p>
        </w:tc>
      </w:tr>
    </w:tbl>
    <w:p>
      <w:pPr>
        <w:pStyle w:val="yFootnotesection"/>
      </w:pPr>
      <w:r>
        <w:tab/>
        <w:t>[Clause 26 inserted: SL 2023/43 r. 15; amended: SL 2024/56 r. 7.]</w:t>
      </w:r>
    </w:p>
    <w:p>
      <w:pPr>
        <w:pStyle w:val="yHeading5"/>
      </w:pPr>
      <w:bookmarkStart w:id="256" w:name="_Toc170305632"/>
      <w:r>
        <w:rPr>
          <w:rStyle w:val="CharSClsNo"/>
        </w:rPr>
        <w:lastRenderedPageBreak/>
        <w:t>27</w:t>
      </w:r>
      <w:r>
        <w:t>.</w:t>
      </w:r>
      <w:r>
        <w:tab/>
        <w:t>Port Denison</w:t>
      </w:r>
      <w:bookmarkEnd w:id="256"/>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3.</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an alongside berth by a recreational vessel that is 25 m or more in length,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pPr>
            <w:r>
              <w:t>For the casual daily use of a pen or alongside berth 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27 inserted: SL 2023/43 r. 15; amended: SL 2024/56 r. 5(5) and 7.]</w:t>
      </w:r>
    </w:p>
    <w:p>
      <w:pPr>
        <w:pStyle w:val="yHeading5"/>
      </w:pPr>
      <w:bookmarkStart w:id="257" w:name="_Toc170305633"/>
      <w:r>
        <w:rPr>
          <w:rStyle w:val="CharSClsNo"/>
        </w:rPr>
        <w:t>28</w:t>
      </w:r>
      <w:r>
        <w:t>.</w:t>
      </w:r>
      <w:r>
        <w:tab/>
        <w:t>Port Gregory</w:t>
      </w:r>
      <w:bookmarkEnd w:id="257"/>
    </w:p>
    <w:p>
      <w:pPr>
        <w:pStyle w:val="ySubsection"/>
      </w:pPr>
      <w:r>
        <w:tab/>
        <w:t>(1)</w:t>
      </w:r>
      <w:r>
        <w:tab/>
        <w:t>This clause applies to Port Gregory.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 2023/43 r. 15.]</w:t>
      </w:r>
    </w:p>
    <w:p>
      <w:pPr>
        <w:pStyle w:val="yHeading5"/>
      </w:pPr>
      <w:bookmarkStart w:id="258" w:name="_Toc168569672"/>
      <w:bookmarkStart w:id="259" w:name="_Toc168999118"/>
      <w:bookmarkStart w:id="260" w:name="_Toc170305634"/>
      <w:r>
        <w:rPr>
          <w:rStyle w:val="CharSClsNo"/>
        </w:rPr>
        <w:t>28A</w:t>
      </w:r>
      <w:r>
        <w:t>.</w:t>
      </w:r>
      <w:r>
        <w:tab/>
        <w:t>Port Hedland, Spoilbank Marina</w:t>
      </w:r>
      <w:bookmarkEnd w:id="258"/>
      <w:bookmarkEnd w:id="259"/>
      <w:bookmarkEnd w:id="260"/>
    </w:p>
    <w:p>
      <w:pPr>
        <w:pStyle w:val="ySubsection"/>
      </w:pPr>
      <w:r>
        <w:tab/>
        <w:t>(1)</w:t>
      </w:r>
      <w:r>
        <w:tab/>
        <w:t>This clause applies to the Spoilbank Marina at Port Hedland.</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82"/>
              <w:jc w:val="right"/>
            </w:pPr>
            <w:r>
              <w:t>716.50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82"/>
              <w:jc w:val="right"/>
            </w:pPr>
            <w:r>
              <w:t>931.45</w:t>
            </w:r>
          </w:p>
        </w:tc>
      </w:tr>
      <w:tr>
        <w:trPr>
          <w:cantSplit/>
        </w:trPr>
        <w:tc>
          <w:tcPr>
            <w:tcW w:w="709" w:type="dxa"/>
            <w:noWrap/>
          </w:tcPr>
          <w:p>
            <w:pPr>
              <w:pStyle w:val="yTableNAm"/>
            </w:pPr>
            <w:r>
              <w:lastRenderedPageBreak/>
              <w:t>3.</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82"/>
              <w:jc w:val="right"/>
            </w:pPr>
            <w:r>
              <w:t>716.50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82"/>
              <w:jc w:val="right"/>
            </w:pPr>
            <w:r>
              <w:t>931.45</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82"/>
              <w:jc w:val="right"/>
            </w:pPr>
          </w:p>
        </w:tc>
      </w:tr>
      <w:tr>
        <w:trPr>
          <w:cantSplit/>
        </w:trPr>
        <w:tc>
          <w:tcPr>
            <w:tcW w:w="709" w:type="dxa"/>
            <w:noWrap/>
          </w:tcPr>
          <w:p>
            <w:pPr>
              <w:pStyle w:val="yTableNAm"/>
            </w:pPr>
          </w:p>
        </w:tc>
        <w:tc>
          <w:tcPr>
            <w:tcW w:w="4819" w:type="dxa"/>
            <w:noWrap/>
          </w:tcPr>
          <w:p>
            <w:pPr>
              <w:pStyle w:val="yTableNAm"/>
              <w:tabs>
                <w:tab w:val="clear" w:pos="567"/>
              </w:tabs>
              <w:ind w:left="308" w:hanging="308"/>
            </w:pPr>
            <w:r>
              <w:t>•</w:t>
            </w:r>
            <w:r>
              <w:tab/>
              <w:t>by a Government vessel, tourism vessel or fishing vessel, an amount calculated using standard Rate 1</w:t>
            </w:r>
          </w:p>
          <w:p>
            <w:pPr>
              <w:pStyle w:val="yTableNAm"/>
              <w:tabs>
                <w:tab w:val="clear" w:pos="567"/>
              </w:tabs>
              <w:ind w:left="308" w:hanging="308"/>
            </w:pPr>
            <w:r>
              <w:t>•</w:t>
            </w:r>
            <w:r>
              <w:tab/>
              <w:t>by a recreational vessel that is 25 m or more in length, an amount calculated using standard Rate 1</w:t>
            </w:r>
          </w:p>
          <w:p>
            <w:pPr>
              <w:pStyle w:val="yTableNAm"/>
              <w:tabs>
                <w:tab w:val="clear" w:pos="567"/>
              </w:tabs>
              <w:ind w:left="308" w:hanging="308"/>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82"/>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casual daily use of a pen or alongside berth by a service vessel, an amount calculated per metre of the vessel’s length using the daily rate of</w:t>
            </w:r>
          </w:p>
        </w:tc>
        <w:tc>
          <w:tcPr>
            <w:tcW w:w="1276" w:type="dxa"/>
            <w:tcBorders>
              <w:bottom w:val="single" w:sz="4" w:space="0" w:color="auto"/>
            </w:tcBorders>
            <w:noWrap/>
            <w:vAlign w:val="bottom"/>
          </w:tcPr>
          <w:p>
            <w:pPr>
              <w:pStyle w:val="yTableNAm"/>
              <w:tabs>
                <w:tab w:val="clear" w:pos="567"/>
              </w:tabs>
              <w:ind w:right="282"/>
              <w:jc w:val="right"/>
            </w:pPr>
            <w:r>
              <w:t>13.10</w:t>
            </w:r>
          </w:p>
        </w:tc>
      </w:tr>
    </w:tbl>
    <w:p>
      <w:pPr>
        <w:pStyle w:val="yFootnotesection"/>
      </w:pPr>
      <w:r>
        <w:tab/>
        <w:t>[Clause 28A inserted: SL 2024/93 r. 4.]</w:t>
      </w:r>
    </w:p>
    <w:p>
      <w:pPr>
        <w:pStyle w:val="yHeading5"/>
      </w:pPr>
      <w:bookmarkStart w:id="261" w:name="_Toc170305635"/>
      <w:r>
        <w:rPr>
          <w:rStyle w:val="CharSClsNo"/>
        </w:rPr>
        <w:t>29</w:t>
      </w:r>
      <w:r>
        <w:t>.</w:t>
      </w:r>
      <w:r>
        <w:tab/>
        <w:t>Two Rocks Marina</w:t>
      </w:r>
      <w:bookmarkEnd w:id="261"/>
    </w:p>
    <w:p>
      <w:pPr>
        <w:pStyle w:val="ySubsection"/>
      </w:pPr>
      <w:r>
        <w:tab/>
        <w:t>(1)</w:t>
      </w:r>
      <w:r>
        <w:tab/>
        <w:t>This clause applies to the Two Rocks Marina.</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501.55</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716.50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2"/>
              </w:rPr>
              <w:t>716.50</w:t>
            </w:r>
          </w:p>
        </w:tc>
      </w:tr>
      <w:tr>
        <w:trPr>
          <w:cantSplit/>
        </w:trPr>
        <w:tc>
          <w:tcPr>
            <w:tcW w:w="709" w:type="dxa"/>
            <w:noWrap/>
          </w:tcPr>
          <w:p>
            <w:pPr>
              <w:pStyle w:val="yTableNAm"/>
              <w:keepNext/>
            </w:pPr>
            <w:r>
              <w:t>6.</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rPr>
                <w:szCs w:val="24"/>
              </w:rPr>
            </w:pPr>
          </w:p>
        </w:tc>
      </w:tr>
      <w:tr>
        <w:trPr>
          <w:cantSplit/>
          <w:trHeight w:val="2384"/>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29 inserted: SL 2023/43 r. 15; amended: SL 2024/56 r. 7.]</w:t>
      </w:r>
    </w:p>
    <w:p>
      <w:pPr>
        <w:pStyle w:val="yHeading3"/>
      </w:pPr>
      <w:bookmarkStart w:id="262" w:name="_Toc170215777"/>
      <w:bookmarkStart w:id="263" w:name="_Toc170225492"/>
      <w:bookmarkStart w:id="264" w:name="_Toc170305636"/>
      <w:r>
        <w:rPr>
          <w:rStyle w:val="CharSDivNo"/>
        </w:rPr>
        <w:lastRenderedPageBreak/>
        <w:t>Division 3</w:t>
      </w:r>
      <w:r>
        <w:t> — </w:t>
      </w:r>
      <w:r>
        <w:rPr>
          <w:rStyle w:val="CharSDivText"/>
        </w:rPr>
        <w:t>State</w:t>
      </w:r>
      <w:r>
        <w:rPr>
          <w:rStyle w:val="CharSDivText"/>
        </w:rPr>
        <w:noBreakHyphen/>
        <w:t>wide charges</w:t>
      </w:r>
      <w:bookmarkEnd w:id="262"/>
      <w:bookmarkEnd w:id="263"/>
      <w:bookmarkEnd w:id="264"/>
    </w:p>
    <w:p>
      <w:pPr>
        <w:pStyle w:val="yFootnoteheading"/>
      </w:pPr>
      <w:r>
        <w:tab/>
        <w:t>[Heading inserted: SL 2023/43 r. 15.]</w:t>
      </w:r>
    </w:p>
    <w:p>
      <w:pPr>
        <w:pStyle w:val="yHeading5"/>
      </w:pPr>
      <w:bookmarkStart w:id="265" w:name="_Toc170305637"/>
      <w:r>
        <w:rPr>
          <w:rStyle w:val="CharSClsNo"/>
        </w:rPr>
        <w:t>30</w:t>
      </w:r>
      <w:r>
        <w:t>.</w:t>
      </w:r>
      <w:r>
        <w:tab/>
        <w:t>Living on vessel</w:t>
      </w:r>
      <w:bookmarkEnd w:id="265"/>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living on a vessel — </w:t>
            </w:r>
          </w:p>
        </w:tc>
        <w:tc>
          <w:tcPr>
            <w:tcW w:w="1134"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pPr>
              <w:pStyle w:val="yTableNAm"/>
              <w:tabs>
                <w:tab w:val="clear" w:pos="567"/>
              </w:tabs>
              <w:ind w:right="200"/>
              <w:jc w:val="right"/>
            </w:pPr>
            <w:r>
              <w:rPr>
                <w:szCs w:val="22"/>
              </w:rPr>
              <w:t>54.85</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tabs>
                <w:tab w:val="clear" w:pos="567"/>
              </w:tabs>
              <w:ind w:right="200"/>
              <w:jc w:val="right"/>
            </w:pPr>
            <w:r>
              <w:rPr>
                <w:szCs w:val="22"/>
              </w:rPr>
              <w:t>167.15</w:t>
            </w:r>
          </w:p>
        </w:tc>
      </w:tr>
    </w:tbl>
    <w:p>
      <w:pPr>
        <w:pStyle w:val="yFootnotesection"/>
      </w:pPr>
      <w:r>
        <w:tab/>
        <w:t>[Clause 30 inserted: SL 2023/43 r. 15; amended:SL 2024/56 r. 7.]</w:t>
      </w:r>
    </w:p>
    <w:p>
      <w:pPr>
        <w:pStyle w:val="yHeading5"/>
      </w:pPr>
      <w:bookmarkStart w:id="266" w:name="_Toc170305638"/>
      <w:r>
        <w:rPr>
          <w:rStyle w:val="CharSClsNo"/>
        </w:rPr>
        <w:t>31</w:t>
      </w:r>
      <w:r>
        <w:t>.</w:t>
      </w:r>
      <w:r>
        <w:tab/>
        <w:t>Electricity supply</w:t>
      </w:r>
      <w:bookmarkEnd w:id="266"/>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electricity supply that is — </w:t>
            </w:r>
          </w:p>
        </w:tc>
        <w:tc>
          <w:tcPr>
            <w:tcW w:w="1134" w:type="dxa"/>
            <w:noWrap/>
            <w:vAlign w:val="bottom"/>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single phase (metered)</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31 inserted: SL 2023/43 r. 15.]</w:t>
      </w:r>
    </w:p>
    <w:p>
      <w:pPr>
        <w:pStyle w:val="yHeading5"/>
      </w:pPr>
      <w:bookmarkStart w:id="267" w:name="_Toc170305639"/>
      <w:r>
        <w:rPr>
          <w:rStyle w:val="CharSClsNo"/>
        </w:rPr>
        <w:lastRenderedPageBreak/>
        <w:t>32</w:t>
      </w:r>
      <w:r>
        <w:t>.</w:t>
      </w:r>
      <w:r>
        <w:tab/>
        <w:t>Water supply</w:t>
      </w:r>
      <w:bookmarkEnd w:id="267"/>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jc w:val="center"/>
            </w:pPr>
            <w:r>
              <w:rPr>
                <w:szCs w:val="24"/>
              </w:rPr>
              <w:t>Cost</w:t>
            </w:r>
          </w:p>
        </w:tc>
      </w:tr>
    </w:tbl>
    <w:p>
      <w:pPr>
        <w:pStyle w:val="yFootnotesection"/>
      </w:pPr>
      <w:r>
        <w:tab/>
        <w:t>[Clause 32 inserted: SL 2023/43 r. 15.]</w:t>
      </w:r>
    </w:p>
    <w:p>
      <w:pPr>
        <w:pStyle w:val="yHeading5"/>
      </w:pPr>
      <w:bookmarkStart w:id="268" w:name="_Toc170305640"/>
      <w:r>
        <w:rPr>
          <w:rStyle w:val="CharSClsNo"/>
        </w:rPr>
        <w:t>33</w:t>
      </w:r>
      <w:r>
        <w:t>.</w:t>
      </w:r>
      <w:r>
        <w:tab/>
        <w:t>Rubbish removal</w:t>
      </w:r>
      <w:bookmarkEnd w:id="268"/>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waste oil from vessels in excess of 150 L</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33 inserted: SL 2023/43 r. 15.]</w:t>
      </w:r>
    </w:p>
    <w:p>
      <w:pPr>
        <w:pStyle w:val="yHeading5"/>
      </w:pPr>
      <w:bookmarkStart w:id="269" w:name="_Toc170305641"/>
      <w:r>
        <w:rPr>
          <w:rStyle w:val="CharSClsNo"/>
        </w:rPr>
        <w:t>34</w:t>
      </w:r>
      <w:r>
        <w:t>.</w:t>
      </w:r>
      <w:r>
        <w:tab/>
        <w:t>Passengers and cargo</w:t>
      </w:r>
      <w:bookmarkEnd w:id="269"/>
    </w:p>
    <w:p>
      <w:pPr>
        <w:pStyle w:val="ySubsection"/>
      </w:pPr>
      <w:r>
        <w:tab/>
      </w:r>
      <w:r>
        <w:tab/>
        <w:t>The charges payable for the loading and unloading of passengers and cargo are set out in the Table.</w:t>
      </w:r>
    </w:p>
    <w:p>
      <w:pPr>
        <w:pStyle w:val="yTHeadingNAm"/>
      </w:pPr>
      <w:r>
        <w:lastRenderedPageBreak/>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pPr>
              <w:pStyle w:val="yTableNAm"/>
              <w:tabs>
                <w:tab w:val="clear" w:pos="567"/>
              </w:tabs>
              <w:ind w:right="200"/>
              <w:jc w:val="right"/>
            </w:pPr>
            <w:r>
              <w:rPr>
                <w:szCs w:val="22"/>
              </w:rPr>
              <w:t>12.35</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plus a charge per passenger of</w:t>
            </w:r>
          </w:p>
        </w:tc>
        <w:tc>
          <w:tcPr>
            <w:tcW w:w="1134" w:type="dxa"/>
            <w:noWrap/>
            <w:vAlign w:val="bottom"/>
          </w:tcPr>
          <w:p>
            <w:pPr>
              <w:pStyle w:val="yTableNAm"/>
              <w:tabs>
                <w:tab w:val="clear" w:pos="567"/>
              </w:tabs>
              <w:ind w:right="200"/>
              <w:jc w:val="right"/>
            </w:pPr>
            <w:r>
              <w:rPr>
                <w:szCs w:val="22"/>
              </w:rPr>
              <w:t>5.10</w:t>
            </w:r>
          </w:p>
        </w:tc>
      </w:tr>
      <w:tr>
        <w:trPr>
          <w:cantSplit/>
        </w:trPr>
        <w:tc>
          <w:tcPr>
            <w:tcW w:w="709" w:type="dxa"/>
            <w:noWrap/>
          </w:tcPr>
          <w:p>
            <w:pPr>
              <w:pStyle w:val="yTableNAm"/>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ind w:right="200"/>
              <w:jc w:val="right"/>
            </w:pPr>
            <w:r>
              <w:rPr>
                <w:szCs w:val="22"/>
              </w:rPr>
              <w:t>8.10</w:t>
            </w:r>
          </w:p>
        </w:tc>
      </w:tr>
      <w:tr>
        <w:trPr>
          <w:cantSplit/>
        </w:trPr>
        <w:tc>
          <w:tcPr>
            <w:tcW w:w="709" w:type="dxa"/>
            <w:tcBorders>
              <w:bottom w:val="single" w:sz="4" w:space="0" w:color="auto"/>
            </w:tcBorders>
            <w:noWrap/>
          </w:tcPr>
          <w:p>
            <w:pPr>
              <w:pStyle w:val="yTableNAm"/>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ind w:right="200"/>
              <w:jc w:val="right"/>
            </w:pPr>
            <w:r>
              <w:rPr>
                <w:szCs w:val="22"/>
              </w:rPr>
              <w:t>17.95</w:t>
            </w:r>
          </w:p>
        </w:tc>
      </w:tr>
    </w:tbl>
    <w:p>
      <w:pPr>
        <w:pStyle w:val="yFootnotesection"/>
      </w:pPr>
      <w:r>
        <w:tab/>
        <w:t>[Clause 34 inserted: SL 2023/43 r. 15; amended: SL 2024/56 r. 7.]</w:t>
      </w:r>
    </w:p>
    <w:p>
      <w:pPr>
        <w:pStyle w:val="yHeading5"/>
      </w:pPr>
      <w:bookmarkStart w:id="270" w:name="_Toc170305642"/>
      <w:r>
        <w:rPr>
          <w:rStyle w:val="CharSClsNo"/>
        </w:rPr>
        <w:t>35</w:t>
      </w:r>
      <w:r>
        <w:t>.</w:t>
      </w:r>
      <w:r>
        <w:tab/>
        <w:t>Floating dinghy pens</w:t>
      </w:r>
      <w:bookmarkEnd w:id="270"/>
    </w:p>
    <w:p>
      <w:pPr>
        <w:pStyle w:val="ySubsection"/>
      </w:pPr>
      <w:r>
        <w:tab/>
      </w:r>
      <w:r>
        <w:tab/>
        <w:t xml:space="preserve">The charge payable for the use of a floating dinghy pen at a place is </w:t>
      </w:r>
      <w:r>
        <w:rPr>
          <w:szCs w:val="22"/>
        </w:rPr>
        <w:t>$439.30</w:t>
      </w:r>
      <w:r>
        <w:t xml:space="preserve"> per vessel per year.</w:t>
      </w:r>
    </w:p>
    <w:p>
      <w:pPr>
        <w:pStyle w:val="yFootnotesection"/>
      </w:pPr>
      <w:r>
        <w:tab/>
        <w:t>[Clause 35 amended: SL 2024/56 r. 7.]</w:t>
      </w:r>
    </w:p>
    <w:p>
      <w:pPr>
        <w:pStyle w:val="yHeading5"/>
      </w:pPr>
      <w:bookmarkStart w:id="271" w:name="_Toc170305643"/>
      <w:r>
        <w:rPr>
          <w:rStyle w:val="CharSClsNo"/>
        </w:rPr>
        <w:t>36</w:t>
      </w:r>
      <w:r>
        <w:t>.</w:t>
      </w:r>
      <w:r>
        <w:tab/>
        <w:t>Use of jetty hardstand or appurtenant area</w:t>
      </w:r>
      <w:bookmarkEnd w:id="271"/>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w:t>
      </w:r>
      <w:r>
        <w:rPr>
          <w:szCs w:val="22"/>
        </w:rPr>
        <w:t>$2.10</w:t>
      </w:r>
      <w:r>
        <w:t>.</w:t>
      </w:r>
    </w:p>
    <w:p>
      <w:pPr>
        <w:pStyle w:val="yFootnotesection"/>
      </w:pPr>
      <w:r>
        <w:tab/>
        <w:t>[Clause 36 inserted: SL 2023/43 r. 15; amended: SL 2024/56 r. 7.]</w:t>
      </w:r>
    </w:p>
    <w:p>
      <w:pPr>
        <w:pStyle w:val="yScheduleHeading"/>
      </w:pPr>
      <w:bookmarkStart w:id="272" w:name="_Toc170215785"/>
      <w:bookmarkStart w:id="273" w:name="_Toc170225500"/>
      <w:bookmarkStart w:id="274" w:name="_Toc170305644"/>
      <w:r>
        <w:rPr>
          <w:rStyle w:val="CharSchNo"/>
        </w:rPr>
        <w:lastRenderedPageBreak/>
        <w:t>Schedule 2</w:t>
      </w:r>
      <w:r>
        <w:rPr>
          <w:rStyle w:val="CharSDivNo"/>
        </w:rPr>
        <w:t> </w:t>
      </w:r>
      <w:r>
        <w:t>—</w:t>
      </w:r>
      <w:r>
        <w:rPr>
          <w:rStyle w:val="CharSDivText"/>
        </w:rPr>
        <w:t> </w:t>
      </w:r>
      <w:r>
        <w:rPr>
          <w:rStyle w:val="CharSchText"/>
        </w:rPr>
        <w:t>Fuel oil wharfage</w:t>
      </w:r>
      <w:bookmarkEnd w:id="272"/>
      <w:bookmarkEnd w:id="273"/>
      <w:bookmarkEnd w:id="274"/>
    </w:p>
    <w:p>
      <w:pPr>
        <w:pStyle w:val="yShoulderClause"/>
      </w:pPr>
      <w:r>
        <w:t>[r. 11B(2)]</w:t>
      </w:r>
    </w:p>
    <w:p>
      <w:pPr>
        <w:pStyle w:val="yFootnoteheading"/>
      </w:pPr>
      <w:r>
        <w:tab/>
        <w:t>[Heading inserted: SL 2022/48 r. 13.]</w:t>
      </w:r>
    </w:p>
    <w:p>
      <w:pPr>
        <w:pStyle w:val="yHeading5"/>
      </w:pPr>
      <w:bookmarkStart w:id="275" w:name="_Toc170305645"/>
      <w:r>
        <w:rPr>
          <w:rStyle w:val="CharSClsNo"/>
        </w:rPr>
        <w:t>1</w:t>
      </w:r>
      <w:r>
        <w:t>.</w:t>
      </w:r>
      <w:r>
        <w:tab/>
        <w:t>Wharfage for fuel oil</w:t>
      </w:r>
      <w:bookmarkEnd w:id="275"/>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lastRenderedPageBreak/>
              <w:t>17.</w:t>
            </w:r>
          </w:p>
        </w:tc>
        <w:tc>
          <w:tcPr>
            <w:tcW w:w="4961" w:type="dxa"/>
            <w:noWrap/>
          </w:tcPr>
          <w:p>
            <w:pPr>
              <w:pStyle w:val="yTableNAm"/>
            </w:pPr>
            <w:r>
              <w:t>Kalbarri</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rPr>
                <w:szCs w:val="22"/>
              </w:rPr>
              <w:t>0.066</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rPr>
                <w:szCs w:val="22"/>
              </w:rPr>
              <w:t>0.066</w:t>
            </w:r>
          </w:p>
        </w:tc>
      </w:tr>
    </w:tbl>
    <w:p>
      <w:pPr>
        <w:pStyle w:val="yFootnotesection"/>
      </w:pPr>
      <w:r>
        <w:tab/>
        <w:t>[Schedule 2 inserted: SL 2022/48 r. 13; amended: SL 2023/43 r. 19; SL 2024/56 r. 7.]</w:t>
      </w:r>
    </w:p>
    <w:p>
      <w:pPr>
        <w:pStyle w:val="yScheduleHeading"/>
      </w:pPr>
      <w:bookmarkStart w:id="276" w:name="_Toc170215787"/>
      <w:bookmarkStart w:id="277" w:name="_Toc170225502"/>
      <w:bookmarkStart w:id="278" w:name="_Toc170305646"/>
      <w:r>
        <w:rPr>
          <w:rStyle w:val="CharSchNo"/>
        </w:rPr>
        <w:lastRenderedPageBreak/>
        <w:t>Schedule 3</w:t>
      </w:r>
      <w:r>
        <w:t> — </w:t>
      </w:r>
      <w:r>
        <w:rPr>
          <w:rStyle w:val="CharSchText"/>
        </w:rPr>
        <w:t>Port of Perth charges</w:t>
      </w:r>
      <w:bookmarkEnd w:id="276"/>
      <w:bookmarkEnd w:id="277"/>
      <w:bookmarkEnd w:id="278"/>
    </w:p>
    <w:p>
      <w:pPr>
        <w:pStyle w:val="yShoulderClause"/>
      </w:pPr>
      <w:r>
        <w:t>[r. 72(2) and 78A]</w:t>
      </w:r>
    </w:p>
    <w:p>
      <w:pPr>
        <w:pStyle w:val="yFootnoteheading"/>
      </w:pPr>
      <w:r>
        <w:tab/>
        <w:t>[Heading inserted: SL 2021/68 r. 7; amended: SL 2023/43 r. 16.]</w:t>
      </w:r>
    </w:p>
    <w:p>
      <w:pPr>
        <w:pStyle w:val="yHeading3"/>
      </w:pPr>
      <w:bookmarkStart w:id="279" w:name="_Toc170215788"/>
      <w:bookmarkStart w:id="280" w:name="_Toc170225503"/>
      <w:bookmarkStart w:id="281" w:name="_Toc170305647"/>
      <w:r>
        <w:rPr>
          <w:rStyle w:val="CharSDivNo"/>
        </w:rPr>
        <w:t>Division 1</w:t>
      </w:r>
      <w:r>
        <w:t> — </w:t>
      </w:r>
      <w:r>
        <w:rPr>
          <w:rStyle w:val="CharSDivText"/>
        </w:rPr>
        <w:t>Preliminary matters</w:t>
      </w:r>
      <w:bookmarkEnd w:id="279"/>
      <w:bookmarkEnd w:id="280"/>
      <w:bookmarkEnd w:id="281"/>
    </w:p>
    <w:p>
      <w:pPr>
        <w:pStyle w:val="yFootnoteheading"/>
      </w:pPr>
      <w:r>
        <w:tab/>
        <w:t>[Heading inserted: SL 2021/68 r. 7.]</w:t>
      </w:r>
    </w:p>
    <w:p>
      <w:pPr>
        <w:pStyle w:val="yHeading5"/>
      </w:pPr>
      <w:bookmarkStart w:id="282" w:name="_Toc170305648"/>
      <w:r>
        <w:rPr>
          <w:rStyle w:val="CharSClsNo"/>
        </w:rPr>
        <w:t>1</w:t>
      </w:r>
      <w:r>
        <w:t>.</w:t>
      </w:r>
      <w:r>
        <w:tab/>
        <w:t>Application of this Schedule</w:t>
      </w:r>
      <w:bookmarkEnd w:id="282"/>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283" w:name="_Toc170305649"/>
      <w:r>
        <w:rPr>
          <w:rStyle w:val="CharSClsNo"/>
        </w:rPr>
        <w:t>2</w:t>
      </w:r>
      <w:r>
        <w:t>.</w:t>
      </w:r>
      <w:r>
        <w:tab/>
        <w:t>Standard rates for this Schedule</w:t>
      </w:r>
      <w:bookmarkEnd w:id="283"/>
    </w:p>
    <w:p>
      <w:pPr>
        <w:pStyle w:val="ySubsection"/>
      </w:pPr>
      <w:r>
        <w:tab/>
      </w:r>
      <w:r>
        <w:tab/>
        <w:t xml:space="preserve">In this Schedule, the following rates are standard rates — </w:t>
      </w:r>
    </w:p>
    <w:p>
      <w:pPr>
        <w:pStyle w:val="ySubsection"/>
        <w:rPr>
          <w:b/>
          <w:bCs/>
        </w:rPr>
      </w:pPr>
      <w:r>
        <w:rPr>
          <w:b/>
          <w:bCs/>
        </w:rPr>
        <w:tab/>
      </w:r>
      <w:r>
        <w:rPr>
          <w:b/>
          <w:bCs/>
        </w:rPr>
        <w:tab/>
      </w:r>
      <w:r>
        <w:rPr>
          <w:b/>
        </w:rPr>
        <w:t xml:space="preserve">Rate 1: a casual daily rate of </w:t>
      </w:r>
      <w:r>
        <w:rPr>
          <w:b/>
          <w:szCs w:val="22"/>
        </w:rPr>
        <w:t>$8.50</w:t>
      </w:r>
      <w:r>
        <w:rPr>
          <w:b/>
        </w:rPr>
        <w:t xml:space="preserve">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bCs/>
        </w:rPr>
      </w:pPr>
      <w:r>
        <w:rPr>
          <w:b/>
          <w:bCs/>
        </w:rPr>
        <w:tab/>
      </w:r>
      <w:r>
        <w:rPr>
          <w:b/>
          <w:bCs/>
        </w:rPr>
        <w:tab/>
      </w:r>
      <w:r>
        <w:rPr>
          <w:b/>
        </w:rPr>
        <w:t xml:space="preserve">Rate 2: a casual daily rate of </w:t>
      </w:r>
      <w:r>
        <w:rPr>
          <w:b/>
          <w:szCs w:val="22"/>
        </w:rPr>
        <w:t>$60.60</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bCs/>
        </w:rPr>
        <w:tab/>
      </w:r>
      <w:r>
        <w:rPr>
          <w:b/>
          <w:bCs/>
        </w:rPr>
        <w:tab/>
      </w:r>
      <w:r>
        <w:rPr>
          <w:b/>
        </w:rPr>
        <w:t xml:space="preserve">Rate 3: an annual rate of </w:t>
      </w:r>
      <w:r>
        <w:rPr>
          <w:b/>
          <w:szCs w:val="22"/>
        </w:rPr>
        <w:t>$97.15</w:t>
      </w:r>
      <w:r>
        <w:rPr>
          <w:b/>
        </w:rPr>
        <w:t xml:space="preserve">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 amended: SL 2023/43 r. 17 and 19; SL 2024/56 r. 7.]</w:t>
      </w:r>
    </w:p>
    <w:p>
      <w:pPr>
        <w:pStyle w:val="yHeading5"/>
      </w:pPr>
      <w:bookmarkStart w:id="284" w:name="_Toc170305650"/>
      <w:r>
        <w:rPr>
          <w:rStyle w:val="CharSClsNo"/>
        </w:rPr>
        <w:lastRenderedPageBreak/>
        <w:t>3</w:t>
      </w:r>
      <w:r>
        <w:t>.</w:t>
      </w:r>
      <w:r>
        <w:tab/>
        <w:t>Transferability of annual payments</w:t>
      </w:r>
      <w:bookmarkEnd w:id="284"/>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(including paid under the </w:t>
      </w:r>
      <w:r>
        <w:rPr>
          <w:i/>
          <w:iCs/>
        </w:rPr>
        <w:t>Shipping and Pilotage (Mooring Control Areas) Regulations 1983</w:t>
      </w:r>
      <w:r>
        <w:t xml:space="preserve">)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 amended: SL 2024/56 r. 6(1).]</w:t>
      </w:r>
    </w:p>
    <w:p>
      <w:pPr>
        <w:pStyle w:val="yHeading5"/>
      </w:pPr>
      <w:bookmarkStart w:id="285" w:name="_Toc170305651"/>
      <w:r>
        <w:rPr>
          <w:rStyle w:val="CharSClsNo"/>
        </w:rPr>
        <w:t>4</w:t>
      </w:r>
      <w:r>
        <w:t>.</w:t>
      </w:r>
      <w:r>
        <w:tab/>
        <w:t>Service jetty entitlements</w:t>
      </w:r>
      <w:bookmarkEnd w:id="285"/>
    </w:p>
    <w:p>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 amended: SL 2024/56 r. 6(2).]</w:t>
      </w:r>
    </w:p>
    <w:p>
      <w:pPr>
        <w:pStyle w:val="yHeading5"/>
      </w:pPr>
      <w:bookmarkStart w:id="286" w:name="_Toc170305652"/>
      <w:r>
        <w:rPr>
          <w:rStyle w:val="CharSClsNo"/>
        </w:rPr>
        <w:t>5</w:t>
      </w:r>
      <w:r>
        <w:t>.</w:t>
      </w:r>
      <w:r>
        <w:tab/>
        <w:t>Active loading and unloading</w:t>
      </w:r>
      <w:bookmarkEnd w:id="286"/>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lastRenderedPageBreak/>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287" w:name="_Toc170215794"/>
      <w:bookmarkStart w:id="288" w:name="_Toc170225509"/>
      <w:bookmarkStart w:id="289" w:name="_Toc170305653"/>
      <w:r>
        <w:rPr>
          <w:rStyle w:val="CharSDivNo"/>
        </w:rPr>
        <w:t>Division 2</w:t>
      </w:r>
      <w:r>
        <w:t> — </w:t>
      </w:r>
      <w:r>
        <w:rPr>
          <w:rStyle w:val="CharSDivText"/>
        </w:rPr>
        <w:t>Charges for jetties on Swan and Canning Rivers</w:t>
      </w:r>
      <w:bookmarkEnd w:id="287"/>
      <w:bookmarkEnd w:id="288"/>
      <w:bookmarkEnd w:id="289"/>
    </w:p>
    <w:p>
      <w:pPr>
        <w:pStyle w:val="yFootnoteheading"/>
      </w:pPr>
      <w:r>
        <w:tab/>
        <w:t>[Heading inserted: SL 2023/43 r. 18.]</w:t>
      </w:r>
    </w:p>
    <w:p>
      <w:pPr>
        <w:pStyle w:val="yHeading5"/>
      </w:pPr>
      <w:bookmarkStart w:id="290" w:name="_Toc170305654"/>
      <w:r>
        <w:rPr>
          <w:rStyle w:val="CharSClsNo"/>
        </w:rPr>
        <w:t>6</w:t>
      </w:r>
      <w:r>
        <w:t>.</w:t>
      </w:r>
      <w:r>
        <w:tab/>
        <w:t>Barrack Street and Mends Street jetties</w:t>
      </w:r>
      <w:bookmarkEnd w:id="290"/>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a vessel for 12 months — the higher of </w:t>
            </w:r>
            <w:r>
              <w:rPr>
                <w:szCs w:val="22"/>
              </w:rPr>
              <w:t>$5 162.90</w:t>
            </w:r>
            <w:r>
              <w:t xml:space="preserve"> and the result of the following calculation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r>
            <w:r>
              <w:rPr>
                <w:szCs w:val="22"/>
              </w:rPr>
              <w:t>$72.15</w:t>
            </w:r>
            <w:r>
              <w:t xml:space="preserve"> per passenger calculated on the vessel’s passenger carrying capacity under its highest class of survey</w:t>
            </w:r>
          </w:p>
        </w:tc>
      </w:tr>
      <w:tr>
        <w:trPr>
          <w:cantSplit/>
        </w:trPr>
        <w:tc>
          <w:tcPr>
            <w:tcW w:w="709" w:type="dxa"/>
            <w:noWrap/>
          </w:tcPr>
          <w:p>
            <w:pPr>
              <w:pStyle w:val="yTableNAm"/>
              <w:keepNext/>
            </w:pPr>
          </w:p>
        </w:tc>
        <w:tc>
          <w:tcPr>
            <w:tcW w:w="6095" w:type="dxa"/>
            <w:noWrap/>
          </w:tcPr>
          <w:p>
            <w:pPr>
              <w:pStyle w:val="yTableNAm"/>
              <w:keepNext/>
              <w:tabs>
                <w:tab w:val="clear" w:pos="567"/>
                <w:tab w:val="left" w:pos="309"/>
              </w:tabs>
            </w:pPr>
            <w:r>
              <w:tab/>
              <w:t>plus —</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less than 35 m long, the higher of </w:t>
            </w:r>
            <w:r>
              <w:rPr>
                <w:szCs w:val="22"/>
              </w:rPr>
              <w:t>$9 292.20</w:t>
            </w:r>
            <w:r>
              <w:t xml:space="preserve"> and </w:t>
            </w:r>
            <w:r>
              <w:rPr>
                <w:szCs w:val="22"/>
              </w:rPr>
              <w:t>$516.20</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35 m long or more, </w:t>
            </w:r>
            <w:r>
              <w:rPr>
                <w:szCs w:val="22"/>
              </w:rPr>
              <w:t>$826.05</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309"/>
              </w:tabs>
            </w:pPr>
            <w:r>
              <w:tab/>
              <w:t>minus —</w:t>
            </w:r>
          </w:p>
        </w:tc>
      </w:tr>
      <w:tr>
        <w:trPr>
          <w:cantSplit/>
        </w:trPr>
        <w:tc>
          <w:tcPr>
            <w:tcW w:w="709" w:type="dxa"/>
            <w:tcBorders>
              <w:bottom w:val="single" w:sz="4" w:space="0" w:color="auto"/>
            </w:tcBorders>
            <w:noWrap/>
          </w:tcPr>
          <w:p>
            <w:pPr>
              <w:pStyle w:val="yTableNAm"/>
              <w:tabs>
                <w:tab w:val="clear" w:pos="567"/>
                <w:tab w:val="left" w:pos="878"/>
              </w:tabs>
              <w:ind w:left="736" w:hanging="425"/>
            </w:pPr>
          </w:p>
        </w:tc>
        <w:tc>
          <w:tcPr>
            <w:tcW w:w="6095" w:type="dxa"/>
            <w:tcBorders>
              <w:bottom w:val="single" w:sz="4" w:space="0" w:color="auto"/>
            </w:tcBorders>
            <w:noWrap/>
          </w:tcPr>
          <w:p>
            <w:pPr>
              <w:pStyle w:val="yTableNAm"/>
              <w:tabs>
                <w:tab w:val="clear" w:pos="567"/>
                <w:tab w:val="left" w:pos="309"/>
                <w:tab w:val="left" w:pos="878"/>
              </w:tabs>
              <w:ind w:left="736" w:hanging="425"/>
            </w:pPr>
            <w:r>
              <w:t>◦</w:t>
            </w:r>
            <w:r>
              <w:tab/>
            </w:r>
            <w:r>
              <w:rPr>
                <w:szCs w:val="22"/>
              </w:rPr>
              <w:t>$7 227.30</w:t>
            </w:r>
          </w:p>
        </w:tc>
      </w:tr>
    </w:tbl>
    <w:p>
      <w:pPr>
        <w:pStyle w:val="ySubsection"/>
      </w:pPr>
      <w:r>
        <w:tab/>
        <w:t>(3)</w:t>
      </w:r>
      <w:r>
        <w:tab/>
        <w:t xml:space="preserve">The charge payable under regulation 78A for the removal of sullage from a vessel is </w:t>
      </w:r>
      <w:r>
        <w:rPr>
          <w:szCs w:val="22"/>
        </w:rPr>
        <w:t>$105.20</w:t>
      </w:r>
      <w:r>
        <w:t xml:space="preserve"> per pump out.</w:t>
      </w:r>
    </w:p>
    <w:p>
      <w:pPr>
        <w:pStyle w:val="ySubsection"/>
      </w:pPr>
      <w:r>
        <w:lastRenderedPageBreak/>
        <w:tab/>
        <w:t>(4)</w:t>
      </w:r>
      <w:r>
        <w:tab/>
        <w:t>Subclause (3) does not apply if the charge referred to in subclause (2) has been paid in respect of the vessel.</w:t>
      </w:r>
    </w:p>
    <w:p>
      <w:pPr>
        <w:pStyle w:val="yFootnotesection"/>
      </w:pPr>
      <w:r>
        <w:tab/>
        <w:t>[Clause 6 inserted: SL 2023/43 r. 18; amended: SL 2024/56 r. 7.]</w:t>
      </w:r>
    </w:p>
    <w:p>
      <w:pPr>
        <w:pStyle w:val="yHeading5"/>
      </w:pPr>
      <w:bookmarkStart w:id="291" w:name="_Toc170305655"/>
      <w:r>
        <w:rPr>
          <w:rStyle w:val="CharSClsNo"/>
        </w:rPr>
        <w:t>7</w:t>
      </w:r>
      <w:r>
        <w:t>.</w:t>
      </w:r>
      <w:r>
        <w:tab/>
        <w:t>Other jetties on Swan and Canning Rivers</w:t>
      </w:r>
      <w:bookmarkEnd w:id="291"/>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6095" w:type="dxa"/>
            <w:tcBorders>
              <w:top w:val="single" w:sz="4" w:space="0" w:color="auto"/>
              <w:bottom w:val="single" w:sz="4" w:space="0" w:color="auto"/>
            </w:tcBorders>
            <w:noWrap/>
          </w:tcPr>
          <w:p>
            <w:pPr>
              <w:pStyle w:val="yTableNAm"/>
              <w:jc w:val="center"/>
              <w:rPr>
                <w:b/>
                <w:bCs/>
              </w:rPr>
            </w:pPr>
            <w:r>
              <w:rPr>
                <w:b/>
                <w:bCs/>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2023/43 r. 18.]</w:t>
      </w:r>
    </w:p>
    <w:p>
      <w:pPr>
        <w:pStyle w:val="yHeading3"/>
      </w:pPr>
      <w:bookmarkStart w:id="292" w:name="_Toc170215797"/>
      <w:bookmarkStart w:id="293" w:name="_Toc170225512"/>
      <w:bookmarkStart w:id="294" w:name="_Toc170305656"/>
      <w:r>
        <w:rPr>
          <w:rStyle w:val="CharSDivNo"/>
        </w:rPr>
        <w:t>Division 3</w:t>
      </w:r>
      <w:r>
        <w:t> — </w:t>
      </w:r>
      <w:r>
        <w:rPr>
          <w:rStyle w:val="CharSDivText"/>
        </w:rPr>
        <w:t>Charges for other places</w:t>
      </w:r>
      <w:bookmarkEnd w:id="292"/>
      <w:bookmarkEnd w:id="293"/>
      <w:bookmarkEnd w:id="294"/>
    </w:p>
    <w:p>
      <w:pPr>
        <w:pStyle w:val="yFootnoteheading"/>
      </w:pPr>
      <w:r>
        <w:tab/>
        <w:t>[Heading inserted: SL 2023/43 r. 18.]</w:t>
      </w:r>
    </w:p>
    <w:p>
      <w:pPr>
        <w:pStyle w:val="yHeading5"/>
      </w:pPr>
      <w:bookmarkStart w:id="295" w:name="_Toc170305657"/>
      <w:r>
        <w:rPr>
          <w:rStyle w:val="CharSClsNo"/>
        </w:rPr>
        <w:t>8</w:t>
      </w:r>
      <w:r>
        <w:t>.</w:t>
      </w:r>
      <w:r>
        <w:tab/>
        <w:t>Fremantle, Challenger Boat Harbour</w:t>
      </w:r>
      <w:bookmarkEnd w:id="295"/>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rPr>
                <w:szCs w:val="22"/>
              </w:rPr>
              <w:t>573.20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left="-114" w:right="142"/>
              <w:jc w:val="right"/>
            </w:pPr>
            <w:r>
              <w:rPr>
                <w:szCs w:val="22"/>
              </w:rPr>
              <w:t>501.55</w:t>
            </w:r>
          </w:p>
        </w:tc>
      </w:tr>
      <w:tr>
        <w:tc>
          <w:tcPr>
            <w:tcW w:w="709" w:type="dxa"/>
            <w:noWrap/>
          </w:tcPr>
          <w:p>
            <w:pPr>
              <w:pStyle w:val="yTableNAm"/>
              <w:jc w:val="center"/>
            </w:pPr>
            <w:r>
              <w:lastRenderedPageBreak/>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rPr>
                <w:szCs w:val="22"/>
              </w:rPr>
              <w:t>573.20</w:t>
            </w:r>
          </w:p>
        </w:tc>
      </w:tr>
      <w:tr>
        <w:tc>
          <w:tcPr>
            <w:tcW w:w="709" w:type="dxa"/>
            <w:noWrap/>
          </w:tcPr>
          <w:p>
            <w:pPr>
              <w:pStyle w:val="yTableNAm"/>
              <w:keepNext/>
              <w:jc w:val="center"/>
            </w:pPr>
            <w:r>
              <w:t>4.</w:t>
            </w:r>
          </w:p>
        </w:tc>
        <w:tc>
          <w:tcPr>
            <w:tcW w:w="5103" w:type="dxa"/>
            <w:noWrap/>
          </w:tcPr>
          <w:p>
            <w:pPr>
              <w:pStyle w:val="yTableNAm"/>
              <w:keepNext/>
            </w:pPr>
            <w:r>
              <w:t xml:space="preserve">For the casual daily use of a pen or alongside berth — </w:t>
            </w:r>
          </w:p>
          <w:p>
            <w:pPr>
              <w:pStyle w:val="yTableNAm"/>
              <w:keepNext/>
              <w:tabs>
                <w:tab w:val="clear" w:pos="567"/>
                <w:tab w:val="left" w:pos="309"/>
              </w:tabs>
              <w:ind w:left="309" w:hanging="309"/>
            </w:pPr>
            <w:r>
              <w:t>•</w:t>
            </w:r>
            <w:r>
              <w:tab/>
              <w:t>by a recreational vessel that is 25 m or more in length, an amount calculated using standard Rate 1</w:t>
            </w:r>
          </w:p>
          <w:p>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pPr>
              <w:pStyle w:val="yTableNAm"/>
              <w:keepNext/>
              <w:tabs>
                <w:tab w:val="clear" w:pos="567"/>
              </w:tabs>
              <w:ind w:left="-114" w:right="142"/>
              <w:jc w:val="right"/>
            </w:pPr>
          </w:p>
        </w:tc>
      </w:tr>
    </w:tbl>
    <w:p>
      <w:pPr>
        <w:pStyle w:val="yFootnotesection"/>
      </w:pPr>
      <w:r>
        <w:tab/>
        <w:t>[Clause 8 inserted: SL 2023/43 r. 18; amended: SL 2024/56 r. 7.]</w:t>
      </w:r>
    </w:p>
    <w:p>
      <w:pPr>
        <w:pStyle w:val="yHeading5"/>
      </w:pPr>
      <w:bookmarkStart w:id="296" w:name="_Toc165035339"/>
      <w:bookmarkStart w:id="297" w:name="_Toc165372821"/>
      <w:bookmarkStart w:id="298" w:name="_Toc170305658"/>
      <w:r>
        <w:rPr>
          <w:rStyle w:val="CharSClsNo"/>
        </w:rPr>
        <w:t>8A</w:t>
      </w:r>
      <w:r>
        <w:t>.</w:t>
      </w:r>
      <w:r>
        <w:tab/>
        <w:t>Fremantle Fishing Boat Harbour</w:t>
      </w:r>
      <w:bookmarkEnd w:id="296"/>
      <w:bookmarkEnd w:id="297"/>
      <w:bookmarkEnd w:id="298"/>
    </w:p>
    <w:p>
      <w:pPr>
        <w:pStyle w:val="ySubsection"/>
      </w:pPr>
      <w:r>
        <w:tab/>
        <w:t>(1)</w:t>
      </w:r>
      <w:r>
        <w:tab/>
        <w:t>This clause applies to the Fremantle Fishing Boat Harbour.</w:t>
      </w:r>
    </w:p>
    <w:p>
      <w:pPr>
        <w:pStyle w:val="ySubsection"/>
      </w:pPr>
      <w:r>
        <w:tab/>
        <w:t>(2)</w:t>
      </w:r>
      <w:r>
        <w:tab/>
        <w:t>The charges payable under regulation 72 for a permit to use a pen, alongside berth or service jetty are set out in the Table.</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4904"/>
        <w:gridCol w:w="1191"/>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04" w:type="dxa"/>
            <w:tcBorders>
              <w:top w:val="single" w:sz="4" w:space="0" w:color="auto"/>
              <w:bottom w:val="single" w:sz="4" w:space="0" w:color="auto"/>
            </w:tcBorders>
            <w:noWrap/>
          </w:tcPr>
          <w:p>
            <w:pPr>
              <w:pStyle w:val="yTableNAm"/>
              <w:jc w:val="center"/>
              <w:rPr>
                <w:b/>
                <w:bCs/>
              </w:rPr>
            </w:pPr>
            <w:r>
              <w:rPr>
                <w:b/>
                <w:bCs/>
              </w:rPr>
              <w:t>Type of use</w:t>
            </w:r>
          </w:p>
        </w:tc>
        <w:tc>
          <w:tcPr>
            <w:tcW w:w="1191" w:type="dxa"/>
            <w:tcBorders>
              <w:top w:val="single" w:sz="4" w:space="0" w:color="auto"/>
              <w:bottom w:val="single" w:sz="4" w:space="0" w:color="auto"/>
            </w:tcBorders>
            <w:noWrap/>
          </w:tcPr>
          <w:p>
            <w:pPr>
              <w:pStyle w:val="yTableNAm"/>
              <w:jc w:val="center"/>
              <w:rPr>
                <w:b/>
                <w:bCs/>
              </w:rPr>
            </w:pPr>
            <w:r>
              <w:rPr>
                <w:b/>
                <w:bCs/>
              </w:rPr>
              <w:t>$</w:t>
            </w:r>
          </w:p>
        </w:tc>
      </w:tr>
      <w:tr>
        <w:trPr>
          <w:cantSplit/>
        </w:trPr>
        <w:tc>
          <w:tcPr>
            <w:tcW w:w="709" w:type="dxa"/>
            <w:noWrap/>
          </w:tcPr>
          <w:p>
            <w:pPr>
              <w:pStyle w:val="yTableNAm"/>
            </w:pPr>
            <w:r>
              <w:t>1.</w:t>
            </w:r>
          </w:p>
        </w:tc>
        <w:tc>
          <w:tcPr>
            <w:tcW w:w="4904" w:type="dxa"/>
            <w:noWrap/>
          </w:tcPr>
          <w:p>
            <w:pPr>
              <w:pStyle w:val="yTableNAm"/>
            </w:pPr>
            <w:r>
              <w:t>For the use, other than casual daily use, of a fixed pen without a walkway, an amount calculated per metre of the pen’s length using the annual rate of</w:t>
            </w:r>
          </w:p>
        </w:tc>
        <w:tc>
          <w:tcPr>
            <w:tcW w:w="1191" w:type="dxa"/>
            <w:noWrap/>
            <w:vAlign w:val="bottom"/>
          </w:tcPr>
          <w:p>
            <w:pPr>
              <w:pStyle w:val="yTableNAm"/>
              <w:ind w:right="200"/>
              <w:jc w:val="right"/>
            </w:pPr>
            <w:r>
              <w:t>501.55</w:t>
            </w:r>
          </w:p>
        </w:tc>
      </w:tr>
      <w:tr>
        <w:trPr>
          <w:cantSplit/>
        </w:trPr>
        <w:tc>
          <w:tcPr>
            <w:tcW w:w="709" w:type="dxa"/>
            <w:noWrap/>
          </w:tcPr>
          <w:p>
            <w:pPr>
              <w:pStyle w:val="yTableNAm"/>
            </w:pPr>
            <w:r>
              <w:t>2.</w:t>
            </w:r>
          </w:p>
        </w:tc>
        <w:tc>
          <w:tcPr>
            <w:tcW w:w="4904" w:type="dxa"/>
            <w:noWrap/>
          </w:tcPr>
          <w:p>
            <w:pPr>
              <w:pStyle w:val="yTableNAm"/>
            </w:pPr>
            <w:r>
              <w:t>For the use, other than casual daily use, of a fixed alongside berth by a vessel, an amount calculated per metre of the vessel’s length using the annual rate of</w:t>
            </w:r>
          </w:p>
        </w:tc>
        <w:tc>
          <w:tcPr>
            <w:tcW w:w="1191" w:type="dxa"/>
            <w:noWrap/>
            <w:vAlign w:val="bottom"/>
          </w:tcPr>
          <w:p>
            <w:pPr>
              <w:pStyle w:val="yTableNAm"/>
              <w:ind w:right="200"/>
              <w:jc w:val="right"/>
            </w:pPr>
            <w:r>
              <w:t>573.20</w:t>
            </w:r>
          </w:p>
        </w:tc>
      </w:tr>
      <w:tr>
        <w:trPr>
          <w:cantSplit/>
        </w:trPr>
        <w:tc>
          <w:tcPr>
            <w:tcW w:w="709" w:type="dxa"/>
            <w:noWrap/>
          </w:tcPr>
          <w:p>
            <w:pPr>
              <w:pStyle w:val="yTableNAm"/>
            </w:pPr>
            <w:r>
              <w:t>3.</w:t>
            </w:r>
          </w:p>
        </w:tc>
        <w:tc>
          <w:tcPr>
            <w:tcW w:w="4904" w:type="dxa"/>
            <w:noWrap/>
          </w:tcPr>
          <w:p>
            <w:pPr>
              <w:pStyle w:val="yTableNAm"/>
            </w:pPr>
            <w:r>
              <w:t>For the use, other than casual daily use, of a floating pen with a walkway, an amount calculated per metre of the pen’s length using the annual rate of</w:t>
            </w:r>
          </w:p>
        </w:tc>
        <w:tc>
          <w:tcPr>
            <w:tcW w:w="1191" w:type="dxa"/>
            <w:noWrap/>
            <w:vAlign w:val="bottom"/>
          </w:tcPr>
          <w:p>
            <w:pPr>
              <w:pStyle w:val="yTableNAm"/>
              <w:ind w:right="200"/>
              <w:jc w:val="right"/>
            </w:pPr>
            <w:r>
              <w:t>716.50</w:t>
            </w:r>
          </w:p>
        </w:tc>
      </w:tr>
      <w:tr>
        <w:trPr>
          <w:cantSplit/>
        </w:trPr>
        <w:tc>
          <w:tcPr>
            <w:tcW w:w="709" w:type="dxa"/>
            <w:noWrap/>
          </w:tcPr>
          <w:p>
            <w:pPr>
              <w:pStyle w:val="yTableNAm"/>
            </w:pPr>
            <w:r>
              <w:t>4.</w:t>
            </w:r>
          </w:p>
        </w:tc>
        <w:tc>
          <w:tcPr>
            <w:tcW w:w="4904" w:type="dxa"/>
            <w:noWrap/>
          </w:tcPr>
          <w:p>
            <w:pPr>
              <w:pStyle w:val="yTableNAm"/>
            </w:pPr>
            <w:r>
              <w:t>For the use, other than casual daily use, of a floating alongside berth by a vessel, an amount calculated per metre of the vessel’s length using the annual rate of</w:t>
            </w:r>
          </w:p>
        </w:tc>
        <w:tc>
          <w:tcPr>
            <w:tcW w:w="1191" w:type="dxa"/>
            <w:noWrap/>
            <w:vAlign w:val="bottom"/>
          </w:tcPr>
          <w:p>
            <w:pPr>
              <w:pStyle w:val="yTableNAm"/>
              <w:ind w:right="200"/>
              <w:jc w:val="right"/>
            </w:pPr>
            <w:r>
              <w:t>716.50</w:t>
            </w:r>
          </w:p>
        </w:tc>
      </w:tr>
      <w:tr>
        <w:trPr>
          <w:cantSplit/>
        </w:trPr>
        <w:tc>
          <w:tcPr>
            <w:tcW w:w="709" w:type="dxa"/>
            <w:noWrap/>
          </w:tcPr>
          <w:p>
            <w:pPr>
              <w:pStyle w:val="yTableNAm"/>
              <w:keepNext/>
            </w:pPr>
            <w:r>
              <w:lastRenderedPageBreak/>
              <w:t>5.</w:t>
            </w:r>
          </w:p>
        </w:tc>
        <w:tc>
          <w:tcPr>
            <w:tcW w:w="4904" w:type="dxa"/>
            <w:noWrap/>
          </w:tcPr>
          <w:p>
            <w:pPr>
              <w:pStyle w:val="yTableNAm"/>
              <w:keepNext/>
            </w:pPr>
            <w:r>
              <w:t xml:space="preserve">For the casual daily use of a pen or alongside berth — </w:t>
            </w:r>
          </w:p>
        </w:tc>
        <w:tc>
          <w:tcPr>
            <w:tcW w:w="1191" w:type="dxa"/>
            <w:noWrap/>
            <w:vAlign w:val="bottom"/>
          </w:tcPr>
          <w:p>
            <w:pPr>
              <w:pStyle w:val="yTableNAm"/>
              <w:keepNext/>
              <w:ind w:right="200"/>
              <w:jc w:val="right"/>
            </w:pPr>
          </w:p>
        </w:tc>
      </w:tr>
      <w:tr>
        <w:trPr>
          <w:cantSplit/>
        </w:trPr>
        <w:tc>
          <w:tcPr>
            <w:tcW w:w="709" w:type="dxa"/>
            <w:noWrap/>
          </w:tcPr>
          <w:p>
            <w:pPr>
              <w:pStyle w:val="yTableNAm"/>
            </w:pPr>
          </w:p>
        </w:tc>
        <w:tc>
          <w:tcPr>
            <w:tcW w:w="4904" w:type="dxa"/>
            <w:noWrap/>
          </w:tcPr>
          <w:p>
            <w:pPr>
              <w:pStyle w:val="zyTableNAmLeft0cm"/>
            </w:pPr>
            <w:r>
              <w:t>•</w:t>
            </w:r>
            <w:r>
              <w:tab/>
              <w:t>by a commercial vessel, an amount calculated using standard Rate 1</w:t>
            </w:r>
          </w:p>
          <w:p>
            <w:pPr>
              <w:pStyle w:val="zyTableNAmLeft0cm"/>
            </w:pPr>
            <w:r>
              <w:t>•</w:t>
            </w:r>
            <w:r>
              <w:tab/>
              <w:t>by a recreational vessel that is 25 m or more in length, an amount calculated using standard Rate 1</w:t>
            </w:r>
          </w:p>
          <w:p>
            <w:pPr>
              <w:pStyle w:val="zyTableNAmLeft0cm"/>
              <w:rPr>
                <w:rStyle w:val="DraftersNotes"/>
              </w:rPr>
            </w:pPr>
            <w:r>
              <w:t>•</w:t>
            </w:r>
            <w:r>
              <w:tab/>
              <w:t>by a recreational vessel that is less than 25 m in length, an amount calculated using standard Rate 2</w:t>
            </w:r>
          </w:p>
        </w:tc>
        <w:tc>
          <w:tcPr>
            <w:tcW w:w="1191" w:type="dxa"/>
            <w:noWrap/>
            <w:vAlign w:val="bottom"/>
          </w:tcPr>
          <w:p>
            <w:pPr>
              <w:pStyle w:val="yTableNAm"/>
              <w:ind w:right="200"/>
              <w:jc w:val="right"/>
            </w:pPr>
          </w:p>
        </w:tc>
      </w:tr>
      <w:tr>
        <w:trPr>
          <w:cantSplit/>
        </w:trPr>
        <w:tc>
          <w:tcPr>
            <w:tcW w:w="709" w:type="dxa"/>
            <w:tcBorders>
              <w:bottom w:val="single" w:sz="4" w:space="0" w:color="auto"/>
            </w:tcBorders>
            <w:noWrap/>
          </w:tcPr>
          <w:p>
            <w:pPr>
              <w:pStyle w:val="yTableNAm"/>
            </w:pPr>
            <w:r>
              <w:t>6.</w:t>
            </w:r>
          </w:p>
        </w:tc>
        <w:tc>
          <w:tcPr>
            <w:tcW w:w="4904" w:type="dxa"/>
            <w:tcBorders>
              <w:bottom w:val="single" w:sz="4" w:space="0" w:color="auto"/>
            </w:tcBorders>
            <w:noWrap/>
          </w:tcPr>
          <w:p>
            <w:pPr>
              <w:pStyle w:val="yTableNAm"/>
            </w:pPr>
            <w:r>
              <w:t>For the short term use of a service jetty, an amount calculated using standard Rate 3</w:t>
            </w:r>
          </w:p>
        </w:tc>
        <w:tc>
          <w:tcPr>
            <w:tcW w:w="1191" w:type="dxa"/>
            <w:tcBorders>
              <w:bottom w:val="single" w:sz="4" w:space="0" w:color="auto"/>
            </w:tcBorders>
            <w:noWrap/>
            <w:vAlign w:val="bottom"/>
          </w:tcPr>
          <w:p>
            <w:pPr>
              <w:pStyle w:val="yTableNAm"/>
              <w:ind w:right="200"/>
              <w:jc w:val="right"/>
            </w:pPr>
          </w:p>
        </w:tc>
      </w:tr>
    </w:tbl>
    <w:p>
      <w:pPr>
        <w:pStyle w:val="yFootnotesection"/>
      </w:pPr>
      <w:bookmarkStart w:id="299" w:name="_Toc165035340"/>
      <w:bookmarkStart w:id="300" w:name="_Toc165372822"/>
      <w:r>
        <w:tab/>
        <w:t>[Clause 8A inserted: SL 2024/56 r. 6(3).]</w:t>
      </w:r>
    </w:p>
    <w:p>
      <w:pPr>
        <w:pStyle w:val="yHeading5"/>
      </w:pPr>
      <w:bookmarkStart w:id="301" w:name="_Toc170305659"/>
      <w:r>
        <w:rPr>
          <w:rStyle w:val="CharSClsNo"/>
        </w:rPr>
        <w:t>9</w:t>
      </w:r>
      <w:r>
        <w:t>.</w:t>
      </w:r>
      <w:r>
        <w:tab/>
        <w:t>Hillarys Boat Harbour</w:t>
      </w:r>
      <w:bookmarkEnd w:id="299"/>
      <w:bookmarkEnd w:id="300"/>
      <w:bookmarkEnd w:id="301"/>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4A0" w:firstRow="1" w:lastRow="0" w:firstColumn="1" w:lastColumn="0" w:noHBand="0" w:noVBand="1"/>
      </w:tblPr>
      <w:tblGrid>
        <w:gridCol w:w="709"/>
        <w:gridCol w:w="5103"/>
        <w:gridCol w:w="992"/>
      </w:tblGrid>
      <w:tr>
        <w:trPr>
          <w:tblHeader/>
        </w:trPr>
        <w:tc>
          <w:tcPr>
            <w:tcW w:w="709" w:type="dxa"/>
            <w:tcBorders>
              <w:top w:val="single" w:sz="4" w:space="0" w:color="auto"/>
              <w:left w:val="nil"/>
              <w:bottom w:val="single" w:sz="4" w:space="0" w:color="auto"/>
              <w:right w:val="nil"/>
            </w:tcBorders>
            <w:noWrap/>
            <w:hideMark/>
          </w:tcPr>
          <w:p>
            <w:pPr>
              <w:pStyle w:val="zyTableNAmBold"/>
              <w:rPr>
                <w:b w:val="0"/>
                <w:bCs/>
              </w:rPr>
            </w:pPr>
            <w:r>
              <w:t>Item</w:t>
            </w:r>
          </w:p>
        </w:tc>
        <w:tc>
          <w:tcPr>
            <w:tcW w:w="5103" w:type="dxa"/>
            <w:tcBorders>
              <w:top w:val="single" w:sz="4" w:space="0" w:color="auto"/>
              <w:left w:val="nil"/>
              <w:bottom w:val="single" w:sz="4" w:space="0" w:color="auto"/>
              <w:right w:val="nil"/>
            </w:tcBorders>
            <w:noWrap/>
            <w:hideMark/>
          </w:tcPr>
          <w:p>
            <w:pPr>
              <w:pStyle w:val="yTableNAm"/>
              <w:jc w:val="center"/>
              <w:rPr>
                <w:b/>
                <w:bCs/>
              </w:rPr>
            </w:pPr>
            <w:r>
              <w:rPr>
                <w:b/>
                <w:bCs/>
              </w:rPr>
              <w:t>Type of use</w:t>
            </w:r>
          </w:p>
        </w:tc>
        <w:tc>
          <w:tcPr>
            <w:tcW w:w="992" w:type="dxa"/>
            <w:tcBorders>
              <w:top w:val="single" w:sz="4" w:space="0" w:color="auto"/>
              <w:left w:val="nil"/>
              <w:bottom w:val="single" w:sz="4" w:space="0" w:color="auto"/>
              <w:right w:val="nil"/>
            </w:tcBorders>
            <w:noWrap/>
            <w:hideMark/>
          </w:tcPr>
          <w:p>
            <w:pPr>
              <w:pStyle w:val="yTableNAm"/>
              <w:jc w:val="center"/>
              <w:rPr>
                <w:b/>
                <w:bCs/>
              </w:rPr>
            </w:pPr>
            <w:r>
              <w:rPr>
                <w:b/>
                <w:bCs/>
              </w:rPr>
              <w:t>$</w:t>
            </w:r>
          </w:p>
        </w:tc>
      </w:tr>
      <w:tr>
        <w:tc>
          <w:tcPr>
            <w:tcW w:w="709" w:type="dxa"/>
            <w:noWrap/>
            <w:hideMark/>
          </w:tcPr>
          <w:p>
            <w:pPr>
              <w:pStyle w:val="yTableNAm"/>
            </w:pPr>
            <w:r>
              <w:t>1.</w:t>
            </w:r>
          </w:p>
        </w:tc>
        <w:tc>
          <w:tcPr>
            <w:tcW w:w="5103" w:type="dxa"/>
            <w:noWrap/>
            <w:hideMark/>
          </w:tcPr>
          <w:p>
            <w:pPr>
              <w:pStyle w:val="yTableNAm"/>
            </w:pPr>
            <w:r>
              <w:t>For the use, other than casual daily use, of a floating pen with a walkway, an amount calculated per metre of the pen’s length using the annual rate of</w:t>
            </w:r>
          </w:p>
        </w:tc>
        <w:tc>
          <w:tcPr>
            <w:tcW w:w="992" w:type="dxa"/>
            <w:noWrap/>
            <w:vAlign w:val="bottom"/>
            <w:hideMark/>
          </w:tcPr>
          <w:p>
            <w:pPr>
              <w:pStyle w:val="zyTableNAmRight"/>
            </w:pPr>
            <w:r>
              <w:t>716.50</w:t>
            </w:r>
          </w:p>
        </w:tc>
      </w:tr>
      <w:tr>
        <w:tc>
          <w:tcPr>
            <w:tcW w:w="709" w:type="dxa"/>
            <w:noWrap/>
            <w:hideMark/>
          </w:tcPr>
          <w:p>
            <w:pPr>
              <w:pStyle w:val="yTableNAm"/>
            </w:pPr>
            <w:r>
              <w:t>2.</w:t>
            </w:r>
          </w:p>
        </w:tc>
        <w:tc>
          <w:tcPr>
            <w:tcW w:w="5103" w:type="dxa"/>
            <w:noWrap/>
            <w:hideMark/>
          </w:tcPr>
          <w:p>
            <w:pPr>
              <w:pStyle w:val="yTableNAm"/>
            </w:pPr>
            <w:r>
              <w:t>For the use, other than casual daily use, of a floating alongside berth by a vessel, an amount calculated per metre of the vessel’s length using the annual rate of</w:t>
            </w:r>
          </w:p>
        </w:tc>
        <w:tc>
          <w:tcPr>
            <w:tcW w:w="992" w:type="dxa"/>
            <w:noWrap/>
            <w:vAlign w:val="bottom"/>
            <w:hideMark/>
          </w:tcPr>
          <w:p>
            <w:pPr>
              <w:pStyle w:val="zyTableNAmRight"/>
            </w:pPr>
            <w:r>
              <w:t>716.50</w:t>
            </w:r>
          </w:p>
        </w:tc>
      </w:tr>
      <w:tr>
        <w:tc>
          <w:tcPr>
            <w:tcW w:w="709" w:type="dxa"/>
            <w:noWrap/>
            <w:hideMark/>
          </w:tcPr>
          <w:p>
            <w:pPr>
              <w:pStyle w:val="yTableNAm"/>
            </w:pPr>
            <w:r>
              <w:t>3.</w:t>
            </w:r>
          </w:p>
        </w:tc>
        <w:tc>
          <w:tcPr>
            <w:tcW w:w="5103" w:type="dxa"/>
            <w:noWrap/>
            <w:hideMark/>
          </w:tcPr>
          <w:p>
            <w:pPr>
              <w:pStyle w:val="yTableNAm"/>
            </w:pPr>
            <w:r>
              <w:t xml:space="preserve">For the casual daily use of a pen or alongside berth — </w:t>
            </w:r>
          </w:p>
        </w:tc>
        <w:tc>
          <w:tcPr>
            <w:tcW w:w="992" w:type="dxa"/>
            <w:noWrap/>
            <w:vAlign w:val="bottom"/>
          </w:tcPr>
          <w:p/>
        </w:tc>
      </w:tr>
      <w:tr>
        <w:tc>
          <w:tcPr>
            <w:tcW w:w="709" w:type="dxa"/>
            <w:noWrap/>
          </w:tcPr>
          <w:p>
            <w:pPr>
              <w:pStyle w:val="yTableNAm"/>
            </w:pPr>
          </w:p>
        </w:tc>
        <w:tc>
          <w:tcPr>
            <w:tcW w:w="5103" w:type="dxa"/>
            <w:noWrap/>
            <w:hideMark/>
          </w:tcPr>
          <w:p>
            <w:pPr>
              <w:pStyle w:val="zyTableNAmLeft0cm"/>
            </w:pPr>
            <w:r>
              <w:t>•</w:t>
            </w:r>
            <w:r>
              <w:tab/>
              <w:t>by a commercial vessel, an amount calculated using standard Rate 1</w:t>
            </w:r>
          </w:p>
          <w:p>
            <w:pPr>
              <w:pStyle w:val="zyTableNAmLeft0cm"/>
            </w:pPr>
            <w:r>
              <w:lastRenderedPageBreak/>
              <w:t>•</w:t>
            </w:r>
            <w:r>
              <w:tab/>
              <w:t>by a recreational vessel that is 25 m or more in length, an amount calculated using standard Rate 1</w:t>
            </w:r>
          </w:p>
          <w:p>
            <w:pPr>
              <w:pStyle w:val="zyTableNAmLeft0cm"/>
            </w:pPr>
            <w:r>
              <w:t>•</w:t>
            </w:r>
            <w:r>
              <w:tab/>
              <w:t>by a recreational vessel that is less than 25 m in length, an amount calculated using standard Rate 2</w:t>
            </w:r>
          </w:p>
        </w:tc>
        <w:tc>
          <w:tcPr>
            <w:tcW w:w="992" w:type="dxa"/>
            <w:noWrap/>
            <w:vAlign w:val="bottom"/>
          </w:tcPr>
          <w:p>
            <w:pPr>
              <w:pStyle w:val="zyTableNAmLeft0cm"/>
            </w:pPr>
          </w:p>
        </w:tc>
      </w:tr>
      <w:tr>
        <w:tc>
          <w:tcPr>
            <w:tcW w:w="709" w:type="dxa"/>
            <w:tcBorders>
              <w:top w:val="nil"/>
              <w:left w:val="nil"/>
              <w:bottom w:val="single" w:sz="4" w:space="0" w:color="auto"/>
              <w:right w:val="nil"/>
            </w:tcBorders>
            <w:noWrap/>
            <w:hideMark/>
          </w:tcPr>
          <w:p>
            <w:pPr>
              <w:pStyle w:val="yTableNAm"/>
            </w:pPr>
            <w:r>
              <w:t>4.</w:t>
            </w:r>
          </w:p>
        </w:tc>
        <w:tc>
          <w:tcPr>
            <w:tcW w:w="5103" w:type="dxa"/>
            <w:tcBorders>
              <w:top w:val="nil"/>
              <w:left w:val="nil"/>
              <w:bottom w:val="single" w:sz="4" w:space="0" w:color="auto"/>
              <w:right w:val="nil"/>
            </w:tcBorders>
            <w:noWrap/>
            <w:hideMark/>
          </w:tcPr>
          <w:p>
            <w:pPr>
              <w:pStyle w:val="yTableNAm"/>
            </w:pPr>
            <w:r>
              <w:t>For the short term use of a service jetty, an amount calculated using standard Rate 3</w:t>
            </w:r>
          </w:p>
        </w:tc>
        <w:tc>
          <w:tcPr>
            <w:tcW w:w="992" w:type="dxa"/>
            <w:tcBorders>
              <w:top w:val="nil"/>
              <w:left w:val="nil"/>
              <w:bottom w:val="single" w:sz="4" w:space="0" w:color="auto"/>
              <w:right w:val="nil"/>
            </w:tcBorders>
            <w:noWrap/>
            <w:vAlign w:val="bottom"/>
          </w:tcPr>
          <w:p/>
        </w:tc>
      </w:tr>
    </w:tbl>
    <w:p>
      <w:pPr>
        <w:pStyle w:val="yFootnotesection"/>
      </w:pPr>
      <w:r>
        <w:tab/>
        <w:t>[Clause 9 inserted: SL 2024/56 r. 6(3).]</w:t>
      </w:r>
    </w:p>
    <w:p>
      <w:pPr>
        <w:pStyle w:val="yHeading5"/>
      </w:pPr>
      <w:bookmarkStart w:id="302" w:name="_Toc170305660"/>
      <w:r>
        <w:rPr>
          <w:rStyle w:val="CharSClsNo"/>
        </w:rPr>
        <w:t>10</w:t>
      </w:r>
      <w:r>
        <w:t>.</w:t>
      </w:r>
      <w:r>
        <w:tab/>
        <w:t>Jervoise Bay</w:t>
      </w:r>
      <w:bookmarkEnd w:id="302"/>
    </w:p>
    <w:p>
      <w:pPr>
        <w:pStyle w:val="ySubsection"/>
      </w:pPr>
      <w:r>
        <w:tab/>
        <w:t>(1)</w:t>
      </w:r>
      <w:r>
        <w:tab/>
        <w:t>This clause applies to Jervoise Bay.</w:t>
      </w:r>
    </w:p>
    <w:p>
      <w:pPr>
        <w:pStyle w:val="ySubsection"/>
      </w:pPr>
      <w:r>
        <w:tab/>
        <w:t>(2)</w:t>
      </w:r>
      <w:r>
        <w:tab/>
        <w:t>The charges payable under regulation 72 for a permit to use an alongside berth are set out in the Table.</w:t>
      </w:r>
    </w:p>
    <w:p>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p>
        </w:tc>
      </w:tr>
      <w:tr>
        <w:trPr>
          <w:cantSplit/>
        </w:trPr>
        <w:tc>
          <w:tcPr>
            <w:tcW w:w="709" w:type="dxa"/>
            <w:noWrap/>
          </w:tcPr>
          <w:p>
            <w:pPr>
              <w:pStyle w:val="yTableNAm"/>
              <w:keepNext/>
            </w:pPr>
            <w:r>
              <w:t>1.</w:t>
            </w:r>
          </w:p>
        </w:tc>
        <w:tc>
          <w:tcPr>
            <w:tcW w:w="5103" w:type="dxa"/>
            <w:noWrap/>
          </w:tcPr>
          <w:p>
            <w:pPr>
              <w:pStyle w:val="yTableNAm"/>
              <w:keepNext/>
            </w:pPr>
            <w:r>
              <w:t xml:space="preserve">For the casual daily use of an alongside berth — </w:t>
            </w:r>
          </w:p>
        </w:tc>
        <w:tc>
          <w:tcPr>
            <w:tcW w:w="992" w:type="dxa"/>
            <w:noWrap/>
          </w:tcPr>
          <w:p>
            <w:pPr>
              <w:pStyle w:val="yTableNAm"/>
              <w:keepNext/>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pPr>
              <w:pStyle w:val="yTableNAm"/>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pPr>
              <w:pStyle w:val="yTableNAm"/>
              <w:jc w:val="center"/>
            </w:pPr>
          </w:p>
        </w:tc>
      </w:tr>
      <w:tr>
        <w:trPr>
          <w:cantSplit/>
        </w:trPr>
        <w:tc>
          <w:tcPr>
            <w:tcW w:w="709" w:type="dxa"/>
            <w:tcBorders>
              <w:bottom w:val="single" w:sz="4" w:space="0" w:color="auto"/>
            </w:tcBorders>
            <w:noWrap/>
          </w:tcPr>
          <w:p>
            <w:pPr>
              <w:pStyle w:val="yTableNAm"/>
            </w:pPr>
            <w:r>
              <w:t>2.</w:t>
            </w:r>
          </w:p>
        </w:tc>
        <w:tc>
          <w:tcPr>
            <w:tcW w:w="6095" w:type="dxa"/>
            <w:gridSpan w:val="2"/>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10 inserted: SL 2023/43 r. 18.]</w:t>
      </w:r>
    </w:p>
    <w:p>
      <w:pPr>
        <w:sectPr>
          <w:headerReference w:type="even" r:id="rId24"/>
          <w:headerReference w:type="default" r:id="rId25"/>
          <w:type w:val="continuous"/>
          <w:pgSz w:w="11907" w:h="16840" w:code="9"/>
          <w:pgMar w:top="2376" w:right="2405" w:bottom="3542" w:left="2405" w:header="706" w:footer="3544" w:gutter="0"/>
          <w:cols w:space="720"/>
          <w:noEndnote/>
          <w:docGrid w:linePitch="326"/>
        </w:sectPr>
      </w:pPr>
    </w:p>
    <w:p>
      <w:pPr>
        <w:pStyle w:val="yScheduleHeading"/>
      </w:pPr>
      <w:bookmarkStart w:id="303" w:name="_Toc170215801"/>
      <w:bookmarkStart w:id="304" w:name="_Toc170225517"/>
      <w:bookmarkStart w:id="305" w:name="_Toc170305661"/>
      <w:r>
        <w:rPr>
          <w:rStyle w:val="CharSchNo"/>
        </w:rPr>
        <w:lastRenderedPageBreak/>
        <w:t>Schedule 4</w:t>
      </w:r>
      <w:r>
        <w:rPr>
          <w:rStyle w:val="CharSDivNo"/>
        </w:rPr>
        <w:t> </w:t>
      </w:r>
      <w:r>
        <w:t>—</w:t>
      </w:r>
      <w:r>
        <w:rPr>
          <w:rStyle w:val="CharSDivText"/>
        </w:rPr>
        <w:t> </w:t>
      </w:r>
      <w:r>
        <w:rPr>
          <w:rStyle w:val="CharSchText"/>
        </w:rPr>
        <w:t>Forms</w:t>
      </w:r>
      <w:bookmarkEnd w:id="303"/>
      <w:bookmarkEnd w:id="304"/>
      <w:bookmarkEnd w:id="305"/>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lastRenderedPageBreak/>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306" w:name="_Toc170215802"/>
      <w:bookmarkStart w:id="307" w:name="_Toc170225518"/>
      <w:bookmarkStart w:id="308" w:name="_Toc170305662"/>
      <w:r>
        <w:lastRenderedPageBreak/>
        <w:t>Notes</w:t>
      </w:r>
      <w:bookmarkEnd w:id="306"/>
      <w:bookmarkEnd w:id="307"/>
      <w:bookmarkEnd w:id="308"/>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p>
    <w:p>
      <w:pPr>
        <w:pStyle w:val="nHeading3"/>
      </w:pPr>
      <w:bookmarkStart w:id="309" w:name="_Toc170305663"/>
      <w:r>
        <w:t>Compilation table</w:t>
      </w:r>
      <w:bookmarkEnd w:id="30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lastRenderedPageBreak/>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lastRenderedPageBreak/>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lastRenderedPageBreak/>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spacing w:after="40"/>
              <w:rPr>
                <w:i/>
              </w:rPr>
            </w:pPr>
            <w:r>
              <w:rPr>
                <w:i/>
              </w:rPr>
              <w:t>Jetties Amendment Regulations (No. 2) 2019</w:t>
            </w:r>
          </w:p>
        </w:tc>
        <w:tc>
          <w:tcPr>
            <w:tcW w:w="1276" w:type="dxa"/>
            <w:tcBorders>
              <w:top w:val="nil"/>
              <w:bottom w:val="nil"/>
            </w:tcBorders>
          </w:tcPr>
          <w:p>
            <w:pPr>
              <w:pStyle w:val="nTable"/>
              <w:spacing w:after="40"/>
            </w:pPr>
            <w:r>
              <w:t>31 May 2019 p. 1755</w:t>
            </w:r>
            <w:r>
              <w:noBreakHyphen/>
              <w:t>94</w:t>
            </w:r>
          </w:p>
        </w:tc>
        <w:tc>
          <w:tcPr>
            <w:tcW w:w="2722" w:type="dxa"/>
            <w:tcBorders>
              <w:top w:val="nil"/>
              <w:bottom w:val="nil"/>
            </w:tcBorders>
          </w:tcPr>
          <w:p>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spacing w:after="40"/>
              <w:rPr>
                <w:i/>
              </w:rPr>
            </w:pPr>
            <w:r>
              <w:rPr>
                <w:i/>
              </w:rPr>
              <w:t>Jetties Amendment Regulations (No. 2) 2020</w:t>
            </w:r>
          </w:p>
        </w:tc>
        <w:tc>
          <w:tcPr>
            <w:tcW w:w="1276" w:type="dxa"/>
            <w:tcBorders>
              <w:top w:val="nil"/>
              <w:bottom w:val="nil"/>
            </w:tcBorders>
          </w:tcPr>
          <w:p>
            <w:pPr>
              <w:pStyle w:val="nTable"/>
              <w:spacing w:after="40"/>
            </w:pPr>
            <w:r>
              <w:t>SL 2020/96 26 Jun 2020</w:t>
            </w:r>
          </w:p>
        </w:tc>
        <w:tc>
          <w:tcPr>
            <w:tcW w:w="2722" w:type="dxa"/>
            <w:tcBorders>
              <w:top w:val="nil"/>
              <w:bottom w:val="nil"/>
            </w:tcBorders>
          </w:tcPr>
          <w:p>
            <w:pPr>
              <w:pStyle w:val="nTable"/>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spacing w:after="40"/>
              <w:rPr>
                <w:i/>
              </w:rPr>
            </w:pPr>
            <w:r>
              <w:rPr>
                <w:i/>
              </w:rPr>
              <w:t>Jetties Amendment Regulations 2020</w:t>
            </w:r>
          </w:p>
        </w:tc>
        <w:tc>
          <w:tcPr>
            <w:tcW w:w="1276" w:type="dxa"/>
            <w:tcBorders>
              <w:top w:val="nil"/>
              <w:bottom w:val="nil"/>
            </w:tcBorders>
          </w:tcPr>
          <w:p>
            <w:pPr>
              <w:pStyle w:val="nTable"/>
              <w:spacing w:after="40"/>
            </w:pPr>
            <w:r>
              <w:t>SL 2020/128 31 Jul 2020</w:t>
            </w:r>
          </w:p>
        </w:tc>
        <w:tc>
          <w:tcPr>
            <w:tcW w:w="2722" w:type="dxa"/>
            <w:tcBorders>
              <w:top w:val="nil"/>
              <w:bottom w:val="nil"/>
            </w:tcBorders>
          </w:tcPr>
          <w:p>
            <w:pPr>
              <w:pStyle w:val="nTable"/>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spacing w:after="40"/>
              <w:rPr>
                <w:i/>
              </w:rPr>
            </w:pPr>
            <w:r>
              <w:rPr>
                <w:i/>
              </w:rPr>
              <w:t>Jetties Amendment Regulations (No. 4) 2020</w:t>
            </w:r>
          </w:p>
        </w:tc>
        <w:tc>
          <w:tcPr>
            <w:tcW w:w="1276" w:type="dxa"/>
            <w:tcBorders>
              <w:top w:val="nil"/>
              <w:bottom w:val="nil"/>
            </w:tcBorders>
          </w:tcPr>
          <w:p>
            <w:pPr>
              <w:pStyle w:val="nTable"/>
              <w:spacing w:after="40"/>
            </w:pPr>
            <w:r>
              <w:t>SL 2020/238 4 Dec 2020</w:t>
            </w:r>
          </w:p>
        </w:tc>
        <w:tc>
          <w:tcPr>
            <w:tcW w:w="2722"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spacing w:after="40"/>
              <w:rPr>
                <w:i/>
              </w:rPr>
            </w:pPr>
            <w:r>
              <w:rPr>
                <w:i/>
              </w:rPr>
              <w:t>Transport Regulations Amendment (Ports) Regulations 2021</w:t>
            </w:r>
            <w:r>
              <w:t xml:space="preserve"> Pt. 2</w:t>
            </w:r>
          </w:p>
        </w:tc>
        <w:tc>
          <w:tcPr>
            <w:tcW w:w="1276" w:type="dxa"/>
            <w:tcBorders>
              <w:top w:val="nil"/>
              <w:bottom w:val="nil"/>
            </w:tcBorders>
          </w:tcPr>
          <w:p>
            <w:pPr>
              <w:pStyle w:val="nTable"/>
              <w:spacing w:after="40"/>
            </w:pPr>
            <w:r>
              <w:t>SL 2021/51 7 May 2021</w:t>
            </w:r>
          </w:p>
        </w:tc>
        <w:tc>
          <w:tcPr>
            <w:tcW w:w="2722" w:type="dxa"/>
            <w:tcBorders>
              <w:top w:val="nil"/>
              <w:bottom w:val="nil"/>
            </w:tcBorders>
          </w:tcPr>
          <w:p>
            <w:pPr>
              <w:pStyle w:val="nTable"/>
              <w:spacing w:after="40"/>
              <w:rPr>
                <w:bCs/>
                <w:snapToGrid w:val="0"/>
              </w:rPr>
            </w:pPr>
            <w:r>
              <w:t>1 Jul 2021 (see r. 2(b) and SL 2021/50 cl. 2)</w:t>
            </w:r>
          </w:p>
        </w:tc>
      </w:tr>
      <w:tr>
        <w:trPr>
          <w:cantSplit/>
        </w:trPr>
        <w:tc>
          <w:tcPr>
            <w:tcW w:w="3090" w:type="dxa"/>
            <w:tcBorders>
              <w:top w:val="nil"/>
              <w:bottom w:val="nil"/>
            </w:tcBorders>
          </w:tcPr>
          <w:p>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spacing w:after="40"/>
            </w:pPr>
            <w:r>
              <w:t>SL 2021/68 4 Jun 2021</w:t>
            </w:r>
          </w:p>
        </w:tc>
        <w:tc>
          <w:tcPr>
            <w:tcW w:w="2722" w:type="dxa"/>
            <w:tcBorders>
              <w:top w:val="nil"/>
              <w:bottom w:val="nil"/>
            </w:tcBorders>
          </w:tcPr>
          <w:p>
            <w:pPr>
              <w:pStyle w:val="nTable"/>
              <w:spacing w:after="40"/>
            </w:pPr>
            <w:r>
              <w:t>1 Jul 2021 (see r. 2(b), SL 2021/51 r. 2(b) and SL 2021/50 cl. 2)</w:t>
            </w:r>
          </w:p>
        </w:tc>
      </w:tr>
      <w:tr>
        <w:trPr>
          <w:cantSplit/>
        </w:trPr>
        <w:tc>
          <w:tcPr>
            <w:tcW w:w="3090" w:type="dxa"/>
            <w:tcBorders>
              <w:top w:val="nil"/>
              <w:bottom w:val="nil"/>
            </w:tcBorders>
          </w:tcPr>
          <w:p>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spacing w:after="40"/>
            </w:pPr>
            <w:r>
              <w:t>SL 2022/47 8 April 2022</w:t>
            </w:r>
          </w:p>
        </w:tc>
        <w:tc>
          <w:tcPr>
            <w:tcW w:w="2722" w:type="dxa"/>
            <w:tcBorders>
              <w:top w:val="nil"/>
              <w:bottom w:val="nil"/>
            </w:tcBorders>
          </w:tcPr>
          <w:p>
            <w:pPr>
              <w:pStyle w:val="nTable"/>
              <w:spacing w:after="40"/>
            </w:pPr>
            <w:r>
              <w:t>9 April 2022</w:t>
            </w:r>
            <w:r>
              <w:rPr>
                <w:bCs/>
                <w:snapToGrid w:val="0"/>
              </w:rPr>
              <w:t xml:space="preserve"> (see r. 2(b))</w:t>
            </w:r>
          </w:p>
        </w:tc>
      </w:tr>
      <w:tr>
        <w:trPr>
          <w:cantSplit/>
        </w:trPr>
        <w:tc>
          <w:tcPr>
            <w:tcW w:w="3090" w:type="dxa"/>
            <w:tcBorders>
              <w:top w:val="nil"/>
              <w:bottom w:val="nil"/>
            </w:tcBorders>
          </w:tcPr>
          <w:p>
            <w:pPr>
              <w:pStyle w:val="nTable"/>
              <w:spacing w:after="40"/>
              <w:rPr>
                <w:i/>
              </w:rPr>
            </w:pPr>
            <w:r>
              <w:rPr>
                <w:i/>
              </w:rPr>
              <w:t>Jetties Amendment Regulations (No. 2) 2022</w:t>
            </w:r>
          </w:p>
        </w:tc>
        <w:tc>
          <w:tcPr>
            <w:tcW w:w="1276" w:type="dxa"/>
            <w:tcBorders>
              <w:top w:val="nil"/>
              <w:bottom w:val="nil"/>
            </w:tcBorders>
          </w:tcPr>
          <w:p>
            <w:pPr>
              <w:pStyle w:val="nTable"/>
              <w:spacing w:after="40"/>
            </w:pPr>
            <w:r>
              <w:t>SL 2022/48 22 Apr 2022</w:t>
            </w:r>
          </w:p>
        </w:tc>
        <w:tc>
          <w:tcPr>
            <w:tcW w:w="2722" w:type="dxa"/>
            <w:tcBorders>
              <w:top w:val="nil"/>
              <w:bottom w:val="nil"/>
            </w:tcBorders>
          </w:tcPr>
          <w:p>
            <w:pPr>
              <w:pStyle w:val="nTable"/>
              <w:spacing w:after="40"/>
            </w:pPr>
            <w:r>
              <w:t>r. 1 and 2: 22 Apr 2022 (see r. 2(a));</w:t>
            </w:r>
            <w:r>
              <w:br/>
              <w:t>Regulations other than r. 1 and 2: 1 Jul 2022 (see r. 2(b))</w:t>
            </w:r>
          </w:p>
        </w:tc>
      </w:tr>
      <w:tr>
        <w:trPr>
          <w:cantSplit/>
        </w:trPr>
        <w:tc>
          <w:tcPr>
            <w:tcW w:w="3090" w:type="dxa"/>
            <w:tcBorders>
              <w:top w:val="nil"/>
              <w:bottom w:val="nil"/>
            </w:tcBorders>
          </w:tcPr>
          <w:p>
            <w:pPr>
              <w:pStyle w:val="nTable"/>
              <w:spacing w:after="40"/>
              <w:rPr>
                <w:i/>
              </w:rPr>
            </w:pPr>
            <w:r>
              <w:rPr>
                <w:i/>
              </w:rPr>
              <w:t>Transport Regulations Amendment (Fees and Charges) Regulations (No. 2) 2023</w:t>
            </w:r>
            <w:r>
              <w:t xml:space="preserve"> Pt. 2</w:t>
            </w:r>
          </w:p>
        </w:tc>
        <w:tc>
          <w:tcPr>
            <w:tcW w:w="1276" w:type="dxa"/>
            <w:tcBorders>
              <w:top w:val="nil"/>
              <w:bottom w:val="nil"/>
            </w:tcBorders>
          </w:tcPr>
          <w:p>
            <w:pPr>
              <w:pStyle w:val="nTable"/>
              <w:spacing w:after="40"/>
            </w:pPr>
            <w:r>
              <w:t>SL 2023/43 19 May 2023</w:t>
            </w:r>
          </w:p>
        </w:tc>
        <w:tc>
          <w:tcPr>
            <w:tcW w:w="2722" w:type="dxa"/>
            <w:tcBorders>
              <w:top w:val="nil"/>
              <w:bottom w:val="nil"/>
            </w:tcBorders>
          </w:tcPr>
          <w:p>
            <w:pPr>
              <w:pStyle w:val="nTable"/>
              <w:spacing w:after="40"/>
            </w:pPr>
            <w:r>
              <w:t>1 Jul 2023 (see r. 2(b))</w:t>
            </w:r>
          </w:p>
        </w:tc>
      </w:tr>
      <w:tr>
        <w:trPr>
          <w:cantSplit/>
        </w:trPr>
        <w:tc>
          <w:tcPr>
            <w:tcW w:w="3090" w:type="dxa"/>
            <w:tcBorders>
              <w:top w:val="nil"/>
              <w:bottom w:val="nil"/>
            </w:tcBorders>
          </w:tcPr>
          <w:p>
            <w:pPr>
              <w:pStyle w:val="nTable"/>
              <w:spacing w:after="40"/>
              <w:rPr>
                <w:i/>
              </w:rPr>
            </w:pPr>
            <w:r>
              <w:rPr>
                <w:i/>
              </w:rPr>
              <w:lastRenderedPageBreak/>
              <w:t>Jetties Amendment Regulations 2024</w:t>
            </w:r>
          </w:p>
        </w:tc>
        <w:tc>
          <w:tcPr>
            <w:tcW w:w="1276" w:type="dxa"/>
            <w:tcBorders>
              <w:top w:val="nil"/>
              <w:bottom w:val="nil"/>
            </w:tcBorders>
          </w:tcPr>
          <w:p>
            <w:pPr>
              <w:pStyle w:val="nTable"/>
              <w:spacing w:after="40"/>
            </w:pPr>
            <w:r>
              <w:t>SL 2024/56 1 May 2024</w:t>
            </w:r>
          </w:p>
        </w:tc>
        <w:tc>
          <w:tcPr>
            <w:tcW w:w="2722" w:type="dxa"/>
            <w:tcBorders>
              <w:top w:val="nil"/>
              <w:bottom w:val="nil"/>
            </w:tcBorders>
          </w:tcPr>
          <w:p>
            <w:pPr>
              <w:pStyle w:val="nTable"/>
              <w:spacing w:after="40"/>
            </w:pPr>
            <w:r>
              <w:t>r. 1 and 2: 1 May 2024 (see r. 2(a));</w:t>
            </w:r>
            <w:r>
              <w:br/>
              <w:t>Regulations other than r. 1 and 2: 1 Jul 2024 (see r. 2(b))</w:t>
            </w:r>
          </w:p>
        </w:tc>
      </w:tr>
      <w:tr>
        <w:trPr>
          <w:cantSplit/>
        </w:trPr>
        <w:tc>
          <w:tcPr>
            <w:tcW w:w="3090" w:type="dxa"/>
            <w:tcBorders>
              <w:top w:val="nil"/>
              <w:bottom w:val="single" w:sz="4" w:space="0" w:color="auto"/>
            </w:tcBorders>
          </w:tcPr>
          <w:p>
            <w:pPr>
              <w:pStyle w:val="nTable"/>
              <w:spacing w:after="40"/>
              <w:rPr>
                <w:i/>
              </w:rPr>
            </w:pPr>
            <w:r>
              <w:rPr>
                <w:i/>
              </w:rPr>
              <w:t>Jetties Amendment Regulations (No. 2) 2024</w:t>
            </w:r>
          </w:p>
        </w:tc>
        <w:tc>
          <w:tcPr>
            <w:tcW w:w="1276" w:type="dxa"/>
            <w:tcBorders>
              <w:top w:val="nil"/>
              <w:bottom w:val="single" w:sz="4" w:space="0" w:color="auto"/>
            </w:tcBorders>
          </w:tcPr>
          <w:p>
            <w:pPr>
              <w:pStyle w:val="nTable"/>
              <w:spacing w:after="40"/>
            </w:pPr>
            <w:r>
              <w:t>SL 2024/93 12 Jun 2024</w:t>
            </w:r>
          </w:p>
        </w:tc>
        <w:tc>
          <w:tcPr>
            <w:tcW w:w="2722" w:type="dxa"/>
            <w:tcBorders>
              <w:top w:val="nil"/>
              <w:bottom w:val="single" w:sz="4" w:space="0" w:color="auto"/>
            </w:tcBorders>
          </w:tcPr>
          <w:p>
            <w:pPr>
              <w:pStyle w:val="nTable"/>
              <w:spacing w:after="40"/>
            </w:pPr>
            <w:r>
              <w:t>r. 1 and 2: 12 Jun 2024 (see r. 2(a));</w:t>
            </w:r>
            <w:r>
              <w:br/>
              <w:t>Regulations other than r. 1 and 2: 1 Jul 2024 (see r. 2(b))</w:t>
            </w:r>
          </w:p>
        </w:tc>
      </w:tr>
    </w:tbl>
    <w:p>
      <w:pPr>
        <w:pStyle w:val="nHeading3"/>
      </w:pPr>
      <w:bookmarkStart w:id="310" w:name="_Toc170305664"/>
      <w:r>
        <w:t>Other notes</w:t>
      </w:r>
      <w:bookmarkEnd w:id="310"/>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lastRenderedPageBreak/>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12" w:name="_Toc170215806"/>
      <w:bookmarkStart w:id="313" w:name="_Toc170225521"/>
      <w:bookmarkStart w:id="314" w:name="_Toc170305665"/>
      <w:r>
        <w:rPr>
          <w:sz w:val="28"/>
        </w:rPr>
        <w:lastRenderedPageBreak/>
        <w:t>Defined terms</w:t>
      </w:r>
      <w:bookmarkEnd w:id="312"/>
      <w:bookmarkEnd w:id="313"/>
      <w:bookmarkEnd w:id="3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licence fee</w:t>
      </w:r>
      <w:r>
        <w:tab/>
        <w:t>105J, 105K(5)</w:t>
      </w:r>
    </w:p>
    <w:p>
      <w:pPr>
        <w:pStyle w:val="DefinedTerms"/>
      </w:pPr>
      <w:r>
        <w:t>amending instrument</w:t>
      </w:r>
      <w:r>
        <w:tab/>
        <w:t>111(2)</w:t>
      </w:r>
    </w:p>
    <w:p>
      <w:pPr>
        <w:pStyle w:val="DefinedTerms"/>
      </w:pPr>
      <w:r>
        <w:t>annual licence fee</w:t>
      </w:r>
      <w:r>
        <w:tab/>
        <w:t>105J, 105K(6)</w:t>
      </w:r>
    </w:p>
    <w:p>
      <w:pPr>
        <w:pStyle w:val="DefinedTerms"/>
      </w:pPr>
      <w:r>
        <w:t>authorised fee officer</w:t>
      </w:r>
      <w:r>
        <w:tab/>
        <w:t>109</w:t>
      </w:r>
    </w:p>
    <w:p>
      <w:pPr>
        <w:pStyle w:val="DefinedTerms"/>
      </w:pPr>
      <w:r>
        <w:t>authorised period</w:t>
      </w:r>
      <w:r>
        <w:tab/>
        <w:t>67DD</w:t>
      </w:r>
    </w:p>
    <w:p>
      <w:pPr>
        <w:pStyle w:val="DefinedTerms"/>
      </w:pPr>
      <w:r>
        <w:t>Berth 1</w:t>
      </w:r>
      <w:r>
        <w:tab/>
        <w:t>67DD</w:t>
      </w:r>
    </w:p>
    <w:p>
      <w:pPr>
        <w:pStyle w:val="DefinedTerms"/>
      </w:pPr>
      <w:r>
        <w:t>Berth 1 permit</w:t>
      </w:r>
      <w:r>
        <w:tab/>
        <w:t>67DD</w:t>
      </w:r>
    </w:p>
    <w:p>
      <w:pPr>
        <w:pStyle w:val="DefinedTerms"/>
      </w:pPr>
      <w:r>
        <w:t>Berth 2</w:t>
      </w:r>
      <w:r>
        <w:tab/>
        <w:t>67DD</w:t>
      </w:r>
    </w:p>
    <w:p>
      <w:pPr>
        <w:pStyle w:val="DefinedTerms"/>
      </w:pPr>
      <w:r>
        <w:t>Berth 3</w:t>
      </w:r>
      <w:r>
        <w:tab/>
        <w:t>67DD</w:t>
      </w:r>
    </w:p>
    <w:p>
      <w:pPr>
        <w:pStyle w:val="DefinedTerms"/>
      </w:pPr>
      <w:r>
        <w:t>Burswood Jetty</w:t>
      </w:r>
      <w:r>
        <w:tab/>
        <w:t>3(1)</w:t>
      </w:r>
    </w:p>
    <w:p>
      <w:pPr>
        <w:pStyle w:val="DefinedTerms"/>
      </w:pPr>
      <w:r>
        <w:t>business</w:t>
      </w:r>
      <w:r>
        <w:tab/>
        <w:t>105J</w:t>
      </w:r>
    </w:p>
    <w:p>
      <w:pPr>
        <w:pStyle w:val="DefinedTerms"/>
      </w:pPr>
      <w:r>
        <w:t>business licence</w:t>
      </w:r>
      <w:r>
        <w:tab/>
        <w:t>105J</w:t>
      </w:r>
    </w:p>
    <w:p>
      <w:pPr>
        <w:pStyle w:val="DefinedTerms"/>
      </w:pPr>
      <w:r>
        <w:t>commercial passenger vessel</w:t>
      </w:r>
      <w:r>
        <w:tab/>
        <w:t>67DD</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30(1)</w:t>
      </w:r>
    </w:p>
    <w:p>
      <w:pPr>
        <w:pStyle w:val="DefinedTerms"/>
      </w:pPr>
      <w:r>
        <w:t>exclusive operator</w:t>
      </w:r>
      <w:r>
        <w:tab/>
        <w:t>67DD, 67DF(2)</w:t>
      </w:r>
    </w:p>
    <w:p>
      <w:pPr>
        <w:pStyle w:val="DefinedTerms"/>
      </w:pPr>
      <w:r>
        <w:t>fee</w:t>
      </w:r>
      <w:r>
        <w:tab/>
        <w:t>109</w:t>
      </w:r>
    </w:p>
    <w:p>
      <w:pPr>
        <w:pStyle w:val="DefinedTerms"/>
      </w:pPr>
      <w:r>
        <w:t>fishing vessel</w:t>
      </w:r>
      <w:r>
        <w:tab/>
        <w:t>3(1)</w:t>
      </w:r>
    </w:p>
    <w:p>
      <w:pPr>
        <w:pStyle w:val="DefinedTerms"/>
      </w:pPr>
      <w:r>
        <w:t>fuel pipeline</w:t>
      </w:r>
      <w:r>
        <w:tab/>
        <w:t>105J</w:t>
      </w:r>
    </w:p>
    <w:p>
      <w:pPr>
        <w:pStyle w:val="DefinedTerms"/>
      </w:pPr>
      <w:r>
        <w:t>fuel pipeline licence</w:t>
      </w:r>
      <w:r>
        <w:tab/>
        <w:t>105J</w:t>
      </w:r>
    </w:p>
    <w:p>
      <w:pPr>
        <w:pStyle w:val="DefinedTerms"/>
      </w:pPr>
      <w:r>
        <w:t>item 1</w:t>
      </w:r>
      <w:r>
        <w:tab/>
        <w:t>67DD</w:t>
      </w:r>
    </w:p>
    <w:p>
      <w:pPr>
        <w:pStyle w:val="DefinedTerms"/>
      </w:pPr>
      <w:r>
        <w:t>item 2</w:t>
      </w:r>
      <w:r>
        <w:tab/>
        <w:t>67DD</w:t>
      </w:r>
    </w:p>
    <w:p>
      <w:pPr>
        <w:pStyle w:val="DefinedTerms"/>
      </w:pPr>
      <w:r>
        <w:t>item 3</w:t>
      </w:r>
      <w:r>
        <w:tab/>
        <w:t>67DD</w:t>
      </w:r>
    </w:p>
    <w:p>
      <w:pPr>
        <w:pStyle w:val="DefinedTerms"/>
      </w:pPr>
      <w:r>
        <w:t>jetty</w:t>
      </w:r>
      <w:r>
        <w:tab/>
        <w:t>3(1), 105J</w:t>
      </w:r>
    </w:p>
    <w:p>
      <w:pPr>
        <w:pStyle w:val="DefinedTerms"/>
      </w:pPr>
      <w:r>
        <w:t>licence</w:t>
      </w:r>
      <w:r>
        <w:tab/>
        <w:t>105J</w:t>
      </w:r>
    </w:p>
    <w:p>
      <w:pPr>
        <w:pStyle w:val="DefinedTerms"/>
      </w:pPr>
      <w:r>
        <w:t>local government public licence</w:t>
      </w:r>
      <w:r>
        <w:tab/>
        <w:t>105J</w:t>
      </w:r>
    </w:p>
    <w:p>
      <w:pPr>
        <w:pStyle w:val="DefinedTerms"/>
      </w:pPr>
      <w:r>
        <w:t>master</w:t>
      </w:r>
      <w:r>
        <w:tab/>
        <w:t>3(1)</w:t>
      </w:r>
    </w:p>
    <w:p>
      <w:pPr>
        <w:pStyle w:val="DefinedTerms"/>
      </w:pPr>
      <w:r>
        <w:t>new licence fee</w:t>
      </w:r>
      <w:r>
        <w:tab/>
        <w:t>105J, 105K(3)</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private licence</w:t>
      </w:r>
      <w:r>
        <w:tab/>
        <w:t>105J</w:t>
      </w:r>
    </w:p>
    <w:p>
      <w:pPr>
        <w:pStyle w:val="DefinedTerms"/>
      </w:pPr>
      <w:r>
        <w:t>public jetty</w:t>
      </w:r>
      <w:r>
        <w:tab/>
        <w:t>3(1)</w:t>
      </w:r>
    </w:p>
    <w:p>
      <w:pPr>
        <w:pStyle w:val="DefinedTerms"/>
      </w:pPr>
      <w:r>
        <w:t>ramp</w:t>
      </w:r>
      <w:r>
        <w:tab/>
        <w:t>105J</w:t>
      </w:r>
    </w:p>
    <w:p>
      <w:pPr>
        <w:pStyle w:val="DefinedTerms"/>
      </w:pPr>
      <w:r>
        <w:t>recreational vessel</w:t>
      </w:r>
      <w:r>
        <w:tab/>
        <w:t>3(1)</w:t>
      </w:r>
    </w:p>
    <w:p>
      <w:pPr>
        <w:pStyle w:val="DefinedTerms"/>
      </w:pPr>
      <w:r>
        <w:t>relevant vessel</w:t>
      </w:r>
      <w:r>
        <w:tab/>
        <w:t>67DI(1)</w:t>
      </w:r>
    </w:p>
    <w:p>
      <w:pPr>
        <w:pStyle w:val="DefinedTerms"/>
      </w:pPr>
      <w:r>
        <w:t>replacement licence fee</w:t>
      </w:r>
      <w:r>
        <w:tab/>
        <w:t>105J, 105K(4)</w:t>
      </w:r>
    </w:p>
    <w:p>
      <w:pPr>
        <w:pStyle w:val="DefinedTerms"/>
      </w:pPr>
      <w:r>
        <w:lastRenderedPageBreak/>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 105J</w:t>
      </w:r>
    </w:p>
    <w:p>
      <w:pPr>
        <w:pStyle w:val="DefinedTerms"/>
      </w:pPr>
      <w:r>
        <w:t>week</w:t>
      </w:r>
      <w:r>
        <w:tab/>
        <w:t>3(2)</w:t>
      </w:r>
    </w:p>
    <w:p>
      <w:pPr>
        <w:pStyle w:val="DefinedTerms"/>
      </w:pPr>
      <w:r>
        <w:t>written instrument</w:t>
      </w:r>
      <w:r>
        <w:tab/>
        <w:t>109</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B1C71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48D6433" w14:textId="68E69A0F" w:rsidR="00EC199E" w:rsidRDefault="00073A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380B">
                        <w:rPr>
                          <w:sz w:val="16"/>
                        </w:rPr>
                        <w:t>2024</w:t>
                      </w:r>
                      <w:r>
                        <w:rPr>
                          <w:sz w:val="16"/>
                        </w:rPr>
                        <w:fldChar w:fldCharType="end"/>
                      </w:r>
                      <w:r>
                        <w:rPr>
                          <w:sz w:val="16"/>
                        </w:rPr>
                        <w:t>.</w:t>
                      </w:r>
                    </w:p>
                    <w:p w14:paraId="0F49C3C2" w14:textId="77777777" w:rsidR="00EC199E" w:rsidRDefault="00073A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E7AB0B" w14:textId="43CE848B" w:rsidR="00EC199E" w:rsidRDefault="00073A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380B">
                        <w:rPr>
                          <w:sz w:val="16"/>
                        </w:rPr>
                        <w:t>2024</w:t>
                      </w:r>
                      <w:r>
                        <w:rPr>
                          <w:sz w:val="16"/>
                        </w:rPr>
                        <w:fldChar w:fldCharType="end"/>
                      </w:r>
                      <w:r>
                        <w:rPr>
                          <w:sz w:val="16"/>
                        </w:rPr>
                        <w:t>.</w:t>
                      </w:r>
                    </w:p>
                    <w:p w14:paraId="21997600" w14:textId="77777777" w:rsidR="00EC199E" w:rsidRDefault="00073A4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5" w:name="DefinedTerms"/>
    <w:bookmarkEnd w:id="31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34449"/>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 w:name="WAFER_20240607113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08_GUID" w:val="1d6015bf-a721-4d1a-9433-3a6288c22605"/>
    <w:docVar w:name="WAFER_2024062513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5134449_GUID" w:val="13fee92f-4d64-4cf4-b610-8b25640d45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54 cm"/>
    <w:basedOn w:val="yTableNAm"/>
    <w:pPr>
      <w:tabs>
        <w:tab w:val="clear" w:pos="567"/>
        <w:tab w:val="left" w:pos="309"/>
      </w:tabs>
      <w:ind w:left="309" w:hanging="309"/>
    </w:pPr>
  </w:style>
  <w:style w:type="paragraph" w:customStyle="1" w:styleId="zyTableNAmBold">
    <w:name w:val="zyTableNAm + Bold"/>
    <w:basedOn w:val="yTableNAm"/>
    <w:rPr>
      <w:b/>
    </w:rPr>
  </w:style>
  <w:style w:type="paragraph" w:customStyle="1" w:styleId="zyTableNAmRight">
    <w:name w:val="zyTableNAm + Right"/>
    <w:aliases w:val="Left:  -0.2 cm,Right:  0.25 cm"/>
    <w:basedOn w:val="yTableNAm"/>
    <w:pPr>
      <w:tabs>
        <w:tab w:val="clear" w:pos="567"/>
        <w:tab w:val="left" w:pos="720"/>
      </w:tabs>
      <w:ind w:left="-114" w:right="142"/>
      <w:jc w:val="right"/>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31664</Words>
  <Characters>146609</Characters>
  <Application>Microsoft Office Word</Application>
  <DocSecurity>0</DocSecurity>
  <Lines>4886</Lines>
  <Paragraphs>3127</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175146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1940 - 09-z0-00</dc:title>
  <dc:subject/>
  <dc:creator/>
  <cp:keywords/>
  <dc:description/>
  <cp:lastModifiedBy>Master Repository Process</cp:lastModifiedBy>
  <cp:revision>4</cp:revision>
  <cp:lastPrinted>2018-06-29T07:24:00Z</cp:lastPrinted>
  <dcterms:created xsi:type="dcterms:W3CDTF">2025-06-24T01:18:00Z</dcterms:created>
  <dcterms:modified xsi:type="dcterms:W3CDTF">2025-06-24T01:19:00Z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09-z0-00</vt:lpwstr>
  </property>
  <property fmtid="{D5CDD505-2E9C-101B-9397-08002B2CF9AE}" pid="12" name="Official">
    <vt:lpwstr/>
  </property>
</Properties>
</file>