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_Toc170137892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_Toc170137893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_Toc170137894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_Toc170137895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_Toc170137896 \h </w:instrText>
      </w:r>
      <w:r>
        <w:fldChar w:fldCharType="separate"/>
      </w:r>
      <w:r>
        <w:t>5</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_Toc170137897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_Toc170137898 \h </w:instrText>
      </w:r>
      <w:r>
        <w:fldChar w:fldCharType="separate"/>
      </w:r>
      <w:r>
        <w:t>6</w:t>
      </w:r>
      <w:r>
        <w:fldChar w:fldCharType="end"/>
      </w:r>
    </w:p>
    <w:p>
      <w:pPr>
        <w:pStyle w:val="TOC8"/>
        <w:rPr>
          <w:rFonts w:asciiTheme="minorHAnsi" w:eastAsiaTheme="minorEastAsia" w:hAnsiTheme="minorHAnsi" w:cstheme="minorBidi"/>
          <w:szCs w:val="22"/>
        </w:rPr>
      </w:pPr>
      <w:r>
        <w:t>6A.</w:t>
      </w:r>
      <w:r>
        <w:tab/>
        <w:t>Certain transcript fees must be waived</w:t>
      </w:r>
      <w:r>
        <w:tab/>
      </w:r>
      <w:r>
        <w:fldChar w:fldCharType="begin"/>
      </w:r>
      <w:r>
        <w:instrText xml:space="preserve"> PAGEREF _Toc170137899 \h </w:instrText>
      </w:r>
      <w:r>
        <w:fldChar w:fldCharType="separate"/>
      </w:r>
      <w:r>
        <w:t>7</w:t>
      </w:r>
      <w:r>
        <w:fldChar w:fldCharType="end"/>
      </w:r>
    </w:p>
    <w:p>
      <w:pPr>
        <w:pStyle w:val="TOC8"/>
        <w:rPr>
          <w:rFonts w:asciiTheme="minorHAnsi" w:eastAsiaTheme="minorEastAsia" w:hAnsiTheme="minorHAnsi" w:cstheme="minorBidi"/>
          <w:szCs w:val="22"/>
        </w:rPr>
      </w:pPr>
      <w:r>
        <w:t>6B.</w:t>
      </w:r>
      <w:r>
        <w:tab/>
        <w:t>Certain application fees may be waived</w:t>
      </w:r>
      <w:r>
        <w:tab/>
      </w:r>
      <w:r>
        <w:fldChar w:fldCharType="begin"/>
      </w:r>
      <w:r>
        <w:instrText xml:space="preserve"> PAGEREF _Toc170137900 \h </w:instrText>
      </w:r>
      <w:r>
        <w:fldChar w:fldCharType="separate"/>
      </w:r>
      <w:r>
        <w:t>8</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_Toc170137901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_Toc170137902 \h </w:instrText>
      </w:r>
      <w:r>
        <w:fldChar w:fldCharType="separate"/>
      </w:r>
      <w:r>
        <w:t>9</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_Toc170137903 \h </w:instrText>
      </w:r>
      <w:r>
        <w:fldChar w:fldCharType="separate"/>
      </w:r>
      <w:r>
        <w:t>10</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_Toc170137904 \h </w:instrText>
      </w:r>
      <w:r>
        <w:fldChar w:fldCharType="separate"/>
      </w:r>
      <w:r>
        <w:t>11</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_Toc170137905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_Toc170137906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_Toc170137907 \h </w:instrText>
      </w:r>
      <w:r>
        <w:fldChar w:fldCharType="separate"/>
      </w:r>
      <w:r>
        <w:t>13</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_Toc170137908 \h </w:instrText>
      </w:r>
      <w:r>
        <w:fldChar w:fldCharType="separate"/>
      </w:r>
      <w:r>
        <w:t>13</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_Toc170137909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_Toc170137910 \h </w:instrText>
      </w:r>
      <w:r>
        <w:fldChar w:fldCharType="separate"/>
      </w:r>
      <w:r>
        <w:t>14</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_Toc170137911 \h </w:instrText>
      </w:r>
      <w:r>
        <w:fldChar w:fldCharType="separate"/>
      </w:r>
      <w:r>
        <w:t>14</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_Toc170137912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_Toc170137918 \h </w:instrText>
      </w:r>
      <w:r>
        <w:fldChar w:fldCharType="separate"/>
      </w:r>
      <w:r>
        <w:t>31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_Toc170137919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_Toc170137921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_Toc170137922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2" w:name="_Toc170137892"/>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170137893"/>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4" w:name="_Toc170137894"/>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5" w:name="_Toc170137895"/>
      <w:r>
        <w:rPr>
          <w:rStyle w:val="CharSectno"/>
        </w:rPr>
        <w:t>4</w:t>
      </w:r>
      <w:r>
        <w:t>.</w:t>
      </w:r>
      <w:r>
        <w:tab/>
        <w:t>General fees</w:t>
      </w:r>
      <w:bookmarkEnd w:id="5"/>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keepNext/>
      </w:pPr>
      <w:r>
        <w:lastRenderedPageBreak/>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6" w:name="_Toc170137896"/>
      <w:r>
        <w:rPr>
          <w:rStyle w:val="CharSectno"/>
        </w:rPr>
        <w:lastRenderedPageBreak/>
        <w:t>5A</w:t>
      </w:r>
      <w:r>
        <w:t>.</w:t>
      </w:r>
      <w:r>
        <w:tab/>
        <w:t>Fees for small businesses and non</w:t>
      </w:r>
      <w:r>
        <w:noBreakHyphen/>
        <w:t>profit associations</w:t>
      </w:r>
      <w:bookmarkEnd w:id="6"/>
    </w:p>
    <w:p>
      <w:pPr>
        <w:pStyle w:val="Subsection"/>
        <w:keepNext/>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7" w:name="_Toc170137897"/>
      <w:r>
        <w:rPr>
          <w:rStyle w:val="CharSectno"/>
        </w:rPr>
        <w:t>5</w:t>
      </w:r>
      <w:r>
        <w:t>.</w:t>
      </w:r>
      <w:r>
        <w:tab/>
        <w:t>Exemptions</w:t>
      </w:r>
      <w:bookmarkEnd w:id="7"/>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lastRenderedPageBreak/>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8" w:name="_Toc170137898"/>
      <w:r>
        <w:rPr>
          <w:rStyle w:val="CharSectno"/>
        </w:rPr>
        <w:t>6</w:t>
      </w:r>
      <w:r>
        <w:t>.</w:t>
      </w:r>
      <w:r>
        <w:tab/>
        <w:t>Some fees subject to conditions or must be waived</w:t>
      </w:r>
      <w:bookmarkEnd w:id="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lastRenderedPageBreak/>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9" w:name="_Toc170137899"/>
      <w:r>
        <w:rPr>
          <w:rStyle w:val="CharSectno"/>
        </w:rPr>
        <w:t>6A</w:t>
      </w:r>
      <w:r>
        <w:t>.</w:t>
      </w:r>
      <w:r>
        <w:tab/>
        <w:t>Certain transcript fees must be waived</w:t>
      </w:r>
      <w:bookmarkEnd w:id="9"/>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lastRenderedPageBreak/>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pPr>
      <w:bookmarkStart w:id="10" w:name="_Toc170137900"/>
      <w:r>
        <w:rPr>
          <w:rStyle w:val="CharSectno"/>
        </w:rPr>
        <w:t>6B</w:t>
      </w:r>
      <w:r>
        <w:t>.</w:t>
      </w:r>
      <w:r>
        <w:tab/>
        <w:t>Certain application fees may be waived</w:t>
      </w:r>
      <w:bookmarkEnd w:id="10"/>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1" w:name="_Toc170137901"/>
      <w:r>
        <w:rPr>
          <w:rStyle w:val="CharSectno"/>
        </w:rPr>
        <w:t>7</w:t>
      </w:r>
      <w:r>
        <w:t>.</w:t>
      </w:r>
      <w:r>
        <w:tab/>
      </w:r>
      <w:r>
        <w:rPr>
          <w:rStyle w:val="CharSectno"/>
        </w:rPr>
        <w:t>F</w:t>
      </w:r>
      <w:r>
        <w:rPr>
          <w:snapToGrid w:val="0"/>
        </w:rPr>
        <w:t>ees to be paid before documents etc. filed</w:t>
      </w:r>
      <w:bookmarkEnd w:id="11"/>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 xml:space="preserve">application </w:t>
      </w:r>
      <w:r>
        <w:rPr>
          <w:snapToGrid w:val="0"/>
        </w:rPr>
        <w:lastRenderedPageBreak/>
        <w:t>or other document or upon or in respect of the doing of that matter or thing, has been paid.</w:t>
      </w:r>
    </w:p>
    <w:p>
      <w:pPr>
        <w:pStyle w:val="Heading5"/>
      </w:pPr>
      <w:bookmarkStart w:id="12" w:name="_Toc170137902"/>
      <w:r>
        <w:rPr>
          <w:rStyle w:val="CharSectno"/>
        </w:rPr>
        <w:t>8</w:t>
      </w:r>
      <w:r>
        <w:t>.</w:t>
      </w:r>
      <w:r>
        <w:tab/>
        <w:t>Who is an eligible individual or eligible entity</w:t>
      </w:r>
      <w:bookmarkEnd w:id="1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lastRenderedPageBreak/>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3" w:name="_Toc170137903"/>
      <w:r>
        <w:rPr>
          <w:rStyle w:val="CharSectno"/>
        </w:rPr>
        <w:t>9A</w:t>
      </w:r>
      <w:r>
        <w:t>.</w:t>
      </w:r>
      <w:r>
        <w:tab/>
        <w:t>Application to be recognised as eligible individual or eligible entity</w:t>
      </w:r>
      <w:bookmarkEnd w:id="13"/>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lastRenderedPageBreak/>
        <w:tab/>
        <w:t>[Regulation 9A inserted: Gazette 14 Jun 2016 p. 1914; amended: Gazette 20 Jul 2018 p. 2626</w:t>
      </w:r>
      <w:r>
        <w:noBreakHyphen/>
        <w:t>7.]</w:t>
      </w:r>
    </w:p>
    <w:p>
      <w:pPr>
        <w:pStyle w:val="Heading5"/>
      </w:pPr>
      <w:bookmarkStart w:id="14" w:name="_Toc170137904"/>
      <w:r>
        <w:rPr>
          <w:rStyle w:val="CharSectno"/>
        </w:rPr>
        <w:t>9B</w:t>
      </w:r>
      <w:r>
        <w:t>.</w:t>
      </w:r>
      <w:r>
        <w:tab/>
        <w:t>Recognition as eligible individual or eligible entity</w:t>
      </w:r>
      <w:bookmarkEnd w:id="14"/>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5" w:name="_Toc170137905"/>
      <w:r>
        <w:rPr>
          <w:rStyle w:val="CharSectno"/>
        </w:rPr>
        <w:t>9C</w:t>
      </w:r>
      <w:r>
        <w:t>.</w:t>
      </w:r>
      <w:r>
        <w:tab/>
        <w:t>False or misleading statements</w:t>
      </w:r>
      <w:bookmarkEnd w:id="15"/>
    </w:p>
    <w:p>
      <w:pPr>
        <w:pStyle w:val="Subsection"/>
      </w:pPr>
      <w:r>
        <w:tab/>
        <w:t>(1)</w:t>
      </w:r>
      <w:r>
        <w:tab/>
        <w:t xml:space="preserve">A person who makes a statement or representation in a declaration or application made under these regulations or </w:t>
      </w:r>
      <w:r>
        <w:lastRenderedPageBreak/>
        <w:t>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6" w:name="_Toc170137906"/>
      <w:r>
        <w:rPr>
          <w:rStyle w:val="CharSectno"/>
        </w:rPr>
        <w:t>9D</w:t>
      </w:r>
      <w:r>
        <w:t>.</w:t>
      </w:r>
      <w:r>
        <w:tab/>
        <w:t>Refunds</w:t>
      </w:r>
      <w:bookmarkEnd w:id="16"/>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lastRenderedPageBreak/>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17" w:name="_Toc170137907"/>
      <w:r>
        <w:rPr>
          <w:rStyle w:val="CharSectno"/>
        </w:rPr>
        <w:t>10</w:t>
      </w:r>
      <w:r>
        <w:t>.</w:t>
      </w:r>
      <w:r>
        <w:tab/>
        <w:t>Fee for allocation of hearing dates etc. (Sch. 1 Div. 2 it. 5), when to be paid</w:t>
      </w:r>
      <w:bookmarkEnd w:id="17"/>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8" w:name="_Toc170137908"/>
      <w:r>
        <w:rPr>
          <w:rStyle w:val="CharSectno"/>
        </w:rPr>
        <w:t>11</w:t>
      </w:r>
      <w:r>
        <w:t>.</w:t>
      </w:r>
      <w:r>
        <w:tab/>
        <w:t>Half daily hearing fee (Sch. 1 Div. 2 it. 6)</w:t>
      </w:r>
      <w:bookmarkEnd w:id="18"/>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9" w:name="_Toc170137909"/>
      <w:r>
        <w:rPr>
          <w:rStyle w:val="CharSectno"/>
        </w:rPr>
        <w:t>12</w:t>
      </w:r>
      <w:r>
        <w:t>.</w:t>
      </w:r>
      <w:r>
        <w:tab/>
        <w:t>Court information, fees for</w:t>
      </w:r>
      <w:bookmarkEnd w:id="19"/>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20" w:name="_Toc170137910"/>
      <w:r>
        <w:rPr>
          <w:rStyle w:val="CharSectno"/>
        </w:rPr>
        <w:lastRenderedPageBreak/>
        <w:t>13</w:t>
      </w:r>
      <w:r>
        <w:t>.</w:t>
      </w:r>
      <w:r>
        <w:tab/>
        <w:t>Disputes as to fees, determination of</w:t>
      </w:r>
      <w:bookmarkEnd w:id="2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1" w:name="_Toc170137911"/>
      <w:r>
        <w:rPr>
          <w:rStyle w:val="CharSectno"/>
        </w:rPr>
        <w:t>14</w:t>
      </w:r>
      <w:r>
        <w:t>.</w:t>
      </w:r>
      <w:r>
        <w:tab/>
        <w:t>Unpaid fees, recovery of</w:t>
      </w:r>
      <w:bookmarkEnd w:id="21"/>
    </w:p>
    <w:p>
      <w:pPr>
        <w:pStyle w:val="Subsection"/>
      </w:pPr>
      <w:r>
        <w:tab/>
      </w:r>
      <w:r>
        <w:tab/>
        <w:t>Any unpaid fee is a debt due to the State and may be recovered by action in a court of competent jurisdiction.</w:t>
      </w:r>
    </w:p>
    <w:p>
      <w:pPr>
        <w:pStyle w:val="Heading5"/>
      </w:pPr>
      <w:bookmarkStart w:id="22" w:name="_Toc170137912"/>
      <w:r>
        <w:rPr>
          <w:rStyle w:val="CharSectno"/>
        </w:rPr>
        <w:t>15</w:t>
      </w:r>
      <w:r>
        <w:t>.</w:t>
      </w:r>
      <w:r>
        <w:tab/>
        <w:t>Transitional provisions</w:t>
      </w:r>
      <w:bookmarkEnd w:id="22"/>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 w:name="_Toc169795653"/>
      <w:bookmarkStart w:id="24" w:name="_Toc169795743"/>
      <w:bookmarkStart w:id="25" w:name="_Toc169796023"/>
      <w:bookmarkStart w:id="26" w:name="_Toc169872271"/>
      <w:bookmarkStart w:id="27" w:name="_Toc169872337"/>
      <w:bookmarkStart w:id="28" w:name="_Toc169875344"/>
      <w:bookmarkStart w:id="29" w:name="_Toc170137913"/>
      <w:bookmarkStart w:id="30" w:name="_Toc169871795"/>
      <w:r>
        <w:rPr>
          <w:rStyle w:val="CharSchNo"/>
        </w:rPr>
        <w:lastRenderedPageBreak/>
        <w:t>Schedule 1</w:t>
      </w:r>
      <w:r>
        <w:t> — </w:t>
      </w:r>
      <w:r>
        <w:rPr>
          <w:rStyle w:val="CharSchText"/>
        </w:rPr>
        <w:t>Fees</w:t>
      </w:r>
      <w:bookmarkEnd w:id="23"/>
      <w:bookmarkEnd w:id="24"/>
      <w:bookmarkEnd w:id="25"/>
      <w:bookmarkEnd w:id="26"/>
      <w:bookmarkEnd w:id="27"/>
      <w:bookmarkEnd w:id="28"/>
      <w:bookmarkEnd w:id="29"/>
    </w:p>
    <w:p>
      <w:pPr>
        <w:pStyle w:val="yShoulderClause"/>
      </w:pPr>
      <w:r>
        <w:t>[r. 4 and 12]</w:t>
      </w:r>
    </w:p>
    <w:p>
      <w:pPr>
        <w:pStyle w:val="yFootnoteheading"/>
      </w:pPr>
      <w:bookmarkStart w:id="31" w:name="_Toc169795654"/>
      <w:bookmarkStart w:id="32" w:name="_Toc169795744"/>
      <w:bookmarkStart w:id="33" w:name="_Toc169796024"/>
      <w:r>
        <w:tab/>
        <w:t>[Heading inserted: SL 2024/113 r. 21.]</w:t>
      </w:r>
    </w:p>
    <w:p>
      <w:pPr>
        <w:pStyle w:val="yHeading3"/>
      </w:pPr>
      <w:bookmarkStart w:id="34" w:name="_Toc169872272"/>
      <w:bookmarkStart w:id="35" w:name="_Toc169872338"/>
      <w:bookmarkStart w:id="36" w:name="_Toc169875345"/>
      <w:bookmarkStart w:id="37" w:name="_Toc170137914"/>
      <w:r>
        <w:rPr>
          <w:rStyle w:val="CharSDivNo"/>
        </w:rPr>
        <w:t>Division 1</w:t>
      </w:r>
      <w:r>
        <w:t> — </w:t>
      </w:r>
      <w:r>
        <w:rPr>
          <w:rStyle w:val="CharSDivText"/>
        </w:rPr>
        <w:t>General</w:t>
      </w:r>
      <w:bookmarkEnd w:id="31"/>
      <w:bookmarkEnd w:id="32"/>
      <w:bookmarkEnd w:id="33"/>
      <w:bookmarkEnd w:id="34"/>
      <w:bookmarkEnd w:id="35"/>
      <w:bookmarkEnd w:id="36"/>
      <w:bookmarkEnd w:id="37"/>
    </w:p>
    <w:p>
      <w:pPr>
        <w:pStyle w:val="yFootnoteheading"/>
      </w:pPr>
      <w:r>
        <w:tab/>
        <w:t>[Heading inserted: SL 2024/113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r>
              <w:rPr>
                <w:szCs w:val="22"/>
              </w:rPr>
              <w:t>25.40</w:t>
            </w:r>
          </w:p>
        </w:tc>
        <w:tc>
          <w:tcPr>
            <w:tcW w:w="1276" w:type="dxa"/>
            <w:tcBorders>
              <w:top w:val="single" w:sz="4" w:space="0" w:color="auto"/>
            </w:tcBorders>
            <w:noWrap/>
            <w:vAlign w:val="bottom"/>
          </w:tcPr>
          <w:p>
            <w:pPr>
              <w:pStyle w:val="yTableNAm"/>
              <w:ind w:right="175"/>
              <w:jc w:val="right"/>
            </w:pPr>
            <w:r>
              <w:t>25.40</w:t>
            </w:r>
          </w:p>
        </w:tc>
        <w:tc>
          <w:tcPr>
            <w:tcW w:w="1276" w:type="dxa"/>
            <w:tcBorders>
              <w:top w:val="single" w:sz="4" w:space="0" w:color="auto"/>
            </w:tcBorders>
            <w:noWrap/>
            <w:vAlign w:val="bottom"/>
          </w:tcPr>
          <w:p>
            <w:pPr>
              <w:pStyle w:val="yTableNAm"/>
              <w:ind w:right="175"/>
              <w:jc w:val="right"/>
              <w:rPr>
                <w:szCs w:val="22"/>
              </w:rPr>
            </w:pPr>
            <w:r>
              <w:rPr>
                <w:szCs w:val="22"/>
              </w:rPr>
              <w:t>7.60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r>
              <w:rPr>
                <w:szCs w:val="22"/>
              </w:rPr>
              <w:t>25.40</w:t>
            </w:r>
          </w:p>
        </w:tc>
        <w:tc>
          <w:tcPr>
            <w:tcW w:w="1276" w:type="dxa"/>
            <w:noWrap/>
            <w:vAlign w:val="bottom"/>
          </w:tcPr>
          <w:p>
            <w:pPr>
              <w:pStyle w:val="yTableNAm"/>
              <w:ind w:right="175"/>
              <w:jc w:val="right"/>
              <w:rPr>
                <w:szCs w:val="22"/>
              </w:rPr>
            </w:pPr>
            <w:r>
              <w:t>25.40</w:t>
            </w:r>
          </w:p>
        </w:tc>
        <w:tc>
          <w:tcPr>
            <w:tcW w:w="1276" w:type="dxa"/>
            <w:noWrap/>
            <w:vAlign w:val="bottom"/>
          </w:tcPr>
          <w:p>
            <w:pPr>
              <w:pStyle w:val="yTableNAm"/>
              <w:ind w:right="175"/>
              <w:jc w:val="right"/>
              <w:rPr>
                <w:szCs w:val="22"/>
              </w:rPr>
            </w:pPr>
            <w:r>
              <w:rPr>
                <w:szCs w:val="22"/>
              </w:rPr>
              <w:t>7.60</w:t>
            </w:r>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lastRenderedPageBreak/>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lastRenderedPageBreak/>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47.10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 xml:space="preserve">2.85 </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28.30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If an officer is required to attend at a court or place out of the Court building where the officer is based — </w:t>
            </w:r>
          </w:p>
          <w:p>
            <w:pPr>
              <w:pStyle w:val="yTableNAm"/>
              <w:tabs>
                <w:tab w:val="clear" w:pos="567"/>
              </w:tabs>
              <w:ind w:left="743" w:hanging="426"/>
            </w:pPr>
            <w:r>
              <w:t>(i)</w:t>
            </w:r>
            <w:r>
              <w:tab/>
              <w:t>the officer’s reasonable expenses</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for each hour the officer is necessarily absent from the officer’s office</w:t>
            </w:r>
          </w:p>
        </w:tc>
        <w:tc>
          <w:tcPr>
            <w:tcW w:w="1275"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40.60</w:t>
            </w:r>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0.80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8.85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29.70 plus</w:t>
            </w:r>
            <w:r>
              <w:br/>
              <w:t>12.25 per page</w:t>
            </w:r>
          </w:p>
        </w:tc>
        <w:tc>
          <w:tcPr>
            <w:tcW w:w="1276" w:type="dxa"/>
            <w:noWrap/>
          </w:tcPr>
          <w:p>
            <w:pPr>
              <w:pStyle w:val="yTableNAm"/>
            </w:pPr>
            <w:r>
              <w:t>29.70 plus</w:t>
            </w:r>
            <w:r>
              <w:br/>
              <w:t>24.50 per page</w:t>
            </w:r>
          </w:p>
        </w:tc>
        <w:tc>
          <w:tcPr>
            <w:tcW w:w="1276" w:type="dxa"/>
            <w:noWrap/>
          </w:tcPr>
          <w:p>
            <w:pPr>
              <w:pStyle w:val="yTableNAm"/>
            </w:pPr>
            <w:r>
              <w:t xml:space="preserve">8.90 plus </w:t>
            </w:r>
            <w:r>
              <w:br/>
              <w:t>3.65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29.70 plus</w:t>
            </w:r>
            <w:r>
              <w:br/>
              <w:t>11.25 per page</w:t>
            </w:r>
          </w:p>
        </w:tc>
        <w:tc>
          <w:tcPr>
            <w:tcW w:w="1276" w:type="dxa"/>
            <w:noWrap/>
          </w:tcPr>
          <w:p>
            <w:pPr>
              <w:pStyle w:val="yTableNAm"/>
            </w:pPr>
            <w:r>
              <w:t>29.70 plus</w:t>
            </w:r>
            <w:r>
              <w:br/>
              <w:t>22.40 per page</w:t>
            </w:r>
          </w:p>
        </w:tc>
        <w:tc>
          <w:tcPr>
            <w:tcW w:w="1276" w:type="dxa"/>
            <w:noWrap/>
          </w:tcPr>
          <w:p>
            <w:pPr>
              <w:pStyle w:val="yTableNAm"/>
            </w:pPr>
            <w:r>
              <w:t xml:space="preserve">8.90 plus </w:t>
            </w:r>
            <w:r>
              <w:br/>
              <w:t>3.40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29.70 plus</w:t>
            </w:r>
            <w:r>
              <w:br/>
              <w:t>10.60 per page</w:t>
            </w:r>
          </w:p>
        </w:tc>
        <w:tc>
          <w:tcPr>
            <w:tcW w:w="1276" w:type="dxa"/>
            <w:noWrap/>
          </w:tcPr>
          <w:p>
            <w:pPr>
              <w:pStyle w:val="yTableNAm"/>
              <w:rPr>
                <w:rStyle w:val="DraftersNotes"/>
                <w:b w:val="0"/>
                <w:i w:val="0"/>
              </w:rPr>
            </w:pPr>
            <w:r>
              <w:t>29.70 plus</w:t>
            </w:r>
            <w:r>
              <w:br/>
              <w:t>21.40 per page</w:t>
            </w:r>
          </w:p>
        </w:tc>
        <w:tc>
          <w:tcPr>
            <w:tcW w:w="1276" w:type="dxa"/>
            <w:noWrap/>
          </w:tcPr>
          <w:p>
            <w:pPr>
              <w:pStyle w:val="yTableNAm"/>
            </w:pPr>
            <w:r>
              <w:t xml:space="preserve">8.90 plus </w:t>
            </w:r>
            <w:r>
              <w:br/>
              <w:t>3.20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29.70 plus 10.25 per page</w:t>
            </w:r>
          </w:p>
        </w:tc>
        <w:tc>
          <w:tcPr>
            <w:tcW w:w="1276" w:type="dxa"/>
            <w:noWrap/>
          </w:tcPr>
          <w:p>
            <w:pPr>
              <w:pStyle w:val="yTableNAm"/>
            </w:pPr>
            <w:r>
              <w:t>29.70 plus</w:t>
            </w:r>
            <w:r>
              <w:br/>
              <w:t>20.40 per page</w:t>
            </w:r>
          </w:p>
        </w:tc>
        <w:tc>
          <w:tcPr>
            <w:tcW w:w="1276" w:type="dxa"/>
            <w:noWrap/>
          </w:tcPr>
          <w:p>
            <w:pPr>
              <w:pStyle w:val="yTableNAm"/>
            </w:pPr>
            <w:r>
              <w:t xml:space="preserve">8.90 plus </w:t>
            </w:r>
            <w:r>
              <w:br/>
              <w:t>3.05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 xml:space="preserve">29.70 plus </w:t>
            </w:r>
            <w:r>
              <w:br/>
              <w:t>8.65 per page</w:t>
            </w:r>
          </w:p>
        </w:tc>
        <w:tc>
          <w:tcPr>
            <w:tcW w:w="1276" w:type="dxa"/>
            <w:noWrap/>
          </w:tcPr>
          <w:p>
            <w:pPr>
              <w:pStyle w:val="yTableNAm"/>
            </w:pPr>
            <w:r>
              <w:t>29.70 plus</w:t>
            </w:r>
            <w:r>
              <w:br/>
              <w:t>17.35 per page</w:t>
            </w:r>
          </w:p>
        </w:tc>
        <w:tc>
          <w:tcPr>
            <w:tcW w:w="1276" w:type="dxa"/>
            <w:noWrap/>
          </w:tcPr>
          <w:p>
            <w:pPr>
              <w:pStyle w:val="yTableNAm"/>
            </w:pPr>
            <w:r>
              <w:t xml:space="preserve">8.90 plus </w:t>
            </w:r>
            <w:r>
              <w:br/>
              <w:t>2.60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29.70 plus</w:t>
            </w:r>
            <w:r>
              <w:br/>
              <w:t>13.00 per page</w:t>
            </w:r>
          </w:p>
        </w:tc>
        <w:tc>
          <w:tcPr>
            <w:tcW w:w="1276" w:type="dxa"/>
            <w:noWrap/>
          </w:tcPr>
          <w:p>
            <w:pPr>
              <w:pStyle w:val="yTableNAm"/>
            </w:pPr>
            <w:r>
              <w:t>29.70 plus</w:t>
            </w:r>
            <w:r>
              <w:br/>
              <w:t>26.00 per page</w:t>
            </w:r>
          </w:p>
        </w:tc>
        <w:tc>
          <w:tcPr>
            <w:tcW w:w="1276" w:type="dxa"/>
            <w:noWrap/>
          </w:tcPr>
          <w:p>
            <w:pPr>
              <w:pStyle w:val="yTableNAm"/>
            </w:pPr>
            <w:r>
              <w:t xml:space="preserve">8.90 plus </w:t>
            </w:r>
            <w:r>
              <w:br/>
              <w:t>3.90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9.30</w:t>
            </w:r>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bookmarkStart w:id="38" w:name="_Hlk169874986"/>
      <w:bookmarkStart w:id="39" w:name="_Toc169795655"/>
      <w:bookmarkStart w:id="40" w:name="_Toc169795745"/>
      <w:bookmarkStart w:id="41" w:name="_Toc169796025"/>
      <w:r>
        <w:tab/>
        <w:t>[Division 1 inserted: SL 2024/113 r. 21.]</w:t>
      </w:r>
    </w:p>
    <w:p>
      <w:pPr>
        <w:pStyle w:val="yHeading3"/>
      </w:pPr>
      <w:bookmarkStart w:id="42" w:name="_Toc169872273"/>
      <w:bookmarkStart w:id="43" w:name="_Toc169872339"/>
      <w:bookmarkStart w:id="44" w:name="_Toc169875346"/>
      <w:bookmarkStart w:id="45" w:name="_Toc170137915"/>
      <w:bookmarkEnd w:id="38"/>
      <w:r>
        <w:rPr>
          <w:rStyle w:val="CharSDivNo"/>
        </w:rPr>
        <w:t>Division 2</w:t>
      </w:r>
      <w:r>
        <w:t> — </w:t>
      </w:r>
      <w:r>
        <w:rPr>
          <w:rStyle w:val="CharSDivText"/>
        </w:rPr>
        <w:t>Civil jurisdiction</w:t>
      </w:r>
      <w:bookmarkEnd w:id="39"/>
      <w:bookmarkEnd w:id="40"/>
      <w:bookmarkEnd w:id="41"/>
      <w:bookmarkEnd w:id="42"/>
      <w:bookmarkEnd w:id="43"/>
      <w:bookmarkEnd w:id="44"/>
      <w:bookmarkEnd w:id="45"/>
    </w:p>
    <w:p>
      <w:pPr>
        <w:pStyle w:val="yFootnoteheading"/>
      </w:pPr>
      <w:r>
        <w:tab/>
        <w:t>[Heading inserted: SL 2024/113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lastRenderedPageBreak/>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 claim or 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186.50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474.00</w:t>
            </w:r>
          </w:p>
        </w:tc>
        <w:tc>
          <w:tcPr>
            <w:tcW w:w="1276" w:type="dxa"/>
            <w:noWrap/>
            <w:vAlign w:val="bottom"/>
          </w:tcPr>
          <w:p>
            <w:pPr>
              <w:pStyle w:val="yTableNAm"/>
              <w:ind w:right="175"/>
              <w:jc w:val="right"/>
              <w:rPr>
                <w:szCs w:val="22"/>
              </w:rPr>
            </w:pPr>
            <w:r>
              <w:rPr>
                <w:szCs w:val="22"/>
              </w:rPr>
              <w:t>924.00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754.00</w:t>
            </w:r>
          </w:p>
        </w:tc>
        <w:tc>
          <w:tcPr>
            <w:tcW w:w="1276" w:type="dxa"/>
            <w:noWrap/>
            <w:vAlign w:val="bottom"/>
          </w:tcPr>
          <w:p>
            <w:pPr>
              <w:pStyle w:val="yTableNAm"/>
              <w:ind w:right="175"/>
              <w:jc w:val="right"/>
              <w:rPr>
                <w:szCs w:val="22"/>
              </w:rPr>
            </w:pPr>
            <w:r>
              <w:rPr>
                <w:szCs w:val="22"/>
              </w:rPr>
              <w:t>1 468.00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121.00</w:t>
            </w:r>
          </w:p>
        </w:tc>
        <w:tc>
          <w:tcPr>
            <w:tcW w:w="1276" w:type="dxa"/>
            <w:noWrap/>
            <w:vAlign w:val="bottom"/>
          </w:tcPr>
          <w:p>
            <w:pPr>
              <w:pStyle w:val="yTableNAm"/>
              <w:ind w:right="175"/>
              <w:jc w:val="right"/>
              <w:rPr>
                <w:szCs w:val="22"/>
              </w:rPr>
            </w:pPr>
            <w:r>
              <w:rPr>
                <w:szCs w:val="22"/>
              </w:rPr>
              <w:t>236.00</w:t>
            </w:r>
          </w:p>
        </w:tc>
        <w:tc>
          <w:tcPr>
            <w:tcW w:w="1276" w:type="dxa"/>
            <w:noWrap/>
            <w:vAlign w:val="bottom"/>
          </w:tcPr>
          <w:p>
            <w:pPr>
              <w:pStyle w:val="yTableNAm"/>
              <w:ind w:right="175"/>
              <w:jc w:val="right"/>
              <w:rPr>
                <w:szCs w:val="22"/>
              </w:rPr>
            </w:pPr>
            <w:r>
              <w:rPr>
                <w:szCs w:val="22"/>
              </w:rPr>
              <w:t>36.30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222.00</w:t>
            </w:r>
          </w:p>
        </w:tc>
        <w:tc>
          <w:tcPr>
            <w:tcW w:w="1276" w:type="dxa"/>
            <w:noWrap/>
            <w:vAlign w:val="bottom"/>
          </w:tcPr>
          <w:p>
            <w:pPr>
              <w:pStyle w:val="yTableNAm"/>
              <w:ind w:right="175"/>
              <w:jc w:val="right"/>
              <w:rPr>
                <w:szCs w:val="22"/>
              </w:rPr>
            </w:pPr>
            <w:r>
              <w:rPr>
                <w:szCs w:val="22"/>
              </w:rPr>
              <w:t>365.00</w:t>
            </w:r>
          </w:p>
        </w:tc>
        <w:tc>
          <w:tcPr>
            <w:tcW w:w="1276" w:type="dxa"/>
            <w:noWrap/>
            <w:vAlign w:val="bottom"/>
          </w:tcPr>
          <w:p>
            <w:pPr>
              <w:pStyle w:val="yTableNAm"/>
              <w:ind w:right="175"/>
              <w:jc w:val="right"/>
              <w:rPr>
                <w:szCs w:val="22"/>
              </w:rPr>
            </w:pPr>
            <w:r>
              <w:rPr>
                <w:szCs w:val="22"/>
              </w:rPr>
              <w:t>66.50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352.00</w:t>
            </w:r>
          </w:p>
        </w:tc>
        <w:tc>
          <w:tcPr>
            <w:tcW w:w="1276" w:type="dxa"/>
            <w:noWrap/>
            <w:vAlign w:val="bottom"/>
          </w:tcPr>
          <w:p>
            <w:pPr>
              <w:pStyle w:val="yTableNAm"/>
              <w:ind w:right="175"/>
              <w:jc w:val="right"/>
              <w:rPr>
                <w:szCs w:val="22"/>
              </w:rPr>
            </w:pPr>
            <w:r>
              <w:rPr>
                <w:szCs w:val="22"/>
              </w:rPr>
              <w:t>588.00</w:t>
            </w:r>
          </w:p>
        </w:tc>
        <w:tc>
          <w:tcPr>
            <w:tcW w:w="1276" w:type="dxa"/>
            <w:noWrap/>
            <w:vAlign w:val="bottom"/>
          </w:tcPr>
          <w:p>
            <w:pPr>
              <w:pStyle w:val="yTableNAm"/>
              <w:ind w:right="175"/>
              <w:jc w:val="right"/>
              <w:rPr>
                <w:szCs w:val="22"/>
              </w:rPr>
            </w:pPr>
            <w:r>
              <w:rPr>
                <w:szCs w:val="22"/>
              </w:rPr>
              <w:t>105.50</w:t>
            </w:r>
          </w:p>
        </w:tc>
      </w:tr>
      <w:tr>
        <w:trPr>
          <w:cantSplit/>
        </w:trPr>
        <w:tc>
          <w:tcPr>
            <w:tcW w:w="624" w:type="dxa"/>
            <w:noWrap/>
          </w:tcPr>
          <w:p>
            <w:pPr>
              <w:pStyle w:val="yTableNAm"/>
            </w:pPr>
            <w:r>
              <w:lastRenderedPageBreak/>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62.50</w:t>
            </w:r>
          </w:p>
        </w:tc>
        <w:tc>
          <w:tcPr>
            <w:tcW w:w="1276" w:type="dxa"/>
            <w:noWrap/>
            <w:vAlign w:val="bottom"/>
          </w:tcPr>
          <w:p>
            <w:pPr>
              <w:pStyle w:val="yTableNAm"/>
              <w:ind w:right="175"/>
              <w:jc w:val="right"/>
              <w:rPr>
                <w:szCs w:val="22"/>
              </w:rPr>
            </w:pPr>
            <w:r>
              <w:rPr>
                <w:szCs w:val="22"/>
              </w:rPr>
              <w:t>160.00</w:t>
            </w:r>
          </w:p>
        </w:tc>
        <w:tc>
          <w:tcPr>
            <w:tcW w:w="1276" w:type="dxa"/>
            <w:noWrap/>
            <w:vAlign w:val="bottom"/>
          </w:tcPr>
          <w:p>
            <w:pPr>
              <w:pStyle w:val="yTableNAm"/>
              <w:ind w:right="175"/>
              <w:jc w:val="right"/>
              <w:rPr>
                <w:szCs w:val="22"/>
              </w:rPr>
            </w:pPr>
            <w:r>
              <w:rPr>
                <w:szCs w:val="22"/>
              </w:rPr>
              <w:t>18.75</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93.00</w:t>
            </w:r>
          </w:p>
        </w:tc>
        <w:tc>
          <w:tcPr>
            <w:tcW w:w="1276" w:type="dxa"/>
            <w:noWrap/>
            <w:vAlign w:val="bottom"/>
          </w:tcPr>
          <w:p>
            <w:pPr>
              <w:pStyle w:val="yTableNAm"/>
              <w:ind w:right="175"/>
              <w:jc w:val="right"/>
              <w:rPr>
                <w:szCs w:val="22"/>
              </w:rPr>
            </w:pPr>
            <w:r>
              <w:rPr>
                <w:szCs w:val="22"/>
              </w:rPr>
              <w:t>244.00</w:t>
            </w:r>
          </w:p>
        </w:tc>
        <w:tc>
          <w:tcPr>
            <w:tcW w:w="1276" w:type="dxa"/>
            <w:noWrap/>
            <w:vAlign w:val="bottom"/>
          </w:tcPr>
          <w:p>
            <w:pPr>
              <w:pStyle w:val="yTableNAm"/>
              <w:ind w:right="175"/>
              <w:jc w:val="right"/>
              <w:rPr>
                <w:szCs w:val="22"/>
              </w:rPr>
            </w:pPr>
            <w:r>
              <w:rPr>
                <w:szCs w:val="22"/>
              </w:rPr>
              <w:t>27.90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124.50</w:t>
            </w:r>
          </w:p>
        </w:tc>
        <w:tc>
          <w:tcPr>
            <w:tcW w:w="1276" w:type="dxa"/>
            <w:noWrap/>
            <w:vAlign w:val="bottom"/>
          </w:tcPr>
          <w:p>
            <w:pPr>
              <w:pStyle w:val="yTableNAm"/>
              <w:ind w:right="175"/>
              <w:jc w:val="right"/>
              <w:rPr>
                <w:szCs w:val="22"/>
              </w:rPr>
            </w:pPr>
            <w:r>
              <w:rPr>
                <w:szCs w:val="22"/>
              </w:rPr>
              <w:t>328.00</w:t>
            </w:r>
          </w:p>
        </w:tc>
        <w:tc>
          <w:tcPr>
            <w:tcW w:w="1276" w:type="dxa"/>
            <w:noWrap/>
            <w:vAlign w:val="bottom"/>
          </w:tcPr>
          <w:p>
            <w:pPr>
              <w:pStyle w:val="yTableNAm"/>
              <w:ind w:right="175"/>
              <w:jc w:val="right"/>
              <w:rPr>
                <w:szCs w:val="22"/>
              </w:rPr>
            </w:pPr>
            <w:r>
              <w:rPr>
                <w:szCs w:val="22"/>
              </w:rPr>
              <w:t>37.40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293.00</w:t>
            </w:r>
          </w:p>
        </w:tc>
        <w:tc>
          <w:tcPr>
            <w:tcW w:w="1276" w:type="dxa"/>
            <w:noWrap/>
            <w:vAlign w:val="bottom"/>
          </w:tcPr>
          <w:p>
            <w:pPr>
              <w:pStyle w:val="yTableNAm"/>
              <w:ind w:right="175"/>
              <w:jc w:val="right"/>
              <w:rPr>
                <w:szCs w:val="22"/>
              </w:rPr>
            </w:pPr>
            <w:r>
              <w:rPr>
                <w:szCs w:val="22"/>
              </w:rPr>
              <w:t>572.00</w:t>
            </w:r>
          </w:p>
        </w:tc>
        <w:tc>
          <w:tcPr>
            <w:tcW w:w="1276" w:type="dxa"/>
            <w:noWrap/>
            <w:vAlign w:val="bottom"/>
          </w:tcPr>
          <w:p>
            <w:pPr>
              <w:pStyle w:val="yTableNAm"/>
              <w:ind w:right="175"/>
              <w:jc w:val="right"/>
              <w:rPr>
                <w:szCs w:val="22"/>
              </w:rPr>
            </w:pPr>
            <w:r>
              <w:rPr>
                <w:szCs w:val="22"/>
              </w:rPr>
              <w:t>88.00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536.00</w:t>
            </w:r>
          </w:p>
        </w:tc>
        <w:tc>
          <w:tcPr>
            <w:tcW w:w="1276" w:type="dxa"/>
            <w:noWrap/>
            <w:vAlign w:val="bottom"/>
          </w:tcPr>
          <w:p>
            <w:pPr>
              <w:pStyle w:val="yTableNAm"/>
              <w:ind w:right="175"/>
              <w:jc w:val="right"/>
              <w:rPr>
                <w:szCs w:val="22"/>
              </w:rPr>
            </w:pPr>
            <w:r>
              <w:rPr>
                <w:szCs w:val="22"/>
              </w:rPr>
              <w:t>1 035.00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596.00</w:t>
            </w:r>
          </w:p>
        </w:tc>
        <w:tc>
          <w:tcPr>
            <w:tcW w:w="1276" w:type="dxa"/>
            <w:noWrap/>
            <w:vAlign w:val="bottom"/>
          </w:tcPr>
          <w:p>
            <w:pPr>
              <w:pStyle w:val="yTableNAm"/>
              <w:ind w:right="175"/>
              <w:jc w:val="right"/>
              <w:rPr>
                <w:szCs w:val="22"/>
              </w:rPr>
            </w:pPr>
            <w:r>
              <w:rPr>
                <w:szCs w:val="22"/>
              </w:rPr>
              <w:t>1 156.00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lastRenderedPageBreak/>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lastRenderedPageBreak/>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lastRenderedPageBreak/>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156.00</w:t>
            </w:r>
          </w:p>
        </w:tc>
        <w:tc>
          <w:tcPr>
            <w:tcW w:w="1276" w:type="dxa"/>
            <w:noWrap/>
            <w:vAlign w:val="bottom"/>
          </w:tcPr>
          <w:p>
            <w:pPr>
              <w:pStyle w:val="yTableNAm"/>
              <w:ind w:right="175"/>
              <w:jc w:val="right"/>
              <w:rPr>
                <w:szCs w:val="22"/>
              </w:rPr>
            </w:pPr>
            <w:r>
              <w:rPr>
                <w:szCs w:val="22"/>
              </w:rPr>
              <w:t>303.00</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187.50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251.00</w:t>
            </w:r>
          </w:p>
        </w:tc>
        <w:tc>
          <w:tcPr>
            <w:tcW w:w="1276" w:type="dxa"/>
            <w:noWrap/>
            <w:vAlign w:val="bottom"/>
          </w:tcPr>
          <w:p>
            <w:pPr>
              <w:pStyle w:val="yTableNAm"/>
              <w:ind w:right="175"/>
              <w:jc w:val="right"/>
              <w:rPr>
                <w:szCs w:val="22"/>
              </w:rPr>
            </w:pPr>
            <w:r>
              <w:rPr>
                <w:szCs w:val="22"/>
              </w:rPr>
              <w:t>494.00</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r>
              <w:t>156.00</w:t>
            </w:r>
            <w:r>
              <w:rPr>
                <w:szCs w:val="18"/>
              </w:rPr>
              <w:t xml:space="preserve"> plus 2.5%</w:t>
            </w:r>
          </w:p>
        </w:tc>
        <w:tc>
          <w:tcPr>
            <w:tcW w:w="1276" w:type="dxa"/>
            <w:noWrap/>
            <w:vAlign w:val="bottom"/>
          </w:tcPr>
          <w:p>
            <w:pPr>
              <w:pStyle w:val="yTableNAm"/>
            </w:pPr>
            <w:r>
              <w:t xml:space="preserve">303.00 </w:t>
            </w:r>
            <w:r>
              <w:rPr>
                <w:szCs w:val="18"/>
              </w:rPr>
              <w:t>plus 2.5%</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r>
              <w:t xml:space="preserve">187.50 </w:t>
            </w:r>
            <w:r>
              <w:rPr>
                <w:szCs w:val="18"/>
              </w:rPr>
              <w:t>plus 2.5%</w:t>
            </w:r>
          </w:p>
        </w:tc>
        <w:tc>
          <w:tcPr>
            <w:tcW w:w="1276" w:type="dxa"/>
            <w:noWrap/>
            <w:vAlign w:val="bottom"/>
          </w:tcPr>
          <w:p>
            <w:pPr>
              <w:pStyle w:val="yTableNAm"/>
              <w:keepNext/>
            </w:pPr>
            <w:r>
              <w:t xml:space="preserve">362.00 </w:t>
            </w:r>
            <w:r>
              <w:rPr>
                <w:szCs w:val="18"/>
              </w:rPr>
              <w:t>plus 2.5%</w:t>
            </w:r>
          </w:p>
        </w:tc>
        <w:tc>
          <w:tcPr>
            <w:tcW w:w="1276" w:type="dxa"/>
            <w:noWrap/>
            <w:vAlign w:val="bottom"/>
          </w:tcPr>
          <w:p>
            <w:pPr>
              <w:pStyle w:val="yTableNAm"/>
              <w:keepNext/>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r>
              <w:t>251.00 plus 2.5%</w:t>
            </w:r>
          </w:p>
        </w:tc>
        <w:tc>
          <w:tcPr>
            <w:tcW w:w="1276" w:type="dxa"/>
            <w:noWrap/>
            <w:vAlign w:val="bottom"/>
          </w:tcPr>
          <w:p>
            <w:pPr>
              <w:pStyle w:val="yTableNAm"/>
            </w:pPr>
            <w:r>
              <w:t>494.00 plus 2.5%</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55.50</w:t>
            </w:r>
          </w:p>
        </w:tc>
      </w:tr>
    </w:tbl>
    <w:p>
      <w:pPr>
        <w:pStyle w:val="yFootnotesection"/>
      </w:pPr>
      <w:bookmarkStart w:id="46" w:name="_Toc169795656"/>
      <w:bookmarkStart w:id="47" w:name="_Toc169795746"/>
      <w:bookmarkStart w:id="48" w:name="_Toc169796026"/>
      <w:r>
        <w:tab/>
        <w:t>[Division 2 inserted: SL 2024/113 r. 21.]</w:t>
      </w:r>
    </w:p>
    <w:p>
      <w:pPr>
        <w:pStyle w:val="yHeading3"/>
      </w:pPr>
      <w:bookmarkStart w:id="49" w:name="_Toc169872274"/>
      <w:bookmarkStart w:id="50" w:name="_Toc169872340"/>
      <w:bookmarkStart w:id="51" w:name="_Toc169875347"/>
      <w:bookmarkStart w:id="52" w:name="_Toc170137916"/>
      <w:r>
        <w:rPr>
          <w:rStyle w:val="CharSDivNo"/>
        </w:rPr>
        <w:t>Division 3</w:t>
      </w:r>
      <w:r>
        <w:t> — </w:t>
      </w:r>
      <w:r>
        <w:rPr>
          <w:rStyle w:val="CharSDivText"/>
        </w:rPr>
        <w:t>Criminal jurisdiction</w:t>
      </w:r>
      <w:bookmarkEnd w:id="46"/>
      <w:bookmarkEnd w:id="47"/>
      <w:bookmarkEnd w:id="48"/>
      <w:bookmarkEnd w:id="49"/>
      <w:bookmarkEnd w:id="50"/>
      <w:bookmarkEnd w:id="51"/>
      <w:bookmarkEnd w:id="52"/>
    </w:p>
    <w:p>
      <w:pPr>
        <w:pStyle w:val="yFootnoteheading"/>
      </w:pPr>
      <w:r>
        <w:tab/>
        <w:t>[Heading inserted: SL 2024/113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30.00</w:t>
            </w:r>
          </w:p>
        </w:tc>
        <w:tc>
          <w:tcPr>
            <w:tcW w:w="1273" w:type="dxa"/>
            <w:noWrap/>
            <w:vAlign w:val="bottom"/>
          </w:tcPr>
          <w:p>
            <w:pPr>
              <w:pStyle w:val="yTableNAm"/>
              <w:ind w:right="175"/>
              <w:jc w:val="right"/>
              <w:rPr>
                <w:szCs w:val="22"/>
              </w:rPr>
            </w:pPr>
            <w:r>
              <w:rPr>
                <w:szCs w:val="22"/>
              </w:rPr>
              <w:t>30.00</w:t>
            </w:r>
          </w:p>
        </w:tc>
        <w:tc>
          <w:tcPr>
            <w:tcW w:w="1288" w:type="dxa"/>
            <w:noWrap/>
            <w:vAlign w:val="bottom"/>
          </w:tcPr>
          <w:p>
            <w:pPr>
              <w:pStyle w:val="yTableNAm"/>
              <w:ind w:right="175"/>
              <w:jc w:val="right"/>
              <w:rPr>
                <w:szCs w:val="22"/>
              </w:rPr>
            </w:pPr>
            <w:r>
              <w:rPr>
                <w:szCs w:val="22"/>
              </w:rPr>
              <w:t>9.00</w:t>
            </w:r>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r>
              <w:rPr>
                <w:szCs w:val="22"/>
              </w:rPr>
              <w:t>203.00</w:t>
            </w:r>
          </w:p>
        </w:tc>
        <w:tc>
          <w:tcPr>
            <w:tcW w:w="1273" w:type="dxa"/>
            <w:tcBorders>
              <w:bottom w:val="single" w:sz="4" w:space="0" w:color="auto"/>
            </w:tcBorders>
            <w:noWrap/>
            <w:vAlign w:val="bottom"/>
          </w:tcPr>
          <w:p>
            <w:pPr>
              <w:pStyle w:val="yTableNAm"/>
              <w:ind w:right="175"/>
              <w:jc w:val="right"/>
              <w:rPr>
                <w:szCs w:val="22"/>
              </w:rPr>
            </w:pPr>
            <w:r>
              <w:rPr>
                <w:szCs w:val="22"/>
              </w:rPr>
              <w:t>203.00</w:t>
            </w:r>
          </w:p>
        </w:tc>
        <w:tc>
          <w:tcPr>
            <w:tcW w:w="1288" w:type="dxa"/>
            <w:tcBorders>
              <w:bottom w:val="single" w:sz="4" w:space="0" w:color="auto"/>
            </w:tcBorders>
            <w:noWrap/>
            <w:vAlign w:val="bottom"/>
          </w:tcPr>
          <w:p>
            <w:pPr>
              <w:pStyle w:val="yTableNAm"/>
              <w:ind w:right="175"/>
              <w:jc w:val="right"/>
              <w:rPr>
                <w:szCs w:val="22"/>
              </w:rPr>
            </w:pPr>
            <w:r>
              <w:rPr>
                <w:szCs w:val="22"/>
              </w:rPr>
              <w:t>203.00</w:t>
            </w:r>
          </w:p>
        </w:tc>
      </w:tr>
    </w:tbl>
    <w:p>
      <w:pPr>
        <w:pStyle w:val="yFootnotesection"/>
      </w:pPr>
      <w:r>
        <w:tab/>
        <w:t>[Division 3 inserted: SL 2024/113 r. 21.]</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4" w:name="_Toc169871799"/>
      <w:bookmarkStart w:id="55" w:name="_Toc169872275"/>
      <w:bookmarkStart w:id="56" w:name="_Toc169872341"/>
      <w:bookmarkStart w:id="57" w:name="_Toc169875348"/>
      <w:bookmarkStart w:id="58" w:name="_Toc170137917"/>
      <w:bookmarkEnd w:id="30"/>
      <w:r>
        <w:rPr>
          <w:rStyle w:val="CharSchNo"/>
        </w:rPr>
        <w:lastRenderedPageBreak/>
        <w:t>Schedule 2</w:t>
      </w:r>
      <w:r>
        <w:rPr>
          <w:rStyle w:val="CharSDivNo"/>
        </w:rPr>
        <w:t> </w:t>
      </w:r>
      <w:r>
        <w:t>—</w:t>
      </w:r>
      <w:r>
        <w:rPr>
          <w:rStyle w:val="CharSDivText"/>
        </w:rPr>
        <w:t> </w:t>
      </w:r>
      <w:r>
        <w:rPr>
          <w:rStyle w:val="CharSchText"/>
        </w:rPr>
        <w:t>Forms</w:t>
      </w:r>
      <w:bookmarkEnd w:id="54"/>
      <w:bookmarkEnd w:id="55"/>
      <w:bookmarkEnd w:id="56"/>
      <w:bookmarkEnd w:id="57"/>
      <w:bookmarkEnd w:id="58"/>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59" w:name="_Toc170137918"/>
      <w:r>
        <w:rPr>
          <w:rStyle w:val="CharSClsNo"/>
        </w:rPr>
        <w:t>1</w:t>
      </w:r>
      <w:r>
        <w:t>.</w:t>
      </w:r>
      <w:r>
        <w:tab/>
        <w:t>Declaration that a person is a small business or a non</w:t>
      </w:r>
      <w:r>
        <w:noBreakHyphen/>
        <w:t>profit association</w:t>
      </w:r>
      <w:bookmarkEnd w:id="5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60" w:name="_Toc170137919"/>
      <w:r>
        <w:rPr>
          <w:rStyle w:val="CharSClsNo"/>
        </w:rPr>
        <w:lastRenderedPageBreak/>
        <w:t>3</w:t>
      </w:r>
      <w:r>
        <w:t>.</w:t>
      </w:r>
      <w:r>
        <w:tab/>
        <w:t>Application for determination of dispute about fees</w:t>
      </w:r>
      <w:bookmarkEnd w:id="6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1809" w:right="2405" w:bottom="3542" w:left="2405" w:header="706" w:footer="3544" w:gutter="0"/>
          <w:cols w:space="720"/>
          <w:noEndnote/>
          <w:docGrid w:linePitch="326"/>
        </w:sectPr>
      </w:pPr>
    </w:p>
    <w:p>
      <w:pPr>
        <w:pStyle w:val="nHeading2"/>
      </w:pPr>
      <w:bookmarkStart w:id="61" w:name="_Toc169871802"/>
      <w:bookmarkStart w:id="62" w:name="_Toc169872278"/>
      <w:bookmarkStart w:id="63" w:name="_Toc169872344"/>
      <w:bookmarkStart w:id="64" w:name="_Toc169875351"/>
      <w:bookmarkStart w:id="65" w:name="_Toc170137920"/>
      <w:r>
        <w:lastRenderedPageBreak/>
        <w:t>Notes</w:t>
      </w:r>
      <w:bookmarkEnd w:id="61"/>
      <w:bookmarkEnd w:id="62"/>
      <w:bookmarkEnd w:id="63"/>
      <w:bookmarkEnd w:id="64"/>
      <w:bookmarkEnd w:id="65"/>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66" w:name="_Toc170137921"/>
      <w:r>
        <w:t>Compilation table</w:t>
      </w:r>
      <w:bookmarkEnd w:id="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2024</w:t>
            </w:r>
            <w:r>
              <w:t xml:space="preserve"> Pt. 10</w:t>
            </w:r>
          </w:p>
        </w:tc>
        <w:tc>
          <w:tcPr>
            <w:tcW w:w="1276" w:type="dxa"/>
            <w:gridSpan w:val="2"/>
            <w:tcBorders>
              <w:bottom w:val="single" w:sz="4" w:space="0" w:color="auto"/>
            </w:tcBorders>
            <w:shd w:val="clear" w:color="auto" w:fill="auto"/>
          </w:tcPr>
          <w:p>
            <w:pPr>
              <w:pStyle w:val="nTable"/>
              <w:spacing w:after="40"/>
            </w:pPr>
            <w:r>
              <w:t>SL 2024/113 26 Jun 2023</w:t>
            </w:r>
          </w:p>
        </w:tc>
        <w:tc>
          <w:tcPr>
            <w:tcW w:w="2693" w:type="dxa"/>
            <w:gridSpan w:val="2"/>
            <w:tcBorders>
              <w:bottom w:val="single" w:sz="4" w:space="0" w:color="auto"/>
            </w:tcBorders>
            <w:shd w:val="clear" w:color="auto" w:fill="auto"/>
          </w:tcPr>
          <w:p>
            <w:pPr>
              <w:pStyle w:val="nTable"/>
              <w:spacing w:after="40"/>
            </w:pPr>
            <w:r>
              <w:t>1 Jul 2024 (see. r 2(b))</w:t>
            </w:r>
          </w:p>
        </w:tc>
      </w:tr>
    </w:tbl>
    <w:p>
      <w:pPr>
        <w:pStyle w:val="nHeading3"/>
      </w:pPr>
      <w:bookmarkStart w:id="67" w:name="_Toc170137922"/>
      <w:r>
        <w:lastRenderedPageBreak/>
        <w:t>Other notes</w:t>
      </w:r>
      <w:bookmarkEnd w:id="67"/>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69" w:name="_Toc169871805"/>
      <w:bookmarkStart w:id="70" w:name="_Toc169872281"/>
      <w:bookmarkStart w:id="71" w:name="_Toc169872347"/>
      <w:bookmarkStart w:id="72" w:name="_Toc169875354"/>
      <w:bookmarkStart w:id="73" w:name="_Toc170137923"/>
      <w:r>
        <w:rPr>
          <w:sz w:val="28"/>
        </w:rPr>
        <w:lastRenderedPageBreak/>
        <w:t>Defined terms</w:t>
      </w:r>
      <w:bookmarkEnd w:id="69"/>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interim order</w:t>
      </w:r>
      <w:r>
        <w:tab/>
        <w:t>6A(1)</w:t>
      </w:r>
    </w:p>
    <w:p>
      <w:pPr>
        <w:pStyle w:val="DefinedTerms"/>
      </w:pPr>
      <w:r>
        <w:t>interim order respondent</w:t>
      </w:r>
      <w:r>
        <w:tab/>
        <w:t>6A(2)</w:t>
      </w:r>
    </w:p>
    <w:p>
      <w:pPr>
        <w:pStyle w:val="DefinedTerms"/>
      </w:pPr>
      <w:r>
        <w:t>metropolitan region</w:t>
      </w:r>
      <w:r>
        <w:tab/>
        <w:t>3</w:t>
      </w:r>
    </w:p>
    <w:p>
      <w:pPr>
        <w:pStyle w:val="DefinedTerms"/>
      </w:pPr>
      <w:r>
        <w:t>minor cases procedure</w:t>
      </w:r>
      <w:r>
        <w:tab/>
        <w:t>3</w:t>
      </w:r>
    </w:p>
    <w:p>
      <w:pPr>
        <w:pStyle w:val="DefinedTerms"/>
      </w:pPr>
      <w:r>
        <w:t>non-profit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4" w:name="DefinedTerms"/>
    <w:bookmarkEnd w:id="7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740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2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8253</Words>
  <Characters>40442</Characters>
  <Application>Microsoft Office Word</Application>
  <DocSecurity>0</DocSecurity>
  <Lines>1838</Lines>
  <Paragraphs>1036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2005 - 03-t0-00</dc:title>
  <dc:subject/>
  <dc:creator/>
  <cp:keywords/>
  <dc:description/>
  <cp:lastModifiedBy>Master Repository Process</cp:lastModifiedBy>
  <cp:revision>4</cp:revision>
  <cp:lastPrinted>2018-12-06T07:31:00Z</cp:lastPrinted>
  <dcterms:created xsi:type="dcterms:W3CDTF">2025-06-18T02:25:00Z</dcterms:created>
  <dcterms:modified xsi:type="dcterms:W3CDTF">2025-06-18T02:25:00Z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03-t0-00</vt:lpwstr>
  </property>
  <property fmtid="{D5CDD505-2E9C-101B-9397-08002B2CF9AE}" pid="12" name="Official">
    <vt:lpwstr/>
  </property>
</Properties>
</file>