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_Toc170225730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_Toc170225731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_Toc170225732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_Toc170225733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_Toc170225734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_Toc170225735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_Toc170225737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_Toc170225738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_Toc170225739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_Toc170225740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_Toc170225741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_Toc170225742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Fee for repairer’s certificate (Act s. 41(2)(b))</w:t>
      </w:r>
      <w:r>
        <w:tab/>
      </w:r>
      <w:r>
        <w:fldChar w:fldCharType="begin"/>
      </w:r>
      <w:r>
        <w:instrText xml:space="preserve"> PAGEREF _Toc170225744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_Toc170225745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_Toc170225746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_Toc170225748 \h </w:instrText>
      </w:r>
      <w:r>
        <w:fldChar w:fldCharType="separate"/>
      </w:r>
      <w:r>
        <w:t>32</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_Toc170225749 \h </w:instrText>
      </w:r>
      <w:r>
        <w:fldChar w:fldCharType="separate"/>
      </w:r>
      <w:r>
        <w:t>34</w:t>
      </w:r>
      <w:r>
        <w:fldChar w:fldCharType="end"/>
      </w:r>
    </w:p>
    <w:p>
      <w:pPr>
        <w:pStyle w:val="TOC8"/>
        <w:rPr>
          <w:rFonts w:asciiTheme="minorHAnsi" w:eastAsiaTheme="minorEastAsia" w:hAnsiTheme="minorHAnsi" w:cstheme="minorBidi"/>
          <w:szCs w:val="22"/>
        </w:rPr>
      </w:pPr>
      <w:r>
        <w:t>11.</w:t>
      </w:r>
      <w:r>
        <w:tab/>
        <w:t>Fee for certified copy of certificate (Act s. 54(1))</w:t>
      </w:r>
      <w:r>
        <w:tab/>
      </w:r>
      <w:r>
        <w:fldChar w:fldCharType="begin"/>
      </w:r>
      <w:r>
        <w:instrText xml:space="preserve"> PAGEREF _Toc170225750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r>
      <w:r>
        <w:t>Fees for changes of authorised premises (Act s. 61(b))</w:t>
      </w:r>
      <w:r>
        <w:tab/>
      </w:r>
      <w:r>
        <w:fldChar w:fldCharType="begin"/>
      </w:r>
      <w:r>
        <w:instrText xml:space="preserve"> PAGEREF _Toc170225752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_Toc170225753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_Toc170225754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_Toc170225755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_Toc170225757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_Toc170225758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_Toc170225762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2" w:name="_Toc170203259"/>
      <w:bookmarkStart w:id="3" w:name="_Toc170203918"/>
      <w:bookmarkStart w:id="4" w:name="_Toc17022572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pPr>
      <w:bookmarkStart w:id="5" w:name="_Toc170225730"/>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170225731"/>
      <w:r>
        <w:rPr>
          <w:rStyle w:val="CharSectno"/>
        </w:rPr>
        <w:t>2</w:t>
      </w:r>
      <w:r>
        <w:rPr>
          <w:spacing w:val="-2"/>
        </w:rPr>
        <w:t>.</w:t>
      </w:r>
      <w:r>
        <w:rPr>
          <w:spacing w:val="-2"/>
        </w:rPr>
        <w:tab/>
        <w:t>Commencement</w:t>
      </w:r>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8" w:name="_Toc170225732"/>
      <w:r>
        <w:rPr>
          <w:rStyle w:val="CharSectno"/>
        </w:rPr>
        <w:t>3</w:t>
      </w:r>
      <w:r>
        <w:t>.</w:t>
      </w:r>
      <w:r>
        <w:tab/>
        <w:t>Terms used</w:t>
      </w:r>
      <w:bookmarkEnd w:id="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lastRenderedPageBreak/>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lastRenderedPageBreak/>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lastRenderedPageBreak/>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lastRenderedPageBreak/>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lastRenderedPageBreak/>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lastRenderedPageBreak/>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lastRenderedPageBreak/>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lastRenderedPageBreak/>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lastRenderedPageBreak/>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9" w:name="_Toc170225733"/>
      <w:r>
        <w:rPr>
          <w:rStyle w:val="CharSectno"/>
        </w:rPr>
        <w:t>4</w:t>
      </w:r>
      <w:r>
        <w:t>.</w:t>
      </w:r>
      <w:r>
        <w:tab/>
        <w:t>Exclusions from definition of motor vehicle</w:t>
      </w:r>
      <w:bookmarkEnd w:id="9"/>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lastRenderedPageBreak/>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0" w:name="_Toc170225734"/>
      <w:r>
        <w:rPr>
          <w:rStyle w:val="CharSectno"/>
        </w:rPr>
        <w:t>5</w:t>
      </w:r>
      <w:r>
        <w:t>.</w:t>
      </w:r>
      <w:r>
        <w:tab/>
        <w:t>Repair work prescribed and classified (Act s. 5)</w:t>
      </w:r>
      <w:bookmarkEnd w:id="10"/>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lastRenderedPageBreak/>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1" w:name="_Toc170225735"/>
      <w:r>
        <w:rPr>
          <w:rStyle w:val="CharSectno"/>
        </w:rPr>
        <w:t>6</w:t>
      </w:r>
      <w:r>
        <w:t>.</w:t>
      </w:r>
      <w:r>
        <w:tab/>
        <w:t>Work that is not repair work prescribed (Act s. 5)</w:t>
      </w:r>
      <w:bookmarkEnd w:id="11"/>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2" w:name="_Toc170203266"/>
      <w:bookmarkStart w:id="13" w:name="_Toc170203925"/>
      <w:bookmarkStart w:id="14" w:name="_Toc170225736"/>
      <w:r>
        <w:rPr>
          <w:rStyle w:val="CharPartNo"/>
        </w:rPr>
        <w:lastRenderedPageBreak/>
        <w:t>Part 2A</w:t>
      </w:r>
      <w:r>
        <w:rPr>
          <w:b w:val="0"/>
        </w:rPr>
        <w:t> </w:t>
      </w:r>
      <w:r>
        <w:t>—</w:t>
      </w:r>
      <w:r>
        <w:rPr>
          <w:b w:val="0"/>
        </w:rPr>
        <w:t> </w:t>
      </w:r>
      <w:r>
        <w:rPr>
          <w:rStyle w:val="CharPartText"/>
        </w:rPr>
        <w:t>Licensing of motor vehicle repair businesses</w:t>
      </w:r>
      <w:bookmarkEnd w:id="12"/>
      <w:bookmarkEnd w:id="13"/>
      <w:bookmarkEnd w:id="14"/>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5" w:name="_Toc170225737"/>
      <w:r>
        <w:rPr>
          <w:rStyle w:val="CharSectno"/>
        </w:rPr>
        <w:t>7A</w:t>
      </w:r>
      <w:r>
        <w:t>.</w:t>
      </w:r>
      <w:r>
        <w:tab/>
        <w:t>Fees for licence application (Act s. 13)</w:t>
      </w:r>
      <w:bookmarkEnd w:id="15"/>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$281.00; and</w:t>
      </w:r>
    </w:p>
    <w:p>
      <w:pPr>
        <w:pStyle w:val="Indenta"/>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878.00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1 050.00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1 230.00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1 400.00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1 530.00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1 700.00</w:t>
            </w:r>
          </w:p>
        </w:tc>
      </w:tr>
    </w:tbl>
    <w:p>
      <w:pPr>
        <w:pStyle w:val="Footnotesection"/>
      </w:pPr>
      <w:r>
        <w:tab/>
        <w:t>[Regulation 7A inserted: SL 2021/86 r. 51; amended: SL 2022/59 r. 28; SL 2023/35 r. 31; SL 2024/96 r. 38.]</w:t>
      </w:r>
    </w:p>
    <w:p>
      <w:pPr>
        <w:pStyle w:val="Ednotesection"/>
      </w:pPr>
      <w:r>
        <w:lastRenderedPageBreak/>
        <w:t>[</w:t>
      </w:r>
      <w:r>
        <w:rPr>
          <w:b/>
        </w:rPr>
        <w:t>7B.</w:t>
      </w:r>
      <w:r>
        <w:tab/>
        <w:t>Deleted: Gazette 18 Nov 2014 p. 4320.]</w:t>
      </w:r>
    </w:p>
    <w:p>
      <w:pPr>
        <w:pStyle w:val="Heading5"/>
        <w:spacing w:before="180"/>
      </w:pPr>
      <w:bookmarkStart w:id="16" w:name="_Toc170225738"/>
      <w:r>
        <w:rPr>
          <w:rStyle w:val="CharSectno"/>
        </w:rPr>
        <w:t>7C</w:t>
      </w:r>
      <w:r>
        <w:t>.</w:t>
      </w:r>
      <w:r>
        <w:tab/>
        <w:t>Duplicate business licence, fee for (Act s. 25)</w:t>
      </w:r>
      <w:bookmarkEnd w:id="16"/>
    </w:p>
    <w:p>
      <w:pPr>
        <w:pStyle w:val="Subsection"/>
        <w:spacing w:before="120"/>
      </w:pPr>
      <w:r>
        <w:tab/>
      </w:r>
      <w:r>
        <w:tab/>
        <w:t>For the purposes of the Act section 25, the prescribed fee is $34.60.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w:t>
      </w:r>
    </w:p>
    <w:p>
      <w:pPr>
        <w:pStyle w:val="Heading5"/>
      </w:pPr>
      <w:bookmarkStart w:id="17" w:name="_Toc170225739"/>
      <w:r>
        <w:rPr>
          <w:rStyle w:val="CharSectno"/>
        </w:rPr>
        <w:t>7D</w:t>
      </w:r>
      <w:r>
        <w:t>.</w:t>
      </w:r>
      <w:r>
        <w:tab/>
        <w:t>Conditions and restrictions attached to business licences (Act s. 28)</w:t>
      </w:r>
      <w:bookmarkEnd w:id="17"/>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8" w:name="_Toc170225740"/>
      <w:r>
        <w:rPr>
          <w:rStyle w:val="CharSectno"/>
        </w:rPr>
        <w:lastRenderedPageBreak/>
        <w:t>7E</w:t>
      </w:r>
      <w:r>
        <w:t>.</w:t>
      </w:r>
      <w:r>
        <w:tab/>
        <w:t>Duration of business licence (Act s. 30)</w:t>
      </w:r>
      <w:bookmarkEnd w:id="18"/>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9" w:name="_Toc170225741"/>
      <w:r>
        <w:rPr>
          <w:rStyle w:val="CharSectno"/>
        </w:rPr>
        <w:t>7F</w:t>
      </w:r>
      <w:r>
        <w:t>.</w:t>
      </w:r>
      <w:r>
        <w:tab/>
        <w:t>Fees for renewal of licence (Act s. 31)</w:t>
      </w:r>
      <w:bookmarkEnd w:id="19"/>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$271.00; and</w:t>
      </w:r>
    </w:p>
    <w:p>
      <w:pPr>
        <w:pStyle w:val="Indenta"/>
        <w:keepNext/>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878.00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1 050.00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1 230.00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1 400.00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1 530.00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1 700.00</w:t>
            </w:r>
          </w:p>
        </w:tc>
      </w:tr>
    </w:tbl>
    <w:p>
      <w:pPr>
        <w:pStyle w:val="Footnotesection"/>
      </w:pPr>
      <w:r>
        <w:tab/>
        <w:t>[Regulation 7F inserted: SL 2021/86 r. 52; amended: SL 2022/59 r. 30; SL 2023/35 r. 33; SL 2024/96 r. 40.]</w:t>
      </w:r>
    </w:p>
    <w:p>
      <w:pPr>
        <w:pStyle w:val="Heading5"/>
      </w:pPr>
      <w:bookmarkStart w:id="20" w:name="_Toc170225742"/>
      <w:r>
        <w:rPr>
          <w:rStyle w:val="CharSectno"/>
        </w:rPr>
        <w:lastRenderedPageBreak/>
        <w:t>7G</w:t>
      </w:r>
      <w:r>
        <w:t>.</w:t>
      </w:r>
      <w:r>
        <w:tab/>
        <w:t>Change of certain information, licensee to notify Commissioner of</w:t>
      </w:r>
      <w:bookmarkEnd w:id="20"/>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1" w:name="_Toc170203273"/>
      <w:bookmarkStart w:id="22" w:name="_Toc170203932"/>
      <w:bookmarkStart w:id="23" w:name="_Toc170225743"/>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1"/>
      <w:bookmarkEnd w:id="22"/>
      <w:bookmarkEnd w:id="23"/>
    </w:p>
    <w:p>
      <w:pPr>
        <w:pStyle w:val="Heading5"/>
      </w:pPr>
      <w:bookmarkStart w:id="24" w:name="_Toc170225744"/>
      <w:r>
        <w:rPr>
          <w:rStyle w:val="CharSectno"/>
        </w:rPr>
        <w:t>7</w:t>
      </w:r>
      <w:r>
        <w:t>.</w:t>
      </w:r>
      <w:r>
        <w:tab/>
        <w:t>Fee for repairer’s certificate (Act s. 41(2)(b))</w:t>
      </w:r>
      <w:bookmarkEnd w:id="24"/>
    </w:p>
    <w:p>
      <w:pPr>
        <w:pStyle w:val="Subsection"/>
      </w:pPr>
      <w:r>
        <w:tab/>
      </w:r>
      <w:r>
        <w:tab/>
        <w:t>For the purposes of the Act section 41(2)(b), the prescribed fee, regardless of the number of classes of repair work, is $109.00.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w:t>
      </w:r>
    </w:p>
    <w:p>
      <w:pPr>
        <w:pStyle w:val="Heading5"/>
      </w:pPr>
      <w:bookmarkStart w:id="25" w:name="_Toc170225745"/>
      <w:r>
        <w:rPr>
          <w:rStyle w:val="CharSectno"/>
        </w:rPr>
        <w:t>8</w:t>
      </w:r>
      <w:r>
        <w:t>.</w:t>
      </w:r>
      <w:r>
        <w:tab/>
        <w:t>Qualifications prescribed (Act s. 42(2)(a)(i))</w:t>
      </w:r>
      <w:bookmarkEnd w:id="25"/>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 xml:space="preserve">if a specialisation is stated opposite that class of repair work in column 3 of the Table to Schedule 2 — is entitled, under AUR05, to refer </w:t>
      </w:r>
      <w:r>
        <w:lastRenderedPageBreak/>
        <w:t>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26" w:name="_Toc170225746"/>
      <w:r>
        <w:rPr>
          <w:rStyle w:val="CharSectno"/>
        </w:rPr>
        <w:t>8A</w:t>
      </w:r>
      <w:r>
        <w:t>.</w:t>
      </w:r>
      <w:r>
        <w:tab/>
        <w:t>Examinations prescribed for wheel aligning, steering and suspension work (Act s. 42(2)(a)(ii))</w:t>
      </w:r>
      <w:bookmarkEnd w:id="26"/>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lastRenderedPageBreak/>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27" w:name="_Toc170203277"/>
      <w:bookmarkStart w:id="28" w:name="_Toc170203936"/>
      <w:bookmarkStart w:id="29" w:name="_Toc170225747"/>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Gazette 24 Jun 2008 p. 2820.]</w:t>
      </w:r>
    </w:p>
    <w:p>
      <w:pPr>
        <w:pStyle w:val="Heading5"/>
      </w:pPr>
      <w:bookmarkStart w:id="30" w:name="_Toc170225748"/>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1" w:name="_Toc170225749"/>
      <w:r>
        <w:rPr>
          <w:rStyle w:val="CharSectno"/>
        </w:rPr>
        <w:lastRenderedPageBreak/>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$14.70 for the first page and $2.30 for each subsequent page;</w:t>
      </w:r>
    </w:p>
    <w:p>
      <w:pPr>
        <w:pStyle w:val="Indenta"/>
      </w:pPr>
      <w:r>
        <w:tab/>
        <w:t>(c)</w:t>
      </w:r>
      <w:r>
        <w:tab/>
        <w:t>to obtain a copy of all entries in the register — $127.00.</w:t>
      </w:r>
    </w:p>
    <w:p>
      <w:pPr>
        <w:pStyle w:val="Footnotesection"/>
        <w:spacing w:before="100"/>
        <w:ind w:left="890" w:hanging="890"/>
      </w:pPr>
      <w:r>
        <w:tab/>
        <w:t>[Regulation 10 inserted: Gazette 17 Jun 2014 p. 1972; amended: Gazette 23 Jun 2015 p. 2180; 3 Jun 2016 p. 1766; 23 Jun 2017 p. 3244; 18 Jun 2019 p. 2106; SL 2022/59 r. 32; SL 2023/35 r. 35; SL 2024/96 r. 42.]</w:t>
      </w:r>
    </w:p>
    <w:p>
      <w:pPr>
        <w:pStyle w:val="Heading5"/>
      </w:pPr>
      <w:bookmarkStart w:id="32" w:name="_Toc170225750"/>
      <w:r>
        <w:rPr>
          <w:rStyle w:val="CharSectno"/>
        </w:rPr>
        <w:t>11</w:t>
      </w:r>
      <w:r>
        <w:t>.</w:t>
      </w:r>
      <w:r>
        <w:tab/>
        <w:t>Fee for certified copy of certificate (Act s. 54(1))</w:t>
      </w:r>
      <w:bookmarkEnd w:id="32"/>
    </w:p>
    <w:p>
      <w:pPr>
        <w:pStyle w:val="Subsection"/>
      </w:pPr>
      <w:r>
        <w:tab/>
      </w:r>
      <w:r>
        <w:tab/>
        <w:t>For the purposes of the Act section 54(1), the prescribed fee is $72.00.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w:t>
      </w:r>
    </w:p>
    <w:p>
      <w:pPr>
        <w:pStyle w:val="Heading2"/>
      </w:pPr>
      <w:bookmarkStart w:id="33" w:name="_Toc170203281"/>
      <w:bookmarkStart w:id="34" w:name="_Toc170203940"/>
      <w:bookmarkStart w:id="35" w:name="_Toc170225751"/>
      <w:r>
        <w:rPr>
          <w:rStyle w:val="CharPartNo"/>
        </w:rPr>
        <w:lastRenderedPageBreak/>
        <w:t>Part 4</w:t>
      </w:r>
      <w:r>
        <w:rPr>
          <w:b w:val="0"/>
        </w:rPr>
        <w:t> </w:t>
      </w:r>
      <w:r>
        <w:t>—</w:t>
      </w:r>
      <w:r>
        <w:rPr>
          <w:b w:val="0"/>
        </w:rPr>
        <w:t> </w:t>
      </w:r>
      <w:r>
        <w:rPr>
          <w:rStyle w:val="CharPartText"/>
        </w:rPr>
        <w:t>Miscellaneous</w:t>
      </w:r>
      <w:bookmarkEnd w:id="33"/>
      <w:bookmarkEnd w:id="34"/>
      <w:bookmarkEnd w:id="35"/>
    </w:p>
    <w:p>
      <w:pPr>
        <w:pStyle w:val="Footnoteheading"/>
        <w:spacing w:before="80"/>
      </w:pPr>
      <w:r>
        <w:tab/>
        <w:t>[Heading inserted: Gazette 24 Jun 2008 p. 2822.]</w:t>
      </w:r>
    </w:p>
    <w:p>
      <w:pPr>
        <w:pStyle w:val="Heading5"/>
        <w:spacing w:before="160"/>
      </w:pPr>
      <w:bookmarkStart w:id="36" w:name="_Toc170225752"/>
      <w:r>
        <w:rPr>
          <w:rStyle w:val="CharSectno"/>
        </w:rPr>
        <w:t>12</w:t>
      </w:r>
      <w:r>
        <w:rPr>
          <w:color w:val="000000"/>
        </w:rPr>
        <w:t>.</w:t>
      </w:r>
      <w:r>
        <w:rPr>
          <w:color w:val="000000"/>
        </w:rPr>
        <w:tab/>
      </w:r>
      <w:r>
        <w:t>Fees for changes of authorised premises (Act s. 61(b))</w:t>
      </w:r>
      <w:bookmarkEnd w:id="3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$138.00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$138.00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w:t>
      </w:r>
    </w:p>
    <w:p>
      <w:pPr>
        <w:pStyle w:val="Ednotesection"/>
      </w:pPr>
      <w:r>
        <w:t>[</w:t>
      </w:r>
      <w:r>
        <w:rPr>
          <w:b/>
        </w:rPr>
        <w:t>12A.</w:t>
      </w:r>
      <w:r>
        <w:tab/>
        <w:t>Deleted: SL 2021/86 r. 54.]</w:t>
      </w:r>
    </w:p>
    <w:p>
      <w:pPr>
        <w:pStyle w:val="Heading5"/>
        <w:spacing w:before="160"/>
      </w:pPr>
      <w:bookmarkStart w:id="37" w:name="_Toc170225753"/>
      <w:r>
        <w:rPr>
          <w:rStyle w:val="CharSectno"/>
        </w:rPr>
        <w:t>13</w:t>
      </w:r>
      <w:r>
        <w:t>.</w:t>
      </w:r>
      <w:r>
        <w:tab/>
        <w:t>Infringement notice offences and modified penalties (Act s. 98 and 99(1))</w:t>
      </w:r>
      <w:bookmarkEnd w:id="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8" w:name="_Toc170225754"/>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39" w:name="_Toc170225755"/>
      <w:r>
        <w:rPr>
          <w:rStyle w:val="CharSectno"/>
        </w:rPr>
        <w:t>15</w:t>
      </w:r>
      <w:r>
        <w:t>.</w:t>
      </w:r>
      <w:r>
        <w:tab/>
        <w:t>Refund of fee on withdrawal or refusal of certain applications</w:t>
      </w:r>
      <w:bookmarkEnd w:id="3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40" w:name="_Toc170203286"/>
      <w:bookmarkStart w:id="41" w:name="_Toc170203945"/>
      <w:bookmarkStart w:id="42" w:name="_Toc170225756"/>
      <w:r>
        <w:rPr>
          <w:rStyle w:val="CharPartNo"/>
        </w:rPr>
        <w:lastRenderedPageBreak/>
        <w:t>Part 5</w:t>
      </w:r>
      <w:r>
        <w:t> — </w:t>
      </w:r>
      <w:r>
        <w:rPr>
          <w:rStyle w:val="CharPartText"/>
        </w:rPr>
        <w:t>Transitional provisions</w:t>
      </w:r>
      <w:bookmarkEnd w:id="40"/>
      <w:bookmarkEnd w:id="41"/>
      <w:bookmarkEnd w:id="42"/>
    </w:p>
    <w:p>
      <w:pPr>
        <w:pStyle w:val="Footnoteheading"/>
      </w:pPr>
      <w:r>
        <w:tab/>
        <w:t>[Heading inserted: SL 2022/161 r. 12.]</w:t>
      </w:r>
    </w:p>
    <w:p>
      <w:pPr>
        <w:pStyle w:val="Heading5"/>
      </w:pPr>
      <w:bookmarkStart w:id="43" w:name="_Toc170225757"/>
      <w:r>
        <w:rPr>
          <w:rStyle w:val="CharSectno"/>
        </w:rPr>
        <w:t>16</w:t>
      </w:r>
      <w:r>
        <w:t>.</w:t>
      </w:r>
      <w:r>
        <w:tab/>
        <w:t xml:space="preserve">Transitional provision for </w:t>
      </w:r>
      <w:r>
        <w:rPr>
          <w:i/>
        </w:rPr>
        <w:t>Commerce Regulations Amendment (Motor Vehicle Dealers and Repairers) Regulations 2021</w:t>
      </w:r>
      <w:bookmarkEnd w:id="43"/>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44" w:name="_Toc170225758"/>
      <w:r>
        <w:rPr>
          <w:rStyle w:val="CharSectno"/>
        </w:rPr>
        <w:t>17</w:t>
      </w:r>
      <w:r>
        <w:t>.</w:t>
      </w:r>
      <w:r>
        <w:tab/>
        <w:t xml:space="preserve">Transitional provision for </w:t>
      </w:r>
      <w:r>
        <w:rPr>
          <w:i/>
          <w:noProof/>
        </w:rPr>
        <w:t>Commerce Regulations Amendment (Motor Vehicle Dealers and Repairers) Regulations 2022</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170203289"/>
      <w:bookmarkStart w:id="46" w:name="_Toc170203948"/>
      <w:bookmarkStart w:id="47" w:name="_Toc170225759"/>
      <w:r>
        <w:rPr>
          <w:rStyle w:val="CharSchNo"/>
        </w:rPr>
        <w:lastRenderedPageBreak/>
        <w:t>Schedule 1</w:t>
      </w:r>
      <w:r>
        <w:rPr>
          <w:rStyle w:val="CharSDivNo"/>
        </w:rPr>
        <w:t> </w:t>
      </w:r>
      <w:r>
        <w:t>—</w:t>
      </w:r>
      <w:r>
        <w:rPr>
          <w:rStyle w:val="CharSDivText"/>
        </w:rPr>
        <w:t> </w:t>
      </w:r>
      <w:r>
        <w:rPr>
          <w:rStyle w:val="CharSchText"/>
        </w:rPr>
        <w:t>Forms</w:t>
      </w:r>
      <w:bookmarkEnd w:id="45"/>
      <w:bookmarkEnd w:id="46"/>
      <w:bookmarkEnd w:id="47"/>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8" w:name="_Toc170203290"/>
      <w:bookmarkStart w:id="49" w:name="_Toc170203949"/>
      <w:bookmarkStart w:id="50" w:name="_Toc170225760"/>
      <w:r>
        <w:rPr>
          <w:rStyle w:val="CharSchNo"/>
        </w:rPr>
        <w:lastRenderedPageBreak/>
        <w:t>Schedule 2</w:t>
      </w:r>
      <w:r>
        <w:t> — </w:t>
      </w:r>
      <w:r>
        <w:rPr>
          <w:rStyle w:val="CharSchText"/>
        </w:rPr>
        <w:t>Qualifications prescribed</w:t>
      </w:r>
      <w:bookmarkEnd w:id="48"/>
      <w:bookmarkEnd w:id="49"/>
      <w:bookmarkEnd w:id="50"/>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2" w:name="_Toc170203291"/>
      <w:bookmarkStart w:id="53" w:name="_Toc170203950"/>
      <w:bookmarkStart w:id="54" w:name="_Toc170225761"/>
      <w:r>
        <w:lastRenderedPageBreak/>
        <w:t>Notes</w:t>
      </w:r>
      <w:bookmarkEnd w:id="52"/>
      <w:bookmarkEnd w:id="53"/>
      <w:bookmarkEnd w:id="54"/>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p>
    <w:p>
      <w:pPr>
        <w:pStyle w:val="nHeading3"/>
      </w:pPr>
      <w:bookmarkStart w:id="55" w:name="_Toc170225762"/>
      <w:r>
        <w:t>Compilation table</w:t>
      </w:r>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lastRenderedPageBreak/>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nil"/>
            </w:tcBorders>
          </w:tcPr>
          <w:p>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13</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7" w:name="_Toc170203294"/>
      <w:bookmarkStart w:id="58" w:name="_Toc170203952"/>
      <w:bookmarkStart w:id="59" w:name="_Toc170225763"/>
      <w:r>
        <w:rPr>
          <w:sz w:val="28"/>
        </w:rPr>
        <w:lastRenderedPageBreak/>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15B122"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FAD416" w14:textId="16E09F4B" w:rsidR="000E22D6" w:rsidRDefault="00CC0F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60F7">
                        <w:rPr>
                          <w:sz w:val="16"/>
                        </w:rPr>
                        <w:t>2024</w:t>
                      </w:r>
                      <w:r>
                        <w:rPr>
                          <w:sz w:val="16"/>
                        </w:rPr>
                        <w:fldChar w:fldCharType="end"/>
                      </w:r>
                      <w:r>
                        <w:rPr>
                          <w:sz w:val="16"/>
                        </w:rPr>
                        <w:t>.</w:t>
                      </w:r>
                    </w:p>
                    <w:p w14:paraId="0DA6F9BB" w14:textId="77777777" w:rsidR="000E22D6" w:rsidRDefault="00CC0F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C73514" w14:textId="6F45BA57" w:rsidR="000E22D6" w:rsidRDefault="00CC0F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60F7">
                        <w:rPr>
                          <w:sz w:val="16"/>
                        </w:rPr>
                        <w:t>2024</w:t>
                      </w:r>
                      <w:r>
                        <w:rPr>
                          <w:sz w:val="16"/>
                        </w:rPr>
                        <w:fldChar w:fldCharType="end"/>
                      </w:r>
                      <w:r>
                        <w:rPr>
                          <w:sz w:val="16"/>
                        </w:rPr>
                        <w:t>.</w:t>
                      </w:r>
                    </w:p>
                    <w:p w14:paraId="4A4C184E" w14:textId="77777777" w:rsidR="000E22D6" w:rsidRDefault="00CC0F9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1" w:name="Schedule"/>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195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11829</Words>
  <Characters>59860</Characters>
  <Application>Microsoft Office Word</Application>
  <DocSecurity>0</DocSecurity>
  <Lines>2494</Lines>
  <Paragraphs>1667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2007 - 03-u0-00</dc:title>
  <dc:subject/>
  <dc:creator/>
  <cp:keywords/>
  <dc:description/>
  <cp:lastModifiedBy>Master Repository Process</cp:lastModifiedBy>
  <cp:revision>4</cp:revision>
  <cp:lastPrinted>2015-07-16T07:35:00Z</cp:lastPrinted>
  <dcterms:created xsi:type="dcterms:W3CDTF">2025-06-24T01:26:00Z</dcterms:created>
  <dcterms:modified xsi:type="dcterms:W3CDTF">2025-06-24T01:27:00Z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03-u0-00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