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Police (Medical and Other Expenses for Former Officers) Act 2008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(Medical and Other Expenses for Former Officers) Regulations 2009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(Medical and Other Expenses for Former Officers) Regulations 2009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 matters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_Toc170307047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_Toc170307048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_Toc170307049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Claims procedure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Making claim</w:t>
      </w:r>
      <w:r>
        <w:tab/>
      </w:r>
      <w:r>
        <w:fldChar w:fldCharType="begin"/>
      </w:r>
      <w:r>
        <w:instrText xml:space="preserve"> PAGEREF _Toc170307051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Response to claim</w:t>
      </w:r>
      <w:r>
        <w:tab/>
      </w:r>
      <w:r>
        <w:fldChar w:fldCharType="begin"/>
      </w:r>
      <w:r>
        <w:instrText xml:space="preserve"> PAGEREF _Toc170307052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Initial medical examination</w:t>
      </w:r>
      <w:r>
        <w:tab/>
      </w:r>
      <w:r>
        <w:fldChar w:fldCharType="begin"/>
      </w:r>
      <w:r>
        <w:instrText xml:space="preserve"> PAGEREF _Toc170307053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Periodic medical examinations</w:t>
      </w:r>
      <w:r>
        <w:tab/>
      </w:r>
      <w:r>
        <w:fldChar w:fldCharType="begin"/>
      </w:r>
      <w:r>
        <w:instrText xml:space="preserve"> PAGEREF _Toc170307054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Treatment plan</w:t>
      </w:r>
      <w:r>
        <w:tab/>
      </w:r>
      <w:r>
        <w:fldChar w:fldCharType="begin"/>
      </w:r>
      <w:r>
        <w:instrText xml:space="preserve"> PAGEREF _Toc170307055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9A.</w:t>
      </w:r>
      <w:r>
        <w:tab/>
        <w:t>Application for increase for special expenses under WCIM Act section 78</w:t>
      </w:r>
      <w:r>
        <w:tab/>
      </w:r>
      <w:r>
        <w:fldChar w:fldCharType="begin"/>
      </w:r>
      <w:r>
        <w:instrText xml:space="preserve"> PAGEREF _Toc170307056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Dispute resolution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Application of this Part</w:t>
      </w:r>
      <w:r>
        <w:tab/>
      </w:r>
      <w:r>
        <w:fldChar w:fldCharType="begin"/>
      </w:r>
      <w:r>
        <w:instrText xml:space="preserve"> PAGEREF _Toc170307058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Applied provisions of WCIM Act</w:t>
      </w:r>
      <w:r>
        <w:tab/>
      </w:r>
      <w:r>
        <w:fldChar w:fldCharType="begin"/>
      </w:r>
      <w:r>
        <w:instrText xml:space="preserve"> PAGEREF _Toc170307059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References to terms used in applied provisions</w:t>
      </w:r>
      <w:r>
        <w:tab/>
      </w:r>
      <w:r>
        <w:fldChar w:fldCharType="begin"/>
      </w:r>
      <w:r>
        <w:instrText xml:space="preserve"> PAGEREF _Toc170307060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Forms for use under applied provisions</w:t>
      </w:r>
      <w:r>
        <w:tab/>
      </w:r>
      <w:r>
        <w:fldChar w:fldCharType="begin"/>
      </w:r>
      <w:r>
        <w:instrText xml:space="preserve"> PAGEREF _Toc170307061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Information for use under applied provisions</w:t>
      </w:r>
      <w:r>
        <w:tab/>
      </w:r>
      <w:r>
        <w:fldChar w:fldCharType="begin"/>
      </w:r>
      <w:r>
        <w:instrText xml:space="preserve"> PAGEREF _Toc170307062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No restriction on award of common law damages</w:t>
      </w:r>
      <w:r>
        <w:tab/>
      </w:r>
      <w:r>
        <w:fldChar w:fldCharType="begin"/>
      </w:r>
      <w:r>
        <w:instrText xml:space="preserve"> PAGEREF _Toc170307063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Evidence admissible in common law proceedings</w:t>
      </w:r>
      <w:r>
        <w:tab/>
      </w:r>
      <w:r>
        <w:fldChar w:fldCharType="begin"/>
      </w:r>
      <w:r>
        <w:instrText xml:space="preserve"> PAGEREF _Toc170307064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Miscellaneous matters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Approval of forms</w:t>
      </w:r>
      <w:r>
        <w:tab/>
      </w:r>
      <w:r>
        <w:fldChar w:fldCharType="begin"/>
      </w:r>
      <w:r>
        <w:instrText xml:space="preserve"> PAGEREF _Toc170307066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_Toc170307068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Police (Medical and Other Expenses for Former Officers) Act 2008</w:t>
      </w:r>
    </w:p>
    <w:p>
      <w:pPr>
        <w:pStyle w:val="NameofActReg"/>
      </w:pPr>
      <w:r>
        <w:t>Police (Medical and Other Expenses for Former Officers) Regulations 2009</w:t>
      </w:r>
    </w:p>
    <w:p>
      <w:pPr>
        <w:pStyle w:val="Heading2"/>
        <w:pageBreakBefore w:val="0"/>
        <w:spacing w:before="240"/>
      </w:pPr>
      <w:bookmarkStart w:id="2" w:name="_Toc170122813"/>
      <w:bookmarkStart w:id="3" w:name="_Toc170124765"/>
      <w:bookmarkStart w:id="4" w:name="_Toc170125217"/>
      <w:bookmarkStart w:id="5" w:name="_Toc170307046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 matters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70307047"/>
      <w:r>
        <w:rPr>
          <w:rStyle w:val="CharSectno"/>
        </w:rPr>
        <w:t>1</w:t>
      </w:r>
      <w:r>
        <w:t>.</w:t>
      </w:r>
      <w:r>
        <w:tab/>
        <w:t>Citation</w:t>
      </w:r>
      <w:bookmarkEnd w:id="6"/>
    </w:p>
    <w:p>
      <w:pPr>
        <w:pStyle w:val="Subsection"/>
        <w:rPr>
          <w:i/>
        </w:rPr>
      </w:pPr>
      <w:r>
        <w:tab/>
      </w:r>
      <w:r>
        <w:tab/>
      </w:r>
      <w:bookmarkStart w:id="7" w:name="Start_Cursor"/>
      <w:bookmarkEnd w:id="7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Police (Medical and Other Expenses for Former Officers) Regulations 2009</w:t>
      </w:r>
      <w:r>
        <w:t>.</w:t>
      </w:r>
    </w:p>
    <w:p>
      <w:pPr>
        <w:pStyle w:val="Heading5"/>
        <w:rPr>
          <w:spacing w:val="-2"/>
        </w:rPr>
      </w:pPr>
      <w:bookmarkStart w:id="8" w:name="_Toc17030704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</w:p>
    <w:p>
      <w:pPr>
        <w:pStyle w:val="Subsection"/>
        <w:rPr>
          <w:iCs/>
          <w:spacing w:val="-2"/>
        </w:rPr>
      </w:pPr>
      <w:r>
        <w:tab/>
      </w:r>
      <w:r>
        <w:tab/>
        <w:t xml:space="preserve">These regulations come into operation on the day on which the </w:t>
      </w:r>
      <w:r>
        <w:rPr>
          <w:i/>
          <w:spacing w:val="-2"/>
        </w:rPr>
        <w:t>Police (Medical and Other Expenses for Former Officers) Act 2008</w:t>
      </w:r>
      <w:r>
        <w:rPr>
          <w:iCs/>
          <w:spacing w:val="-2"/>
        </w:rPr>
        <w:t xml:space="preserve"> section 15 comes into operation.</w:t>
      </w:r>
    </w:p>
    <w:p>
      <w:pPr>
        <w:pStyle w:val="Heading5"/>
      </w:pPr>
      <w:bookmarkStart w:id="9" w:name="_Toc170307049"/>
      <w:r>
        <w:rPr>
          <w:rStyle w:val="CharSectno"/>
        </w:rPr>
        <w:t>3</w:t>
      </w:r>
      <w:r>
        <w:t>.</w:t>
      </w:r>
      <w:r>
        <w:tab/>
        <w:t>Terms used</w:t>
      </w:r>
      <w:bookmarkEnd w:id="9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applied provisions</w:t>
      </w:r>
      <w:r>
        <w:t xml:space="preserve"> has the meaning given in regulation 10;</w:t>
      </w:r>
    </w:p>
    <w:p>
      <w:pPr>
        <w:pStyle w:val="Defstart"/>
      </w:pPr>
      <w:r>
        <w:tab/>
      </w:r>
      <w:r>
        <w:rPr>
          <w:rStyle w:val="CharDefText"/>
        </w:rPr>
        <w:t>approved form</w:t>
      </w:r>
      <w:r>
        <w:t xml:space="preserve"> means a form approved under regulation 16(1).</w:t>
      </w:r>
    </w:p>
    <w:p>
      <w:pPr>
        <w:pStyle w:val="Heading2"/>
      </w:pPr>
      <w:bookmarkStart w:id="10" w:name="_Toc170122817"/>
      <w:bookmarkStart w:id="11" w:name="_Toc170124769"/>
      <w:bookmarkStart w:id="12" w:name="_Toc170125221"/>
      <w:bookmarkStart w:id="13" w:name="_Toc170307050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Claims procedure</w:t>
      </w:r>
      <w:bookmarkEnd w:id="10"/>
      <w:bookmarkEnd w:id="11"/>
      <w:bookmarkEnd w:id="12"/>
      <w:bookmarkEnd w:id="13"/>
    </w:p>
    <w:p>
      <w:pPr>
        <w:pStyle w:val="Heading5"/>
      </w:pPr>
      <w:bookmarkStart w:id="14" w:name="_Toc170307051"/>
      <w:r>
        <w:rPr>
          <w:rStyle w:val="CharSectno"/>
        </w:rPr>
        <w:t>4</w:t>
      </w:r>
      <w:r>
        <w:t>.</w:t>
      </w:r>
      <w:r>
        <w:tab/>
        <w:t>Making claim</w:t>
      </w:r>
      <w:bookmarkEnd w:id="14"/>
    </w:p>
    <w:p>
      <w:pPr>
        <w:pStyle w:val="Subsection"/>
      </w:pPr>
      <w:r>
        <w:tab/>
        <w:t>(1)</w:t>
      </w:r>
      <w:r>
        <w:tab/>
        <w:t xml:space="preserve">A claim must — </w:t>
      </w:r>
    </w:p>
    <w:p>
      <w:pPr>
        <w:pStyle w:val="Indenta"/>
      </w:pPr>
      <w:r>
        <w:tab/>
        <w:t>(a)</w:t>
      </w:r>
      <w:r>
        <w:tab/>
        <w:t>be in the approved form and signed by the former officer; and</w:t>
      </w:r>
    </w:p>
    <w:p>
      <w:pPr>
        <w:pStyle w:val="Indenta"/>
      </w:pPr>
      <w:r>
        <w:tab/>
        <w:t>(b)</w:t>
      </w:r>
      <w:r>
        <w:tab/>
        <w:t>include or be accompanied by the information approved by the Police Commissioner; and</w:t>
      </w:r>
    </w:p>
    <w:p>
      <w:pPr>
        <w:pStyle w:val="Indenta"/>
      </w:pPr>
      <w:r>
        <w:tab/>
        <w:t>(c)</w:t>
      </w:r>
      <w:r>
        <w:tab/>
        <w:t>be given to the Police Commissioner.</w:t>
      </w:r>
    </w:p>
    <w:p>
      <w:pPr>
        <w:pStyle w:val="Subsection"/>
      </w:pPr>
      <w:r>
        <w:tab/>
        <w:t>(2)</w:t>
      </w:r>
      <w:r>
        <w:tab/>
        <w:t xml:space="preserve">A claim can only be made under subregulation (1) in relation to an injury to a former officer if — </w:t>
      </w:r>
    </w:p>
    <w:p>
      <w:pPr>
        <w:pStyle w:val="Indenta"/>
      </w:pPr>
      <w:r>
        <w:tab/>
        <w:t>(a)</w:t>
      </w:r>
      <w:r>
        <w:tab/>
        <w:t xml:space="preserve">notice of the injury was given under the </w:t>
      </w:r>
      <w:r>
        <w:rPr>
          <w:i/>
          <w:iCs/>
        </w:rPr>
        <w:t>Police Force Regulations 1979</w:t>
      </w:r>
      <w:r>
        <w:t xml:space="preserve"> regulation 1302 before the former officer ceased to be a police officer or APLO; or</w:t>
      </w:r>
    </w:p>
    <w:p>
      <w:pPr>
        <w:pStyle w:val="Indenta"/>
      </w:pPr>
      <w:r>
        <w:tab/>
        <w:t>(b)</w:t>
      </w:r>
      <w:r>
        <w:tab/>
        <w:t>if the former officer ceased to be a police officer or APLO before the day on which section 4(1) of the Act came into operation — notice of the injury is given to the Police Commissioner as soon as practicable after the former officer becomes aware of the entitlement to make a claim; or</w:t>
      </w:r>
    </w:p>
    <w:p>
      <w:pPr>
        <w:pStyle w:val="Indenta"/>
      </w:pPr>
      <w:r>
        <w:tab/>
        <w:t>(c)</w:t>
      </w:r>
      <w:r>
        <w:tab/>
        <w:t>if the former officer ceased to be a police officer or APLO on or after the day on which section 4(1) of the Act came into operation — notice of the injury is given to the Police Commissioner as soon as practicable after the injury occurs.</w:t>
      </w:r>
    </w:p>
    <w:p>
      <w:pPr>
        <w:pStyle w:val="Footnotesection"/>
        <w:spacing w:before="100"/>
        <w:ind w:left="890" w:hanging="890"/>
      </w:pPr>
      <w:r>
        <w:tab/>
        <w:t>[Regulation 4 amended: SL 2024/121 r. 4.]</w:t>
      </w:r>
    </w:p>
    <w:p>
      <w:pPr>
        <w:pStyle w:val="Heading5"/>
      </w:pPr>
      <w:bookmarkStart w:id="15" w:name="_Toc170307052"/>
      <w:r>
        <w:rPr>
          <w:rStyle w:val="CharSectno"/>
        </w:rPr>
        <w:lastRenderedPageBreak/>
        <w:t>5</w:t>
      </w:r>
      <w:r>
        <w:t>.</w:t>
      </w:r>
      <w:r>
        <w:tab/>
        <w:t>Response to claim</w:t>
      </w:r>
      <w:bookmarkEnd w:id="15"/>
    </w:p>
    <w:p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Defstart"/>
        <w:keepNext/>
      </w:pPr>
      <w:r>
        <w:tab/>
      </w:r>
      <w:r>
        <w:rPr>
          <w:rStyle w:val="CharDefText"/>
        </w:rPr>
        <w:t>prescribed period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for a claim received within 6 months after the commencement of section 4(1) of the Act — 60 days</w:t>
      </w:r>
      <w:r>
        <w:rPr>
          <w:b/>
          <w:bCs/>
        </w:rPr>
        <w:t xml:space="preserve"> </w:t>
      </w:r>
      <w:r>
        <w:t>after the claim is received; or</w:t>
      </w:r>
    </w:p>
    <w:p>
      <w:pPr>
        <w:pStyle w:val="Defpara"/>
      </w:pPr>
      <w:r>
        <w:tab/>
        <w:t>(b)</w:t>
      </w:r>
      <w:r>
        <w:tab/>
        <w:t>for any other claim — 17 days after the claim is received.</w:t>
      </w:r>
    </w:p>
    <w:p>
      <w:pPr>
        <w:pStyle w:val="Subsection"/>
      </w:pPr>
      <w:r>
        <w:tab/>
        <w:t>(2)</w:t>
      </w:r>
      <w:r>
        <w:tab/>
        <w:t xml:space="preserve">Within the prescribed period after receiving a claim from a former officer made in accordance with regulation 4, the Police Commissioner must notify the former officer in writing that — </w:t>
      </w:r>
    </w:p>
    <w:p>
      <w:pPr>
        <w:pStyle w:val="Indenta"/>
      </w:pPr>
      <w:r>
        <w:tab/>
        <w:t>(a)</w:t>
      </w:r>
      <w:r>
        <w:tab/>
        <w:t>liability for the claim is accepted; or</w:t>
      </w:r>
    </w:p>
    <w:p>
      <w:pPr>
        <w:pStyle w:val="Indenta"/>
      </w:pPr>
      <w:r>
        <w:tab/>
        <w:t>(b)</w:t>
      </w:r>
      <w:r>
        <w:tab/>
        <w:t>liability for the claim is denied; or</w:t>
      </w:r>
    </w:p>
    <w:p>
      <w:pPr>
        <w:pStyle w:val="Indenta"/>
      </w:pPr>
      <w:r>
        <w:tab/>
        <w:t>(c)</w:t>
      </w:r>
      <w:r>
        <w:tab/>
        <w:t>a decision to accept or deny liability for the claim has not yet been made.</w:t>
      </w:r>
    </w:p>
    <w:p>
      <w:pPr>
        <w:pStyle w:val="Subsection"/>
      </w:pPr>
      <w:r>
        <w:tab/>
        <w:t>(3)</w:t>
      </w:r>
      <w:r>
        <w:tab/>
        <w:t>A notice under subregulation (2)(b) or (c) must set out the reasons why liability is denied or a decision has not yet been made.</w:t>
      </w:r>
    </w:p>
    <w:p>
      <w:pPr>
        <w:pStyle w:val="Heading5"/>
      </w:pPr>
      <w:bookmarkStart w:id="16" w:name="_Toc170307053"/>
      <w:r>
        <w:rPr>
          <w:rStyle w:val="CharSectno"/>
        </w:rPr>
        <w:t>6</w:t>
      </w:r>
      <w:r>
        <w:t>.</w:t>
      </w:r>
      <w:r>
        <w:tab/>
        <w:t>Initial medical examination</w:t>
      </w:r>
      <w:bookmarkEnd w:id="16"/>
    </w:p>
    <w:p>
      <w:pPr>
        <w:pStyle w:val="Subsection"/>
      </w:pPr>
      <w:r>
        <w:tab/>
      </w:r>
      <w:r>
        <w:tab/>
        <w:t>A former officer who has made a claim must, if required by the Police Commissioner for the purpose of deciding whether to accept or deny the claim, submit himself or herself for an examination by a medical practitioner provided and paid by the Police Commissioner.</w:t>
      </w:r>
    </w:p>
    <w:p>
      <w:pPr>
        <w:pStyle w:val="Heading5"/>
      </w:pPr>
      <w:bookmarkStart w:id="17" w:name="_Toc170307054"/>
      <w:r>
        <w:rPr>
          <w:rStyle w:val="CharSectno"/>
        </w:rPr>
        <w:t>7</w:t>
      </w:r>
      <w:r>
        <w:t>.</w:t>
      </w:r>
      <w:r>
        <w:tab/>
        <w:t>Periodic medical examinations</w:t>
      </w:r>
      <w:bookmarkEnd w:id="17"/>
    </w:p>
    <w:p>
      <w:pPr>
        <w:pStyle w:val="Subsection"/>
      </w:pPr>
      <w:r>
        <w:tab/>
      </w:r>
      <w:r>
        <w:tab/>
        <w:t>If amounts are being paid by the Police Commissioner in respect of a claim made by a former officer, the former officer must, if required by the Police Commissioner, from time to time submit himself or herself for an examination by a medical practitioner provided and paid by the Police Commissioner.</w:t>
      </w:r>
    </w:p>
    <w:p>
      <w:pPr>
        <w:pStyle w:val="Heading5"/>
      </w:pPr>
      <w:bookmarkStart w:id="18" w:name="_Toc170307055"/>
      <w:r>
        <w:rPr>
          <w:rStyle w:val="CharSectno"/>
        </w:rPr>
        <w:lastRenderedPageBreak/>
        <w:t>8</w:t>
      </w:r>
      <w:r>
        <w:t>.</w:t>
      </w:r>
      <w:r>
        <w:tab/>
        <w:t>Treatment plan</w:t>
      </w:r>
      <w:bookmarkEnd w:id="18"/>
    </w:p>
    <w:p>
      <w:pPr>
        <w:pStyle w:val="Subsection"/>
      </w:pPr>
      <w:r>
        <w:tab/>
      </w:r>
      <w:r>
        <w:tab/>
        <w:t xml:space="preserve">If a claim is for medical expenses likely to be incurred, the Police Commissioner may require the former officer to give the Police Commissioner a written statement signed by a medical practitioner setting out — </w:t>
      </w:r>
    </w:p>
    <w:p>
      <w:pPr>
        <w:pStyle w:val="Indenta"/>
      </w:pPr>
      <w:r>
        <w:tab/>
        <w:t>(a)</w:t>
      </w:r>
      <w:r>
        <w:tab/>
        <w:t>the treatment proposed to be provided to the former officer in respect of the injury; and</w:t>
      </w:r>
    </w:p>
    <w:p>
      <w:pPr>
        <w:pStyle w:val="Indenta"/>
      </w:pPr>
      <w:r>
        <w:tab/>
        <w:t>(b)</w:t>
      </w:r>
      <w:r>
        <w:tab/>
        <w:t>an estimate of the costs of that treatment.</w:t>
      </w:r>
    </w:p>
    <w:p>
      <w:pPr>
        <w:pStyle w:val="Heading5"/>
      </w:pPr>
      <w:bookmarkStart w:id="19" w:name="_Toc170307056"/>
      <w:r>
        <w:rPr>
          <w:rStyle w:val="CharSectno"/>
        </w:rPr>
        <w:t>9A</w:t>
      </w:r>
      <w:r>
        <w:t>.</w:t>
      </w:r>
      <w:r>
        <w:tab/>
        <w:t>Application for increase for special expenses under WCIM Act section 78</w:t>
      </w:r>
      <w:bookmarkEnd w:id="19"/>
    </w:p>
    <w:p>
      <w:pPr>
        <w:pStyle w:val="Subsection"/>
      </w:pPr>
      <w:r>
        <w:tab/>
        <w:t>(1)</w:t>
      </w:r>
      <w:r>
        <w:tab/>
        <w:t>If a claim has been made in respect of an injury to a former officer, the final day for making an application under the WCIM Act section 78 in relation to the injury is the last day of the period of 5 years after the day on which the claim is made.</w:t>
      </w:r>
    </w:p>
    <w:p>
      <w:pPr>
        <w:pStyle w:val="Subsection"/>
      </w:pPr>
      <w:r>
        <w:tab/>
        <w:t>(2)</w:t>
      </w:r>
      <w:r>
        <w:tab/>
        <w:t xml:space="preserve">The application must be accompanied by — </w:t>
      </w:r>
    </w:p>
    <w:p>
      <w:pPr>
        <w:pStyle w:val="Indenta"/>
      </w:pPr>
      <w:r>
        <w:tab/>
        <w:t>(a)</w:t>
      </w:r>
      <w:r>
        <w:tab/>
        <w:t>a statutory declaration in the approved form setting out the officer’s social and financial circumstances and reasonable financial needs; and</w:t>
      </w:r>
    </w:p>
    <w:p>
      <w:pPr>
        <w:pStyle w:val="Indenta"/>
      </w:pPr>
      <w:r>
        <w:tab/>
        <w:t>(b)</w:t>
      </w:r>
      <w:r>
        <w:tab/>
        <w:t>a written statement signed by a medical practitioner demonstrating the matters prescribed for the purposes of the WCIM Act section 78(3)(c).</w:t>
      </w:r>
    </w:p>
    <w:p>
      <w:pPr>
        <w:pStyle w:val="Footnotesection"/>
      </w:pPr>
      <w:r>
        <w:tab/>
        <w:t>[Regulation 9A inserted: Gazette 3 Aug 2010 p. 3566-7; amended: SL 2024/121 r. 5.]</w:t>
      </w:r>
    </w:p>
    <w:p>
      <w:pPr>
        <w:pStyle w:val="Heading2"/>
      </w:pPr>
      <w:bookmarkStart w:id="20" w:name="_Toc170122824"/>
      <w:bookmarkStart w:id="21" w:name="_Toc170124776"/>
      <w:bookmarkStart w:id="22" w:name="_Toc170125228"/>
      <w:bookmarkStart w:id="23" w:name="_Toc170307057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Dispute resolution</w:t>
      </w:r>
      <w:bookmarkEnd w:id="20"/>
      <w:bookmarkEnd w:id="21"/>
      <w:bookmarkEnd w:id="22"/>
      <w:bookmarkEnd w:id="23"/>
    </w:p>
    <w:p>
      <w:pPr>
        <w:pStyle w:val="Heading5"/>
      </w:pPr>
      <w:bookmarkStart w:id="24" w:name="_Toc170307058"/>
      <w:r>
        <w:rPr>
          <w:rStyle w:val="CharSectno"/>
        </w:rPr>
        <w:t>9</w:t>
      </w:r>
      <w:r>
        <w:t>.</w:t>
      </w:r>
      <w:r>
        <w:tab/>
        <w:t>Application of this Part</w:t>
      </w:r>
      <w:bookmarkEnd w:id="24"/>
    </w:p>
    <w:p>
      <w:pPr>
        <w:pStyle w:val="Subsection"/>
      </w:pPr>
      <w:r>
        <w:tab/>
      </w:r>
      <w:r>
        <w:tab/>
        <w:t>This Part applies in relation to the determination of a dispute referred to in section 7 of the Act.</w:t>
      </w:r>
    </w:p>
    <w:p>
      <w:pPr>
        <w:pStyle w:val="Heading5"/>
        <w:rPr>
          <w:rStyle w:val="DraftersNotes"/>
          <w:b/>
          <w:i w:val="0"/>
          <w:sz w:val="24"/>
        </w:rPr>
      </w:pPr>
      <w:bookmarkStart w:id="25" w:name="_Toc169798600"/>
      <w:bookmarkStart w:id="26" w:name="_Toc169799031"/>
      <w:bookmarkStart w:id="27" w:name="_Toc170307059"/>
      <w:r>
        <w:rPr>
          <w:rStyle w:val="CharSectno"/>
        </w:rPr>
        <w:t>10</w:t>
      </w:r>
      <w:r>
        <w:t>.</w:t>
      </w:r>
      <w:r>
        <w:tab/>
        <w:t>Applied provisions of WCIM Act</w:t>
      </w:r>
      <w:bookmarkEnd w:id="25"/>
      <w:bookmarkEnd w:id="26"/>
      <w:bookmarkEnd w:id="27"/>
    </w:p>
    <w:p>
      <w:pPr>
        <w:pStyle w:val="Subsection"/>
      </w:pPr>
      <w:r>
        <w:tab/>
      </w:r>
      <w:r>
        <w:tab/>
        <w:t xml:space="preserve">The provisions (the </w:t>
      </w:r>
      <w:r>
        <w:rPr>
          <w:rStyle w:val="CharDefText"/>
        </w:rPr>
        <w:t>applied provisions</w:t>
      </w:r>
      <w:r>
        <w:t xml:space="preserve">) of the WCIM Act that apply under section 7 of the Act in relation to the determination of a dispute include the following — </w:t>
      </w:r>
    </w:p>
    <w:p>
      <w:pPr>
        <w:pStyle w:val="Indenta"/>
      </w:pPr>
      <w:r>
        <w:tab/>
        <w:t>(a)</w:t>
      </w:r>
      <w:r>
        <w:tab/>
        <w:t>sections 146, 180 and 181;</w:t>
      </w:r>
    </w:p>
    <w:p>
      <w:pPr>
        <w:pStyle w:val="Indenta"/>
      </w:pPr>
      <w:r>
        <w:tab/>
        <w:t>(b)</w:t>
      </w:r>
      <w:r>
        <w:tab/>
        <w:t>Part 6 (except section 379);</w:t>
      </w:r>
    </w:p>
    <w:p>
      <w:pPr>
        <w:pStyle w:val="Indenta"/>
      </w:pPr>
      <w:r>
        <w:tab/>
        <w:t>(c)</w:t>
      </w:r>
      <w:r>
        <w:tab/>
        <w:t>any other provision to the extent that the application is necessary to give effect to a provision referred to in paragraph (a) or (b).</w:t>
      </w:r>
    </w:p>
    <w:p>
      <w:pPr>
        <w:pStyle w:val="Footnotesection"/>
      </w:pPr>
      <w:r>
        <w:tab/>
        <w:t>[Regulation 10 inserted: SL 2024/121 r. 6.]</w:t>
      </w:r>
    </w:p>
    <w:p>
      <w:pPr>
        <w:pStyle w:val="Heading5"/>
      </w:pPr>
      <w:bookmarkStart w:id="28" w:name="_Toc169798601"/>
      <w:bookmarkStart w:id="29" w:name="_Toc169799032"/>
      <w:bookmarkStart w:id="30" w:name="_Toc170307060"/>
      <w:r>
        <w:rPr>
          <w:rStyle w:val="CharSectno"/>
        </w:rPr>
        <w:t>11</w:t>
      </w:r>
      <w:r>
        <w:t>.</w:t>
      </w:r>
      <w:r>
        <w:tab/>
        <w:t>References to terms used in applied provisions</w:t>
      </w:r>
      <w:bookmarkEnd w:id="28"/>
      <w:bookmarkEnd w:id="29"/>
      <w:bookmarkEnd w:id="30"/>
    </w:p>
    <w:p>
      <w:pPr>
        <w:pStyle w:val="Subsection"/>
      </w:pPr>
      <w:r>
        <w:tab/>
      </w:r>
      <w:r>
        <w:tab/>
        <w:t>A reference in the applied provisions to a claim under the WCIM Act Part 2 Division 4 for medical and health expenses compensation or the WCIM Act Part 2 Division 5 for miscellaneous expenses compensation (however the claim is described) is to be read as a reference to a claim as defined in section 3(1) of the Act.</w:t>
      </w:r>
    </w:p>
    <w:p>
      <w:pPr>
        <w:pStyle w:val="Footnotesection"/>
      </w:pPr>
      <w:r>
        <w:tab/>
        <w:t>[Regulation 11 inserted: SL 2024/121 r. 6.]</w:t>
      </w:r>
    </w:p>
    <w:p>
      <w:pPr>
        <w:pStyle w:val="Heading5"/>
      </w:pPr>
      <w:bookmarkStart w:id="31" w:name="_Toc169798602"/>
      <w:bookmarkStart w:id="32" w:name="_Toc169799033"/>
      <w:bookmarkStart w:id="33" w:name="_Toc170307061"/>
      <w:r>
        <w:rPr>
          <w:rStyle w:val="CharSectno"/>
        </w:rPr>
        <w:t>12</w:t>
      </w:r>
      <w:r>
        <w:t>.</w:t>
      </w:r>
      <w:r>
        <w:tab/>
        <w:t>Forms for use under applied provisions</w:t>
      </w:r>
      <w:bookmarkEnd w:id="31"/>
      <w:bookmarkEnd w:id="32"/>
      <w:bookmarkEnd w:id="33"/>
    </w:p>
    <w:p>
      <w:pPr>
        <w:pStyle w:val="Subsection"/>
      </w:pPr>
      <w:r>
        <w:tab/>
      </w:r>
      <w:r>
        <w:tab/>
        <w:t xml:space="preserve">The form to be used for an applied provision is — </w:t>
      </w:r>
    </w:p>
    <w:p>
      <w:pPr>
        <w:pStyle w:val="Indenta"/>
      </w:pPr>
      <w:r>
        <w:tab/>
        <w:t>(a)</w:t>
      </w:r>
      <w:r>
        <w:tab/>
        <w:t>if the Police Commissioner has approved a form for use under the applied provision — that form; or</w:t>
      </w:r>
    </w:p>
    <w:p>
      <w:pPr>
        <w:pStyle w:val="Indenta"/>
        <w:keepNext/>
      </w:pPr>
      <w:r>
        <w:lastRenderedPageBreak/>
        <w:tab/>
        <w:t>(b)</w:t>
      </w:r>
      <w:r>
        <w:tab/>
        <w:t>otherwise — a form prescribed or approved under the WCIM Act for use under the applied provision, with the necessary changes.</w:t>
      </w:r>
    </w:p>
    <w:p>
      <w:pPr>
        <w:pStyle w:val="Footnotesection"/>
      </w:pPr>
      <w:r>
        <w:tab/>
        <w:t>[Regulation 12 inserted: SL 2024/121 r. 6.]</w:t>
      </w:r>
    </w:p>
    <w:p>
      <w:pPr>
        <w:pStyle w:val="Heading5"/>
      </w:pPr>
      <w:bookmarkStart w:id="34" w:name="_Toc169798603"/>
      <w:bookmarkStart w:id="35" w:name="_Toc169799034"/>
      <w:bookmarkStart w:id="36" w:name="_Toc170307062"/>
      <w:r>
        <w:rPr>
          <w:rStyle w:val="CharSectno"/>
        </w:rPr>
        <w:t>13</w:t>
      </w:r>
      <w:r>
        <w:t>.</w:t>
      </w:r>
      <w:r>
        <w:tab/>
        <w:t>Information for use under applied provisions</w:t>
      </w:r>
      <w:bookmarkEnd w:id="34"/>
      <w:bookmarkEnd w:id="35"/>
      <w:bookmarkEnd w:id="36"/>
    </w:p>
    <w:p>
      <w:pPr>
        <w:pStyle w:val="Subsection"/>
      </w:pPr>
      <w:r>
        <w:tab/>
        <w:t>(1)</w:t>
      </w:r>
      <w:r>
        <w:tab/>
        <w:t xml:space="preserve">The information for use under an applied provision is — </w:t>
      </w:r>
    </w:p>
    <w:p>
      <w:pPr>
        <w:pStyle w:val="Indenta"/>
      </w:pPr>
      <w:r>
        <w:tab/>
        <w:t>(a)</w:t>
      </w:r>
      <w:r>
        <w:tab/>
        <w:t>if the Police Commissioner has approved information for use under the applied provision — that information; or</w:t>
      </w:r>
    </w:p>
    <w:p>
      <w:pPr>
        <w:pStyle w:val="Indenta"/>
      </w:pPr>
      <w:r>
        <w:tab/>
        <w:t>(b)</w:t>
      </w:r>
      <w:r>
        <w:tab/>
        <w:t>otherwise — information prescribed under the WCIM Act for use under that applied provision, with the necessary changes.</w:t>
      </w:r>
    </w:p>
    <w:p>
      <w:pPr>
        <w:pStyle w:val="Subsection"/>
      </w:pPr>
      <w:r>
        <w:tab/>
        <w:t>(2)</w:t>
      </w:r>
      <w:r>
        <w:tab/>
        <w:t>For the purposes of this regulation, information for use under an applied provision is —</w:t>
      </w:r>
    </w:p>
    <w:p>
      <w:pPr>
        <w:pStyle w:val="Indenta"/>
      </w:pPr>
      <w:r>
        <w:tab/>
        <w:t>(a)</w:t>
      </w:r>
      <w:r>
        <w:tab/>
        <w:t>information that must be included in or accompany a form to be used under the applied provision; or</w:t>
      </w:r>
    </w:p>
    <w:p>
      <w:pPr>
        <w:pStyle w:val="Indenta"/>
      </w:pPr>
      <w:r>
        <w:tab/>
        <w:t>(b)</w:t>
      </w:r>
      <w:r>
        <w:tab/>
        <w:t>information to be otherwise provided for the purposes of the applied provision.</w:t>
      </w:r>
    </w:p>
    <w:p>
      <w:pPr>
        <w:pStyle w:val="Footnotesection"/>
      </w:pPr>
      <w:r>
        <w:tab/>
        <w:t>[Regulation 13 inserted: SL 2024/121 r. 6.]</w:t>
      </w:r>
    </w:p>
    <w:p>
      <w:pPr>
        <w:pStyle w:val="Heading5"/>
      </w:pPr>
      <w:bookmarkStart w:id="37" w:name="_Toc170307063"/>
      <w:r>
        <w:rPr>
          <w:rStyle w:val="CharSectno"/>
        </w:rPr>
        <w:t>14</w:t>
      </w:r>
      <w:r>
        <w:t>.</w:t>
      </w:r>
      <w:r>
        <w:tab/>
        <w:t>No restriction on award of common law damages</w:t>
      </w:r>
      <w:bookmarkEnd w:id="37"/>
    </w:p>
    <w:p>
      <w:pPr>
        <w:pStyle w:val="Subsection"/>
      </w:pPr>
      <w:r>
        <w:tab/>
      </w:r>
      <w:r>
        <w:tab/>
        <w:t>To avoid doubt, the applied provisions do not apply in relation to the determination of a dispute referred to in section 7 of the Act so as to limit the amount of damages that may be awarded independently of the Act.</w:t>
      </w:r>
    </w:p>
    <w:p>
      <w:pPr>
        <w:pStyle w:val="Heading5"/>
      </w:pPr>
      <w:bookmarkStart w:id="38" w:name="_Toc170307064"/>
      <w:r>
        <w:rPr>
          <w:rStyle w:val="CharSectno"/>
        </w:rPr>
        <w:t>15</w:t>
      </w:r>
      <w:r>
        <w:t>.</w:t>
      </w:r>
      <w:r>
        <w:tab/>
        <w:t>Evidence admissible in common law proceedings</w:t>
      </w:r>
      <w:bookmarkEnd w:id="38"/>
    </w:p>
    <w:p>
      <w:pPr>
        <w:pStyle w:val="Subsection"/>
      </w:pPr>
      <w:r>
        <w:tab/>
      </w:r>
      <w:r>
        <w:tab/>
        <w:t>Evidence of a statement made in a proceeding before an arbitrator under this Part is admissible in an action for damages brought independently of the Act.</w:t>
      </w:r>
    </w:p>
    <w:p>
      <w:pPr>
        <w:pStyle w:val="Heading2"/>
      </w:pPr>
      <w:bookmarkStart w:id="39" w:name="_Toc170122832"/>
      <w:bookmarkStart w:id="40" w:name="_Toc170124784"/>
      <w:bookmarkStart w:id="41" w:name="_Toc170125236"/>
      <w:bookmarkStart w:id="42" w:name="_Toc170307065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Miscellaneous matters</w:t>
      </w:r>
      <w:bookmarkEnd w:id="39"/>
      <w:bookmarkEnd w:id="40"/>
      <w:bookmarkEnd w:id="41"/>
      <w:bookmarkEnd w:id="42"/>
    </w:p>
    <w:p>
      <w:pPr>
        <w:pStyle w:val="Heading5"/>
      </w:pPr>
      <w:bookmarkStart w:id="43" w:name="_Toc170307066"/>
      <w:r>
        <w:rPr>
          <w:rStyle w:val="CharSectno"/>
        </w:rPr>
        <w:t>16</w:t>
      </w:r>
      <w:r>
        <w:t>.</w:t>
      </w:r>
      <w:r>
        <w:tab/>
        <w:t>Approval of forms</w:t>
      </w:r>
      <w:bookmarkEnd w:id="43"/>
    </w:p>
    <w:p>
      <w:pPr>
        <w:pStyle w:val="Subsection"/>
        <w:rPr>
          <w:b/>
          <w:bCs/>
        </w:rPr>
      </w:pPr>
      <w:r>
        <w:tab/>
        <w:t>(1)</w:t>
      </w:r>
      <w:r>
        <w:tab/>
        <w:t>The Police Commissioner may approve forms for use under the Act.</w:t>
      </w:r>
    </w:p>
    <w:p>
      <w:pPr>
        <w:pStyle w:val="Subsection"/>
      </w:pPr>
      <w:r>
        <w:tab/>
        <w:t>(2)</w:t>
      </w:r>
      <w:r>
        <w:tab/>
        <w:t>An approved form may be a statutory declaration.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4" w:name="_Toc170307067"/>
      <w:bookmarkStart w:id="45" w:name="_Toc170122836"/>
      <w:bookmarkStart w:id="46" w:name="_Toc170124788"/>
      <w:bookmarkStart w:id="47" w:name="_Toc170125240"/>
      <w:r>
        <w:lastRenderedPageBreak/>
        <w:t>Notes</w:t>
      </w:r>
      <w:bookmarkEnd w:id="4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Police (Medical and Other Expenses for Former Officers) Regulations 2009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48" w:name="_Toc170307068"/>
      <w:r>
        <w:t>Compilation table</w:t>
      </w:r>
      <w:bookmarkEnd w:id="48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Police (Medical and Other Expenses for Former Officers) Regulations 2009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Cs/>
              </w:rPr>
              <w:t>23 Jun 2009 p. 2513</w:t>
            </w:r>
            <w:r>
              <w:rPr>
                <w:bCs/>
              </w:rPr>
              <w:noBreakHyphen/>
              <w:t>23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Cs/>
                <w:snapToGrid w:val="0"/>
                <w:spacing w:val="-2"/>
              </w:rPr>
              <w:t xml:space="preserve">1 Jul 2009 (see r. 2 and </w:t>
            </w:r>
            <w:r>
              <w:rPr>
                <w:bCs/>
                <w:i/>
                <w:iCs/>
                <w:snapToGrid w:val="0"/>
                <w:spacing w:val="-2"/>
              </w:rPr>
              <w:t xml:space="preserve">Gazette </w:t>
            </w:r>
            <w:r>
              <w:rPr>
                <w:bCs/>
                <w:snapToGrid w:val="0"/>
                <w:spacing w:val="-2"/>
              </w:rPr>
              <w:t>23 Jun 2009 p. 2424)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Police (Medical and Other Expenses for Former Officers) Amendment Regulations 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Cs/>
              </w:rPr>
              <w:t>3 Aug 2010 p. 3566-7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 2: 3 Aug 2010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4 Aug 2010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Cs/>
                <w:i/>
                <w:iCs/>
              </w:rPr>
            </w:pPr>
            <w:r>
              <w:rPr>
                <w:i/>
              </w:rPr>
              <w:t>Police (Medical and Other Expenses for Former Officers) Amendment Regulations 2024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Cs/>
              </w:rPr>
              <w:t>SL 2024/121 26 Jun 2024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 2: 26 Jun 2024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2024 (see 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50" w:name="_Toc170307069"/>
      <w:bookmarkEnd w:id="45"/>
      <w:bookmarkEnd w:id="46"/>
      <w:bookmarkEnd w:id="47"/>
      <w:r>
        <w:rPr>
          <w:sz w:val="28"/>
        </w:rPr>
        <w:lastRenderedPageBreak/>
        <w:t>Defined terms</w:t>
      </w:r>
      <w:bookmarkEnd w:id="5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applied provisions</w:t>
      </w:r>
      <w:r>
        <w:tab/>
        <w:t>3, 10</w:t>
      </w:r>
    </w:p>
    <w:p>
      <w:pPr>
        <w:pStyle w:val="DefinedTerms"/>
      </w:pPr>
      <w:r>
        <w:t>approved form</w:t>
      </w:r>
      <w:r>
        <w:tab/>
        <w:t>3</w:t>
      </w:r>
    </w:p>
    <w:p>
      <w:pPr>
        <w:pStyle w:val="DefinedTerms"/>
      </w:pPr>
      <w:r>
        <w:t>prescribed period</w:t>
      </w:r>
      <w:r>
        <w:tab/>
        <w:t>5(1)</w:t>
      </w:r>
    </w:p>
    <w:p/>
    <w:p>
      <w:pPr>
        <w:pStyle w:val="DefinedTerms"/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3DD42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5696AEB" w14:textId="56800EDA" w:rsidR="00A84E8E" w:rsidRDefault="00A84E8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629A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8377623" w14:textId="77777777" w:rsidR="00A84E8E" w:rsidRDefault="00A84E8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2BC0277" w14:textId="245D7CF5" w:rsidR="00A84E8E" w:rsidRDefault="00A84E8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629A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1B782B1" w14:textId="77777777" w:rsidR="00A84E8E" w:rsidRDefault="00A84E8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2381" w:right="2410" w:bottom="3544" w:left="2410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(Medical and Other Expenses for Former Officers)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(Medical and Other Expenses for Former Officers)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(Medical and Other Expenses for Former Officers)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(Medical and Other Expenses for Former Officers)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(Medical and Other Expenses for Former Officers) Regulations 2009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(Medical and Other Expenses for Former Officers) Regulations 2009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9" w:name="Compilation"/>
    <w:bookmarkEnd w:id="4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(Medical and Other Expenses for Former Officers)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(Medical and Other Expenses for Former Officers)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51" w:name="DefinedTerms"/>
    <w:bookmarkEnd w:id="51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2" w:name="Coversheet"/>
    <w:bookmarkEnd w:id="5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E6E31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02A568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0CA22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42AA73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B8F7F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FDCFB5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020E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0885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19232B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2305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20663F6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624115035"/>
    <w:docVar w:name="WAFER_20150715123534" w:val="ResetPageSize,UpdateArrangement,UpdateNTable"/>
    <w:docVar w:name="WAFER_20150715123534_GUID" w:val="fd637554-e731-4046-9dc4-e95bd757574e"/>
    <w:docVar w:name="WAFER_20151109114059" w:val="UpdateStyles,UsedStyles"/>
    <w:docVar w:name="WAFER_20151109114059_GUID" w:val="380c4b70-3172-4296-8c54-c97751b85c1b"/>
    <w:docVar w:name="WAFER_202406241150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,RemoveIncorrectStyles.ProcessStyles"/>
    <w:docVar w:name="WAFER_20240624115035_GUID" w:val="9c766b2b-275d-40c0-b36a-f5b71ca1362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C1F96840-7750-445D-A912-C9714B0D6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1719</Words>
  <Characters>8340</Characters>
  <Application>Microsoft Office Word</Application>
  <DocSecurity>0</DocSecurity>
  <Lines>269</Lines>
  <Paragraphs>176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Drafting Template (Regs)</vt:lpstr>
      <vt:lpstr>    Part 1 — Preliminary matters</vt:lpstr>
      <vt:lpstr>    Part 2 — Claims procedure</vt:lpstr>
      <vt:lpstr>    Part 3 — Dispute resolution</vt:lpstr>
      <vt:lpstr>    Part 4 — Miscellaneous matters</vt:lpstr>
      <vt:lpstr>    Notes</vt:lpstr>
    </vt:vector>
  </TitlesOfParts>
  <Manager/>
  <Company/>
  <LinksUpToDate>false</LinksUpToDate>
  <CharactersWithSpaces>9883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(Medical and Other Expenses for Former Officers) Regulations 2009 - 00-c0-00</dc:title>
  <dc:subject/>
  <dc:creator/>
  <cp:keywords/>
  <dc:description/>
  <cp:lastModifiedBy>Master Repository Process</cp:lastModifiedBy>
  <cp:revision>4</cp:revision>
  <cp:lastPrinted>2009-06-08T04:27:00Z</cp:lastPrinted>
  <dcterms:created xsi:type="dcterms:W3CDTF">2025-05-28T05:49:00Z</dcterms:created>
  <dcterms:modified xsi:type="dcterms:W3CDTF">2025-05-28T05:49:00Z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Jun 2009 p 2513-23</vt:lpwstr>
  </property>
  <property fmtid="{D5CDD505-2E9C-101B-9397-08002B2CF9AE}" pid="3" name="DocumentType">
    <vt:lpwstr>Reg</vt:lpwstr>
  </property>
  <property fmtid="{D5CDD505-2E9C-101B-9397-08002B2CF9AE}" pid="4" name="OwlsUID">
    <vt:i4>41415</vt:i4>
  </property>
  <property fmtid="{D5CDD505-2E9C-101B-9397-08002B2CF9AE}" pid="5" name="AsAtDate">
    <vt:lpwstr>01 Jul 2024</vt:lpwstr>
  </property>
  <property fmtid="{D5CDD505-2E9C-101B-9397-08002B2CF9AE}" pid="6" name="Suffix">
    <vt:lpwstr>00-c0-00</vt:lpwstr>
  </property>
  <property fmtid="{D5CDD505-2E9C-101B-9397-08002B2CF9AE}" pid="7" name="Official">
    <vt:lpwstr/>
  </property>
  <property fmtid="{D5CDD505-2E9C-101B-9397-08002B2CF9AE}" pid="8" name="CommencementDate">
    <vt:lpwstr>20240701</vt:lpwstr>
  </property>
  <property fmtid="{D5CDD505-2E9C-101B-9397-08002B2CF9AE}" pid="9" name="CommencementAsAt">
    <vt:filetime>2024-06-30T16:00:00Z</vt:filetime>
  </property>
  <property fmtid="{D5CDD505-2E9C-101B-9397-08002B2CF9AE}" pid="10" name="CommencementYear">
    <vt:lpwstr>2024</vt:lpwstr>
  </property>
</Properties>
</file>