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_Toc170204490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_Toc170204491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_Toc170204492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_Toc170204493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Prescribed information required when applying to enrol (Act s. 16(1)(h))</w:t>
      </w:r>
      <w:r>
        <w:tab/>
      </w:r>
      <w:r>
        <w:fldChar w:fldCharType="begin"/>
      </w:r>
      <w:r>
        <w:instrText xml:space="preserve"> PAGEREF _Toc170204496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_Toc170204497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_Toc170204498 \h </w:instrText>
      </w:r>
      <w:r>
        <w:fldChar w:fldCharType="separate"/>
      </w:r>
      <w:r>
        <w:t>7</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_Toc170204499 \h </w:instrText>
      </w:r>
      <w:r>
        <w:fldChar w:fldCharType="separate"/>
      </w:r>
      <w:r>
        <w:t>7</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_Toc170204500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_Toc170204501 \h </w:instrText>
      </w:r>
      <w:r>
        <w:fldChar w:fldCharType="separate"/>
      </w:r>
      <w:r>
        <w:t>8</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_Toc170204502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_Toc170204504 \h </w:instrText>
      </w:r>
      <w:r>
        <w:fldChar w:fldCharType="separate"/>
      </w:r>
      <w:r>
        <w:t>9</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_Toc170204505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11C.</w:t>
      </w:r>
      <w:r>
        <w:tab/>
        <w:t>When participation in 2 or more options is full-time (Act s. 11C)</w:t>
      </w:r>
      <w:r>
        <w:tab/>
      </w:r>
      <w:r>
        <w:fldChar w:fldCharType="begin"/>
      </w:r>
      <w:r>
        <w:instrText xml:space="preserve"> PAGEREF _Toc170204506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_Toc170204507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_Toc170204509 \h </w:instrText>
      </w:r>
      <w:r>
        <w:fldChar w:fldCharType="separate"/>
      </w:r>
      <w:r>
        <w:t>11</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_Toc170204510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_Toc170204511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holder of or applicant for Schedule 2 visa</w:t>
      </w:r>
      <w:r>
        <w:tab/>
      </w:r>
      <w:r>
        <w:fldChar w:fldCharType="begin"/>
      </w:r>
      <w:r>
        <w:instrText xml:space="preserve"> PAGEREF _Toc170204512 \h </w:instrText>
      </w:r>
      <w:r>
        <w:fldChar w:fldCharType="separate"/>
      </w:r>
      <w:r>
        <w:t>12</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_Toc170204513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_Toc170204514 \h </w:instrText>
      </w:r>
      <w:r>
        <w:fldChar w:fldCharType="separate"/>
      </w:r>
      <w:r>
        <w:t>14</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_Toc170204515 \h </w:instrText>
      </w:r>
      <w:r>
        <w:fldChar w:fldCharType="separate"/>
      </w:r>
      <w:r>
        <w:t>15</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_Toc170204516 \h </w:instrText>
      </w:r>
      <w:r>
        <w:fldChar w:fldCharType="separate"/>
      </w:r>
      <w:r>
        <w:t>15</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_Toc170204517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_Toc170204519 \h </w:instrText>
      </w:r>
      <w:r>
        <w:fldChar w:fldCharType="separate"/>
      </w:r>
      <w:r>
        <w:t>17</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_Toc170204520 \h </w:instrText>
      </w:r>
      <w:r>
        <w:fldChar w:fldCharType="separate"/>
      </w:r>
      <w:r>
        <w:t>17</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_Toc170204521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_Toc170204524 \h </w:instrText>
      </w:r>
      <w:r>
        <w:fldChar w:fldCharType="separate"/>
      </w:r>
      <w:r>
        <w:t>19</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_Toc170204525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26.</w:t>
      </w:r>
      <w:r>
        <w:tab/>
        <w:t>Minimum hours prescribed for instruction of child in primary or secondary programme</w:t>
      </w:r>
      <w:r>
        <w:rPr>
          <w:spacing w:val="-4"/>
        </w:rPr>
        <w:t xml:space="preserve"> (Act </w:t>
      </w:r>
      <w:r>
        <w:t>s. 123(2)(b))</w:t>
      </w:r>
      <w:r>
        <w:tab/>
      </w:r>
      <w:r>
        <w:fldChar w:fldCharType="begin"/>
      </w:r>
      <w:r>
        <w:instrText xml:space="preserve"> PAGEREF _Toc170204526 \h </w:instrText>
      </w:r>
      <w:r>
        <w:fldChar w:fldCharType="separate"/>
      </w:r>
      <w:r>
        <w:t>19</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_Toc170204527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_Toc170204529 \h </w:instrText>
      </w:r>
      <w:r>
        <w:fldChar w:fldCharType="separate"/>
      </w:r>
      <w:r>
        <w:t>20</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_Toc170204530 \h </w:instrText>
      </w:r>
      <w:r>
        <w:fldChar w:fldCharType="separate"/>
      </w:r>
      <w:r>
        <w:t>21</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_Toc170204531 \h </w:instrText>
      </w:r>
      <w:r>
        <w:fldChar w:fldCharType="separate"/>
      </w:r>
      <w:r>
        <w:t>21</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_Toc170204532 \h </w:instrText>
      </w:r>
      <w:r>
        <w:fldChar w:fldCharType="separate"/>
      </w:r>
      <w:r>
        <w:t>22</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_Toc170204533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_Toc170204536 \h </w:instrText>
      </w:r>
      <w:r>
        <w:fldChar w:fldCharType="separate"/>
      </w:r>
      <w:r>
        <w:t>23</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_Toc170204537 \h </w:instrText>
      </w:r>
      <w:r>
        <w:fldChar w:fldCharType="separate"/>
      </w:r>
      <w:r>
        <w:t>23</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_Toc170204538 \h </w:instrText>
      </w:r>
      <w:r>
        <w:fldChar w:fldCharType="separate"/>
      </w:r>
      <w:r>
        <w:t>23</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_Toc170204539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_Toc170204541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_Toc170204543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_Toc170204546 \h </w:instrText>
      </w:r>
      <w:r>
        <w:fldChar w:fldCharType="separate"/>
      </w:r>
      <w:r>
        <w:t>28</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_Toc170204547 \h </w:instrText>
      </w:r>
      <w:r>
        <w:fldChar w:fldCharType="separate"/>
      </w:r>
      <w:r>
        <w:t>28</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_Toc170204548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_Toc170204550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44.</w:t>
      </w:r>
      <w:r>
        <w:tab/>
        <w:t>Suspension, rules for imposing etc. (Act s. 90(2))</w:t>
      </w:r>
      <w:r>
        <w:tab/>
      </w:r>
      <w:r>
        <w:fldChar w:fldCharType="begin"/>
      </w:r>
      <w:r>
        <w:instrText xml:space="preserve"> PAGEREF _Toc170204551 \h </w:instrText>
      </w:r>
      <w:r>
        <w:fldChar w:fldCharType="separate"/>
      </w:r>
      <w:r>
        <w:t>31</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_Toc170204552 \h </w:instrText>
      </w:r>
      <w:r>
        <w:fldChar w:fldCharType="separate"/>
      </w:r>
      <w:r>
        <w:t>32</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_Toc170204553 \h </w:instrText>
      </w:r>
      <w:r>
        <w:fldChar w:fldCharType="separate"/>
      </w:r>
      <w:r>
        <w:t>32</w:t>
      </w:r>
      <w:r>
        <w:fldChar w:fldCharType="end"/>
      </w:r>
    </w:p>
    <w:p>
      <w:pPr>
        <w:pStyle w:val="TOC8"/>
        <w:rPr>
          <w:rFonts w:asciiTheme="minorHAnsi" w:eastAsiaTheme="minorEastAsia" w:hAnsiTheme="minorHAnsi" w:cstheme="minorBidi"/>
          <w:szCs w:val="22"/>
        </w:rPr>
      </w:pPr>
      <w:r>
        <w:t>46A.</w:t>
      </w:r>
      <w:r>
        <w:tab/>
        <w:t>Suspension of student charged with or convicted of sexual offence</w:t>
      </w:r>
      <w:r>
        <w:tab/>
      </w:r>
      <w:r>
        <w:fldChar w:fldCharType="begin"/>
      </w:r>
      <w:r>
        <w:instrText xml:space="preserve"> PAGEREF _Toc170204554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_Toc170204556 \h </w:instrText>
      </w:r>
      <w:r>
        <w:fldChar w:fldCharType="separate"/>
      </w:r>
      <w:r>
        <w:t>34</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_Toc170204557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_Toc170204559 \h </w:instrText>
      </w:r>
      <w:r>
        <w:fldChar w:fldCharType="separate"/>
      </w:r>
      <w:r>
        <w:t>35</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_Toc170204560 \h </w:instrText>
      </w:r>
      <w:r>
        <w:fldChar w:fldCharType="separate"/>
      </w:r>
      <w:r>
        <w:t>35</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_Toc170204561 \h </w:instrText>
      </w:r>
      <w:r>
        <w:fldChar w:fldCharType="separate"/>
      </w:r>
      <w:r>
        <w:t>35</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_Toc170204562 \h </w:instrText>
      </w:r>
      <w:r>
        <w:fldChar w:fldCharType="separate"/>
      </w:r>
      <w:r>
        <w:t>36</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_Toc170204563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_Toc170204565 \h </w:instrText>
      </w:r>
      <w:r>
        <w:fldChar w:fldCharType="separate"/>
      </w:r>
      <w:r>
        <w:t>37</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_Toc170204566 \h </w:instrText>
      </w:r>
      <w:r>
        <w:fldChar w:fldCharType="separate"/>
      </w:r>
      <w:r>
        <w:t>37</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_Toc170204567 \h </w:instrText>
      </w:r>
      <w:r>
        <w:fldChar w:fldCharType="separate"/>
      </w:r>
      <w:r>
        <w:t>38</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_Toc170204568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_Toc170204571 \h </w:instrText>
      </w:r>
      <w:r>
        <w:fldChar w:fldCharType="separate"/>
      </w:r>
      <w:r>
        <w:t>40</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_Toc170204572 \h </w:instrText>
      </w:r>
      <w:r>
        <w:fldChar w:fldCharType="separate"/>
      </w:r>
      <w:r>
        <w:t>40</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_Toc170204573 \h </w:instrText>
      </w:r>
      <w:r>
        <w:fldChar w:fldCharType="separate"/>
      </w:r>
      <w:r>
        <w:t>41</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_Toc170204574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_Toc170204576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63.</w:t>
      </w:r>
      <w:r>
        <w:tab/>
        <w:t>Fees for instruction prescribed (Act s. 103)</w:t>
      </w:r>
      <w:r>
        <w:tab/>
      </w:r>
      <w:r>
        <w:fldChar w:fldCharType="begin"/>
      </w:r>
      <w:r>
        <w:instrText xml:space="preserve"> PAGEREF _Toc170204577 \h </w:instrText>
      </w:r>
      <w:r>
        <w:fldChar w:fldCharType="separate"/>
      </w:r>
      <w:r>
        <w:t>43</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_Toc170204578 \h </w:instrText>
      </w:r>
      <w:r>
        <w:fldChar w:fldCharType="separate"/>
      </w:r>
      <w:r>
        <w:t>44</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_Toc170204579 \h </w:instrText>
      </w:r>
      <w:r>
        <w:fldChar w:fldCharType="separate"/>
      </w:r>
      <w:r>
        <w:t>45</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_Toc170204580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_Toc170204583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_Toc170204585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_Toc170204587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_Toc170204589 \h </w:instrText>
      </w:r>
      <w:r>
        <w:fldChar w:fldCharType="separate"/>
      </w:r>
      <w:r>
        <w:t>48</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_Toc170204590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_Toc170204592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_Toc170204594 \h </w:instrText>
      </w:r>
      <w:r>
        <w:fldChar w:fldCharType="separate"/>
      </w:r>
      <w:r>
        <w:t>52</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_Toc170204595 \h </w:instrText>
      </w:r>
      <w:r>
        <w:fldChar w:fldCharType="separate"/>
      </w:r>
      <w:r>
        <w:t>52</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_Toc170204596 \h </w:instrText>
      </w:r>
      <w:r>
        <w:fldChar w:fldCharType="separate"/>
      </w:r>
      <w:r>
        <w:t>52</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_Toc170204597 \h </w:instrText>
      </w:r>
      <w:r>
        <w:fldChar w:fldCharType="separate"/>
      </w:r>
      <w:r>
        <w:t>53</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_Toc170204598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_Toc170204600 \h </w:instrText>
      </w:r>
      <w:r>
        <w:fldChar w:fldCharType="separate"/>
      </w:r>
      <w:r>
        <w:t>54</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_Toc170204601 \h </w:instrText>
      </w:r>
      <w:r>
        <w:fldChar w:fldCharType="separate"/>
      </w:r>
      <w:r>
        <w:t>55</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_Toc170204602 \h </w:instrText>
      </w:r>
      <w:r>
        <w:fldChar w:fldCharType="separate"/>
      </w:r>
      <w:r>
        <w:t>56</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_Toc170204603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_Toc170204605 \h </w:instrText>
      </w:r>
      <w:r>
        <w:fldChar w:fldCharType="separate"/>
      </w:r>
      <w:r>
        <w:t>56</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_Toc170204606 \h </w:instrText>
      </w:r>
      <w:r>
        <w:fldChar w:fldCharType="separate"/>
      </w:r>
      <w:r>
        <w:t>57</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_Toc170204607 \h </w:instrText>
      </w:r>
      <w:r>
        <w:fldChar w:fldCharType="separate"/>
      </w:r>
      <w:r>
        <w:t>58</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_Toc170204608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_Toc170204610 \h </w:instrText>
      </w:r>
      <w:r>
        <w:fldChar w:fldCharType="separate"/>
      </w:r>
      <w:r>
        <w:t>59</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_Toc170204611 \h </w:instrText>
      </w:r>
      <w:r>
        <w:fldChar w:fldCharType="separate"/>
      </w:r>
      <w:r>
        <w:t>59</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_Toc170204612 \h </w:instrText>
      </w:r>
      <w:r>
        <w:fldChar w:fldCharType="separate"/>
      </w:r>
      <w:r>
        <w:t>60</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_Toc170204613 \h </w:instrText>
      </w:r>
      <w:r>
        <w:fldChar w:fldCharType="separate"/>
      </w:r>
      <w:r>
        <w:t>61</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_Toc170204614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_Toc170204616 \h </w:instrText>
      </w:r>
      <w:r>
        <w:fldChar w:fldCharType="separate"/>
      </w:r>
      <w:r>
        <w:t>61</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_Toc170204617 \h </w:instrText>
      </w:r>
      <w:r>
        <w:fldChar w:fldCharType="separate"/>
      </w:r>
      <w:r>
        <w:t>61</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_Toc170204618 \h </w:instrText>
      </w:r>
      <w:r>
        <w:fldChar w:fldCharType="separate"/>
      </w:r>
      <w:r>
        <w:t>62</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_Toc170204619 \h </w:instrText>
      </w:r>
      <w:r>
        <w:fldChar w:fldCharType="separate"/>
      </w:r>
      <w:r>
        <w:t>62</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_Toc170204620 \h </w:instrText>
      </w:r>
      <w:r>
        <w:fldChar w:fldCharType="separate"/>
      </w:r>
      <w:r>
        <w:t>63</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_Toc170204621 \h </w:instrText>
      </w:r>
      <w:r>
        <w:fldChar w:fldCharType="separate"/>
      </w:r>
      <w:r>
        <w:t>64</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_Toc170204622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_Toc170204624 \h </w:instrText>
      </w:r>
      <w:r>
        <w:fldChar w:fldCharType="separate"/>
      </w:r>
      <w:r>
        <w:t>65</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_Toc170204625 \h </w:instrText>
      </w:r>
      <w:r>
        <w:fldChar w:fldCharType="separate"/>
      </w:r>
      <w:r>
        <w:t>66</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_Toc170204626 \h </w:instrText>
      </w:r>
      <w:r>
        <w:fldChar w:fldCharType="separate"/>
      </w:r>
      <w:r>
        <w:t>67</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_Toc170204627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_Toc170204629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_Toc170204632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_Toc170204634 \h </w:instrText>
      </w:r>
      <w:r>
        <w:fldChar w:fldCharType="separate"/>
      </w:r>
      <w:r>
        <w:t>69</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_Toc170204635 \h </w:instrText>
      </w:r>
      <w:r>
        <w:fldChar w:fldCharType="separate"/>
      </w:r>
      <w:r>
        <w:t>69</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_Toc170204636 \h </w:instrText>
      </w:r>
      <w:r>
        <w:fldChar w:fldCharType="separate"/>
      </w:r>
      <w:r>
        <w:t>70</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_Toc170204637 \h </w:instrText>
      </w:r>
      <w:r>
        <w:fldChar w:fldCharType="separate"/>
      </w:r>
      <w:r>
        <w:t>70</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_Toc170204638 \h </w:instrText>
      </w:r>
      <w:r>
        <w:fldChar w:fldCharType="separate"/>
      </w:r>
      <w:r>
        <w:t>71</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_Toc170204639 \h </w:instrText>
      </w:r>
      <w:r>
        <w:fldChar w:fldCharType="separate"/>
      </w:r>
      <w:r>
        <w:t>72</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_Toc170204640 \h </w:instrText>
      </w:r>
      <w:r>
        <w:fldChar w:fldCharType="separate"/>
      </w:r>
      <w:r>
        <w:t>73</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_Toc170204641 \h </w:instrText>
      </w:r>
      <w:r>
        <w:fldChar w:fldCharType="separate"/>
      </w:r>
      <w:r>
        <w:t>74</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_Toc170204642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_Toc170204644 \h </w:instrText>
      </w:r>
      <w:r>
        <w:fldChar w:fldCharType="separate"/>
      </w:r>
      <w:r>
        <w:t>75</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_Toc170204645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_Toc170204647 \h </w:instrText>
      </w:r>
      <w:r>
        <w:fldChar w:fldCharType="separate"/>
      </w:r>
      <w:r>
        <w:t>76</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_Toc170204648 \h </w:instrText>
      </w:r>
      <w:r>
        <w:fldChar w:fldCharType="separate"/>
      </w:r>
      <w:r>
        <w:t>76</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_Toc170204649 \h </w:instrText>
      </w:r>
      <w:r>
        <w:fldChar w:fldCharType="separate"/>
      </w:r>
      <w:r>
        <w:t>77</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_Toc170204650 \h </w:instrText>
      </w:r>
      <w:r>
        <w:fldChar w:fldCharType="separate"/>
      </w:r>
      <w:r>
        <w:t>77</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_Toc170204651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_Toc170204653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_Toc170204655 \h </w:instrText>
      </w:r>
      <w:r>
        <w:fldChar w:fldCharType="separate"/>
      </w:r>
      <w:r>
        <w:t>80</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_Toc170204656 \h </w:instrText>
      </w:r>
      <w:r>
        <w:fldChar w:fldCharType="separate"/>
      </w:r>
      <w:r>
        <w:t>80</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_Toc170204657 \h </w:instrText>
      </w:r>
      <w:r>
        <w:fldChar w:fldCharType="separate"/>
      </w:r>
      <w:r>
        <w:t>80</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_Toc170204658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_Toc170204661 \h </w:instrText>
      </w:r>
      <w:r>
        <w:fldChar w:fldCharType="separate"/>
      </w:r>
      <w:r>
        <w:t>82</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_Toc170204662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_Toc170204664 \h </w:instrText>
      </w:r>
      <w:r>
        <w:fldChar w:fldCharType="separate"/>
      </w:r>
      <w:r>
        <w:t>82</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_Toc170204665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_Toc170204667 \h </w:instrText>
      </w:r>
      <w:r>
        <w:fldChar w:fldCharType="separate"/>
      </w:r>
      <w:r>
        <w:t>84</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_Toc170204668 \h </w:instrText>
      </w:r>
      <w:r>
        <w:fldChar w:fldCharType="separate"/>
      </w:r>
      <w:r>
        <w:t>85</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_Toc170204669 \h </w:instrText>
      </w:r>
      <w:r>
        <w:fldChar w:fldCharType="separate"/>
      </w:r>
      <w:r>
        <w:t>86</w:t>
      </w:r>
      <w:r>
        <w:fldChar w:fldCharType="end"/>
      </w:r>
    </w:p>
    <w:p>
      <w:pPr>
        <w:pStyle w:val="TOC8"/>
        <w:rPr>
          <w:rFonts w:asciiTheme="minorHAnsi" w:eastAsiaTheme="minorEastAsia" w:hAnsiTheme="minorHAnsi" w:cstheme="minorBidi"/>
          <w:szCs w:val="22"/>
        </w:rPr>
      </w:pPr>
      <w:r>
        <w:t>130A.</w:t>
      </w:r>
      <w:r>
        <w:tab/>
        <w:t xml:space="preserve">Transitional provision for </w:t>
      </w:r>
      <w:r>
        <w:rPr>
          <w:i/>
        </w:rPr>
        <w:t>School Education Amendment Regulations 2020</w:t>
      </w:r>
      <w:r>
        <w:tab/>
      </w:r>
      <w:r>
        <w:fldChar w:fldCharType="begin"/>
      </w:r>
      <w:r>
        <w:instrText xml:space="preserve"> PAGEREF _Toc170204670 \h </w:instrText>
      </w:r>
      <w:r>
        <w:fldChar w:fldCharType="separate"/>
      </w:r>
      <w:r>
        <w:t>87</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_Toc170204671 \h </w:instrText>
      </w:r>
      <w:r>
        <w:fldChar w:fldCharType="separate"/>
      </w:r>
      <w:r>
        <w:t>88</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_Toc170204672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_Toc170204675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_Toc170204677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_Toc170204679 \h </w:instrText>
      </w:r>
      <w:r>
        <w:fldChar w:fldCharType="separate"/>
      </w:r>
      <w:r>
        <w:t>90</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_Toc170204680 \h </w:instrText>
      </w:r>
      <w:r>
        <w:fldChar w:fldCharType="separate"/>
      </w:r>
      <w:r>
        <w:t>90</w:t>
      </w:r>
      <w:r>
        <w:fldChar w:fldCharType="end"/>
      </w:r>
    </w:p>
    <w:p>
      <w:pPr>
        <w:pStyle w:val="TOC8"/>
        <w:rPr>
          <w:rFonts w:asciiTheme="minorHAnsi" w:eastAsiaTheme="minorEastAsia" w:hAnsiTheme="minorHAnsi" w:cstheme="minorBidi"/>
          <w:szCs w:val="22"/>
        </w:rPr>
      </w:pPr>
      <w:r>
        <w:t>136.</w:t>
      </w:r>
      <w:r>
        <w:tab/>
        <w:t>Enrolment at kindergarten (Act s. 206(2)(b))</w:t>
      </w:r>
      <w:r>
        <w:tab/>
      </w:r>
      <w:r>
        <w:fldChar w:fldCharType="begin"/>
      </w:r>
      <w:r>
        <w:instrText xml:space="preserve"> PAGEREF _Toc170204681 \h </w:instrText>
      </w:r>
      <w:r>
        <w:fldChar w:fldCharType="separate"/>
      </w:r>
      <w:r>
        <w:t>90</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_Toc170204682 \h </w:instrText>
      </w:r>
      <w:r>
        <w:fldChar w:fldCharType="separate"/>
      </w:r>
      <w:r>
        <w:t>92</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_Toc170204683 \h </w:instrText>
      </w:r>
      <w:r>
        <w:fldChar w:fldCharType="separate"/>
      </w:r>
      <w:r>
        <w:t>92</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_Toc170204684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_Toc170204687 \h </w:instrText>
      </w:r>
      <w:r>
        <w:fldChar w:fldCharType="separate"/>
      </w:r>
      <w:r>
        <w:t>93</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_Toc170204688 \h </w:instrText>
      </w:r>
      <w:r>
        <w:fldChar w:fldCharType="separate"/>
      </w:r>
      <w:r>
        <w:t>94</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_Toc170204689 \h </w:instrText>
      </w:r>
      <w:r>
        <w:fldChar w:fldCharType="separate"/>
      </w:r>
      <w:r>
        <w:t>94</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_Toc170204690 \h </w:instrText>
      </w:r>
      <w:r>
        <w:fldChar w:fldCharType="separate"/>
      </w:r>
      <w:r>
        <w:t>95</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_Toc170204691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_Toc170204693 \h </w:instrText>
      </w:r>
      <w:r>
        <w:fldChar w:fldCharType="separate"/>
      </w:r>
      <w:r>
        <w:t>96</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_Toc170204694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_Toc170204696 \h </w:instrText>
      </w:r>
      <w:r>
        <w:fldChar w:fldCharType="separate"/>
      </w:r>
      <w:r>
        <w:t>98</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_Toc170204697 \h </w:instrText>
      </w:r>
      <w:r>
        <w:fldChar w:fldCharType="separate"/>
      </w:r>
      <w:r>
        <w:t>99</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_Toc170204698 \h </w:instrText>
      </w:r>
      <w:r>
        <w:fldChar w:fldCharType="separate"/>
      </w:r>
      <w:r>
        <w:t>100</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_Toc170204699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4"/>
        <w:tabs>
          <w:tab w:val="right" w:leader="dot" w:pos="7077"/>
        </w:tabs>
        <w:rPr>
          <w:rFonts w:asciiTheme="minorHAnsi" w:eastAsiaTheme="minorEastAsia" w:hAnsiTheme="minorHAnsi" w:cstheme="minorBidi"/>
          <w:b w:val="0"/>
          <w:szCs w:val="22"/>
        </w:rPr>
      </w:pPr>
      <w:r>
        <w:t>Division 1 — Visas held by child or person on whom child is dependent</w:t>
      </w:r>
    </w:p>
    <w:p>
      <w:pPr>
        <w:pStyle w:val="TOC4"/>
        <w:tabs>
          <w:tab w:val="right" w:leader="dot" w:pos="7077"/>
        </w:tabs>
        <w:rPr>
          <w:rFonts w:asciiTheme="minorHAnsi" w:eastAsiaTheme="minorEastAsia" w:hAnsiTheme="minorHAnsi" w:cstheme="minorBidi"/>
          <w:b w:val="0"/>
          <w:szCs w:val="22"/>
        </w:rPr>
      </w:pPr>
      <w:r>
        <w:t>Division 2 — Visas for which child or person on whom child is dependent has validly applied</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_Toc170204706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Education Act 1999</w:t>
      </w:r>
    </w:p>
    <w:p>
      <w:pPr>
        <w:pStyle w:val="NameofActReg"/>
      </w:pPr>
      <w:r>
        <w:t>School Education Regulations 2000</w:t>
      </w:r>
    </w:p>
    <w:p>
      <w:pPr>
        <w:pStyle w:val="Heading2"/>
        <w:pageBreakBefore w:val="0"/>
        <w:spacing w:before="240"/>
      </w:pPr>
      <w:bookmarkStart w:id="2" w:name="_Toc170134048"/>
      <w:bookmarkStart w:id="3" w:name="_Toc170134930"/>
      <w:bookmarkStart w:id="4" w:name="_Toc170204270"/>
      <w:bookmarkStart w:id="5" w:name="_Toc17020448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70204490"/>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7" w:name="_Toc17020449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170204492"/>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lastRenderedPageBreak/>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lastRenderedPageBreak/>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lastRenderedPageBreak/>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lastRenderedPageBreak/>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9" w:name="_Toc170204493"/>
      <w:r>
        <w:rPr>
          <w:rStyle w:val="CharSectno"/>
        </w:rPr>
        <w:t>4</w:t>
      </w:r>
      <w:r>
        <w:t>.</w:t>
      </w:r>
      <w:r>
        <w:tab/>
        <w:t>Notes etc. not part of regulations</w:t>
      </w:r>
      <w:bookmarkEnd w:id="9"/>
    </w:p>
    <w:p>
      <w:pPr>
        <w:pStyle w:val="Subsection"/>
      </w:pPr>
      <w:r>
        <w:tab/>
      </w:r>
      <w:r>
        <w:tab/>
        <w:t>Notes and examples in these regulations are provided to assist understanding and do not form part of the regulations.</w:t>
      </w:r>
    </w:p>
    <w:p>
      <w:pPr>
        <w:pStyle w:val="Heading2"/>
      </w:pPr>
      <w:bookmarkStart w:id="10" w:name="_Toc170134053"/>
      <w:bookmarkStart w:id="11" w:name="_Toc170134935"/>
      <w:bookmarkStart w:id="12" w:name="_Toc170204275"/>
      <w:bookmarkStart w:id="13" w:name="_Toc170204494"/>
      <w:r>
        <w:rPr>
          <w:rStyle w:val="CharPartNo"/>
        </w:rPr>
        <w:lastRenderedPageBreak/>
        <w:t>Part 2</w:t>
      </w:r>
      <w:r>
        <w:t xml:space="preserve"> — </w:t>
      </w:r>
      <w:r>
        <w:rPr>
          <w:rStyle w:val="CharPartText"/>
        </w:rPr>
        <w:t>Enrolment and attendance</w:t>
      </w:r>
      <w:bookmarkEnd w:id="10"/>
      <w:bookmarkEnd w:id="11"/>
      <w:bookmarkEnd w:id="12"/>
      <w:bookmarkEnd w:id="13"/>
    </w:p>
    <w:p>
      <w:pPr>
        <w:pStyle w:val="Heading3"/>
      </w:pPr>
      <w:bookmarkStart w:id="14" w:name="_Toc170134054"/>
      <w:bookmarkStart w:id="15" w:name="_Toc170134936"/>
      <w:bookmarkStart w:id="16" w:name="_Toc170204276"/>
      <w:bookmarkStart w:id="17" w:name="_Toc170204495"/>
      <w:r>
        <w:rPr>
          <w:rStyle w:val="CharDivNo"/>
        </w:rPr>
        <w:t>Division 1</w:t>
      </w:r>
      <w:r>
        <w:t xml:space="preserve"> — </w:t>
      </w:r>
      <w:r>
        <w:rPr>
          <w:rStyle w:val="CharDivText"/>
        </w:rPr>
        <w:t>Enrolment, all schools</w:t>
      </w:r>
      <w:bookmarkEnd w:id="14"/>
      <w:bookmarkEnd w:id="15"/>
      <w:bookmarkEnd w:id="16"/>
      <w:bookmarkEnd w:id="17"/>
    </w:p>
    <w:p>
      <w:pPr>
        <w:pStyle w:val="Heading5"/>
      </w:pPr>
      <w:bookmarkStart w:id="18" w:name="_Toc170204496"/>
      <w:r>
        <w:rPr>
          <w:rStyle w:val="CharSectno"/>
        </w:rPr>
        <w:t>5</w:t>
      </w:r>
      <w:r>
        <w:t>.</w:t>
      </w:r>
      <w:r>
        <w:tab/>
        <w:t>Prescribed information required when applying to enrol (Act s. 16(1)(h))</w:t>
      </w:r>
      <w:bookmarkEnd w:id="18"/>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19" w:name="_Toc170204497"/>
      <w:r>
        <w:rPr>
          <w:rStyle w:val="CharSectno"/>
        </w:rPr>
        <w:t>6</w:t>
      </w:r>
      <w:r>
        <w:t>.</w:t>
      </w:r>
      <w:r>
        <w:tab/>
        <w:t>Information prescribed, for enrolment register (Act s. 19(a))</w:t>
      </w:r>
      <w:bookmarkEnd w:id="1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20" w:name="_Toc170204498"/>
      <w:r>
        <w:rPr>
          <w:rStyle w:val="CharSectno"/>
        </w:rPr>
        <w:lastRenderedPageBreak/>
        <w:t>7</w:t>
      </w:r>
      <w:r>
        <w:t>.</w:t>
      </w:r>
      <w:r>
        <w:tab/>
        <w:t>Period prescribed, for retention of particulars (Act s. 19(b))</w:t>
      </w:r>
      <w:bookmarkEnd w:id="2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1" w:name="_Toc170204499"/>
      <w:r>
        <w:rPr>
          <w:rStyle w:val="CharSectno"/>
        </w:rPr>
        <w:t>8</w:t>
      </w:r>
      <w:r>
        <w:t>.</w:t>
      </w:r>
      <w:r>
        <w:tab/>
        <w:t>Closed school, CEO’s duties as to enrolment particulars of</w:t>
      </w:r>
      <w:bookmarkEnd w:id="21"/>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2" w:name="_Toc170204500"/>
      <w:r>
        <w:rPr>
          <w:rStyle w:val="CharSectno"/>
        </w:rPr>
        <w:t>9</w:t>
      </w:r>
      <w:r>
        <w:t>.</w:t>
      </w:r>
      <w:r>
        <w:tab/>
        <w:t>Permanent retention of government school enrolment particulars</w:t>
      </w:r>
      <w:bookmarkEnd w:id="2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lastRenderedPageBreak/>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23" w:name="_Toc170204501"/>
      <w:r>
        <w:rPr>
          <w:rStyle w:val="CharSectno"/>
        </w:rPr>
        <w:t>10</w:t>
      </w:r>
      <w:r>
        <w:t>.</w:t>
      </w:r>
      <w:r>
        <w:tab/>
        <w:t>Permanent retention of non-government school enrolment particulars</w:t>
      </w:r>
      <w:bookmarkEnd w:id="23"/>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24" w:name="_Toc170204502"/>
      <w:r>
        <w:rPr>
          <w:rStyle w:val="CharSectno"/>
        </w:rPr>
        <w:t>11</w:t>
      </w:r>
      <w:r>
        <w:t>.</w:t>
      </w:r>
      <w:r>
        <w:tab/>
        <w:t>Child changing schools, new principal to inform old principal of</w:t>
      </w:r>
      <w:bookmarkEnd w:id="2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5" w:name="_Toc170134062"/>
      <w:bookmarkStart w:id="26" w:name="_Toc170134944"/>
      <w:bookmarkStart w:id="27" w:name="_Toc170204284"/>
      <w:bookmarkStart w:id="28" w:name="_Toc170204503"/>
      <w:r>
        <w:rPr>
          <w:rStyle w:val="CharDivNo"/>
        </w:rPr>
        <w:lastRenderedPageBreak/>
        <w:t>Division 1A</w:t>
      </w:r>
      <w:r>
        <w:t> — </w:t>
      </w:r>
      <w:r>
        <w:rPr>
          <w:rStyle w:val="CharDivText"/>
        </w:rPr>
        <w:t>Options under Part 2 Division 1 Subdivision 1A of the Act in final years of compulsory education</w:t>
      </w:r>
      <w:bookmarkEnd w:id="25"/>
      <w:bookmarkEnd w:id="26"/>
      <w:bookmarkEnd w:id="27"/>
      <w:bookmarkEnd w:id="28"/>
    </w:p>
    <w:p>
      <w:pPr>
        <w:pStyle w:val="Footnoteheading"/>
        <w:keepNext/>
      </w:pPr>
      <w:r>
        <w:tab/>
        <w:t>[Heading inserted: Gazette 11 Nov 2014 p. 4257.]</w:t>
      </w:r>
    </w:p>
    <w:p>
      <w:pPr>
        <w:pStyle w:val="Heading5"/>
      </w:pPr>
      <w:bookmarkStart w:id="29" w:name="_Toc170204504"/>
      <w:r>
        <w:rPr>
          <w:rStyle w:val="CharSectno"/>
        </w:rPr>
        <w:t>11A</w:t>
      </w:r>
      <w:r>
        <w:t>.</w:t>
      </w:r>
      <w:r>
        <w:tab/>
        <w:t>Term used: option</w:t>
      </w:r>
      <w:bookmarkEnd w:id="29"/>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30" w:name="_Toc170204505"/>
      <w:r>
        <w:rPr>
          <w:rStyle w:val="CharSectno"/>
        </w:rPr>
        <w:t>11B</w:t>
      </w:r>
      <w:r>
        <w:t>.</w:t>
      </w:r>
      <w:r>
        <w:tab/>
        <w:t>When participation in one option is full-time (Act s. 11C)</w:t>
      </w:r>
      <w:bookmarkEnd w:id="3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31" w:name="_Toc170204506"/>
      <w:r>
        <w:rPr>
          <w:rStyle w:val="CharSectno"/>
        </w:rPr>
        <w:t>11C</w:t>
      </w:r>
      <w:r>
        <w:t>.</w:t>
      </w:r>
      <w:r>
        <w:tab/>
        <w:t>When participation in 2 or more options is full-time (Act s. 11C)</w:t>
      </w:r>
      <w:bookmarkEnd w:id="31"/>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lastRenderedPageBreak/>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32" w:name="_Toc170204507"/>
      <w:r>
        <w:rPr>
          <w:rStyle w:val="CharSectno"/>
        </w:rPr>
        <w:t>11D</w:t>
      </w:r>
      <w:r>
        <w:t>.</w:t>
      </w:r>
      <w:r>
        <w:tab/>
        <w:t>Arrangements notified under Act s. 11D, exception to duty to notify variation of</w:t>
      </w:r>
      <w:bookmarkEnd w:id="32"/>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lastRenderedPageBreak/>
        <w:tab/>
        <w:t>[Regulation 11D inserted: Gazette 23 Dec 2005 p. 6255.]</w:t>
      </w:r>
    </w:p>
    <w:p>
      <w:pPr>
        <w:pStyle w:val="Heading3"/>
        <w:spacing w:before="260"/>
      </w:pPr>
      <w:bookmarkStart w:id="33" w:name="_Toc170134067"/>
      <w:bookmarkStart w:id="34" w:name="_Toc170134949"/>
      <w:bookmarkStart w:id="35" w:name="_Toc170204289"/>
      <w:bookmarkStart w:id="36" w:name="_Toc170204508"/>
      <w:r>
        <w:rPr>
          <w:rStyle w:val="CharDivNo"/>
        </w:rPr>
        <w:t>Division 2</w:t>
      </w:r>
      <w:r>
        <w:t xml:space="preserve"> — </w:t>
      </w:r>
      <w:r>
        <w:rPr>
          <w:rStyle w:val="CharDivText"/>
        </w:rPr>
        <w:t>Enrolment, government schools</w:t>
      </w:r>
      <w:bookmarkEnd w:id="33"/>
      <w:bookmarkEnd w:id="34"/>
      <w:bookmarkEnd w:id="35"/>
      <w:bookmarkEnd w:id="36"/>
    </w:p>
    <w:p>
      <w:pPr>
        <w:pStyle w:val="Heading5"/>
        <w:spacing w:before="240"/>
      </w:pPr>
      <w:bookmarkStart w:id="37" w:name="_Toc170204509"/>
      <w:r>
        <w:rPr>
          <w:rStyle w:val="CharSectno"/>
        </w:rPr>
        <w:t>12</w:t>
      </w:r>
      <w:r>
        <w:t>.</w:t>
      </w:r>
      <w:r>
        <w:tab/>
        <w:t>Criteria prescribed (Act s. 76(2)), child in exchange programme</w:t>
      </w:r>
      <w:bookmarkEnd w:id="37"/>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38" w:name="_Toc170204510"/>
      <w:r>
        <w:rPr>
          <w:rStyle w:val="CharSectno"/>
        </w:rPr>
        <w:t>13</w:t>
      </w:r>
      <w:r>
        <w:t>.</w:t>
      </w:r>
      <w:r>
        <w:tab/>
        <w:t>Criteria prescribed (Act s. 76(2)), dependent of scholarship holder</w:t>
      </w:r>
      <w:bookmarkEnd w:id="38"/>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39" w:name="_Toc170204511"/>
      <w:r>
        <w:rPr>
          <w:rStyle w:val="CharSectno"/>
        </w:rPr>
        <w:t>14</w:t>
      </w:r>
      <w:r>
        <w:t>.</w:t>
      </w:r>
      <w:r>
        <w:tab/>
        <w:t>Criteria prescribed (Act s. 76(2)), child of certain defence personnel</w:t>
      </w:r>
      <w:bookmarkEnd w:id="39"/>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lastRenderedPageBreak/>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40" w:name="_Toc170204512"/>
      <w:r>
        <w:rPr>
          <w:rStyle w:val="CharSectno"/>
        </w:rPr>
        <w:t>14A</w:t>
      </w:r>
      <w:r>
        <w:t>.</w:t>
      </w:r>
      <w:r>
        <w:tab/>
        <w:t>Criteria prescribed (Act s. 76(2)): holder of or applicant for Schedule 2 visa</w:t>
      </w:r>
      <w:bookmarkEnd w:id="4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 xml:space="preserve">the child or a person in respect of whom the child is a dependent child — </w:t>
      </w:r>
    </w:p>
    <w:p>
      <w:pPr>
        <w:pStyle w:val="Indenti"/>
      </w:pPr>
      <w:r>
        <w:tab/>
        <w:t>(i)</w:t>
      </w:r>
      <w:r>
        <w:tab/>
        <w:t>holds a visa of a kind set out in Schedule 2 Division 1; or</w:t>
      </w:r>
    </w:p>
    <w:p>
      <w:pPr>
        <w:pStyle w:val="Indenti"/>
      </w:pPr>
      <w:r>
        <w:tab/>
        <w:t>(ii)</w:t>
      </w:r>
      <w:r>
        <w:tab/>
        <w:t xml:space="preserve">has applied for a visa of a kind set out in Schedule 2 Division 2 and has received a letter from the Department of State of the Commonwealth assisting in the administration of the </w:t>
      </w:r>
      <w:r>
        <w:rPr>
          <w:i/>
        </w:rPr>
        <w:t>Migration Act 1958</w:t>
      </w:r>
      <w:r>
        <w:t xml:space="preserve"> (Commonwealth) confirming that the application is valid.</w:t>
      </w:r>
    </w:p>
    <w:p>
      <w:pPr>
        <w:pStyle w:val="Footnotesection"/>
        <w:keepLines w:val="0"/>
        <w:ind w:left="890" w:hanging="890"/>
      </w:pPr>
      <w:r>
        <w:tab/>
        <w:t>[Regulation 14A inserted: Gazette 17 Dec 2002 p. 5907</w:t>
      </w:r>
      <w:r>
        <w:noBreakHyphen/>
        <w:t>8; amended: SL 2020/101 r. 4.]</w:t>
      </w:r>
    </w:p>
    <w:p>
      <w:pPr>
        <w:pStyle w:val="Heading5"/>
      </w:pPr>
      <w:bookmarkStart w:id="41" w:name="_Toc170204513"/>
      <w:r>
        <w:rPr>
          <w:rStyle w:val="CharSectno"/>
        </w:rPr>
        <w:t>15</w:t>
      </w:r>
      <w:r>
        <w:t>.</w:t>
      </w:r>
      <w:r>
        <w:tab/>
        <w:t>Too many children for pre</w:t>
      </w:r>
      <w:r>
        <w:noBreakHyphen/>
        <w:t>compulsory education at a government school, priority for enrolment in case of</w:t>
      </w:r>
      <w:bookmarkEnd w:id="41"/>
    </w:p>
    <w:p>
      <w:pPr>
        <w:pStyle w:val="Subsection"/>
        <w:keepNext/>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w:t>
      </w:r>
      <w:r>
        <w:lastRenderedPageBreak/>
        <w:t xml:space="preserve">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42" w:name="_Toc170204514"/>
      <w:r>
        <w:rPr>
          <w:rStyle w:val="CharSectno"/>
        </w:rPr>
        <w:lastRenderedPageBreak/>
        <w:t>16</w:t>
      </w:r>
      <w:r>
        <w:t>.</w:t>
      </w:r>
      <w:r>
        <w:tab/>
        <w:t>Too many children outside intake area for a local-intake school, priority of enrolment in case of</w:t>
      </w:r>
      <w:bookmarkEnd w:id="42"/>
    </w:p>
    <w:p>
      <w:pPr>
        <w:pStyle w:val="Subsection"/>
        <w:keepNext/>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43" w:name="_Toc170204515"/>
      <w:r>
        <w:rPr>
          <w:rStyle w:val="CharSectno"/>
        </w:rPr>
        <w:lastRenderedPageBreak/>
        <w:t>18</w:t>
      </w:r>
      <w:r>
        <w:t>.</w:t>
      </w:r>
      <w:r>
        <w:tab/>
        <w:t>Criteria prescribed for School of Isolated and Distance Education (Act s. 79(1)(b))</w:t>
      </w:r>
      <w:bookmarkEnd w:id="43"/>
    </w:p>
    <w:p>
      <w:pPr>
        <w:pStyle w:val="Subsection"/>
        <w:keepNext/>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44" w:name="_Toc170204516"/>
      <w:r>
        <w:rPr>
          <w:rStyle w:val="CharSectno"/>
        </w:rPr>
        <w:t>19</w:t>
      </w:r>
      <w:r>
        <w:t>.</w:t>
      </w:r>
      <w:r>
        <w:tab/>
        <w:t>Enrolment of person after compulsory education period (Act s. 81(2))</w:t>
      </w:r>
      <w:bookmarkEnd w:id="44"/>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lastRenderedPageBreak/>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45" w:name="_Toc170204517"/>
      <w:r>
        <w:rPr>
          <w:rStyle w:val="CharSectno"/>
        </w:rPr>
        <w:t>20</w:t>
      </w:r>
      <w:r>
        <w:t>.</w:t>
      </w:r>
      <w:r>
        <w:tab/>
        <w:t>Enrolment at government school of persons who do not have an entitlement to enrol under s. 76</w:t>
      </w:r>
      <w:bookmarkEnd w:id="45"/>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lastRenderedPageBreak/>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46" w:name="_Toc170134077"/>
      <w:bookmarkStart w:id="47" w:name="_Toc170134959"/>
      <w:bookmarkStart w:id="48" w:name="_Toc170204299"/>
      <w:bookmarkStart w:id="49" w:name="_Toc170204518"/>
      <w:r>
        <w:rPr>
          <w:rStyle w:val="CharDivNo"/>
        </w:rPr>
        <w:t>Division 3</w:t>
      </w:r>
      <w:r>
        <w:t xml:space="preserve"> — </w:t>
      </w:r>
      <w:r>
        <w:rPr>
          <w:rStyle w:val="CharDivText"/>
        </w:rPr>
        <w:t>Attendance</w:t>
      </w:r>
      <w:bookmarkEnd w:id="46"/>
      <w:bookmarkEnd w:id="47"/>
      <w:bookmarkEnd w:id="48"/>
      <w:bookmarkEnd w:id="49"/>
    </w:p>
    <w:p>
      <w:pPr>
        <w:pStyle w:val="Heading5"/>
      </w:pPr>
      <w:bookmarkStart w:id="50" w:name="_Toc170204519"/>
      <w:r>
        <w:rPr>
          <w:rStyle w:val="CharSectno"/>
        </w:rPr>
        <w:t>21</w:t>
      </w:r>
      <w:r>
        <w:t>.</w:t>
      </w:r>
      <w:r>
        <w:tab/>
        <w:t>Period prescribed for retention of attendance records (Act s. 28(1)(b))</w:t>
      </w:r>
      <w:bookmarkEnd w:id="5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51" w:name="_Toc170204520"/>
      <w:r>
        <w:rPr>
          <w:rStyle w:val="CharSectno"/>
        </w:rPr>
        <w:t>22</w:t>
      </w:r>
      <w:r>
        <w:t>.</w:t>
      </w:r>
      <w:r>
        <w:tab/>
        <w:t>Closed school, CEO’s duties as to a</w:t>
      </w:r>
      <w:r>
        <w:rPr>
          <w:szCs w:val="24"/>
        </w:rPr>
        <w:t>ttendance records of</w:t>
      </w:r>
      <w:bookmarkEnd w:id="5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52" w:name="_Toc170204521"/>
      <w:r>
        <w:rPr>
          <w:rStyle w:val="CharSectno"/>
        </w:rPr>
        <w:t>23</w:t>
      </w:r>
      <w:r>
        <w:t>.</w:t>
      </w:r>
      <w:r>
        <w:tab/>
        <w:t>Identification badge for school attendance officer, form of prescribed (Act s. 34(4))</w:t>
      </w:r>
      <w:bookmarkEnd w:id="52"/>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lastRenderedPageBreak/>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53" w:name="_Toc170134081"/>
      <w:bookmarkStart w:id="54" w:name="_Toc170134963"/>
      <w:bookmarkStart w:id="55" w:name="_Toc170204303"/>
      <w:bookmarkStart w:id="56" w:name="_Toc170204522"/>
      <w:r>
        <w:rPr>
          <w:rStyle w:val="CharPartNo"/>
        </w:rPr>
        <w:lastRenderedPageBreak/>
        <w:t>Part 3</w:t>
      </w:r>
      <w:r>
        <w:t xml:space="preserve"> — </w:t>
      </w:r>
      <w:r>
        <w:rPr>
          <w:rStyle w:val="CharPartText"/>
        </w:rPr>
        <w:t>Management of government schools</w:t>
      </w:r>
      <w:bookmarkEnd w:id="53"/>
      <w:bookmarkEnd w:id="54"/>
      <w:bookmarkEnd w:id="55"/>
      <w:bookmarkEnd w:id="56"/>
    </w:p>
    <w:p>
      <w:pPr>
        <w:pStyle w:val="Heading3"/>
        <w:spacing w:before="160"/>
      </w:pPr>
      <w:bookmarkStart w:id="57" w:name="_Toc170134082"/>
      <w:bookmarkStart w:id="58" w:name="_Toc170134964"/>
      <w:bookmarkStart w:id="59" w:name="_Toc170204304"/>
      <w:bookmarkStart w:id="60" w:name="_Toc170204523"/>
      <w:r>
        <w:rPr>
          <w:rStyle w:val="CharDivNo"/>
        </w:rPr>
        <w:t>Division 1</w:t>
      </w:r>
      <w:r>
        <w:t xml:space="preserve"> — </w:t>
      </w:r>
      <w:r>
        <w:rPr>
          <w:rStyle w:val="CharDivText"/>
        </w:rPr>
        <w:t>Hours of instruction</w:t>
      </w:r>
      <w:bookmarkEnd w:id="57"/>
      <w:bookmarkEnd w:id="58"/>
      <w:bookmarkEnd w:id="59"/>
      <w:bookmarkEnd w:id="60"/>
    </w:p>
    <w:p>
      <w:pPr>
        <w:pStyle w:val="Heading5"/>
      </w:pPr>
      <w:bookmarkStart w:id="61" w:name="_Toc170204524"/>
      <w:r>
        <w:rPr>
          <w:rStyle w:val="CharSectno"/>
        </w:rPr>
        <w:t>24</w:t>
      </w:r>
      <w:r>
        <w:t>.</w:t>
      </w:r>
      <w:r>
        <w:tab/>
      </w:r>
      <w:r>
        <w:rPr>
          <w:spacing w:val="-4"/>
        </w:rPr>
        <w:t>Minimum hours prescribed for instruction of child in kindergarten programme (Act s. 123(2)(b))</w:t>
      </w:r>
      <w:bookmarkEnd w:id="6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62" w:name="_Toc170204525"/>
      <w:r>
        <w:rPr>
          <w:rStyle w:val="CharSectno"/>
        </w:rPr>
        <w:t>25</w:t>
      </w:r>
      <w:r>
        <w:t>.</w:t>
      </w:r>
      <w:r>
        <w:tab/>
        <w:t>Minimum hours prescribed for instruction of child in pre</w:t>
      </w:r>
      <w:r>
        <w:noBreakHyphen/>
        <w:t xml:space="preserve">primary programme </w:t>
      </w:r>
      <w:r>
        <w:rPr>
          <w:spacing w:val="-4"/>
        </w:rPr>
        <w:t>(Act </w:t>
      </w:r>
      <w:r>
        <w:t>s. 123(2)(b))</w:t>
      </w:r>
      <w:bookmarkEnd w:id="6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63" w:name="_Toc170204526"/>
      <w:r>
        <w:rPr>
          <w:rStyle w:val="CharSectno"/>
        </w:rPr>
        <w:t>26</w:t>
      </w:r>
      <w:r>
        <w:t>.</w:t>
      </w:r>
      <w:r>
        <w:tab/>
        <w:t>Minimum hours prescribed for instruction of child in primary or secondary programme</w:t>
      </w:r>
      <w:r>
        <w:rPr>
          <w:spacing w:val="-4"/>
        </w:rPr>
        <w:t xml:space="preserve"> (Act </w:t>
      </w:r>
      <w:r>
        <w:t>s. 123(2)(b))</w:t>
      </w:r>
      <w:bookmarkEnd w:id="63"/>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64" w:name="_Toc170204527"/>
      <w:r>
        <w:rPr>
          <w:rStyle w:val="CharSectno"/>
        </w:rPr>
        <w:lastRenderedPageBreak/>
        <w:t>27</w:t>
      </w:r>
      <w:r>
        <w:t>.</w:t>
      </w:r>
      <w:r>
        <w:tab/>
        <w:t>Periods prescribed under r. 24, 25 and 26, calculation of</w:t>
      </w:r>
      <w:bookmarkEnd w:id="64"/>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65" w:name="_Toc170134087"/>
      <w:bookmarkStart w:id="66" w:name="_Toc170134969"/>
      <w:bookmarkStart w:id="67" w:name="_Toc170204309"/>
      <w:bookmarkStart w:id="68" w:name="_Toc170204528"/>
      <w:r>
        <w:rPr>
          <w:rStyle w:val="CharDivNo"/>
        </w:rPr>
        <w:t>Division 2</w:t>
      </w:r>
      <w:r>
        <w:t xml:space="preserve"> — </w:t>
      </w:r>
      <w:r>
        <w:rPr>
          <w:rStyle w:val="CharDivText"/>
        </w:rPr>
        <w:t>Health, safety and cleanliness</w:t>
      </w:r>
      <w:bookmarkEnd w:id="65"/>
      <w:bookmarkEnd w:id="66"/>
      <w:bookmarkEnd w:id="67"/>
      <w:bookmarkEnd w:id="68"/>
      <w:r>
        <w:rPr>
          <w:rStyle w:val="CharDivText"/>
        </w:rPr>
        <w:t xml:space="preserve"> </w:t>
      </w:r>
    </w:p>
    <w:p>
      <w:pPr>
        <w:pStyle w:val="Heading5"/>
        <w:spacing w:before="180"/>
      </w:pPr>
      <w:bookmarkStart w:id="69" w:name="_Toc170204529"/>
      <w:r>
        <w:rPr>
          <w:rStyle w:val="CharSectno"/>
        </w:rPr>
        <w:t>28</w:t>
      </w:r>
      <w:r>
        <w:t>.</w:t>
      </w:r>
      <w:r>
        <w:tab/>
        <w:t>Student with medical condition, principal’s powers in case of</w:t>
      </w:r>
      <w:bookmarkEnd w:id="69"/>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lastRenderedPageBreak/>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70" w:name="_Toc170204530"/>
      <w:r>
        <w:rPr>
          <w:rStyle w:val="CharSectno"/>
        </w:rPr>
        <w:t>29</w:t>
      </w:r>
      <w:r>
        <w:t>.</w:t>
      </w:r>
      <w:r>
        <w:tab/>
        <w:t>Head lice inspection, principal may authorise etc.</w:t>
      </w:r>
      <w:bookmarkEnd w:id="70"/>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71" w:name="_Toc170204531"/>
      <w:r>
        <w:rPr>
          <w:rStyle w:val="CharSectno"/>
        </w:rPr>
        <w:t>30</w:t>
      </w:r>
      <w:r>
        <w:t>.</w:t>
      </w:r>
      <w:r>
        <w:tab/>
        <w:t>Student with clothing etc. likely to be hazard in school activity, principal’s powers in case of</w:t>
      </w:r>
      <w:bookmarkEnd w:id="71"/>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w:t>
      </w:r>
      <w:r>
        <w:rPr>
          <w:snapToGrid w:val="0"/>
        </w:rPr>
        <w:lastRenderedPageBreak/>
        <w:t xml:space="preserve">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72" w:name="_Toc170204532"/>
      <w:r>
        <w:rPr>
          <w:rStyle w:val="CharSectno"/>
        </w:rPr>
        <w:t>31</w:t>
      </w:r>
      <w:r>
        <w:t>.</w:t>
      </w:r>
      <w:r>
        <w:tab/>
        <w:t>Student’s hygiene likely to affect others, principal’s powers in case of</w:t>
      </w:r>
      <w:bookmarkEnd w:id="72"/>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73" w:name="_Toc170204533"/>
      <w:r>
        <w:rPr>
          <w:rStyle w:val="CharSectno"/>
        </w:rPr>
        <w:t>32</w:t>
      </w:r>
      <w:r>
        <w:t>.</w:t>
      </w:r>
      <w:r>
        <w:tab/>
        <w:t>Parent etc. to be advised of action taken under r. 29(2), 30 or 31</w:t>
      </w:r>
      <w:bookmarkEnd w:id="7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74" w:name="_Toc170134093"/>
      <w:bookmarkStart w:id="75" w:name="_Toc170134975"/>
      <w:bookmarkStart w:id="76" w:name="_Toc170204315"/>
      <w:bookmarkStart w:id="77" w:name="_Toc170204534"/>
      <w:r>
        <w:rPr>
          <w:rStyle w:val="CharDivNo"/>
        </w:rPr>
        <w:lastRenderedPageBreak/>
        <w:t>Division 3</w:t>
      </w:r>
      <w:r>
        <w:rPr>
          <w:snapToGrid w:val="0"/>
        </w:rPr>
        <w:t xml:space="preserve"> — </w:t>
      </w:r>
      <w:r>
        <w:rPr>
          <w:rStyle w:val="CharDivText"/>
        </w:rPr>
        <w:t>School dress codes and codes of conduct</w:t>
      </w:r>
      <w:bookmarkEnd w:id="74"/>
      <w:bookmarkEnd w:id="75"/>
      <w:bookmarkEnd w:id="76"/>
      <w:bookmarkEnd w:id="77"/>
    </w:p>
    <w:p>
      <w:pPr>
        <w:pStyle w:val="Heading4"/>
      </w:pPr>
      <w:bookmarkStart w:id="78" w:name="_Toc170134094"/>
      <w:bookmarkStart w:id="79" w:name="_Toc170134976"/>
      <w:bookmarkStart w:id="80" w:name="_Toc170204316"/>
      <w:bookmarkStart w:id="81" w:name="_Toc170204535"/>
      <w:r>
        <w:t>Subdivision 1 — School dress codes</w:t>
      </w:r>
      <w:bookmarkEnd w:id="78"/>
      <w:bookmarkEnd w:id="79"/>
      <w:bookmarkEnd w:id="80"/>
      <w:bookmarkEnd w:id="81"/>
    </w:p>
    <w:p>
      <w:pPr>
        <w:pStyle w:val="Heading5"/>
      </w:pPr>
      <w:bookmarkStart w:id="82" w:name="_Toc170204536"/>
      <w:r>
        <w:rPr>
          <w:rStyle w:val="CharSectno"/>
        </w:rPr>
        <w:t>33</w:t>
      </w:r>
      <w:r>
        <w:t>.</w:t>
      </w:r>
      <w:r>
        <w:tab/>
        <w:t xml:space="preserve">Matters which may be provided for in dress code </w:t>
      </w:r>
      <w:r>
        <w:rPr>
          <w:spacing w:val="-4"/>
        </w:rPr>
        <w:t>(Act </w:t>
      </w:r>
      <w:r>
        <w:t>s. 140(d)(i))</w:t>
      </w:r>
      <w:bookmarkEnd w:id="8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83" w:name="_Toc170204537"/>
      <w:r>
        <w:rPr>
          <w:rStyle w:val="CharSectno"/>
        </w:rPr>
        <w:t>34</w:t>
      </w:r>
      <w:r>
        <w:t>.</w:t>
      </w:r>
      <w:r>
        <w:tab/>
        <w:t>Students etc. to be informed of dress code</w:t>
      </w:r>
      <w:bookmarkEnd w:id="8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84" w:name="_Toc170204538"/>
      <w:r>
        <w:rPr>
          <w:rStyle w:val="CharSectno"/>
        </w:rPr>
        <w:t>35</w:t>
      </w:r>
      <w:r>
        <w:t>.</w:t>
      </w:r>
      <w:r>
        <w:tab/>
        <w:t xml:space="preserve">Exempting student from dress code, grounds for etc. </w:t>
      </w:r>
      <w:r>
        <w:rPr>
          <w:spacing w:val="-4"/>
        </w:rPr>
        <w:t>(Act </w:t>
      </w:r>
      <w:r>
        <w:t>s. 140(d)(iii))</w:t>
      </w:r>
      <w:bookmarkEnd w:id="8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lastRenderedPageBreak/>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lastRenderedPageBreak/>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85" w:name="_Toc170204539"/>
      <w:r>
        <w:rPr>
          <w:rStyle w:val="CharSectno"/>
        </w:rPr>
        <w:t>36</w:t>
      </w:r>
      <w:r>
        <w:t>.</w:t>
      </w:r>
      <w:r>
        <w:tab/>
        <w:t>Enforcing dress code, powers for</w:t>
      </w:r>
      <w:bookmarkEnd w:id="8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lastRenderedPageBreak/>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86" w:name="_Toc170134099"/>
      <w:bookmarkStart w:id="87" w:name="_Toc170134981"/>
      <w:bookmarkStart w:id="88" w:name="_Toc170204321"/>
      <w:bookmarkStart w:id="89" w:name="_Toc170204540"/>
      <w:r>
        <w:lastRenderedPageBreak/>
        <w:t>Subdivision 2 — Codes of conduct</w:t>
      </w:r>
      <w:bookmarkEnd w:id="86"/>
      <w:bookmarkEnd w:id="87"/>
      <w:bookmarkEnd w:id="88"/>
      <w:bookmarkEnd w:id="89"/>
    </w:p>
    <w:p>
      <w:pPr>
        <w:pStyle w:val="Heading5"/>
      </w:pPr>
      <w:bookmarkStart w:id="90" w:name="_Toc170204541"/>
      <w:r>
        <w:rPr>
          <w:rStyle w:val="CharSectno"/>
        </w:rPr>
        <w:t>37</w:t>
      </w:r>
      <w:r>
        <w:t>.</w:t>
      </w:r>
      <w:r>
        <w:tab/>
        <w:t>School’s code of conduct, content of</w:t>
      </w:r>
      <w:bookmarkEnd w:id="90"/>
    </w:p>
    <w:p>
      <w:pPr>
        <w:pStyle w:val="Subsection"/>
      </w:pPr>
      <w:r>
        <w:tab/>
      </w:r>
      <w:r>
        <w:tab/>
        <w:t>A school’s code of conduct is not to be inconsistent with any relevant direction under section 135 or 232 or CEO’s Instructions under section 233.</w:t>
      </w:r>
    </w:p>
    <w:p>
      <w:pPr>
        <w:pStyle w:val="Heading3"/>
      </w:pPr>
      <w:bookmarkStart w:id="91" w:name="_Toc170134101"/>
      <w:bookmarkStart w:id="92" w:name="_Toc170134983"/>
      <w:bookmarkStart w:id="93" w:name="_Toc170204323"/>
      <w:bookmarkStart w:id="94" w:name="_Toc170204542"/>
      <w:r>
        <w:rPr>
          <w:rStyle w:val="CharDivNo"/>
        </w:rPr>
        <w:t>Division 4</w:t>
      </w:r>
      <w:r>
        <w:t> — </w:t>
      </w:r>
      <w:r>
        <w:rPr>
          <w:rStyle w:val="CharDivText"/>
        </w:rPr>
        <w:t>Supervision of students, protection of persons and property</w:t>
      </w:r>
      <w:bookmarkEnd w:id="91"/>
      <w:bookmarkEnd w:id="92"/>
      <w:bookmarkEnd w:id="93"/>
      <w:bookmarkEnd w:id="94"/>
    </w:p>
    <w:p>
      <w:pPr>
        <w:pStyle w:val="Footnoteheading"/>
      </w:pPr>
      <w:r>
        <w:tab/>
        <w:t>[Heading inserted: Gazette 24 Aug 2007 p. 4318.]</w:t>
      </w:r>
    </w:p>
    <w:p>
      <w:pPr>
        <w:pStyle w:val="Heading5"/>
      </w:pPr>
      <w:bookmarkStart w:id="95" w:name="_Toc170204543"/>
      <w:r>
        <w:rPr>
          <w:rStyle w:val="CharSectno"/>
        </w:rPr>
        <w:t>38</w:t>
      </w:r>
      <w:r>
        <w:t>.</w:t>
      </w:r>
      <w:r>
        <w:tab/>
        <w:t>Staff member’s powers to manage etc. students</w:t>
      </w:r>
      <w:bookmarkEnd w:id="95"/>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96" w:name="_Toc170134103"/>
      <w:bookmarkStart w:id="97" w:name="_Toc170134985"/>
      <w:bookmarkStart w:id="98" w:name="_Toc170204325"/>
      <w:bookmarkStart w:id="99" w:name="_Toc170204544"/>
      <w:r>
        <w:rPr>
          <w:rStyle w:val="CharDivNo"/>
        </w:rPr>
        <w:lastRenderedPageBreak/>
        <w:t>Division 5</w:t>
      </w:r>
      <w:r>
        <w:t xml:space="preserve"> — </w:t>
      </w:r>
      <w:r>
        <w:rPr>
          <w:rStyle w:val="CharDivText"/>
        </w:rPr>
        <w:t>Discipline</w:t>
      </w:r>
      <w:bookmarkEnd w:id="96"/>
      <w:bookmarkEnd w:id="97"/>
      <w:bookmarkEnd w:id="98"/>
      <w:bookmarkEnd w:id="99"/>
    </w:p>
    <w:p>
      <w:pPr>
        <w:pStyle w:val="Heading4"/>
      </w:pPr>
      <w:bookmarkStart w:id="100" w:name="_Toc170134104"/>
      <w:bookmarkStart w:id="101" w:name="_Toc170134986"/>
      <w:bookmarkStart w:id="102" w:name="_Toc170204326"/>
      <w:bookmarkStart w:id="103" w:name="_Toc170204545"/>
      <w:r>
        <w:t>Subdivision 1 — Discipline other than suspension</w:t>
      </w:r>
      <w:bookmarkEnd w:id="100"/>
      <w:bookmarkEnd w:id="101"/>
      <w:bookmarkEnd w:id="102"/>
      <w:bookmarkEnd w:id="103"/>
    </w:p>
    <w:p>
      <w:pPr>
        <w:pStyle w:val="Heading5"/>
        <w:spacing w:before="240"/>
      </w:pPr>
      <w:bookmarkStart w:id="104" w:name="_Toc170204546"/>
      <w:r>
        <w:rPr>
          <w:rStyle w:val="CharSectno"/>
        </w:rPr>
        <w:t>40</w:t>
      </w:r>
      <w:r>
        <w:t>.</w:t>
      </w:r>
      <w:r>
        <w:tab/>
        <w:t>School discipline, principal’s general powers as to breaches of</w:t>
      </w:r>
      <w:bookmarkEnd w:id="10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05" w:name="_Toc170204547"/>
      <w:r>
        <w:rPr>
          <w:rStyle w:val="CharSectno"/>
        </w:rPr>
        <w:t>41</w:t>
      </w:r>
      <w:r>
        <w:t>.</w:t>
      </w:r>
      <w:r>
        <w:tab/>
        <w:t>School administrator’s disciplinary powers</w:t>
      </w:r>
      <w:bookmarkEnd w:id="105"/>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06" w:name="_Toc170204548"/>
      <w:r>
        <w:rPr>
          <w:rStyle w:val="CharSectno"/>
        </w:rPr>
        <w:lastRenderedPageBreak/>
        <w:t>42</w:t>
      </w:r>
      <w:r>
        <w:t>.</w:t>
      </w:r>
      <w:r>
        <w:tab/>
        <w:t>Detention, rules for imposing etc.</w:t>
      </w:r>
      <w:bookmarkEnd w:id="10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07" w:name="_Toc170134108"/>
      <w:bookmarkStart w:id="108" w:name="_Toc170134990"/>
      <w:bookmarkStart w:id="109" w:name="_Toc170204330"/>
      <w:bookmarkStart w:id="110" w:name="_Toc170204549"/>
      <w:r>
        <w:lastRenderedPageBreak/>
        <w:t>Subdivision 2 — Suspension</w:t>
      </w:r>
      <w:bookmarkEnd w:id="107"/>
      <w:bookmarkEnd w:id="108"/>
      <w:bookmarkEnd w:id="109"/>
      <w:bookmarkEnd w:id="110"/>
    </w:p>
    <w:p>
      <w:pPr>
        <w:pStyle w:val="Heading5"/>
        <w:keepLines w:val="0"/>
        <w:spacing w:before="180"/>
      </w:pPr>
      <w:bookmarkStart w:id="111" w:name="_Toc170204550"/>
      <w:r>
        <w:rPr>
          <w:rStyle w:val="CharSectno"/>
        </w:rPr>
        <w:t>43</w:t>
      </w:r>
      <w:r>
        <w:t>.</w:t>
      </w:r>
      <w:r>
        <w:tab/>
        <w:t>Maximum period of suspension prescribed (Act s. 90(1))</w:t>
      </w:r>
      <w:bookmarkEnd w:id="111"/>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 xml:space="preserve">Nothing in this regulation prevents a student who has been suspended for a period referred to in subregulation (1) from </w:t>
      </w:r>
      <w:r>
        <w:lastRenderedPageBreak/>
        <w:t>being suspended for a breach of school discipline that occurs after that period if the periods of suspension are not consecutive.</w:t>
      </w:r>
    </w:p>
    <w:p>
      <w:pPr>
        <w:pStyle w:val="Heading5"/>
      </w:pPr>
      <w:bookmarkStart w:id="112" w:name="_Toc170204551"/>
      <w:r>
        <w:rPr>
          <w:rStyle w:val="CharSectno"/>
        </w:rPr>
        <w:t>44</w:t>
      </w:r>
      <w:r>
        <w:t>.</w:t>
      </w:r>
      <w:r>
        <w:tab/>
        <w:t>Suspension, rules for imposing etc. (Act s. 90(2))</w:t>
      </w:r>
      <w:bookmarkEnd w:id="112"/>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lastRenderedPageBreak/>
        <w:tab/>
        <w:t>[Regulation 44 inserted: Gazette 17 Dec 2002 p. 5908</w:t>
      </w:r>
      <w:r>
        <w:noBreakHyphen/>
        <w:t>9.]</w:t>
      </w:r>
    </w:p>
    <w:p>
      <w:pPr>
        <w:pStyle w:val="Heading5"/>
        <w:keepNext w:val="0"/>
        <w:keepLines w:val="0"/>
      </w:pPr>
      <w:bookmarkStart w:id="113" w:name="_Toc170204552"/>
      <w:r>
        <w:rPr>
          <w:rStyle w:val="CharSectno"/>
        </w:rPr>
        <w:t>45</w:t>
      </w:r>
      <w:r>
        <w:t>.</w:t>
      </w:r>
      <w:r>
        <w:tab/>
        <w:t>Suspension for 10 days or more in school year, principal’s duty in case of</w:t>
      </w:r>
      <w:bookmarkEnd w:id="113"/>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14" w:name="_Toc170204553"/>
      <w:r>
        <w:rPr>
          <w:rStyle w:val="CharSectno"/>
        </w:rPr>
        <w:t>46</w:t>
      </w:r>
      <w:r>
        <w:t>.</w:t>
      </w:r>
      <w:r>
        <w:tab/>
        <w:t>Educational instruction for certain suspended students (Act s. 90(3))</w:t>
      </w:r>
      <w:bookmarkEnd w:id="114"/>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5"/>
      </w:pPr>
      <w:bookmarkStart w:id="115" w:name="_Toc169797476"/>
      <w:bookmarkStart w:id="116" w:name="_Toc169797599"/>
      <w:bookmarkStart w:id="117" w:name="_Toc170204554"/>
      <w:bookmarkStart w:id="118" w:name="_Toc170134113"/>
      <w:r>
        <w:rPr>
          <w:rStyle w:val="CharSectno"/>
        </w:rPr>
        <w:t>46A</w:t>
      </w:r>
      <w:r>
        <w:t>.</w:t>
      </w:r>
      <w:r>
        <w:tab/>
        <w:t>Suspension of student charged with or convicted of sexual offence</w:t>
      </w:r>
      <w:bookmarkEnd w:id="115"/>
      <w:bookmarkEnd w:id="116"/>
      <w:bookmarkEnd w:id="117"/>
    </w:p>
    <w:p>
      <w:pPr>
        <w:pStyle w:val="Subsection"/>
      </w:pPr>
      <w:r>
        <w:tab/>
        <w:t>(1)</w:t>
      </w:r>
      <w:r>
        <w:tab/>
        <w:t>This regulation applies for the purposes of section 96D.</w:t>
      </w:r>
    </w:p>
    <w:p>
      <w:pPr>
        <w:pStyle w:val="Subsection"/>
      </w:pPr>
      <w:r>
        <w:tab/>
        <w:t>(2)</w:t>
      </w:r>
      <w:r>
        <w:tab/>
        <w:t xml:space="preserve">If the chief executive officer gives a direction in writing to a principal of a school to wholly or partially suspend a student from attendance at the school under section 96D(2), the principal of the school is to wholly or partially (as the case requires) — </w:t>
      </w:r>
    </w:p>
    <w:p>
      <w:pPr>
        <w:pStyle w:val="Indenta"/>
      </w:pPr>
      <w:r>
        <w:tab/>
        <w:t>(a)</w:t>
      </w:r>
      <w:r>
        <w:tab/>
        <w:t>suspend the student for 10 consecutive school days; or</w:t>
      </w:r>
    </w:p>
    <w:p>
      <w:pPr>
        <w:pStyle w:val="Indenta"/>
      </w:pPr>
      <w:r>
        <w:lastRenderedPageBreak/>
        <w:tab/>
        <w:t>(b)</w:t>
      </w:r>
      <w:r>
        <w:tab/>
        <w:t xml:space="preserve">suspend the student for such further period as is authorised by the chief executive officer if — </w:t>
      </w:r>
    </w:p>
    <w:p>
      <w:pPr>
        <w:pStyle w:val="Indenti"/>
      </w:pPr>
      <w:r>
        <w:tab/>
        <w:t>(i)</w:t>
      </w:r>
      <w:r>
        <w:tab/>
        <w:t xml:space="preserve">the period of suspension imposed under paragraph (a) has expired; and </w:t>
      </w:r>
    </w:p>
    <w:p>
      <w:pPr>
        <w:pStyle w:val="Indenti"/>
      </w:pPr>
      <w:r>
        <w:tab/>
        <w:t>(ii)</w:t>
      </w:r>
      <w:r>
        <w:tab/>
        <w:t>the chief executive officer has not made an order under section 96G(1); and</w:t>
      </w:r>
    </w:p>
    <w:p>
      <w:pPr>
        <w:pStyle w:val="Indenti"/>
      </w:pPr>
      <w:r>
        <w:tab/>
        <w:t>(iii)</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(3)</w:t>
      </w:r>
      <w:r>
        <w:tab/>
        <w:t>If a principal has suspended a student under subregulation (2), the principal is to ensure that educational instruction is made available to the student.</w:t>
      </w:r>
    </w:p>
    <w:p>
      <w:pPr>
        <w:pStyle w:val="Subsection"/>
      </w:pPr>
      <w:r>
        <w:tab/>
        <w:t>(4)</w:t>
      </w:r>
      <w:r>
        <w:tab/>
        <w:t xml:space="preserve">If a student is either wholly or partially suspended from attendance at a school for a period of suspension referred to in subregulation (2), and the period imposed would continue at the end of a school term, the period is taken to — </w:t>
      </w:r>
    </w:p>
    <w:p>
      <w:pPr>
        <w:pStyle w:val="Indenta"/>
      </w:pPr>
      <w:r>
        <w:tab/>
        <w:t>(a)</w:t>
      </w:r>
      <w:r>
        <w:tab/>
        <w:t>pause at the end of the school term; and</w:t>
      </w:r>
    </w:p>
    <w:p>
      <w:pPr>
        <w:pStyle w:val="Indenta"/>
      </w:pPr>
      <w:r>
        <w:tab/>
        <w:t>(b)</w:t>
      </w:r>
      <w:r>
        <w:tab/>
        <w:t>resume at the start of the next school term.</w:t>
      </w:r>
    </w:p>
    <w:p>
      <w:pPr>
        <w:pStyle w:val="Subsection"/>
      </w:pPr>
      <w:r>
        <w:tab/>
        <w:t>(5)</w:t>
      </w:r>
      <w:r>
        <w:tab/>
        <w:t>A student who is suspended under subregulation (2) remains subject to the school’s code of conduct during the period of suspension.</w:t>
      </w:r>
    </w:p>
    <w:p>
      <w:pPr>
        <w:pStyle w:val="PermNoteHeading"/>
      </w:pPr>
      <w:r>
        <w:tab/>
        <w:t>Note for this regulation:</w:t>
      </w:r>
    </w:p>
    <w:p>
      <w:pPr>
        <w:pStyle w:val="PermNoteText"/>
      </w:pPr>
      <w:r>
        <w:tab/>
      </w:r>
      <w:r>
        <w:tab/>
        <w:t>Section 232 provides that the chief executive officer may give directions in writing to the principal of a government school with respect to the performance of the principal’s functions under the Act, either generally or in relation to a particular matter, and the principal is to give effect to any such direction. This may include a direction for a period of suspension imposed under subregulation (2)(a) or (b) to cease.</w:t>
      </w:r>
    </w:p>
    <w:p>
      <w:pPr>
        <w:pStyle w:val="Footnotesection"/>
      </w:pPr>
      <w:r>
        <w:tab/>
        <w:t>[Regulation 46A inserted: SL 2024/118 r. 4.]</w:t>
      </w:r>
    </w:p>
    <w:p>
      <w:pPr>
        <w:pStyle w:val="Heading3"/>
      </w:pPr>
      <w:bookmarkStart w:id="119" w:name="_Toc170134996"/>
      <w:bookmarkStart w:id="120" w:name="_Toc170204336"/>
      <w:bookmarkStart w:id="121" w:name="_Toc170204555"/>
      <w:r>
        <w:rPr>
          <w:rStyle w:val="CharDivNo"/>
        </w:rPr>
        <w:lastRenderedPageBreak/>
        <w:t>Division 6</w:t>
      </w:r>
      <w:r>
        <w:t xml:space="preserve"> — </w:t>
      </w:r>
      <w:r>
        <w:rPr>
          <w:rStyle w:val="CharDivText"/>
        </w:rPr>
        <w:t>Special religious education</w:t>
      </w:r>
      <w:bookmarkEnd w:id="118"/>
      <w:bookmarkEnd w:id="119"/>
      <w:bookmarkEnd w:id="120"/>
      <w:bookmarkEnd w:id="121"/>
    </w:p>
    <w:p>
      <w:pPr>
        <w:pStyle w:val="Heading5"/>
        <w:spacing w:before="180"/>
      </w:pPr>
      <w:bookmarkStart w:id="122" w:name="_Toc170204556"/>
      <w:r>
        <w:rPr>
          <w:rStyle w:val="CharSectno"/>
        </w:rPr>
        <w:t>47</w:t>
      </w:r>
      <w:r>
        <w:t>.</w:t>
      </w:r>
      <w:r>
        <w:tab/>
        <w:t>Provision of special religious education (Act s. 69(1))</w:t>
      </w:r>
      <w:bookmarkEnd w:id="122"/>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23" w:name="_Toc170204557"/>
      <w:r>
        <w:rPr>
          <w:rStyle w:val="CharSectno"/>
        </w:rPr>
        <w:t>48</w:t>
      </w:r>
      <w:r>
        <w:t>.</w:t>
      </w:r>
      <w:r>
        <w:tab/>
        <w:t>Who can give special religious education (Act s. 69(3))</w:t>
      </w:r>
      <w:bookmarkEnd w:id="123"/>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24" w:name="_Toc170134116"/>
      <w:bookmarkStart w:id="125" w:name="_Toc170134999"/>
      <w:bookmarkStart w:id="126" w:name="_Toc170204339"/>
      <w:bookmarkStart w:id="127" w:name="_Toc170204558"/>
      <w:r>
        <w:rPr>
          <w:rStyle w:val="CharDivNo"/>
        </w:rPr>
        <w:lastRenderedPageBreak/>
        <w:t>Division 7</w:t>
      </w:r>
      <w:r>
        <w:t xml:space="preserve"> — </w:t>
      </w:r>
      <w:r>
        <w:rPr>
          <w:rStyle w:val="CharDivText"/>
        </w:rPr>
        <w:t>Advertising and sponsorship</w:t>
      </w:r>
      <w:bookmarkEnd w:id="124"/>
      <w:bookmarkEnd w:id="125"/>
      <w:bookmarkEnd w:id="126"/>
      <w:bookmarkEnd w:id="127"/>
    </w:p>
    <w:p>
      <w:pPr>
        <w:pStyle w:val="Heading5"/>
      </w:pPr>
      <w:bookmarkStart w:id="128" w:name="_Toc170204559"/>
      <w:r>
        <w:rPr>
          <w:rStyle w:val="CharSectno"/>
        </w:rPr>
        <w:t>49</w:t>
      </w:r>
      <w:r>
        <w:t>.</w:t>
      </w:r>
      <w:r>
        <w:tab/>
        <w:t>Term used: arrangement</w:t>
      </w:r>
      <w:bookmarkEnd w:id="12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29" w:name="_Toc170204560"/>
      <w:r>
        <w:rPr>
          <w:rStyle w:val="CharSectno"/>
        </w:rPr>
        <w:t>50</w:t>
      </w:r>
      <w:r>
        <w:t>.</w:t>
      </w:r>
      <w:r>
        <w:tab/>
        <w:t>Arrangements, form and duration of</w:t>
      </w:r>
      <w:bookmarkEnd w:id="12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130" w:name="_Toc170204561"/>
      <w:r>
        <w:rPr>
          <w:rStyle w:val="CharSectno"/>
        </w:rPr>
        <w:t>51</w:t>
      </w:r>
      <w:r>
        <w:t>.</w:t>
      </w:r>
      <w:r>
        <w:tab/>
        <w:t>Arrangements, limitations on content of</w:t>
      </w:r>
      <w:bookmarkEnd w:id="13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lastRenderedPageBreak/>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31" w:name="_Toc170204562"/>
      <w:r>
        <w:rPr>
          <w:rStyle w:val="CharSectno"/>
        </w:rPr>
        <w:t>52</w:t>
      </w:r>
      <w:r>
        <w:t>.</w:t>
      </w:r>
      <w:r>
        <w:tab/>
        <w:t>Naming rights in arrangement</w:t>
      </w:r>
      <w:bookmarkEnd w:id="13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32" w:name="_Toc170204563"/>
      <w:r>
        <w:rPr>
          <w:rStyle w:val="CharSectno"/>
        </w:rPr>
        <w:lastRenderedPageBreak/>
        <w:t>53</w:t>
      </w:r>
      <w:r>
        <w:t>.</w:t>
      </w:r>
      <w:r>
        <w:tab/>
        <w:t>Teaching materials provided under arrangement</w:t>
      </w:r>
      <w:bookmarkEnd w:id="132"/>
    </w:p>
    <w:p>
      <w:pPr>
        <w:pStyle w:val="Subsection"/>
      </w:pPr>
      <w:r>
        <w:tab/>
      </w:r>
      <w:r>
        <w:tab/>
        <w:t>Teaching materials provided under an arrangement are not to be used at the school unless they are clearly identified as being provided under the arrangement.</w:t>
      </w:r>
    </w:p>
    <w:p>
      <w:pPr>
        <w:pStyle w:val="Heading3"/>
      </w:pPr>
      <w:bookmarkStart w:id="133" w:name="_Toc170134122"/>
      <w:bookmarkStart w:id="134" w:name="_Toc170135005"/>
      <w:bookmarkStart w:id="135" w:name="_Toc170204345"/>
      <w:bookmarkStart w:id="136" w:name="_Toc170204564"/>
      <w:r>
        <w:rPr>
          <w:rStyle w:val="CharDivNo"/>
        </w:rPr>
        <w:t>Division 8</w:t>
      </w:r>
      <w:r>
        <w:t xml:space="preserve"> — </w:t>
      </w:r>
      <w:r>
        <w:rPr>
          <w:rStyle w:val="CharDivText"/>
        </w:rPr>
        <w:t>Disputes and complaints</w:t>
      </w:r>
      <w:bookmarkEnd w:id="133"/>
      <w:bookmarkEnd w:id="134"/>
      <w:bookmarkEnd w:id="135"/>
      <w:bookmarkEnd w:id="136"/>
    </w:p>
    <w:p>
      <w:pPr>
        <w:pStyle w:val="Heading5"/>
      </w:pPr>
      <w:bookmarkStart w:id="137" w:name="_Toc170204565"/>
      <w:r>
        <w:rPr>
          <w:rStyle w:val="CharSectno"/>
        </w:rPr>
        <w:t>54</w:t>
      </w:r>
      <w:r>
        <w:t>.</w:t>
      </w:r>
      <w:r>
        <w:tab/>
        <w:t>Term used: scheme</w:t>
      </w:r>
      <w:bookmarkEnd w:id="13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38" w:name="_Toc170204566"/>
      <w:r>
        <w:rPr>
          <w:rStyle w:val="CharSectno"/>
        </w:rPr>
        <w:t>55</w:t>
      </w:r>
      <w:r>
        <w:t>.</w:t>
      </w:r>
      <w:r>
        <w:tab/>
        <w:t>Scheme for dealing with disputes and complaints, establishing</w:t>
      </w:r>
      <w:bookmarkEnd w:id="138"/>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w:t>
      </w:r>
      <w:r>
        <w:lastRenderedPageBreak/>
        <w:t xml:space="preserve">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139" w:name="_Toc170204567"/>
      <w:r>
        <w:rPr>
          <w:rStyle w:val="CharSectno"/>
        </w:rPr>
        <w:t>56</w:t>
      </w:r>
      <w:r>
        <w:t>.</w:t>
      </w:r>
      <w:r>
        <w:tab/>
        <w:t>Protection of complainants etc. from civil liability</w:t>
      </w:r>
      <w:bookmarkEnd w:id="13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40" w:name="_Toc170204568"/>
      <w:r>
        <w:rPr>
          <w:rStyle w:val="CharSectno"/>
        </w:rPr>
        <w:lastRenderedPageBreak/>
        <w:t>57</w:t>
      </w:r>
      <w:r>
        <w:t>.</w:t>
      </w:r>
      <w:r>
        <w:tab/>
        <w:t>Detrimental action against complainant etc., offence</w:t>
      </w:r>
      <w:bookmarkEnd w:id="14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41" w:name="_Toc170134127"/>
      <w:bookmarkStart w:id="142" w:name="_Toc170135010"/>
      <w:bookmarkStart w:id="143" w:name="_Toc170204350"/>
      <w:bookmarkStart w:id="144" w:name="_Toc170204569"/>
      <w:r>
        <w:rPr>
          <w:rStyle w:val="CharPartNo"/>
        </w:rPr>
        <w:lastRenderedPageBreak/>
        <w:t>Part 4</w:t>
      </w:r>
      <w:r>
        <w:t xml:space="preserve"> — </w:t>
      </w:r>
      <w:r>
        <w:rPr>
          <w:rStyle w:val="CharPartText"/>
        </w:rPr>
        <w:t>Financial provisions for government schools</w:t>
      </w:r>
      <w:bookmarkEnd w:id="141"/>
      <w:bookmarkEnd w:id="142"/>
      <w:bookmarkEnd w:id="143"/>
      <w:bookmarkEnd w:id="144"/>
    </w:p>
    <w:p>
      <w:pPr>
        <w:pStyle w:val="Heading3"/>
      </w:pPr>
      <w:bookmarkStart w:id="145" w:name="_Toc170134128"/>
      <w:bookmarkStart w:id="146" w:name="_Toc170135011"/>
      <w:bookmarkStart w:id="147" w:name="_Toc170204351"/>
      <w:bookmarkStart w:id="148" w:name="_Toc170204570"/>
      <w:r>
        <w:rPr>
          <w:rStyle w:val="CharDivNo"/>
        </w:rPr>
        <w:t>Division 1</w:t>
      </w:r>
      <w:r>
        <w:t xml:space="preserve"> — </w:t>
      </w:r>
      <w:r>
        <w:rPr>
          <w:rStyle w:val="CharDivText"/>
        </w:rPr>
        <w:t>Charges and contributions</w:t>
      </w:r>
      <w:bookmarkEnd w:id="145"/>
      <w:bookmarkEnd w:id="146"/>
      <w:bookmarkEnd w:id="147"/>
      <w:bookmarkEnd w:id="148"/>
    </w:p>
    <w:p>
      <w:pPr>
        <w:pStyle w:val="Heading5"/>
      </w:pPr>
      <w:bookmarkStart w:id="149" w:name="_Toc170204571"/>
      <w:r>
        <w:rPr>
          <w:rStyle w:val="CharSectno"/>
        </w:rPr>
        <w:t>58</w:t>
      </w:r>
      <w:r>
        <w:t>.</w:t>
      </w:r>
      <w:r>
        <w:tab/>
        <w:t>Terms used</w:t>
      </w:r>
      <w:bookmarkEnd w:id="149"/>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50" w:name="_Toc170204572"/>
      <w:r>
        <w:rPr>
          <w:rStyle w:val="CharSectno"/>
        </w:rPr>
        <w:t>59</w:t>
      </w:r>
      <w:r>
        <w:t>.</w:t>
      </w:r>
      <w:r>
        <w:tab/>
        <w:t>Materials for which there can be a charge or contribution (Act s. 99)</w:t>
      </w:r>
      <w:bookmarkEnd w:id="150"/>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51" w:name="_Toc170204573"/>
      <w:r>
        <w:rPr>
          <w:rStyle w:val="CharSectno"/>
        </w:rPr>
        <w:lastRenderedPageBreak/>
        <w:t>60</w:t>
      </w:r>
      <w:r>
        <w:t>.</w:t>
      </w:r>
      <w:r>
        <w:tab/>
        <w:t>Services and facilities for which there can be a charge or contribution (Act s. 99)</w:t>
      </w:r>
      <w:bookmarkEnd w:id="151"/>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152" w:name="_Toc170204574"/>
      <w:r>
        <w:rPr>
          <w:rStyle w:val="CharSectno"/>
        </w:rPr>
        <w:t>61</w:t>
      </w:r>
      <w:r>
        <w:t>.</w:t>
      </w:r>
      <w:r>
        <w:tab/>
        <w:t>Limits on charges and contributions (Act s. 99(3)(b))</w:t>
      </w:r>
      <w:bookmarkEnd w:id="152"/>
    </w:p>
    <w:p>
      <w:pPr>
        <w:pStyle w:val="Subsection"/>
      </w:pPr>
      <w:r>
        <w:tab/>
        <w:t>(1)</w:t>
      </w:r>
      <w:r>
        <w:tab/>
        <w:t xml:space="preserve">The maximum total amount of a contribution in respect of a student for materials referred to in regulation 59 and services </w:t>
      </w:r>
      <w:r>
        <w:lastRenderedPageBreak/>
        <w:t xml:space="preserve">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lastRenderedPageBreak/>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53" w:name="_Toc170134133"/>
      <w:bookmarkStart w:id="154" w:name="_Toc170135016"/>
      <w:bookmarkStart w:id="155" w:name="_Toc170204356"/>
      <w:bookmarkStart w:id="156" w:name="_Toc170204575"/>
      <w:r>
        <w:rPr>
          <w:rStyle w:val="CharDivNo"/>
        </w:rPr>
        <w:t>Division 2</w:t>
      </w:r>
      <w:r>
        <w:t xml:space="preserve"> — </w:t>
      </w:r>
      <w:r>
        <w:rPr>
          <w:rStyle w:val="CharDivText"/>
        </w:rPr>
        <w:t>Overseas and adult students</w:t>
      </w:r>
      <w:bookmarkEnd w:id="153"/>
      <w:bookmarkEnd w:id="154"/>
      <w:bookmarkEnd w:id="155"/>
      <w:bookmarkEnd w:id="156"/>
    </w:p>
    <w:p>
      <w:pPr>
        <w:pStyle w:val="Heading5"/>
        <w:keepNext w:val="0"/>
        <w:keepLines w:val="0"/>
        <w:spacing w:before="180"/>
      </w:pPr>
      <w:bookmarkStart w:id="157" w:name="_Toc170204576"/>
      <w:r>
        <w:rPr>
          <w:rStyle w:val="CharSectno"/>
        </w:rPr>
        <w:t>62</w:t>
      </w:r>
      <w:r>
        <w:t>.</w:t>
      </w:r>
      <w:r>
        <w:tab/>
        <w:t xml:space="preserve">Criterion prescribed (Act s. 97 </w:t>
      </w:r>
      <w:r>
        <w:rPr>
          <w:i/>
        </w:rPr>
        <w:t>overseas student</w:t>
      </w:r>
      <w:r>
        <w:t>)</w:t>
      </w:r>
      <w:bookmarkEnd w:id="15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58" w:name="_Toc170204577"/>
      <w:r>
        <w:rPr>
          <w:rStyle w:val="CharSectno"/>
        </w:rPr>
        <w:t>63</w:t>
      </w:r>
      <w:r>
        <w:t>.</w:t>
      </w:r>
      <w:r>
        <w:tab/>
        <w:t>Fees for instruction prescribed (Act s. 103)</w:t>
      </w:r>
      <w:bookmarkEnd w:id="158"/>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lastRenderedPageBreak/>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59" w:name="_Toc170204578"/>
      <w:r>
        <w:rPr>
          <w:rStyle w:val="CharSectno"/>
        </w:rPr>
        <w:t>64</w:t>
      </w:r>
      <w:r>
        <w:t>.</w:t>
      </w:r>
      <w:r>
        <w:tab/>
        <w:t>Exemption from r. 63 fees for some adult students</w:t>
      </w:r>
      <w:bookmarkEnd w:id="159"/>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60" w:name="_Toc170204579"/>
      <w:r>
        <w:rPr>
          <w:rStyle w:val="CharSectno"/>
        </w:rPr>
        <w:lastRenderedPageBreak/>
        <w:t>65</w:t>
      </w:r>
      <w:r>
        <w:t>.</w:t>
      </w:r>
      <w:r>
        <w:tab/>
        <w:t>CEO may waive r. 63 fees for some overseas students</w:t>
      </w:r>
      <w:bookmarkEnd w:id="16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61" w:name="_Toc170204580"/>
      <w:r>
        <w:rPr>
          <w:rStyle w:val="CharSectno"/>
        </w:rPr>
        <w:t>66</w:t>
      </w:r>
      <w:r>
        <w:t>.</w:t>
      </w:r>
      <w:r>
        <w:tab/>
        <w:t>CEO may waive r. 63 fees for some adult students</w:t>
      </w:r>
      <w:bookmarkEnd w:id="161"/>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62" w:name="_Toc170134139"/>
      <w:bookmarkStart w:id="163" w:name="_Toc170135022"/>
      <w:bookmarkStart w:id="164" w:name="_Toc170204362"/>
      <w:bookmarkStart w:id="165" w:name="_Toc170204581"/>
      <w:r>
        <w:rPr>
          <w:rStyle w:val="CharPartNo"/>
        </w:rPr>
        <w:lastRenderedPageBreak/>
        <w:t>Part 5</w:t>
      </w:r>
      <w:r>
        <w:t xml:space="preserve"> — </w:t>
      </w:r>
      <w:r>
        <w:rPr>
          <w:rStyle w:val="CharPartText"/>
        </w:rPr>
        <w:t>Management and control of government school premises</w:t>
      </w:r>
      <w:bookmarkEnd w:id="162"/>
      <w:bookmarkEnd w:id="163"/>
      <w:bookmarkEnd w:id="164"/>
      <w:bookmarkEnd w:id="165"/>
    </w:p>
    <w:p>
      <w:pPr>
        <w:pStyle w:val="Heading3"/>
      </w:pPr>
      <w:bookmarkStart w:id="166" w:name="_Toc170134140"/>
      <w:bookmarkStart w:id="167" w:name="_Toc170135023"/>
      <w:bookmarkStart w:id="168" w:name="_Toc170204363"/>
      <w:bookmarkStart w:id="169" w:name="_Toc170204582"/>
      <w:r>
        <w:rPr>
          <w:rStyle w:val="CharDivNo"/>
        </w:rPr>
        <w:t>Division 1</w:t>
      </w:r>
      <w:r>
        <w:t xml:space="preserve"> — </w:t>
      </w:r>
      <w:r>
        <w:rPr>
          <w:rStyle w:val="CharDivText"/>
        </w:rPr>
        <w:t>Preliminary</w:t>
      </w:r>
      <w:bookmarkEnd w:id="166"/>
      <w:bookmarkEnd w:id="167"/>
      <w:bookmarkEnd w:id="168"/>
      <w:bookmarkEnd w:id="169"/>
    </w:p>
    <w:p>
      <w:pPr>
        <w:pStyle w:val="Heading5"/>
      </w:pPr>
      <w:bookmarkStart w:id="170" w:name="_Toc170204583"/>
      <w:r>
        <w:rPr>
          <w:rStyle w:val="CharSectno"/>
        </w:rPr>
        <w:t>67</w:t>
      </w:r>
      <w:r>
        <w:t>.</w:t>
      </w:r>
      <w:r>
        <w:tab/>
        <w:t>Application of this Part</w:t>
      </w:r>
      <w:bookmarkEnd w:id="170"/>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71" w:name="_Toc170134142"/>
      <w:bookmarkStart w:id="172" w:name="_Toc170135025"/>
      <w:bookmarkStart w:id="173" w:name="_Toc170204365"/>
      <w:bookmarkStart w:id="174" w:name="_Toc170204584"/>
      <w:r>
        <w:rPr>
          <w:rStyle w:val="CharDivNo"/>
        </w:rPr>
        <w:lastRenderedPageBreak/>
        <w:t>Division 2</w:t>
      </w:r>
      <w:r>
        <w:t xml:space="preserve"> — </w:t>
      </w:r>
      <w:r>
        <w:rPr>
          <w:rStyle w:val="CharDivText"/>
        </w:rPr>
        <w:t>Giving name and address</w:t>
      </w:r>
      <w:bookmarkEnd w:id="171"/>
      <w:bookmarkEnd w:id="172"/>
      <w:bookmarkEnd w:id="173"/>
      <w:bookmarkEnd w:id="174"/>
    </w:p>
    <w:p>
      <w:pPr>
        <w:pStyle w:val="Heading5"/>
      </w:pPr>
      <w:bookmarkStart w:id="175" w:name="_Toc170204585"/>
      <w:r>
        <w:rPr>
          <w:rStyle w:val="CharSectno"/>
        </w:rPr>
        <w:t>68</w:t>
      </w:r>
      <w:r>
        <w:t>.</w:t>
      </w:r>
      <w:r>
        <w:tab/>
        <w:t>Non-student on school premises, power to obtain name and address of</w:t>
      </w:r>
      <w:bookmarkEnd w:id="175"/>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76" w:name="_Toc170134144"/>
      <w:bookmarkStart w:id="177" w:name="_Toc170135027"/>
      <w:bookmarkStart w:id="178" w:name="_Toc170204367"/>
      <w:bookmarkStart w:id="179" w:name="_Toc170204586"/>
      <w:r>
        <w:rPr>
          <w:rStyle w:val="CharDivNo"/>
        </w:rPr>
        <w:t>Division 3</w:t>
      </w:r>
      <w:r>
        <w:t xml:space="preserve"> — </w:t>
      </w:r>
      <w:r>
        <w:rPr>
          <w:rStyle w:val="CharDivText"/>
        </w:rPr>
        <w:t>Maintaining good order on school premises</w:t>
      </w:r>
      <w:bookmarkEnd w:id="176"/>
      <w:bookmarkEnd w:id="177"/>
      <w:bookmarkEnd w:id="178"/>
      <w:bookmarkEnd w:id="179"/>
    </w:p>
    <w:p>
      <w:pPr>
        <w:pStyle w:val="Heading5"/>
      </w:pPr>
      <w:bookmarkStart w:id="180" w:name="_Toc170204587"/>
      <w:r>
        <w:rPr>
          <w:rStyle w:val="CharSectno"/>
        </w:rPr>
        <w:t>69</w:t>
      </w:r>
      <w:r>
        <w:t>.</w:t>
      </w:r>
      <w:r>
        <w:tab/>
        <w:t>Maintaining good order etc., principal’s general powers for</w:t>
      </w:r>
      <w:bookmarkEnd w:id="18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lastRenderedPageBreak/>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81" w:name="_Toc170134146"/>
      <w:bookmarkStart w:id="182" w:name="_Toc170135029"/>
      <w:bookmarkStart w:id="183" w:name="_Toc170204369"/>
      <w:bookmarkStart w:id="184" w:name="_Toc170204588"/>
      <w:r>
        <w:rPr>
          <w:rStyle w:val="CharDivNo"/>
        </w:rPr>
        <w:t>Division 4</w:t>
      </w:r>
      <w:r>
        <w:t xml:space="preserve"> — </w:t>
      </w:r>
      <w:r>
        <w:rPr>
          <w:rStyle w:val="CharDivText"/>
        </w:rPr>
        <w:t>Things on school premises</w:t>
      </w:r>
      <w:bookmarkEnd w:id="181"/>
      <w:bookmarkEnd w:id="182"/>
      <w:bookmarkEnd w:id="183"/>
      <w:bookmarkEnd w:id="184"/>
    </w:p>
    <w:p>
      <w:pPr>
        <w:pStyle w:val="Heading5"/>
      </w:pPr>
      <w:bookmarkStart w:id="185" w:name="_Toc170204589"/>
      <w:r>
        <w:rPr>
          <w:rStyle w:val="CharSectno"/>
        </w:rPr>
        <w:t>70</w:t>
      </w:r>
      <w:r>
        <w:t>.</w:t>
      </w:r>
      <w:r>
        <w:tab/>
        <w:t>Principal’s powers to prohibit and regulate things</w:t>
      </w:r>
      <w:bookmarkEnd w:id="185"/>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lastRenderedPageBreak/>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86" w:name="_Toc170204590"/>
      <w:r>
        <w:rPr>
          <w:rStyle w:val="CharSectno"/>
        </w:rPr>
        <w:lastRenderedPageBreak/>
        <w:t>71</w:t>
      </w:r>
      <w:r>
        <w:t>.</w:t>
      </w:r>
      <w:r>
        <w:tab/>
        <w:t>Confiscating property from students, powers for</w:t>
      </w:r>
      <w:bookmarkEnd w:id="186"/>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lastRenderedPageBreak/>
        <w:tab/>
        <w:t>(b)</w:t>
      </w:r>
      <w:r>
        <w:tab/>
        <w:t>has been collected under an arrangement referred to in subregulation (3).</w:t>
      </w:r>
    </w:p>
    <w:p>
      <w:pPr>
        <w:pStyle w:val="Heading3"/>
      </w:pPr>
      <w:bookmarkStart w:id="187" w:name="_Toc170134149"/>
      <w:bookmarkStart w:id="188" w:name="_Toc170135032"/>
      <w:bookmarkStart w:id="189" w:name="_Toc170204372"/>
      <w:bookmarkStart w:id="190" w:name="_Toc170204591"/>
      <w:r>
        <w:rPr>
          <w:rStyle w:val="CharDivNo"/>
        </w:rPr>
        <w:t>Division 5</w:t>
      </w:r>
      <w:r>
        <w:t xml:space="preserve"> — </w:t>
      </w:r>
      <w:r>
        <w:rPr>
          <w:rStyle w:val="CharDivText"/>
        </w:rPr>
        <w:t>Permission to use school premises</w:t>
      </w:r>
      <w:bookmarkEnd w:id="187"/>
      <w:bookmarkEnd w:id="188"/>
      <w:bookmarkEnd w:id="189"/>
      <w:bookmarkEnd w:id="190"/>
    </w:p>
    <w:p>
      <w:pPr>
        <w:pStyle w:val="Heading5"/>
        <w:rPr>
          <w:rStyle w:val="CharDivText"/>
        </w:rPr>
      </w:pPr>
      <w:bookmarkStart w:id="191" w:name="_Toc170204592"/>
      <w:r>
        <w:rPr>
          <w:rStyle w:val="CharSectno"/>
        </w:rPr>
        <w:t>72</w:t>
      </w:r>
      <w:r>
        <w:rPr>
          <w:rStyle w:val="CharDivText"/>
        </w:rPr>
        <w:t>.</w:t>
      </w:r>
      <w:r>
        <w:rPr>
          <w:rStyle w:val="CharDivText"/>
        </w:rPr>
        <w:tab/>
        <w:t>Permitting public to use school premises</w:t>
      </w:r>
      <w:bookmarkEnd w:id="19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92" w:name="_Toc170134151"/>
      <w:bookmarkStart w:id="193" w:name="_Toc170135034"/>
      <w:bookmarkStart w:id="194" w:name="_Toc170204374"/>
      <w:bookmarkStart w:id="195" w:name="_Toc170204593"/>
      <w:r>
        <w:rPr>
          <w:rStyle w:val="CharDivNo"/>
        </w:rPr>
        <w:lastRenderedPageBreak/>
        <w:t>Division 6</w:t>
      </w:r>
      <w:r>
        <w:t xml:space="preserve"> — </w:t>
      </w:r>
      <w:r>
        <w:rPr>
          <w:rStyle w:val="CharDivText"/>
        </w:rPr>
        <w:t>Orders to leave school premises</w:t>
      </w:r>
      <w:bookmarkEnd w:id="192"/>
      <w:bookmarkEnd w:id="193"/>
      <w:bookmarkEnd w:id="194"/>
      <w:bookmarkEnd w:id="195"/>
    </w:p>
    <w:p>
      <w:pPr>
        <w:pStyle w:val="Heading5"/>
      </w:pPr>
      <w:bookmarkStart w:id="196" w:name="_Toc170204594"/>
      <w:r>
        <w:rPr>
          <w:rStyle w:val="CharSectno"/>
        </w:rPr>
        <w:t>73</w:t>
      </w:r>
      <w:r>
        <w:t>.</w:t>
      </w:r>
      <w:r>
        <w:tab/>
        <w:t>Term used: authorised person</w:t>
      </w:r>
      <w:bookmarkEnd w:id="196"/>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97" w:name="_Toc170204595"/>
      <w:r>
        <w:rPr>
          <w:rStyle w:val="CharSectno"/>
        </w:rPr>
        <w:t>74</w:t>
      </w:r>
      <w:r>
        <w:t>.</w:t>
      </w:r>
      <w:r>
        <w:tab/>
        <w:t>Principal’s authority prevails</w:t>
      </w:r>
      <w:bookmarkEnd w:id="197"/>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98" w:name="_Toc170204596"/>
      <w:r>
        <w:rPr>
          <w:rStyle w:val="CharSectno"/>
        </w:rPr>
        <w:t>75</w:t>
      </w:r>
      <w:r>
        <w:t>.</w:t>
      </w:r>
      <w:r>
        <w:tab/>
        <w:t>Ordering non-student or student to leave school premises</w:t>
      </w:r>
      <w:bookmarkEnd w:id="198"/>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w:t>
      </w:r>
      <w:r>
        <w:lastRenderedPageBreak/>
        <w:t xml:space="preserve">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99" w:name="_Toc170204597"/>
      <w:r>
        <w:rPr>
          <w:rStyle w:val="CharSectno"/>
        </w:rPr>
        <w:t>76</w:t>
      </w:r>
      <w:r>
        <w:t>.</w:t>
      </w:r>
      <w:r>
        <w:tab/>
        <w:t>Circumstances allowing r. 75 order</w:t>
      </w:r>
      <w:bookmarkEnd w:id="19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lastRenderedPageBreak/>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00" w:name="_Toc170204598"/>
      <w:r>
        <w:rPr>
          <w:rStyle w:val="CharSectno"/>
        </w:rPr>
        <w:t>77</w:t>
      </w:r>
      <w:r>
        <w:t>.</w:t>
      </w:r>
      <w:r>
        <w:tab/>
        <w:t>Ordering person to remove animal from school premises</w:t>
      </w:r>
      <w:bookmarkEnd w:id="20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01" w:name="_Toc170134157"/>
      <w:bookmarkStart w:id="202" w:name="_Toc170135040"/>
      <w:bookmarkStart w:id="203" w:name="_Toc170204380"/>
      <w:bookmarkStart w:id="204" w:name="_Toc170204599"/>
      <w:r>
        <w:rPr>
          <w:rStyle w:val="CharDivNo"/>
        </w:rPr>
        <w:t>Division 7</w:t>
      </w:r>
      <w:r>
        <w:t xml:space="preserve"> — </w:t>
      </w:r>
      <w:r>
        <w:rPr>
          <w:rStyle w:val="CharDivText"/>
        </w:rPr>
        <w:t>Prohibiting persons from entering school premises</w:t>
      </w:r>
      <w:bookmarkEnd w:id="201"/>
      <w:bookmarkEnd w:id="202"/>
      <w:bookmarkEnd w:id="203"/>
      <w:bookmarkEnd w:id="204"/>
    </w:p>
    <w:p>
      <w:pPr>
        <w:pStyle w:val="Heading5"/>
        <w:spacing w:before="240"/>
      </w:pPr>
      <w:bookmarkStart w:id="205" w:name="_Toc170204600"/>
      <w:r>
        <w:rPr>
          <w:rStyle w:val="CharSectno"/>
        </w:rPr>
        <w:t>78</w:t>
      </w:r>
      <w:r>
        <w:t>.</w:t>
      </w:r>
      <w:r>
        <w:tab/>
        <w:t>Prohibition order, principal may make</w:t>
      </w:r>
      <w:bookmarkEnd w:id="205"/>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lastRenderedPageBreak/>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06" w:name="_Toc170204601"/>
      <w:r>
        <w:rPr>
          <w:rStyle w:val="CharSectno"/>
        </w:rPr>
        <w:t>79</w:t>
      </w:r>
      <w:r>
        <w:t>.</w:t>
      </w:r>
      <w:r>
        <w:tab/>
        <w:t>Certain persons not to be prohibited by order from school premises</w:t>
      </w:r>
      <w:bookmarkEnd w:id="20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lastRenderedPageBreak/>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07" w:name="_Toc170204602"/>
      <w:r>
        <w:rPr>
          <w:rStyle w:val="CharSectno"/>
        </w:rPr>
        <w:t>80</w:t>
      </w:r>
      <w:r>
        <w:t>.</w:t>
      </w:r>
      <w:r>
        <w:tab/>
        <w:t>Breach of prohibition order, offence</w:t>
      </w:r>
      <w:bookmarkEnd w:id="207"/>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08" w:name="_Toc170204603"/>
      <w:r>
        <w:rPr>
          <w:rStyle w:val="CharSectno"/>
        </w:rPr>
        <w:t>81</w:t>
      </w:r>
      <w:r>
        <w:t>.</w:t>
      </w:r>
      <w:r>
        <w:tab/>
      </w:r>
      <w:r>
        <w:rPr>
          <w:i/>
        </w:rPr>
        <w:t>Restraining Orders Act 1997</w:t>
      </w:r>
      <w:r>
        <w:t xml:space="preserve"> not affected</w:t>
      </w:r>
      <w:bookmarkEnd w:id="20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09" w:name="_Toc170134162"/>
      <w:bookmarkStart w:id="210" w:name="_Toc170135045"/>
      <w:bookmarkStart w:id="211" w:name="_Toc170204385"/>
      <w:bookmarkStart w:id="212" w:name="_Toc170204604"/>
      <w:r>
        <w:rPr>
          <w:rStyle w:val="CharDivNo"/>
        </w:rPr>
        <w:t>Division 8</w:t>
      </w:r>
      <w:r>
        <w:t xml:space="preserve"> — </w:t>
      </w:r>
      <w:r>
        <w:rPr>
          <w:rStyle w:val="CharDivText"/>
        </w:rPr>
        <w:t>Closure of school premises</w:t>
      </w:r>
      <w:bookmarkEnd w:id="209"/>
      <w:bookmarkEnd w:id="210"/>
      <w:bookmarkEnd w:id="211"/>
      <w:bookmarkEnd w:id="212"/>
    </w:p>
    <w:p>
      <w:pPr>
        <w:pStyle w:val="Heading5"/>
      </w:pPr>
      <w:bookmarkStart w:id="213" w:name="_Toc170204605"/>
      <w:r>
        <w:rPr>
          <w:rStyle w:val="CharSectno"/>
        </w:rPr>
        <w:t>82</w:t>
      </w:r>
      <w:r>
        <w:t>.</w:t>
      </w:r>
      <w:r>
        <w:tab/>
        <w:t>Temporary closure of school premises, principal or security coordinator may order</w:t>
      </w:r>
      <w:bookmarkEnd w:id="213"/>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lastRenderedPageBreak/>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14" w:name="_Toc170204606"/>
      <w:r>
        <w:rPr>
          <w:rStyle w:val="CharSectno"/>
        </w:rPr>
        <w:t>83</w:t>
      </w:r>
      <w:r>
        <w:t>.</w:t>
      </w:r>
      <w:r>
        <w:tab/>
        <w:t>Steps to be taken if r. 82(1) order made</w:t>
      </w:r>
      <w:bookmarkEnd w:id="21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15" w:name="_Toc170204607"/>
      <w:r>
        <w:rPr>
          <w:rStyle w:val="CharSectno"/>
        </w:rPr>
        <w:lastRenderedPageBreak/>
        <w:t>84</w:t>
      </w:r>
      <w:r>
        <w:t>.</w:t>
      </w:r>
      <w:r>
        <w:tab/>
        <w:t>Offences as to r. 82(1) order</w:t>
      </w:r>
      <w:bookmarkEnd w:id="215"/>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lastRenderedPageBreak/>
        <w:tab/>
        <w:t>Penalty applicable to subregulations (1), (2), (3) and (4): $1 000.</w:t>
      </w:r>
    </w:p>
    <w:p>
      <w:pPr>
        <w:pStyle w:val="Heading5"/>
      </w:pPr>
      <w:bookmarkStart w:id="216" w:name="_Toc170204608"/>
      <w:r>
        <w:rPr>
          <w:rStyle w:val="CharSectno"/>
        </w:rPr>
        <w:t>85</w:t>
      </w:r>
      <w:r>
        <w:t>.</w:t>
      </w:r>
      <w:r>
        <w:tab/>
        <w:t>Minister may override r. 82(1) order</w:t>
      </w:r>
      <w:bookmarkEnd w:id="216"/>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17" w:name="_Toc170134167"/>
      <w:bookmarkStart w:id="218" w:name="_Toc170135050"/>
      <w:bookmarkStart w:id="219" w:name="_Toc170204390"/>
      <w:bookmarkStart w:id="220" w:name="_Toc170204609"/>
      <w:r>
        <w:rPr>
          <w:rStyle w:val="CharDivNo"/>
        </w:rPr>
        <w:t>Division 9</w:t>
      </w:r>
      <w:r>
        <w:t xml:space="preserve"> — </w:t>
      </w:r>
      <w:r>
        <w:rPr>
          <w:rStyle w:val="CharDivText"/>
        </w:rPr>
        <w:t>Traffic control on school premises</w:t>
      </w:r>
      <w:bookmarkEnd w:id="217"/>
      <w:bookmarkEnd w:id="218"/>
      <w:bookmarkEnd w:id="219"/>
      <w:bookmarkEnd w:id="220"/>
    </w:p>
    <w:p>
      <w:pPr>
        <w:pStyle w:val="Heading5"/>
      </w:pPr>
      <w:bookmarkStart w:id="221" w:name="_Toc170204610"/>
      <w:r>
        <w:rPr>
          <w:rStyle w:val="CharSectno"/>
        </w:rPr>
        <w:t>86</w:t>
      </w:r>
      <w:r>
        <w:t>.</w:t>
      </w:r>
      <w:r>
        <w:tab/>
        <w:t>Terms used</w:t>
      </w:r>
      <w:bookmarkEnd w:id="22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22" w:name="_Toc170204611"/>
      <w:r>
        <w:rPr>
          <w:rStyle w:val="CharSectno"/>
        </w:rPr>
        <w:t>87</w:t>
      </w:r>
      <w:r>
        <w:t>.</w:t>
      </w:r>
      <w:r>
        <w:tab/>
        <w:t>Signs etc. for traffic control, principal may erect etc.</w:t>
      </w:r>
      <w:bookmarkEnd w:id="22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lastRenderedPageBreak/>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23" w:name="_Toc170204612"/>
      <w:r>
        <w:rPr>
          <w:rStyle w:val="CharSectno"/>
        </w:rPr>
        <w:t>88</w:t>
      </w:r>
      <w:r>
        <w:t>.</w:t>
      </w:r>
      <w:r>
        <w:tab/>
        <w:t>Authorised person may direct drivers etc.</w:t>
      </w:r>
      <w:bookmarkEnd w:id="223"/>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24" w:name="_Toc170204613"/>
      <w:r>
        <w:rPr>
          <w:rStyle w:val="CharSectno"/>
        </w:rPr>
        <w:lastRenderedPageBreak/>
        <w:t>89</w:t>
      </w:r>
      <w:r>
        <w:t>.</w:t>
      </w:r>
      <w:r>
        <w:tab/>
        <w:t>Traffic offences</w:t>
      </w:r>
      <w:bookmarkEnd w:id="22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25" w:name="_Toc170204614"/>
      <w:r>
        <w:rPr>
          <w:rStyle w:val="CharSectno"/>
        </w:rPr>
        <w:t>90</w:t>
      </w:r>
      <w:r>
        <w:t>.</w:t>
      </w:r>
      <w:r>
        <w:tab/>
        <w:t>Local laws as to parking not affected</w:t>
      </w:r>
      <w:bookmarkEnd w:id="22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26" w:name="_Toc170134173"/>
      <w:bookmarkStart w:id="227" w:name="_Toc170135056"/>
      <w:bookmarkStart w:id="228" w:name="_Toc170204396"/>
      <w:bookmarkStart w:id="229" w:name="_Toc170204615"/>
      <w:r>
        <w:rPr>
          <w:rStyle w:val="CharDivNo"/>
        </w:rPr>
        <w:t>Division 10</w:t>
      </w:r>
      <w:r>
        <w:t xml:space="preserve"> — </w:t>
      </w:r>
      <w:r>
        <w:rPr>
          <w:rStyle w:val="CharDivText"/>
        </w:rPr>
        <w:t>Management of property left on school premises</w:t>
      </w:r>
      <w:bookmarkEnd w:id="226"/>
      <w:bookmarkEnd w:id="227"/>
      <w:bookmarkEnd w:id="228"/>
      <w:bookmarkEnd w:id="229"/>
    </w:p>
    <w:p>
      <w:pPr>
        <w:pStyle w:val="Heading5"/>
      </w:pPr>
      <w:bookmarkStart w:id="230" w:name="_Toc170204616"/>
      <w:r>
        <w:rPr>
          <w:rStyle w:val="CharSectno"/>
        </w:rPr>
        <w:t>91</w:t>
      </w:r>
      <w:r>
        <w:t>.</w:t>
      </w:r>
      <w:r>
        <w:tab/>
        <w:t>Term used: authorised person</w:t>
      </w:r>
      <w:bookmarkEnd w:id="23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31" w:name="_Toc170204617"/>
      <w:r>
        <w:rPr>
          <w:rStyle w:val="CharSectno"/>
        </w:rPr>
        <w:t>92</w:t>
      </w:r>
      <w:r>
        <w:t>.</w:t>
      </w:r>
      <w:r>
        <w:tab/>
        <w:t>Principal’s authority prevails</w:t>
      </w:r>
      <w:bookmarkEnd w:id="231"/>
    </w:p>
    <w:p>
      <w:pPr>
        <w:pStyle w:val="Subsection"/>
      </w:pPr>
      <w:r>
        <w:tab/>
      </w:r>
      <w:r>
        <w:tab/>
        <w:t xml:space="preserve">The authority of the principal of a government school prevails to the extent of any inconsistency in the manner in which the </w:t>
      </w:r>
      <w:r>
        <w:lastRenderedPageBreak/>
        <w:t>principal and another authorised person deal with a matter for the purposes of this Division.</w:t>
      </w:r>
    </w:p>
    <w:p>
      <w:pPr>
        <w:pStyle w:val="Heading5"/>
      </w:pPr>
      <w:bookmarkStart w:id="232" w:name="_Toc170204618"/>
      <w:r>
        <w:rPr>
          <w:rStyle w:val="CharSectno"/>
        </w:rPr>
        <w:t>93</w:t>
      </w:r>
      <w:r>
        <w:t>.</w:t>
      </w:r>
      <w:r>
        <w:tab/>
        <w:t>Removing and moving vehicles, authorised person’s powers for</w:t>
      </w:r>
      <w:bookmarkEnd w:id="232"/>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33" w:name="_Toc170204619"/>
      <w:r>
        <w:rPr>
          <w:rStyle w:val="CharSectno"/>
        </w:rPr>
        <w:t>94</w:t>
      </w:r>
      <w:r>
        <w:t>.</w:t>
      </w:r>
      <w:r>
        <w:tab/>
        <w:t>Authorised person’s powers to remove or move vehicles</w:t>
      </w:r>
      <w:bookmarkEnd w:id="233"/>
    </w:p>
    <w:p>
      <w:pPr>
        <w:pStyle w:val="Subsection"/>
      </w:pPr>
      <w:r>
        <w:tab/>
        <w:t>(1)</w:t>
      </w:r>
      <w:r>
        <w:tab/>
        <w:t xml:space="preserve">An authorised person at a government school, together with such assistants as the authorised person thinks are necessary, may do all such things as may be reasonably necessary to </w:t>
      </w:r>
      <w:r>
        <w:lastRenderedPageBreak/>
        <w:t>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34" w:name="_Toc170204620"/>
      <w:r>
        <w:rPr>
          <w:rStyle w:val="CharSectno"/>
        </w:rPr>
        <w:t>95</w:t>
      </w:r>
      <w:r>
        <w:t>.</w:t>
      </w:r>
      <w:r>
        <w:tab/>
        <w:t>Lost, discarded or disused property, principal’s functions as to; ownership of</w:t>
      </w:r>
      <w:bookmarkEnd w:id="23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lastRenderedPageBreak/>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35" w:name="_Toc170204621"/>
      <w:r>
        <w:rPr>
          <w:rStyle w:val="CharSectno"/>
        </w:rPr>
        <w:t>96</w:t>
      </w:r>
      <w:r>
        <w:t>.</w:t>
      </w:r>
      <w:r>
        <w:tab/>
        <w:t>Unclaimed lost etc. property, disposal of</w:t>
      </w:r>
      <w:bookmarkEnd w:id="23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36" w:name="_Toc170204622"/>
      <w:r>
        <w:rPr>
          <w:rStyle w:val="CharSectno"/>
        </w:rPr>
        <w:t>97</w:t>
      </w:r>
      <w:r>
        <w:t>.</w:t>
      </w:r>
      <w:r>
        <w:tab/>
        <w:t>Costs etc. of removing etc. vehicle or property, recovering</w:t>
      </w:r>
      <w:bookmarkEnd w:id="236"/>
    </w:p>
    <w:p>
      <w:pPr>
        <w:pStyle w:val="Subsection"/>
      </w:pPr>
      <w:r>
        <w:tab/>
        <w:t>(1)</w:t>
      </w:r>
      <w:r>
        <w:tab/>
        <w:t xml:space="preserve">The following may be recovered from the owner of a vehicle or other property as a debt in a court of competent jurisdiction — </w:t>
      </w:r>
    </w:p>
    <w:p>
      <w:pPr>
        <w:pStyle w:val="Indenta"/>
      </w:pPr>
      <w:r>
        <w:lastRenderedPageBreak/>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37" w:name="_Toc170134181"/>
      <w:bookmarkStart w:id="238" w:name="_Toc170135064"/>
      <w:bookmarkStart w:id="239" w:name="_Toc170204404"/>
      <w:bookmarkStart w:id="240" w:name="_Toc170204623"/>
      <w:r>
        <w:rPr>
          <w:rStyle w:val="CharDivNo"/>
        </w:rPr>
        <w:t>Division 11</w:t>
      </w:r>
      <w:r>
        <w:t xml:space="preserve"> — </w:t>
      </w:r>
      <w:r>
        <w:rPr>
          <w:rStyle w:val="CharDivText"/>
        </w:rPr>
        <w:t>Review of decisions made under this Part</w:t>
      </w:r>
      <w:bookmarkEnd w:id="237"/>
      <w:bookmarkEnd w:id="238"/>
      <w:bookmarkEnd w:id="239"/>
      <w:bookmarkEnd w:id="240"/>
    </w:p>
    <w:p>
      <w:pPr>
        <w:pStyle w:val="Heading5"/>
        <w:spacing w:before="180"/>
      </w:pPr>
      <w:bookmarkStart w:id="241" w:name="_Toc170204624"/>
      <w:r>
        <w:rPr>
          <w:rStyle w:val="CharSectno"/>
        </w:rPr>
        <w:t>98</w:t>
      </w:r>
      <w:r>
        <w:t>.</w:t>
      </w:r>
      <w:r>
        <w:tab/>
        <w:t>Decision under r. 72(1) to refuse use of school premises, review of</w:t>
      </w:r>
      <w:bookmarkEnd w:id="241"/>
    </w:p>
    <w:p>
      <w:pPr>
        <w:pStyle w:val="Subsection"/>
        <w:spacing w:before="120"/>
      </w:pPr>
      <w:r>
        <w:tab/>
        <w:t>(1)</w:t>
      </w:r>
      <w:r>
        <w:tab/>
        <w:t xml:space="preserve">A person who is aggrieved by a decision of the principal not to give permission under regulation 72(1) for the school’s premises </w:t>
      </w:r>
      <w:r>
        <w:lastRenderedPageBreak/>
        <w:t>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42" w:name="_Toc170204625"/>
      <w:r>
        <w:rPr>
          <w:rStyle w:val="CharSectno"/>
        </w:rPr>
        <w:t>99</w:t>
      </w:r>
      <w:r>
        <w:t>.</w:t>
      </w:r>
      <w:r>
        <w:tab/>
        <w:t>Other decisions under this Part, review of</w:t>
      </w:r>
      <w:bookmarkEnd w:id="24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lastRenderedPageBreak/>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43" w:name="_Toc170204626"/>
      <w:r>
        <w:rPr>
          <w:rStyle w:val="CharSectno"/>
        </w:rPr>
        <w:t>100</w:t>
      </w:r>
      <w:r>
        <w:t>.</w:t>
      </w:r>
      <w:r>
        <w:tab/>
        <w:t>Prohibition order, review of</w:t>
      </w:r>
      <w:bookmarkEnd w:id="24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44" w:name="_Toc170204627"/>
      <w:r>
        <w:rPr>
          <w:rStyle w:val="CharSectno"/>
        </w:rPr>
        <w:t>101</w:t>
      </w:r>
      <w:r>
        <w:t>.</w:t>
      </w:r>
      <w:r>
        <w:tab/>
        <w:t>Matters applicable to reviews under this Division</w:t>
      </w:r>
      <w:bookmarkEnd w:id="24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245" w:name="_Toc170134186"/>
      <w:bookmarkStart w:id="246" w:name="_Toc170135069"/>
      <w:bookmarkStart w:id="247" w:name="_Toc170204409"/>
      <w:bookmarkStart w:id="248" w:name="_Toc170204628"/>
      <w:r>
        <w:rPr>
          <w:rStyle w:val="CharDivNo"/>
        </w:rPr>
        <w:lastRenderedPageBreak/>
        <w:t>Division 12</w:t>
      </w:r>
      <w:r>
        <w:t xml:space="preserve"> — </w:t>
      </w:r>
      <w:r>
        <w:rPr>
          <w:rStyle w:val="CharDivText"/>
        </w:rPr>
        <w:t>Fees for the use of school premises</w:t>
      </w:r>
      <w:bookmarkEnd w:id="245"/>
      <w:bookmarkEnd w:id="246"/>
      <w:bookmarkEnd w:id="247"/>
      <w:bookmarkEnd w:id="248"/>
    </w:p>
    <w:p>
      <w:pPr>
        <w:pStyle w:val="Heading5"/>
        <w:keepNext w:val="0"/>
        <w:keepLines w:val="0"/>
        <w:spacing w:before="180"/>
      </w:pPr>
      <w:bookmarkStart w:id="249" w:name="_Toc170204629"/>
      <w:r>
        <w:rPr>
          <w:rStyle w:val="CharSectno"/>
        </w:rPr>
        <w:t>102</w:t>
      </w:r>
      <w:r>
        <w:t>.</w:t>
      </w:r>
      <w:r>
        <w:tab/>
        <w:t>Fees for residential accommodation on school premises</w:t>
      </w:r>
      <w:bookmarkEnd w:id="249"/>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250" w:name="_Toc170134188"/>
      <w:bookmarkStart w:id="251" w:name="_Toc170135071"/>
      <w:bookmarkStart w:id="252" w:name="_Toc170204411"/>
      <w:bookmarkStart w:id="253" w:name="_Toc170204630"/>
      <w:r>
        <w:rPr>
          <w:rStyle w:val="CharPartNo"/>
        </w:rPr>
        <w:lastRenderedPageBreak/>
        <w:t>Part 6</w:t>
      </w:r>
      <w:r>
        <w:t xml:space="preserve"> — </w:t>
      </w:r>
      <w:r>
        <w:rPr>
          <w:rStyle w:val="CharPartText"/>
        </w:rPr>
        <w:t>Government school Councils</w:t>
      </w:r>
      <w:bookmarkEnd w:id="250"/>
      <w:bookmarkEnd w:id="251"/>
      <w:bookmarkEnd w:id="252"/>
      <w:bookmarkEnd w:id="253"/>
    </w:p>
    <w:p>
      <w:pPr>
        <w:pStyle w:val="Heading3"/>
      </w:pPr>
      <w:bookmarkStart w:id="254" w:name="_Toc170134189"/>
      <w:bookmarkStart w:id="255" w:name="_Toc170135072"/>
      <w:bookmarkStart w:id="256" w:name="_Toc170204412"/>
      <w:bookmarkStart w:id="257" w:name="_Toc170204631"/>
      <w:r>
        <w:rPr>
          <w:rStyle w:val="CharDivNo"/>
        </w:rPr>
        <w:t>Division 1</w:t>
      </w:r>
      <w:r>
        <w:t xml:space="preserve"> — </w:t>
      </w:r>
      <w:r>
        <w:rPr>
          <w:rStyle w:val="CharDivText"/>
        </w:rPr>
        <w:t>Preliminary</w:t>
      </w:r>
      <w:bookmarkEnd w:id="254"/>
      <w:bookmarkEnd w:id="255"/>
      <w:bookmarkEnd w:id="256"/>
      <w:bookmarkEnd w:id="257"/>
    </w:p>
    <w:p>
      <w:pPr>
        <w:pStyle w:val="Heading5"/>
        <w:spacing w:before="180"/>
      </w:pPr>
      <w:bookmarkStart w:id="258" w:name="_Toc170204632"/>
      <w:r>
        <w:rPr>
          <w:rStyle w:val="CharSectno"/>
        </w:rPr>
        <w:t>103</w:t>
      </w:r>
      <w:r>
        <w:t>.</w:t>
      </w:r>
      <w:r>
        <w:tab/>
        <w:t>Term used: school</w:t>
      </w:r>
      <w:bookmarkEnd w:id="258"/>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59" w:name="_Toc170134191"/>
      <w:bookmarkStart w:id="260" w:name="_Toc170135074"/>
      <w:bookmarkStart w:id="261" w:name="_Toc170204414"/>
      <w:bookmarkStart w:id="262" w:name="_Toc170204633"/>
      <w:r>
        <w:rPr>
          <w:rStyle w:val="CharDivNo"/>
        </w:rPr>
        <w:t>Division 2</w:t>
      </w:r>
      <w:r>
        <w:t xml:space="preserve"> — </w:t>
      </w:r>
      <w:r>
        <w:rPr>
          <w:rStyle w:val="CharDivText"/>
        </w:rPr>
        <w:t>Constitution of Councils</w:t>
      </w:r>
      <w:bookmarkEnd w:id="259"/>
      <w:bookmarkEnd w:id="260"/>
      <w:bookmarkEnd w:id="261"/>
      <w:bookmarkEnd w:id="262"/>
    </w:p>
    <w:p>
      <w:pPr>
        <w:pStyle w:val="Heading5"/>
        <w:spacing w:before="180"/>
      </w:pPr>
      <w:bookmarkStart w:id="263" w:name="_Toc170204634"/>
      <w:r>
        <w:rPr>
          <w:rStyle w:val="CharSectno"/>
        </w:rPr>
        <w:t>104</w:t>
      </w:r>
      <w:r>
        <w:t>.</w:t>
      </w:r>
      <w:r>
        <w:tab/>
        <w:t>Interim Council, appointment of etc.</w:t>
      </w:r>
      <w:bookmarkEnd w:id="26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64" w:name="_Toc170204635"/>
      <w:r>
        <w:rPr>
          <w:rStyle w:val="CharSectno"/>
        </w:rPr>
        <w:t>105</w:t>
      </w:r>
      <w:r>
        <w:t>.</w:t>
      </w:r>
      <w:r>
        <w:tab/>
        <w:t>Class of school prescribed (Act s. 127(1)(d)); which students can be on Council</w:t>
      </w:r>
      <w:bookmarkEnd w:id="26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lastRenderedPageBreak/>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265" w:name="_Toc170204636"/>
      <w:r>
        <w:rPr>
          <w:rStyle w:val="CharSectno"/>
        </w:rPr>
        <w:t>106</w:t>
      </w:r>
      <w:r>
        <w:t>.</w:t>
      </w:r>
      <w:r>
        <w:tab/>
        <w:t>Number of members prescribed (Act s. 127(5)(b))</w:t>
      </w:r>
      <w:bookmarkEnd w:id="26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66" w:name="_Toc170204637"/>
      <w:r>
        <w:rPr>
          <w:rStyle w:val="CharSectno"/>
        </w:rPr>
        <w:t>107</w:t>
      </w:r>
      <w:r>
        <w:t>.</w:t>
      </w:r>
      <w:r>
        <w:tab/>
        <w:t>Composition of Council, how determined (Act s. 127(5)(b))</w:t>
      </w:r>
      <w:bookmarkEnd w:id="26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lastRenderedPageBreak/>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67" w:name="_Toc170204638"/>
      <w:r>
        <w:rPr>
          <w:rStyle w:val="CharSectno"/>
        </w:rPr>
        <w:t>108</w:t>
      </w:r>
      <w:r>
        <w:t>.</w:t>
      </w:r>
      <w:r>
        <w:tab/>
        <w:t>Members, appointment and election of (Act s. 127(5)(c))</w:t>
      </w:r>
      <w:bookmarkEnd w:id="26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lastRenderedPageBreak/>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68" w:name="_Toc170204639"/>
      <w:r>
        <w:rPr>
          <w:rStyle w:val="CharSectno"/>
        </w:rPr>
        <w:t>109</w:t>
      </w:r>
      <w:r>
        <w:t>.</w:t>
      </w:r>
      <w:r>
        <w:tab/>
        <w:t>Who can vote in election of members</w:t>
      </w:r>
      <w:bookmarkEnd w:id="26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lastRenderedPageBreak/>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69" w:name="_Toc170204640"/>
      <w:r>
        <w:rPr>
          <w:rStyle w:val="CharSectno"/>
        </w:rPr>
        <w:t>110</w:t>
      </w:r>
      <w:r>
        <w:t>.</w:t>
      </w:r>
      <w:r>
        <w:tab/>
        <w:t>Term of office prescribed (Act s. 127(5)(d))</w:t>
      </w:r>
      <w:bookmarkEnd w:id="26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lastRenderedPageBreak/>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70" w:name="_Toc170204641"/>
      <w:r>
        <w:rPr>
          <w:rStyle w:val="CharSectno"/>
        </w:rPr>
        <w:t>111</w:t>
      </w:r>
      <w:r>
        <w:t>.</w:t>
      </w:r>
      <w:r>
        <w:tab/>
        <w:t>When vacancy occurs</w:t>
      </w:r>
      <w:bookmarkEnd w:id="27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lastRenderedPageBreak/>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71" w:name="_Toc170204642"/>
      <w:r>
        <w:rPr>
          <w:rStyle w:val="CharSectno"/>
        </w:rPr>
        <w:t>112</w:t>
      </w:r>
      <w:r>
        <w:t>.</w:t>
      </w:r>
      <w:r>
        <w:tab/>
        <w:t>Co</w:t>
      </w:r>
      <w:r>
        <w:noBreakHyphen/>
        <w:t>opting members</w:t>
      </w:r>
      <w:bookmarkEnd w:id="27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72" w:name="_Toc170134201"/>
      <w:bookmarkStart w:id="273" w:name="_Toc170135084"/>
      <w:bookmarkStart w:id="274" w:name="_Toc170204424"/>
      <w:bookmarkStart w:id="275" w:name="_Toc170204643"/>
      <w:r>
        <w:rPr>
          <w:rStyle w:val="CharDivNo"/>
        </w:rPr>
        <w:t>Division 3</w:t>
      </w:r>
      <w:r>
        <w:t xml:space="preserve"> — </w:t>
      </w:r>
      <w:r>
        <w:rPr>
          <w:rStyle w:val="CharDivText"/>
        </w:rPr>
        <w:t>Functions of Councils</w:t>
      </w:r>
      <w:bookmarkEnd w:id="272"/>
      <w:bookmarkEnd w:id="273"/>
      <w:bookmarkEnd w:id="274"/>
      <w:bookmarkEnd w:id="275"/>
    </w:p>
    <w:p>
      <w:pPr>
        <w:pStyle w:val="Heading5"/>
        <w:spacing w:before="180"/>
      </w:pPr>
      <w:bookmarkStart w:id="276" w:name="_Toc170204644"/>
      <w:r>
        <w:rPr>
          <w:rStyle w:val="CharSectno"/>
        </w:rPr>
        <w:t>113</w:t>
      </w:r>
      <w:r>
        <w:t>.</w:t>
      </w:r>
      <w:r>
        <w:tab/>
        <w:t>Functions prescribed that Minister may approve for incorporated Council (Act s. 130(1))</w:t>
      </w:r>
      <w:bookmarkEnd w:id="27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77" w:name="_Toc170204645"/>
      <w:r>
        <w:rPr>
          <w:rStyle w:val="CharSectno"/>
        </w:rPr>
        <w:t>114</w:t>
      </w:r>
      <w:r>
        <w:t>.</w:t>
      </w:r>
      <w:r>
        <w:tab/>
        <w:t>Council operating for 2 or more schools, performance of functions by</w:t>
      </w:r>
      <w:bookmarkEnd w:id="27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78" w:name="_Toc170134204"/>
      <w:bookmarkStart w:id="279" w:name="_Toc170135087"/>
      <w:bookmarkStart w:id="280" w:name="_Toc170204427"/>
      <w:bookmarkStart w:id="281" w:name="_Toc170204646"/>
      <w:r>
        <w:rPr>
          <w:rStyle w:val="CharDivNo"/>
        </w:rPr>
        <w:lastRenderedPageBreak/>
        <w:t>Division 4</w:t>
      </w:r>
      <w:r>
        <w:t xml:space="preserve"> — </w:t>
      </w:r>
      <w:r>
        <w:rPr>
          <w:rStyle w:val="CharDivText"/>
        </w:rPr>
        <w:t>Proceedings of Councils</w:t>
      </w:r>
      <w:bookmarkEnd w:id="278"/>
      <w:bookmarkEnd w:id="279"/>
      <w:bookmarkEnd w:id="280"/>
      <w:bookmarkEnd w:id="281"/>
    </w:p>
    <w:p>
      <w:pPr>
        <w:pStyle w:val="Heading5"/>
        <w:spacing w:before="180"/>
      </w:pPr>
      <w:bookmarkStart w:id="282" w:name="_Toc170204647"/>
      <w:r>
        <w:rPr>
          <w:rStyle w:val="CharSectno"/>
        </w:rPr>
        <w:t>115</w:t>
      </w:r>
      <w:r>
        <w:t>.</w:t>
      </w:r>
      <w:r>
        <w:tab/>
        <w:t>Meetings, when to be held; open to public</w:t>
      </w:r>
      <w:bookmarkEnd w:id="282"/>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83" w:name="_Toc170204648"/>
      <w:r>
        <w:rPr>
          <w:rStyle w:val="CharSectno"/>
        </w:rPr>
        <w:t>116</w:t>
      </w:r>
      <w:r>
        <w:t>.</w:t>
      </w:r>
      <w:r>
        <w:tab/>
        <w:t>Grounds for closing meeting to public</w:t>
      </w:r>
      <w:bookmarkEnd w:id="283"/>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lastRenderedPageBreak/>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84" w:name="_Toc170204649"/>
      <w:r>
        <w:rPr>
          <w:rStyle w:val="CharSectno"/>
        </w:rPr>
        <w:t>117</w:t>
      </w:r>
      <w:r>
        <w:t>.</w:t>
      </w:r>
      <w:r>
        <w:tab/>
        <w:t>Annual public meeting</w:t>
      </w:r>
      <w:bookmarkEnd w:id="284"/>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85" w:name="_Toc170204650"/>
      <w:r>
        <w:rPr>
          <w:rStyle w:val="CharSectno"/>
        </w:rPr>
        <w:t>118</w:t>
      </w:r>
      <w:r>
        <w:t>.</w:t>
      </w:r>
      <w:r>
        <w:tab/>
        <w:t>Special meeting called for by families of students or by students</w:t>
      </w:r>
      <w:bookmarkEnd w:id="285"/>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lastRenderedPageBreak/>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86" w:name="_Toc170204651"/>
      <w:r>
        <w:rPr>
          <w:rStyle w:val="CharSectno"/>
        </w:rPr>
        <w:t>119</w:t>
      </w:r>
      <w:r>
        <w:t>.</w:t>
      </w:r>
      <w:r>
        <w:tab/>
        <w:t>Voting</w:t>
      </w:r>
      <w:bookmarkEnd w:id="286"/>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87" w:name="_Toc170134210"/>
      <w:bookmarkStart w:id="288" w:name="_Toc170135093"/>
      <w:bookmarkStart w:id="289" w:name="_Toc170204433"/>
      <w:bookmarkStart w:id="290" w:name="_Toc170204652"/>
      <w:r>
        <w:rPr>
          <w:rStyle w:val="CharDivNo"/>
        </w:rPr>
        <w:lastRenderedPageBreak/>
        <w:t>Division 5</w:t>
      </w:r>
      <w:r>
        <w:t xml:space="preserve"> — </w:t>
      </w:r>
      <w:r>
        <w:rPr>
          <w:rStyle w:val="CharDivText"/>
        </w:rPr>
        <w:t>Transitional provision as to Councils</w:t>
      </w:r>
      <w:bookmarkEnd w:id="287"/>
      <w:bookmarkEnd w:id="288"/>
      <w:bookmarkEnd w:id="289"/>
      <w:bookmarkEnd w:id="290"/>
    </w:p>
    <w:p>
      <w:pPr>
        <w:pStyle w:val="Heading5"/>
      </w:pPr>
      <w:bookmarkStart w:id="291" w:name="_Toc170204653"/>
      <w:r>
        <w:rPr>
          <w:rStyle w:val="CharSectno"/>
        </w:rPr>
        <w:t>120</w:t>
      </w:r>
      <w:r>
        <w:t>.</w:t>
      </w:r>
      <w:r>
        <w:tab/>
        <w:t>Certain Councils to comply with Act s. 127 and this Part Div. 2 and 4 by 1 July 2003</w:t>
      </w:r>
      <w:bookmarkEnd w:id="29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92" w:name="_Toc170134212"/>
      <w:bookmarkStart w:id="293" w:name="_Toc170135095"/>
      <w:bookmarkStart w:id="294" w:name="_Toc170204435"/>
      <w:bookmarkStart w:id="295" w:name="_Toc170204654"/>
      <w:r>
        <w:rPr>
          <w:rStyle w:val="CharPartNo"/>
        </w:rPr>
        <w:lastRenderedPageBreak/>
        <w:t>Part 7</w:t>
      </w:r>
      <w:r>
        <w:rPr>
          <w:rStyle w:val="CharDivNo"/>
        </w:rPr>
        <w:t xml:space="preserve"> </w:t>
      </w:r>
      <w:r>
        <w:t>—</w:t>
      </w:r>
      <w:r>
        <w:rPr>
          <w:rStyle w:val="CharDivText"/>
        </w:rPr>
        <w:t xml:space="preserve"> </w:t>
      </w:r>
      <w:r>
        <w:rPr>
          <w:rStyle w:val="CharPartText"/>
        </w:rPr>
        <w:t>Parents and Citizens’ Associations of government schools</w:t>
      </w:r>
      <w:bookmarkEnd w:id="292"/>
      <w:bookmarkEnd w:id="293"/>
      <w:bookmarkEnd w:id="294"/>
      <w:bookmarkEnd w:id="295"/>
    </w:p>
    <w:p>
      <w:pPr>
        <w:pStyle w:val="Heading5"/>
      </w:pPr>
      <w:bookmarkStart w:id="296" w:name="_Toc170204655"/>
      <w:r>
        <w:rPr>
          <w:rStyle w:val="CharSectno"/>
        </w:rPr>
        <w:t>121</w:t>
      </w:r>
      <w:r>
        <w:t>.</w:t>
      </w:r>
      <w:r>
        <w:tab/>
        <w:t>Term used: association</w:t>
      </w:r>
      <w:bookmarkEnd w:id="296"/>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97" w:name="_Toc170204656"/>
      <w:r>
        <w:rPr>
          <w:rStyle w:val="CharSectno"/>
        </w:rPr>
        <w:t>122</w:t>
      </w:r>
      <w:r>
        <w:t>.</w:t>
      </w:r>
      <w:r>
        <w:tab/>
        <w:t>CEO’s approval required for certain activities by association</w:t>
      </w:r>
      <w:bookmarkEnd w:id="29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98" w:name="_Toc170204657"/>
      <w:r>
        <w:rPr>
          <w:rStyle w:val="CharSectno"/>
        </w:rPr>
        <w:t>123</w:t>
      </w:r>
      <w:r>
        <w:t>.</w:t>
      </w:r>
      <w:r>
        <w:tab/>
        <w:t>CEO may close or abolish facilities etc. provided by association</w:t>
      </w:r>
      <w:bookmarkEnd w:id="29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lastRenderedPageBreak/>
        <w:tab/>
        <w:t>(2)</w:t>
      </w:r>
      <w:r>
        <w:rPr>
          <w:snapToGrid w:val="0"/>
        </w:rPr>
        <w:tab/>
        <w:t>Effect is to be given to an order under subregulation (1) according to its tenor.</w:t>
      </w:r>
    </w:p>
    <w:p>
      <w:pPr>
        <w:pStyle w:val="Heading5"/>
      </w:pPr>
      <w:bookmarkStart w:id="299" w:name="_Toc170204658"/>
      <w:r>
        <w:rPr>
          <w:rStyle w:val="CharSectno"/>
        </w:rPr>
        <w:t>124</w:t>
      </w:r>
      <w:r>
        <w:t>.</w:t>
      </w:r>
      <w:r>
        <w:tab/>
        <w:t>Constitution of association to contain certain provisions</w:t>
      </w:r>
      <w:bookmarkEnd w:id="29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00" w:name="_Toc170134217"/>
      <w:bookmarkStart w:id="301" w:name="_Toc170135100"/>
      <w:bookmarkStart w:id="302" w:name="_Toc170204440"/>
      <w:bookmarkStart w:id="303" w:name="_Toc170204659"/>
      <w:r>
        <w:rPr>
          <w:rStyle w:val="CharPartNo"/>
        </w:rPr>
        <w:lastRenderedPageBreak/>
        <w:t>Part 8</w:t>
      </w:r>
      <w:r>
        <w:t xml:space="preserve"> — </w:t>
      </w:r>
      <w:r>
        <w:rPr>
          <w:rStyle w:val="CharPartText"/>
        </w:rPr>
        <w:t>Staff employed in the department</w:t>
      </w:r>
      <w:bookmarkEnd w:id="300"/>
      <w:bookmarkEnd w:id="301"/>
      <w:bookmarkEnd w:id="302"/>
      <w:bookmarkEnd w:id="303"/>
    </w:p>
    <w:p>
      <w:pPr>
        <w:pStyle w:val="Heading3"/>
      </w:pPr>
      <w:bookmarkStart w:id="304" w:name="_Toc170134218"/>
      <w:bookmarkStart w:id="305" w:name="_Toc170135101"/>
      <w:bookmarkStart w:id="306" w:name="_Toc170204441"/>
      <w:bookmarkStart w:id="307" w:name="_Toc170204660"/>
      <w:r>
        <w:rPr>
          <w:rStyle w:val="CharDivNo"/>
        </w:rPr>
        <w:t>Division 1</w:t>
      </w:r>
      <w:r>
        <w:t xml:space="preserve"> — </w:t>
      </w:r>
      <w:r>
        <w:rPr>
          <w:rStyle w:val="CharDivText"/>
        </w:rPr>
        <w:t>General</w:t>
      </w:r>
      <w:bookmarkEnd w:id="304"/>
      <w:bookmarkEnd w:id="305"/>
      <w:bookmarkEnd w:id="306"/>
      <w:bookmarkEnd w:id="307"/>
    </w:p>
    <w:p>
      <w:pPr>
        <w:pStyle w:val="Heading5"/>
      </w:pPr>
      <w:bookmarkStart w:id="308" w:name="_Toc170204661"/>
      <w:r>
        <w:rPr>
          <w:rStyle w:val="CharSectno"/>
        </w:rPr>
        <w:t>125</w:t>
      </w:r>
      <w:r>
        <w:t>.</w:t>
      </w:r>
      <w:r>
        <w:tab/>
        <w:t>Probation period for teaching staff etc. engaged under Act s. 236(2)</w:t>
      </w:r>
      <w:bookmarkEnd w:id="308"/>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09" w:name="_Toc170204662"/>
      <w:r>
        <w:rPr>
          <w:rStyle w:val="CharSectno"/>
        </w:rPr>
        <w:t>126</w:t>
      </w:r>
      <w:r>
        <w:t>.</w:t>
      </w:r>
      <w:r>
        <w:tab/>
        <w:t>Inefficient teachers under repealed r. 86A, transitional provision for</w:t>
      </w:r>
      <w:bookmarkEnd w:id="30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10" w:name="_Toc170134221"/>
      <w:bookmarkStart w:id="311" w:name="_Toc170135104"/>
      <w:bookmarkStart w:id="312" w:name="_Toc170204444"/>
      <w:bookmarkStart w:id="313" w:name="_Toc170204663"/>
      <w:r>
        <w:rPr>
          <w:rStyle w:val="CharDivNo"/>
        </w:rPr>
        <w:t>Division 2</w:t>
      </w:r>
      <w:r>
        <w:t xml:space="preserve"> — </w:t>
      </w:r>
      <w:r>
        <w:rPr>
          <w:rStyle w:val="CharDivText"/>
        </w:rPr>
        <w:t>Teaching staff</w:t>
      </w:r>
      <w:bookmarkEnd w:id="310"/>
      <w:bookmarkEnd w:id="311"/>
      <w:bookmarkEnd w:id="312"/>
      <w:bookmarkEnd w:id="313"/>
    </w:p>
    <w:p>
      <w:pPr>
        <w:pStyle w:val="Heading5"/>
      </w:pPr>
      <w:bookmarkStart w:id="314" w:name="_Toc170204664"/>
      <w:r>
        <w:rPr>
          <w:rStyle w:val="CharSectno"/>
        </w:rPr>
        <w:t>127</w:t>
      </w:r>
      <w:r>
        <w:t>.</w:t>
      </w:r>
      <w:r>
        <w:tab/>
        <w:t>Offices etc. prescribed to be school administrators (Act s. 237(a)(ii))</w:t>
      </w:r>
      <w:bookmarkEnd w:id="314"/>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lastRenderedPageBreak/>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15" w:name="_Toc170204665"/>
      <w:r>
        <w:rPr>
          <w:rStyle w:val="CharSectno"/>
        </w:rPr>
        <w:t>127A</w:t>
      </w:r>
      <w:r>
        <w:t>.</w:t>
      </w:r>
      <w:r>
        <w:tab/>
        <w:t>Classes of teaching staff prescribed (Act s. 237(c))</w:t>
      </w:r>
      <w:bookmarkEnd w:id="315"/>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316" w:name="_Toc170134224"/>
      <w:bookmarkStart w:id="317" w:name="_Toc170135107"/>
      <w:bookmarkStart w:id="318" w:name="_Toc170204447"/>
      <w:bookmarkStart w:id="319" w:name="_Toc170204666"/>
      <w:r>
        <w:rPr>
          <w:rStyle w:val="CharPartNo"/>
        </w:rPr>
        <w:lastRenderedPageBreak/>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16"/>
      <w:bookmarkEnd w:id="317"/>
      <w:bookmarkEnd w:id="318"/>
      <w:bookmarkEnd w:id="319"/>
    </w:p>
    <w:p>
      <w:pPr>
        <w:pStyle w:val="Heading5"/>
      </w:pPr>
      <w:bookmarkStart w:id="320" w:name="_Toc170204667"/>
      <w:r>
        <w:rPr>
          <w:rStyle w:val="CharSectno"/>
        </w:rPr>
        <w:t>128</w:t>
      </w:r>
      <w:r>
        <w:t>.</w:t>
      </w:r>
      <w:r>
        <w:tab/>
        <w:t>Kinds of establishments that are not schools (Act s. 154(2)(c))</w:t>
      </w:r>
      <w:bookmarkEnd w:id="32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321" w:name="_Toc170204668"/>
      <w:r>
        <w:rPr>
          <w:rStyle w:val="CharSectno"/>
        </w:rPr>
        <w:lastRenderedPageBreak/>
        <w:t>129</w:t>
      </w:r>
      <w:r>
        <w:t>.</w:t>
      </w:r>
      <w:r>
        <w:tab/>
        <w:t>Significant registration changes (Act s. 156)</w:t>
      </w:r>
      <w:bookmarkEnd w:id="321"/>
    </w:p>
    <w:p>
      <w:pPr>
        <w:pStyle w:val="Subsection"/>
        <w:keepNext/>
      </w:pPr>
      <w:r>
        <w:tab/>
        <w:t>(1)</w:t>
      </w:r>
      <w:r>
        <w:tab/>
        <w:t xml:space="preserve">In this regulation — </w:t>
      </w:r>
    </w:p>
    <w:p>
      <w:pPr>
        <w:pStyle w:val="Defstart"/>
      </w:pPr>
      <w:r>
        <w:tab/>
      </w:r>
      <w:r>
        <w:rPr>
          <w:rStyle w:val="CharDefText"/>
        </w:rPr>
        <w:t>non</w:t>
      </w:r>
      <w:r>
        <w:rPr>
          <w:rStyle w:val="CharDefText"/>
        </w:rPr>
        <w:noBreakHyphen/>
        <w:t>compulsory education</w:t>
      </w:r>
      <w:r>
        <w:t xml:space="preserve"> means education provided to children — </w:t>
      </w:r>
    </w:p>
    <w:p>
      <w:pPr>
        <w:pStyle w:val="Defpara"/>
      </w:pPr>
      <w:r>
        <w:tab/>
        <w:t>(a)</w:t>
      </w:r>
      <w:r>
        <w:tab/>
        <w:t xml:space="preserve">in the final year of their early education period; or </w:t>
      </w:r>
    </w:p>
    <w:p>
      <w:pPr>
        <w:pStyle w:val="Defpara"/>
      </w:pPr>
      <w:r>
        <w:tab/>
        <w:t>(b)</w:t>
      </w:r>
      <w:r>
        <w:tab/>
        <w:t>in their pre</w:t>
      </w:r>
      <w:r>
        <w:noBreakHyphen/>
        <w:t>compulsory education period;</w:t>
      </w:r>
    </w:p>
    <w:p>
      <w:pPr>
        <w:pStyle w:val="Defstart"/>
      </w:pPr>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p>
    <w:p>
      <w:pPr>
        <w:pStyle w:val="Defstart"/>
      </w:pPr>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p>
    <w:p>
      <w:pPr>
        <w:pStyle w:val="Subsection"/>
      </w:pPr>
      <w:r>
        <w:tab/>
        <w:t>(2)</w:t>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levels, of education if the addition or additions would result in the school providing — </w:t>
      </w:r>
    </w:p>
    <w:p>
      <w:pPr>
        <w:pStyle w:val="Indenti"/>
      </w:pPr>
      <w:r>
        <w:tab/>
        <w:t>(i)</w:t>
      </w:r>
      <w:r>
        <w:tab/>
        <w:t>non</w:t>
      </w:r>
      <w:r>
        <w:noBreakHyphen/>
        <w:t>compulsory education if the school currently provides no non</w:t>
      </w:r>
      <w:r>
        <w:noBreakHyphen/>
        <w:t>compulsory education; or</w:t>
      </w:r>
    </w:p>
    <w:p>
      <w:pPr>
        <w:pStyle w:val="Indenti"/>
      </w:pPr>
      <w:r>
        <w:tab/>
        <w:t>(ii)</w:t>
      </w:r>
      <w:r>
        <w:tab/>
        <w:t>primary education if the school currently provides no primary education; or</w:t>
      </w:r>
    </w:p>
    <w:p>
      <w:pPr>
        <w:pStyle w:val="Indenti"/>
      </w:pPr>
      <w:r>
        <w:tab/>
        <w:t>(iii)</w:t>
      </w:r>
      <w:r>
        <w:tab/>
        <w:t>secondary education if the school currently provides no secondary education.</w:t>
      </w:r>
    </w:p>
    <w:p>
      <w:pPr>
        <w:pStyle w:val="Footnotesection"/>
      </w:pPr>
      <w:r>
        <w:tab/>
        <w:t>[Regulation 129 inserted: SL 2020/15 r. 4.]</w:t>
      </w:r>
    </w:p>
    <w:p>
      <w:pPr>
        <w:pStyle w:val="Heading5"/>
      </w:pPr>
      <w:bookmarkStart w:id="322" w:name="_Toc170204669"/>
      <w:r>
        <w:rPr>
          <w:rStyle w:val="CharSectno"/>
        </w:rPr>
        <w:lastRenderedPageBreak/>
        <w:t>130</w:t>
      </w:r>
      <w:r>
        <w:t>.</w:t>
      </w:r>
      <w:r>
        <w:tab/>
        <w:t>Consultation procedures prescribed (Act s. 157C(2)(d))</w:t>
      </w:r>
      <w:bookmarkEnd w:id="322"/>
    </w:p>
    <w:p>
      <w:pPr>
        <w:pStyle w:val="Subsection"/>
        <w:keepNext/>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lastRenderedPageBreak/>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323" w:name="_Toc170204670"/>
      <w:r>
        <w:rPr>
          <w:rStyle w:val="CharSectno"/>
        </w:rPr>
        <w:t>130A</w:t>
      </w:r>
      <w:r>
        <w:t>.</w:t>
      </w:r>
      <w:r>
        <w:tab/>
        <w:t xml:space="preserve">Transitional provision for </w:t>
      </w:r>
      <w:r>
        <w:rPr>
          <w:i/>
        </w:rPr>
        <w:t>School Education Amendment Regulations 2020</w:t>
      </w:r>
      <w:bookmarkEnd w:id="323"/>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lastRenderedPageBreak/>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324" w:name="_Toc170204671"/>
      <w:r>
        <w:rPr>
          <w:rStyle w:val="CharSectno"/>
        </w:rPr>
        <w:t>131A</w:t>
      </w:r>
      <w:r>
        <w:t>.</w:t>
      </w:r>
      <w:r>
        <w:tab/>
        <w:t>Other matters about which standards may be determined (Act s. 159(1)(n))</w:t>
      </w:r>
      <w:bookmarkEnd w:id="324"/>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325" w:name="_Toc170204672"/>
      <w:r>
        <w:rPr>
          <w:rStyle w:val="CharSectno"/>
        </w:rPr>
        <w:t>131</w:t>
      </w:r>
      <w:r>
        <w:t>.</w:t>
      </w:r>
      <w:r>
        <w:tab/>
        <w:t>Consultation procedures prescribed (Act s. 159(2))</w:t>
      </w:r>
      <w:bookmarkEnd w:id="32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326" w:name="_Toc170134231"/>
      <w:bookmarkStart w:id="327" w:name="_Toc170135114"/>
      <w:bookmarkStart w:id="328" w:name="_Toc170204454"/>
      <w:bookmarkStart w:id="329" w:name="_Toc170204673"/>
      <w:r>
        <w:rPr>
          <w:rStyle w:val="CharPartNo"/>
        </w:rPr>
        <w:lastRenderedPageBreak/>
        <w:t>Part 10</w:t>
      </w:r>
      <w:r>
        <w:t xml:space="preserve"> — </w:t>
      </w:r>
      <w:r>
        <w:rPr>
          <w:rStyle w:val="CharPartText"/>
        </w:rPr>
        <w:t>Community kindergartens</w:t>
      </w:r>
      <w:bookmarkEnd w:id="326"/>
      <w:bookmarkEnd w:id="327"/>
      <w:bookmarkEnd w:id="328"/>
      <w:bookmarkEnd w:id="329"/>
    </w:p>
    <w:p>
      <w:pPr>
        <w:pStyle w:val="Heading3"/>
      </w:pPr>
      <w:bookmarkStart w:id="330" w:name="_Toc170134232"/>
      <w:bookmarkStart w:id="331" w:name="_Toc170135115"/>
      <w:bookmarkStart w:id="332" w:name="_Toc170204455"/>
      <w:bookmarkStart w:id="333" w:name="_Toc170204674"/>
      <w:r>
        <w:rPr>
          <w:rStyle w:val="CharDivNo"/>
        </w:rPr>
        <w:t>Division 1</w:t>
      </w:r>
      <w:r>
        <w:t xml:space="preserve"> — </w:t>
      </w:r>
      <w:r>
        <w:rPr>
          <w:rStyle w:val="CharDivText"/>
        </w:rPr>
        <w:t>Preliminary</w:t>
      </w:r>
      <w:bookmarkEnd w:id="330"/>
      <w:bookmarkEnd w:id="331"/>
      <w:bookmarkEnd w:id="332"/>
      <w:bookmarkEnd w:id="333"/>
    </w:p>
    <w:p>
      <w:pPr>
        <w:pStyle w:val="Heading5"/>
        <w:spacing w:before="180"/>
      </w:pPr>
      <w:bookmarkStart w:id="334" w:name="_Toc170204675"/>
      <w:r>
        <w:rPr>
          <w:rStyle w:val="CharSectno"/>
        </w:rPr>
        <w:t>132</w:t>
      </w:r>
      <w:r>
        <w:t>.</w:t>
      </w:r>
      <w:r>
        <w:tab/>
        <w:t>Terms used</w:t>
      </w:r>
      <w:bookmarkEnd w:id="334"/>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35" w:name="_Toc170134234"/>
      <w:bookmarkStart w:id="336" w:name="_Toc170135117"/>
      <w:bookmarkStart w:id="337" w:name="_Toc170204457"/>
      <w:bookmarkStart w:id="338" w:name="_Toc170204676"/>
      <w:r>
        <w:rPr>
          <w:rStyle w:val="CharDivNo"/>
        </w:rPr>
        <w:t>Division 2</w:t>
      </w:r>
      <w:r>
        <w:t xml:space="preserve"> — </w:t>
      </w:r>
      <w:r>
        <w:rPr>
          <w:rStyle w:val="CharDivText"/>
        </w:rPr>
        <w:t>Registration of kindergartens</w:t>
      </w:r>
      <w:bookmarkEnd w:id="335"/>
      <w:bookmarkEnd w:id="336"/>
      <w:bookmarkEnd w:id="337"/>
      <w:bookmarkEnd w:id="338"/>
    </w:p>
    <w:p>
      <w:pPr>
        <w:pStyle w:val="Heading5"/>
        <w:spacing w:before="180"/>
      </w:pPr>
      <w:bookmarkStart w:id="339" w:name="_Toc170204677"/>
      <w:r>
        <w:rPr>
          <w:rStyle w:val="CharSectno"/>
        </w:rPr>
        <w:t>133</w:t>
      </w:r>
      <w:r>
        <w:t>.</w:t>
      </w:r>
      <w:r>
        <w:tab/>
        <w:t>Matters prescribed to be considered by Minister when determining registration of kindergarten (Act s. 194(1)(d))</w:t>
      </w:r>
      <w:bookmarkEnd w:id="339"/>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pPr>
      <w:bookmarkStart w:id="340" w:name="_Toc170134236"/>
      <w:bookmarkStart w:id="341" w:name="_Toc170135119"/>
      <w:bookmarkStart w:id="342" w:name="_Toc170204459"/>
      <w:bookmarkStart w:id="343" w:name="_Toc170204678"/>
      <w:r>
        <w:rPr>
          <w:rStyle w:val="CharDivNo"/>
        </w:rPr>
        <w:lastRenderedPageBreak/>
        <w:t>Division 3</w:t>
      </w:r>
      <w:r>
        <w:t xml:space="preserve"> — </w:t>
      </w:r>
      <w:r>
        <w:rPr>
          <w:rStyle w:val="CharDivText"/>
        </w:rPr>
        <w:t>Management of kindergartens</w:t>
      </w:r>
      <w:bookmarkEnd w:id="340"/>
      <w:bookmarkEnd w:id="341"/>
      <w:bookmarkEnd w:id="342"/>
      <w:bookmarkEnd w:id="343"/>
    </w:p>
    <w:p>
      <w:pPr>
        <w:pStyle w:val="Heading5"/>
        <w:spacing w:before="180"/>
      </w:pPr>
      <w:bookmarkStart w:id="344" w:name="_Toc170204679"/>
      <w:r>
        <w:rPr>
          <w:rStyle w:val="CharSectno"/>
        </w:rPr>
        <w:t>134</w:t>
      </w:r>
      <w:r>
        <w:t>.</w:t>
      </w:r>
      <w:r>
        <w:tab/>
        <w:t>Functions of teaching staff prescribed (Act s. 205(1)(g))</w:t>
      </w:r>
      <w:bookmarkEnd w:id="344"/>
    </w:p>
    <w:p>
      <w:pPr>
        <w:pStyle w:val="Subsection"/>
        <w:keepNext/>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45" w:name="_Toc170204680"/>
      <w:r>
        <w:rPr>
          <w:rStyle w:val="CharSectno"/>
        </w:rPr>
        <w:t>135</w:t>
      </w:r>
      <w:r>
        <w:t>.</w:t>
      </w:r>
      <w:r>
        <w:tab/>
        <w:t>When kindergarten to be open</w:t>
      </w:r>
      <w:bookmarkEnd w:id="345"/>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46" w:name="_Toc170204681"/>
      <w:r>
        <w:rPr>
          <w:rStyle w:val="CharSectno"/>
        </w:rPr>
        <w:t>136</w:t>
      </w:r>
      <w:r>
        <w:t>.</w:t>
      </w:r>
      <w:r>
        <w:tab/>
        <w:t>Enrolment at kindergarten (Act s. 206(2)(b))</w:t>
      </w:r>
      <w:bookmarkEnd w:id="346"/>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lastRenderedPageBreak/>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lastRenderedPageBreak/>
        <w:tab/>
        <w:t>[Regulation 136 amended: Gazette 10 Oct 2003 p. 4402</w:t>
      </w:r>
      <w:r>
        <w:noBreakHyphen/>
        <w:t>3; 19 Jul 2019 p. 2845.]</w:t>
      </w:r>
    </w:p>
    <w:p>
      <w:pPr>
        <w:pStyle w:val="Heading5"/>
      </w:pPr>
      <w:bookmarkStart w:id="347" w:name="_Toc170204682"/>
      <w:r>
        <w:rPr>
          <w:rStyle w:val="CharSectno"/>
        </w:rPr>
        <w:t>137</w:t>
      </w:r>
      <w:r>
        <w:t>.</w:t>
      </w:r>
      <w:r>
        <w:tab/>
        <w:t>Minimum hours of instruction for children in kindergarten programme</w:t>
      </w:r>
      <w:bookmarkEnd w:id="347"/>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48" w:name="_Toc170204683"/>
      <w:r>
        <w:rPr>
          <w:rStyle w:val="CharSectno"/>
        </w:rPr>
        <w:t>138</w:t>
      </w:r>
      <w:r>
        <w:t>.</w:t>
      </w:r>
      <w:r>
        <w:tab/>
        <w:t>Enrolment register to be kept and retained</w:t>
      </w:r>
      <w:bookmarkEnd w:id="348"/>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lastRenderedPageBreak/>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349" w:name="_Toc170204684"/>
      <w:r>
        <w:rPr>
          <w:rStyle w:val="CharSectno"/>
        </w:rPr>
        <w:t>139</w:t>
      </w:r>
      <w:r>
        <w:t>.</w:t>
      </w:r>
      <w:r>
        <w:tab/>
        <w:t>Permanent retention of kindergarten enrolment particulars</w:t>
      </w:r>
      <w:bookmarkEnd w:id="349"/>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350" w:name="_Toc170134243"/>
      <w:bookmarkStart w:id="351" w:name="_Toc170135126"/>
      <w:bookmarkStart w:id="352" w:name="_Toc170204466"/>
      <w:bookmarkStart w:id="353" w:name="_Toc170204685"/>
      <w:r>
        <w:rPr>
          <w:rStyle w:val="CharDivNo"/>
        </w:rPr>
        <w:t>Division 4</w:t>
      </w:r>
      <w:r>
        <w:t xml:space="preserve"> — </w:t>
      </w:r>
      <w:r>
        <w:rPr>
          <w:rStyle w:val="CharDivText"/>
        </w:rPr>
        <w:t>Financial provisions for kindergartens</w:t>
      </w:r>
      <w:bookmarkEnd w:id="350"/>
      <w:bookmarkEnd w:id="351"/>
      <w:bookmarkEnd w:id="352"/>
      <w:bookmarkEnd w:id="353"/>
    </w:p>
    <w:p>
      <w:pPr>
        <w:pStyle w:val="Heading4"/>
      </w:pPr>
      <w:bookmarkStart w:id="354" w:name="_Toc170134244"/>
      <w:bookmarkStart w:id="355" w:name="_Toc170135127"/>
      <w:bookmarkStart w:id="356" w:name="_Toc170204467"/>
      <w:bookmarkStart w:id="357" w:name="_Toc170204686"/>
      <w:r>
        <w:t>Subdivision 1 — Contributions and costs</w:t>
      </w:r>
      <w:bookmarkEnd w:id="354"/>
      <w:bookmarkEnd w:id="355"/>
      <w:bookmarkEnd w:id="356"/>
      <w:bookmarkEnd w:id="357"/>
    </w:p>
    <w:p>
      <w:pPr>
        <w:pStyle w:val="Heading5"/>
      </w:pPr>
      <w:bookmarkStart w:id="358" w:name="_Toc170204687"/>
      <w:r>
        <w:rPr>
          <w:rStyle w:val="CharSectno"/>
        </w:rPr>
        <w:t>140</w:t>
      </w:r>
      <w:r>
        <w:t>.</w:t>
      </w:r>
      <w:r>
        <w:tab/>
        <w:t>What contributions may be sought (Act s. 207)</w:t>
      </w:r>
      <w:bookmarkEnd w:id="35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lastRenderedPageBreak/>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59" w:name="_Toc170204688"/>
      <w:r>
        <w:rPr>
          <w:rStyle w:val="CharSectno"/>
        </w:rPr>
        <w:t>141</w:t>
      </w:r>
      <w:r>
        <w:t>.</w:t>
      </w:r>
      <w:r>
        <w:tab/>
        <w:t>Contributions, determining and limits on (Act s. 207)</w:t>
      </w:r>
      <w:bookmarkEnd w:id="35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60" w:name="_Toc170204689"/>
      <w:r>
        <w:rPr>
          <w:rStyle w:val="CharSectno"/>
        </w:rPr>
        <w:t>142</w:t>
      </w:r>
      <w:r>
        <w:t>.</w:t>
      </w:r>
      <w:r>
        <w:tab/>
        <w:t>Extra cost optional component, cost of etc. (Act s. 207)</w:t>
      </w:r>
      <w:bookmarkEnd w:id="36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w:t>
      </w:r>
      <w:r>
        <w:lastRenderedPageBreak/>
        <w:t>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61" w:name="_Toc170204690"/>
      <w:r>
        <w:rPr>
          <w:rStyle w:val="CharSectno"/>
        </w:rPr>
        <w:t>143</w:t>
      </w:r>
      <w:r>
        <w:t>.</w:t>
      </w:r>
      <w:r>
        <w:tab/>
        <w:t>Items for child’s personal use to be supplied by child</w:t>
      </w:r>
      <w:bookmarkEnd w:id="361"/>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62" w:name="_Toc170204691"/>
      <w:r>
        <w:rPr>
          <w:rStyle w:val="CharSectno"/>
        </w:rPr>
        <w:t>144</w:t>
      </w:r>
      <w:r>
        <w:t>.</w:t>
      </w:r>
      <w:r>
        <w:tab/>
        <w:t>Approval and notification of determinations</w:t>
      </w:r>
      <w:bookmarkEnd w:id="362"/>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lastRenderedPageBreak/>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63" w:name="_Toc170134250"/>
      <w:bookmarkStart w:id="364" w:name="_Toc170135133"/>
      <w:bookmarkStart w:id="365" w:name="_Toc170204473"/>
      <w:bookmarkStart w:id="366" w:name="_Toc170204692"/>
      <w:r>
        <w:t>Subdivision 2 — Allocation of moneys appropriated by Parliament</w:t>
      </w:r>
      <w:bookmarkEnd w:id="363"/>
      <w:bookmarkEnd w:id="364"/>
      <w:bookmarkEnd w:id="365"/>
      <w:bookmarkEnd w:id="366"/>
    </w:p>
    <w:p>
      <w:pPr>
        <w:pStyle w:val="Heading5"/>
      </w:pPr>
      <w:bookmarkStart w:id="367" w:name="_Toc170204693"/>
      <w:r>
        <w:rPr>
          <w:rStyle w:val="CharSectno"/>
        </w:rPr>
        <w:t>145</w:t>
      </w:r>
      <w:r>
        <w:t>.</w:t>
      </w:r>
      <w:r>
        <w:tab/>
        <w:t>Classes of children prescribed (Act s. 210(2)(b))</w:t>
      </w:r>
      <w:bookmarkEnd w:id="367"/>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lastRenderedPageBreak/>
        <w:tab/>
        <w:t>[Regulation 145 amended: Gazette 17 Dec 2002 p. 5910; 22 Jul 2005 p. 3370.]</w:t>
      </w:r>
    </w:p>
    <w:p>
      <w:pPr>
        <w:pStyle w:val="Heading5"/>
      </w:pPr>
      <w:bookmarkStart w:id="368" w:name="_Toc170204694"/>
      <w:r>
        <w:rPr>
          <w:rStyle w:val="CharSectno"/>
        </w:rPr>
        <w:t>146</w:t>
      </w:r>
      <w:r>
        <w:t>.</w:t>
      </w:r>
      <w:r>
        <w:tab/>
        <w:t>Allocation of moneys appropriated by Parliament (Act s. 210(3))</w:t>
      </w:r>
      <w:bookmarkEnd w:id="368"/>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69" w:name="_Toc170134253"/>
      <w:bookmarkStart w:id="370" w:name="_Toc170135136"/>
      <w:bookmarkStart w:id="371" w:name="_Toc170204476"/>
      <w:bookmarkStart w:id="372" w:name="_Toc170204695"/>
      <w:r>
        <w:rPr>
          <w:rStyle w:val="CharPartNo"/>
        </w:rPr>
        <w:lastRenderedPageBreak/>
        <w:t>Part 11</w:t>
      </w:r>
      <w:r>
        <w:rPr>
          <w:rStyle w:val="CharDivNo"/>
        </w:rPr>
        <w:t xml:space="preserve"> </w:t>
      </w:r>
      <w:r>
        <w:t>—</w:t>
      </w:r>
      <w:r>
        <w:rPr>
          <w:rStyle w:val="CharDivText"/>
        </w:rPr>
        <w:t xml:space="preserve"> </w:t>
      </w:r>
      <w:r>
        <w:rPr>
          <w:rStyle w:val="CharPartText"/>
        </w:rPr>
        <w:t>Miscellaneous</w:t>
      </w:r>
      <w:bookmarkEnd w:id="369"/>
      <w:bookmarkEnd w:id="370"/>
      <w:bookmarkEnd w:id="371"/>
      <w:bookmarkEnd w:id="372"/>
    </w:p>
    <w:p>
      <w:pPr>
        <w:pStyle w:val="Heading5"/>
      </w:pPr>
      <w:bookmarkStart w:id="373" w:name="_Toc170204696"/>
      <w:r>
        <w:rPr>
          <w:rStyle w:val="CharSectno"/>
        </w:rPr>
        <w:t>147</w:t>
      </w:r>
      <w:r>
        <w:t>.</w:t>
      </w:r>
      <w:r>
        <w:tab/>
        <w:t>Independent minor, designation of child as</w:t>
      </w:r>
      <w:bookmarkEnd w:id="37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lastRenderedPageBreak/>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374" w:name="_Toc170204697"/>
      <w:r>
        <w:rPr>
          <w:rStyle w:val="CharSectno"/>
        </w:rPr>
        <w:t>148A</w:t>
      </w:r>
      <w:r>
        <w:t>.</w:t>
      </w:r>
      <w:r>
        <w:tab/>
        <w:t>Anaphylactic reaction in child, treatment of by staff member</w:t>
      </w:r>
      <w:bookmarkEnd w:id="374"/>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lastRenderedPageBreak/>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375" w:name="_Toc170204698"/>
      <w:r>
        <w:rPr>
          <w:rStyle w:val="CharSectno"/>
        </w:rPr>
        <w:t>148</w:t>
      </w:r>
      <w:r>
        <w:t>.</w:t>
      </w:r>
      <w:r>
        <w:tab/>
        <w:t>Exemption from regulations, grant etc. of by Minister</w:t>
      </w:r>
      <w:bookmarkEnd w:id="375"/>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lastRenderedPageBreak/>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76" w:name="_Toc170204699"/>
      <w:r>
        <w:rPr>
          <w:rStyle w:val="CharSectno"/>
        </w:rPr>
        <w:t>149</w:t>
      </w:r>
      <w:r>
        <w:t>.</w:t>
      </w:r>
      <w:r>
        <w:tab/>
        <w:t>Limits on charges etc., CEO to review regularly</w:t>
      </w:r>
      <w:bookmarkEnd w:id="37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lastRenderedPageBreak/>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77" w:name="_Toc170134258"/>
      <w:bookmarkStart w:id="378" w:name="_Toc170135141"/>
      <w:bookmarkStart w:id="379" w:name="_Toc170204481"/>
      <w:bookmarkStart w:id="380" w:name="_Toc170204700"/>
      <w:r>
        <w:rPr>
          <w:rStyle w:val="CharSchNo"/>
        </w:rPr>
        <w:lastRenderedPageBreak/>
        <w:t>Schedule 1</w:t>
      </w:r>
      <w:r>
        <w:t xml:space="preserve"> — </w:t>
      </w:r>
      <w:r>
        <w:rPr>
          <w:rStyle w:val="CharSchText"/>
        </w:rPr>
        <w:t>Scholarships</w:t>
      </w:r>
      <w:bookmarkEnd w:id="377"/>
      <w:bookmarkEnd w:id="378"/>
      <w:bookmarkEnd w:id="379"/>
      <w:bookmarkEnd w:id="380"/>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381" w:name="_Toc170134259"/>
      <w:bookmarkStart w:id="382" w:name="_Toc170135142"/>
      <w:bookmarkStart w:id="383" w:name="_Toc170204482"/>
      <w:bookmarkStart w:id="384" w:name="_Toc170204701"/>
      <w:r>
        <w:rPr>
          <w:rStyle w:val="CharSchNo"/>
        </w:rPr>
        <w:lastRenderedPageBreak/>
        <w:t>Schedule 2</w:t>
      </w:r>
      <w:r>
        <w:t> — </w:t>
      </w:r>
      <w:r>
        <w:rPr>
          <w:rStyle w:val="CharSchText"/>
        </w:rPr>
        <w:t>Entitlement to enrolment at government school</w:t>
      </w:r>
      <w:bookmarkEnd w:id="381"/>
      <w:bookmarkEnd w:id="382"/>
      <w:bookmarkEnd w:id="383"/>
      <w:bookmarkEnd w:id="384"/>
    </w:p>
    <w:p>
      <w:pPr>
        <w:pStyle w:val="yShoulderClause"/>
      </w:pPr>
      <w:r>
        <w:t>[r. 14A(b)]</w:t>
      </w:r>
    </w:p>
    <w:p>
      <w:pPr>
        <w:pStyle w:val="yFootnoteheading"/>
      </w:pPr>
      <w:r>
        <w:tab/>
        <w:t>[Heading inserted: SL 2020/101 r. 5.]</w:t>
      </w:r>
    </w:p>
    <w:p>
      <w:pPr>
        <w:pStyle w:val="yHeading3"/>
        <w:rPr>
          <w:rStyle w:val="CharSDivText"/>
        </w:rPr>
      </w:pPr>
      <w:bookmarkStart w:id="385" w:name="_Toc170134260"/>
      <w:bookmarkStart w:id="386" w:name="_Toc170135143"/>
      <w:bookmarkStart w:id="387" w:name="_Toc170204483"/>
      <w:bookmarkStart w:id="388" w:name="_Toc170204702"/>
      <w:r>
        <w:rPr>
          <w:rStyle w:val="CharSDivNo"/>
        </w:rPr>
        <w:t>Division 1</w:t>
      </w:r>
      <w:r>
        <w:t> — </w:t>
      </w:r>
      <w:r>
        <w:rPr>
          <w:rStyle w:val="CharSDivText"/>
        </w:rPr>
        <w:t>Visas held by child or person on whom child is dependent</w:t>
      </w:r>
      <w:bookmarkEnd w:id="385"/>
      <w:bookmarkEnd w:id="386"/>
      <w:bookmarkEnd w:id="387"/>
      <w:bookmarkEnd w:id="388"/>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559"/>
        <w:gridCol w:w="4536"/>
      </w:tblGrid>
      <w:tr>
        <w:trPr>
          <w:tblHeader/>
        </w:trPr>
        <w:tc>
          <w:tcPr>
            <w:tcW w:w="709" w:type="dxa"/>
            <w:tcBorders>
              <w:top w:val="single" w:sz="4" w:space="0" w:color="auto"/>
              <w:bottom w:val="single" w:sz="4" w:space="0" w:color="auto"/>
            </w:tcBorders>
          </w:tcPr>
          <w:p>
            <w:pPr>
              <w:pStyle w:val="yTableNAm"/>
              <w:rPr>
                <w:b/>
              </w:rPr>
            </w:pPr>
            <w:r>
              <w:rPr>
                <w:b/>
              </w:rPr>
              <w:t>Item</w:t>
            </w:r>
          </w:p>
        </w:tc>
        <w:tc>
          <w:tcPr>
            <w:tcW w:w="1559" w:type="dxa"/>
            <w:tcBorders>
              <w:top w:val="single" w:sz="4" w:space="0" w:color="auto"/>
              <w:bottom w:val="single" w:sz="4" w:space="0" w:color="auto"/>
            </w:tcBorders>
          </w:tcPr>
          <w:p>
            <w:pPr>
              <w:pStyle w:val="yTableNAm"/>
              <w:jc w:val="center"/>
              <w:rPr>
                <w:b/>
              </w:rPr>
            </w:pPr>
            <w:r>
              <w:rPr>
                <w:b/>
              </w:rPr>
              <w:t>Visa subclass number</w:t>
            </w:r>
          </w:p>
        </w:tc>
        <w:tc>
          <w:tcPr>
            <w:tcW w:w="4536" w:type="dxa"/>
            <w:tcBorders>
              <w:top w:val="single" w:sz="4" w:space="0" w:color="auto"/>
              <w:bottom w:val="single" w:sz="4" w:space="0" w:color="auto"/>
            </w:tcBorders>
          </w:tcPr>
          <w:p>
            <w:pPr>
              <w:pStyle w:val="yTableNAm"/>
              <w:rPr>
                <w:b/>
              </w:rPr>
            </w:pPr>
            <w:r>
              <w:rPr>
                <w:b/>
              </w:rPr>
              <w:t>Visa subclass name</w:t>
            </w:r>
          </w:p>
        </w:tc>
      </w:tr>
      <w:tr>
        <w:tc>
          <w:tcPr>
            <w:tcW w:w="709" w:type="dxa"/>
          </w:tcPr>
          <w:p>
            <w:pPr>
              <w:pStyle w:val="yTableNAm"/>
            </w:pPr>
            <w:r>
              <w:t>1.</w:t>
            </w:r>
          </w:p>
        </w:tc>
        <w:tc>
          <w:tcPr>
            <w:tcW w:w="1559" w:type="dxa"/>
          </w:tcPr>
          <w:p>
            <w:pPr>
              <w:pStyle w:val="yTableNAm"/>
              <w:jc w:val="center"/>
            </w:pPr>
            <w:r>
              <w:t>188</w:t>
            </w:r>
          </w:p>
        </w:tc>
        <w:tc>
          <w:tcPr>
            <w:tcW w:w="4536" w:type="dxa"/>
          </w:tcPr>
          <w:p>
            <w:pPr>
              <w:pStyle w:val="yTableNAm"/>
            </w:pPr>
            <w:r>
              <w:t>Business Innovation and Investment (Provisional)</w:t>
            </w:r>
          </w:p>
        </w:tc>
      </w:tr>
      <w:tr>
        <w:tc>
          <w:tcPr>
            <w:tcW w:w="709" w:type="dxa"/>
          </w:tcPr>
          <w:p>
            <w:pPr>
              <w:pStyle w:val="yTableNAm"/>
            </w:pPr>
            <w:r>
              <w:t>2.</w:t>
            </w:r>
          </w:p>
        </w:tc>
        <w:tc>
          <w:tcPr>
            <w:tcW w:w="1559" w:type="dxa"/>
          </w:tcPr>
          <w:p>
            <w:pPr>
              <w:pStyle w:val="yTableNAm"/>
              <w:jc w:val="center"/>
            </w:pPr>
            <w:r>
              <w:t>300</w:t>
            </w:r>
          </w:p>
        </w:tc>
        <w:tc>
          <w:tcPr>
            <w:tcW w:w="4536" w:type="dxa"/>
          </w:tcPr>
          <w:p>
            <w:pPr>
              <w:pStyle w:val="yTableNAm"/>
            </w:pPr>
            <w:r>
              <w:t>Prospective Marriage</w:t>
            </w:r>
          </w:p>
        </w:tc>
      </w:tr>
      <w:tr>
        <w:tc>
          <w:tcPr>
            <w:tcW w:w="709" w:type="dxa"/>
          </w:tcPr>
          <w:p>
            <w:pPr>
              <w:pStyle w:val="yTableNAm"/>
            </w:pPr>
            <w:r>
              <w:t>3.</w:t>
            </w:r>
          </w:p>
        </w:tc>
        <w:tc>
          <w:tcPr>
            <w:tcW w:w="1559" w:type="dxa"/>
          </w:tcPr>
          <w:p>
            <w:pPr>
              <w:pStyle w:val="yTableNAm"/>
              <w:jc w:val="center"/>
            </w:pPr>
            <w:r>
              <w:t>309</w:t>
            </w:r>
          </w:p>
        </w:tc>
        <w:tc>
          <w:tcPr>
            <w:tcW w:w="4536" w:type="dxa"/>
          </w:tcPr>
          <w:p>
            <w:pPr>
              <w:pStyle w:val="yTableNAm"/>
            </w:pPr>
            <w:r>
              <w:t>Partner (Provisional)</w:t>
            </w:r>
          </w:p>
        </w:tc>
      </w:tr>
      <w:tr>
        <w:tc>
          <w:tcPr>
            <w:tcW w:w="709" w:type="dxa"/>
          </w:tcPr>
          <w:p>
            <w:pPr>
              <w:pStyle w:val="yTableNAm"/>
            </w:pPr>
            <w:r>
              <w:t>4.</w:t>
            </w:r>
          </w:p>
        </w:tc>
        <w:tc>
          <w:tcPr>
            <w:tcW w:w="1559" w:type="dxa"/>
          </w:tcPr>
          <w:p>
            <w:pPr>
              <w:pStyle w:val="yTableNAm"/>
              <w:jc w:val="center"/>
            </w:pPr>
            <w:r>
              <w:t>401</w:t>
            </w:r>
          </w:p>
        </w:tc>
        <w:tc>
          <w:tcPr>
            <w:tcW w:w="4536" w:type="dxa"/>
          </w:tcPr>
          <w:p>
            <w:pPr>
              <w:pStyle w:val="yTableNAm"/>
            </w:pPr>
            <w:r>
              <w:t>Temporary Work (Long Stay Activity)</w:t>
            </w:r>
          </w:p>
        </w:tc>
      </w:tr>
      <w:tr>
        <w:tc>
          <w:tcPr>
            <w:tcW w:w="709" w:type="dxa"/>
          </w:tcPr>
          <w:p>
            <w:pPr>
              <w:pStyle w:val="yTableNAm"/>
            </w:pPr>
            <w:r>
              <w:t>5.</w:t>
            </w:r>
          </w:p>
        </w:tc>
        <w:tc>
          <w:tcPr>
            <w:tcW w:w="1559" w:type="dxa"/>
          </w:tcPr>
          <w:p>
            <w:pPr>
              <w:pStyle w:val="yTableNAm"/>
              <w:jc w:val="center"/>
            </w:pPr>
            <w:r>
              <w:t>402</w:t>
            </w:r>
          </w:p>
        </w:tc>
        <w:tc>
          <w:tcPr>
            <w:tcW w:w="4536" w:type="dxa"/>
          </w:tcPr>
          <w:p>
            <w:pPr>
              <w:pStyle w:val="yTableNAm"/>
            </w:pPr>
            <w:r>
              <w:t>Training and Research</w:t>
            </w:r>
          </w:p>
        </w:tc>
      </w:tr>
      <w:tr>
        <w:tc>
          <w:tcPr>
            <w:tcW w:w="709" w:type="dxa"/>
          </w:tcPr>
          <w:p>
            <w:pPr>
              <w:pStyle w:val="yTableNAm"/>
            </w:pPr>
            <w:r>
              <w:t>6.</w:t>
            </w:r>
          </w:p>
        </w:tc>
        <w:tc>
          <w:tcPr>
            <w:tcW w:w="1559" w:type="dxa"/>
          </w:tcPr>
          <w:p>
            <w:pPr>
              <w:pStyle w:val="yTableNAm"/>
              <w:jc w:val="center"/>
            </w:pPr>
            <w:r>
              <w:t>403</w:t>
            </w:r>
          </w:p>
        </w:tc>
        <w:tc>
          <w:tcPr>
            <w:tcW w:w="4536" w:type="dxa"/>
          </w:tcPr>
          <w:p>
            <w:pPr>
              <w:pStyle w:val="yTableNAm"/>
            </w:pPr>
            <w:r>
              <w:t>Temporary Work (International Relations)</w:t>
            </w:r>
          </w:p>
        </w:tc>
      </w:tr>
      <w:tr>
        <w:tc>
          <w:tcPr>
            <w:tcW w:w="709" w:type="dxa"/>
          </w:tcPr>
          <w:p>
            <w:pPr>
              <w:pStyle w:val="yTableNAm"/>
            </w:pPr>
            <w:r>
              <w:t>7.</w:t>
            </w:r>
          </w:p>
        </w:tc>
        <w:tc>
          <w:tcPr>
            <w:tcW w:w="1559" w:type="dxa"/>
          </w:tcPr>
          <w:p>
            <w:pPr>
              <w:pStyle w:val="yTableNAm"/>
              <w:jc w:val="center"/>
            </w:pPr>
            <w:r>
              <w:t>407</w:t>
            </w:r>
          </w:p>
        </w:tc>
        <w:tc>
          <w:tcPr>
            <w:tcW w:w="4536" w:type="dxa"/>
          </w:tcPr>
          <w:p>
            <w:pPr>
              <w:pStyle w:val="yTableNAm"/>
            </w:pPr>
            <w:r>
              <w:t>Training</w:t>
            </w:r>
          </w:p>
        </w:tc>
      </w:tr>
      <w:tr>
        <w:tc>
          <w:tcPr>
            <w:tcW w:w="709" w:type="dxa"/>
          </w:tcPr>
          <w:p>
            <w:pPr>
              <w:pStyle w:val="yTableNAm"/>
            </w:pPr>
            <w:r>
              <w:t>8.</w:t>
            </w:r>
          </w:p>
        </w:tc>
        <w:tc>
          <w:tcPr>
            <w:tcW w:w="1559" w:type="dxa"/>
          </w:tcPr>
          <w:p>
            <w:pPr>
              <w:pStyle w:val="yTableNAm"/>
              <w:jc w:val="center"/>
            </w:pPr>
            <w:r>
              <w:t>408</w:t>
            </w:r>
          </w:p>
        </w:tc>
        <w:tc>
          <w:tcPr>
            <w:tcW w:w="4536" w:type="dxa"/>
          </w:tcPr>
          <w:p>
            <w:pPr>
              <w:pStyle w:val="yTableNAm"/>
            </w:pPr>
            <w:r>
              <w:t>Temporary Activity</w:t>
            </w:r>
          </w:p>
        </w:tc>
      </w:tr>
      <w:tr>
        <w:tc>
          <w:tcPr>
            <w:tcW w:w="709" w:type="dxa"/>
          </w:tcPr>
          <w:p>
            <w:pPr>
              <w:pStyle w:val="yTableNAm"/>
            </w:pPr>
            <w:r>
              <w:t>9.</w:t>
            </w:r>
          </w:p>
        </w:tc>
        <w:tc>
          <w:tcPr>
            <w:tcW w:w="1559" w:type="dxa"/>
          </w:tcPr>
          <w:p>
            <w:pPr>
              <w:pStyle w:val="yTableNAm"/>
              <w:jc w:val="center"/>
            </w:pPr>
            <w:r>
              <w:t>444</w:t>
            </w:r>
          </w:p>
        </w:tc>
        <w:tc>
          <w:tcPr>
            <w:tcW w:w="4536" w:type="dxa"/>
          </w:tcPr>
          <w:p>
            <w:pPr>
              <w:pStyle w:val="yTableNAm"/>
            </w:pPr>
            <w:r>
              <w:t>Special Category</w:t>
            </w:r>
          </w:p>
        </w:tc>
      </w:tr>
      <w:tr>
        <w:tc>
          <w:tcPr>
            <w:tcW w:w="709" w:type="dxa"/>
          </w:tcPr>
          <w:p>
            <w:pPr>
              <w:pStyle w:val="yTableNAm"/>
            </w:pPr>
            <w:r>
              <w:t>10.</w:t>
            </w:r>
          </w:p>
        </w:tc>
        <w:tc>
          <w:tcPr>
            <w:tcW w:w="1559" w:type="dxa"/>
          </w:tcPr>
          <w:p>
            <w:pPr>
              <w:pStyle w:val="yTableNAm"/>
              <w:jc w:val="center"/>
            </w:pPr>
            <w:r>
              <w:t>445</w:t>
            </w:r>
          </w:p>
        </w:tc>
        <w:tc>
          <w:tcPr>
            <w:tcW w:w="4536" w:type="dxa"/>
          </w:tcPr>
          <w:p>
            <w:pPr>
              <w:pStyle w:val="yTableNAm"/>
            </w:pPr>
            <w:r>
              <w:t>Dependent Child</w:t>
            </w:r>
          </w:p>
        </w:tc>
      </w:tr>
      <w:tr>
        <w:tc>
          <w:tcPr>
            <w:tcW w:w="709" w:type="dxa"/>
          </w:tcPr>
          <w:p>
            <w:pPr>
              <w:pStyle w:val="yTableNAm"/>
            </w:pPr>
            <w:r>
              <w:t>11.</w:t>
            </w:r>
          </w:p>
        </w:tc>
        <w:tc>
          <w:tcPr>
            <w:tcW w:w="1559" w:type="dxa"/>
          </w:tcPr>
          <w:p>
            <w:pPr>
              <w:pStyle w:val="yTableNAm"/>
              <w:jc w:val="center"/>
            </w:pPr>
            <w:r>
              <w:t>449</w:t>
            </w:r>
          </w:p>
        </w:tc>
        <w:tc>
          <w:tcPr>
            <w:tcW w:w="4536" w:type="dxa"/>
          </w:tcPr>
          <w:p>
            <w:pPr>
              <w:pStyle w:val="yTableNAm"/>
            </w:pPr>
            <w:r>
              <w:t>Humanitarian Stay (Temporary)</w:t>
            </w:r>
          </w:p>
        </w:tc>
      </w:tr>
      <w:tr>
        <w:tc>
          <w:tcPr>
            <w:tcW w:w="709" w:type="dxa"/>
          </w:tcPr>
          <w:p>
            <w:pPr>
              <w:pStyle w:val="yTableNAm"/>
            </w:pPr>
            <w:r>
              <w:t>12.</w:t>
            </w:r>
          </w:p>
        </w:tc>
        <w:tc>
          <w:tcPr>
            <w:tcW w:w="1559" w:type="dxa"/>
          </w:tcPr>
          <w:p>
            <w:pPr>
              <w:pStyle w:val="yTableNAm"/>
              <w:jc w:val="center"/>
            </w:pPr>
            <w:r>
              <w:t>457</w:t>
            </w:r>
          </w:p>
        </w:tc>
        <w:tc>
          <w:tcPr>
            <w:tcW w:w="4536" w:type="dxa"/>
          </w:tcPr>
          <w:p>
            <w:pPr>
              <w:pStyle w:val="yTableNAm"/>
            </w:pPr>
            <w:r>
              <w:t>Temporary Work (Skilled)</w:t>
            </w:r>
          </w:p>
        </w:tc>
      </w:tr>
      <w:tr>
        <w:tc>
          <w:tcPr>
            <w:tcW w:w="709" w:type="dxa"/>
          </w:tcPr>
          <w:p>
            <w:pPr>
              <w:pStyle w:val="yTableNAm"/>
            </w:pPr>
            <w:r>
              <w:t>13.</w:t>
            </w:r>
          </w:p>
        </w:tc>
        <w:tc>
          <w:tcPr>
            <w:tcW w:w="1559" w:type="dxa"/>
          </w:tcPr>
          <w:p>
            <w:pPr>
              <w:pStyle w:val="yTableNAm"/>
              <w:jc w:val="center"/>
            </w:pPr>
            <w:r>
              <w:t>461</w:t>
            </w:r>
          </w:p>
        </w:tc>
        <w:tc>
          <w:tcPr>
            <w:tcW w:w="4536" w:type="dxa"/>
          </w:tcPr>
          <w:p>
            <w:pPr>
              <w:pStyle w:val="yTableNAm"/>
            </w:pPr>
            <w:r>
              <w:t>New Zealand Citizen Family Relationship (Temporary)</w:t>
            </w:r>
          </w:p>
        </w:tc>
      </w:tr>
      <w:tr>
        <w:tc>
          <w:tcPr>
            <w:tcW w:w="709" w:type="dxa"/>
          </w:tcPr>
          <w:p>
            <w:pPr>
              <w:pStyle w:val="yTableNAm"/>
            </w:pPr>
            <w:r>
              <w:t>14.</w:t>
            </w:r>
          </w:p>
        </w:tc>
        <w:tc>
          <w:tcPr>
            <w:tcW w:w="1559" w:type="dxa"/>
          </w:tcPr>
          <w:p>
            <w:pPr>
              <w:pStyle w:val="yTableNAm"/>
              <w:jc w:val="center"/>
            </w:pPr>
            <w:r>
              <w:t>476</w:t>
            </w:r>
          </w:p>
        </w:tc>
        <w:tc>
          <w:tcPr>
            <w:tcW w:w="4536" w:type="dxa"/>
          </w:tcPr>
          <w:p>
            <w:pPr>
              <w:pStyle w:val="yTableNAm"/>
              <w:rPr>
                <w:rStyle w:val="DraftersNotes"/>
                <w:b w:val="0"/>
                <w:i w:val="0"/>
                <w:sz w:val="22"/>
              </w:rPr>
            </w:pPr>
            <w:r>
              <w:t>Skilled — Recognised Graduate</w:t>
            </w:r>
          </w:p>
        </w:tc>
      </w:tr>
      <w:tr>
        <w:tc>
          <w:tcPr>
            <w:tcW w:w="709" w:type="dxa"/>
          </w:tcPr>
          <w:p>
            <w:pPr>
              <w:pStyle w:val="yTableNAm"/>
            </w:pPr>
            <w:r>
              <w:t>15.</w:t>
            </w:r>
          </w:p>
        </w:tc>
        <w:tc>
          <w:tcPr>
            <w:tcW w:w="1559" w:type="dxa"/>
          </w:tcPr>
          <w:p>
            <w:pPr>
              <w:pStyle w:val="yTableNAm"/>
              <w:jc w:val="center"/>
            </w:pPr>
            <w:r>
              <w:t>482</w:t>
            </w:r>
          </w:p>
        </w:tc>
        <w:tc>
          <w:tcPr>
            <w:tcW w:w="4536" w:type="dxa"/>
          </w:tcPr>
          <w:p>
            <w:pPr>
              <w:pStyle w:val="yTableNAm"/>
            </w:pPr>
            <w:r>
              <w:t>Temporary Skill Shortage</w:t>
            </w:r>
          </w:p>
        </w:tc>
      </w:tr>
      <w:tr>
        <w:tc>
          <w:tcPr>
            <w:tcW w:w="709" w:type="dxa"/>
          </w:tcPr>
          <w:p>
            <w:pPr>
              <w:pStyle w:val="yTableNAm"/>
            </w:pPr>
            <w:r>
              <w:t>16.</w:t>
            </w:r>
          </w:p>
        </w:tc>
        <w:tc>
          <w:tcPr>
            <w:tcW w:w="1559" w:type="dxa"/>
          </w:tcPr>
          <w:p>
            <w:pPr>
              <w:pStyle w:val="yTableNAm"/>
              <w:jc w:val="center"/>
            </w:pPr>
            <w:r>
              <w:t>485</w:t>
            </w:r>
          </w:p>
        </w:tc>
        <w:tc>
          <w:tcPr>
            <w:tcW w:w="4536" w:type="dxa"/>
          </w:tcPr>
          <w:p>
            <w:pPr>
              <w:pStyle w:val="yTableNAm"/>
            </w:pPr>
            <w:r>
              <w:t>Temporary Graduate</w:t>
            </w:r>
          </w:p>
        </w:tc>
      </w:tr>
      <w:tr>
        <w:tc>
          <w:tcPr>
            <w:tcW w:w="709" w:type="dxa"/>
          </w:tcPr>
          <w:p>
            <w:pPr>
              <w:pStyle w:val="yTableNAm"/>
            </w:pPr>
            <w:r>
              <w:t>17.</w:t>
            </w:r>
          </w:p>
        </w:tc>
        <w:tc>
          <w:tcPr>
            <w:tcW w:w="1559" w:type="dxa"/>
          </w:tcPr>
          <w:p>
            <w:pPr>
              <w:pStyle w:val="yTableNAm"/>
              <w:jc w:val="center"/>
            </w:pPr>
            <w:r>
              <w:t>489</w:t>
            </w:r>
          </w:p>
        </w:tc>
        <w:tc>
          <w:tcPr>
            <w:tcW w:w="4536" w:type="dxa"/>
          </w:tcPr>
          <w:p>
            <w:pPr>
              <w:pStyle w:val="yTableNAm"/>
            </w:pPr>
            <w:r>
              <w:t>Skilled — Regional (Provisional)</w:t>
            </w:r>
          </w:p>
        </w:tc>
      </w:tr>
      <w:tr>
        <w:tc>
          <w:tcPr>
            <w:tcW w:w="709" w:type="dxa"/>
          </w:tcPr>
          <w:p>
            <w:pPr>
              <w:pStyle w:val="yTableNAm"/>
            </w:pPr>
            <w:r>
              <w:lastRenderedPageBreak/>
              <w:t>18.</w:t>
            </w:r>
          </w:p>
        </w:tc>
        <w:tc>
          <w:tcPr>
            <w:tcW w:w="1559" w:type="dxa"/>
          </w:tcPr>
          <w:p>
            <w:pPr>
              <w:pStyle w:val="yTableNAm"/>
              <w:jc w:val="center"/>
            </w:pPr>
            <w:r>
              <w:t>491</w:t>
            </w:r>
          </w:p>
        </w:tc>
        <w:tc>
          <w:tcPr>
            <w:tcW w:w="4536" w:type="dxa"/>
          </w:tcPr>
          <w:p>
            <w:pPr>
              <w:pStyle w:val="yTableNAm"/>
            </w:pPr>
            <w:r>
              <w:t>Skilled Work Regional (Provisional)</w:t>
            </w:r>
          </w:p>
        </w:tc>
      </w:tr>
      <w:tr>
        <w:tc>
          <w:tcPr>
            <w:tcW w:w="709" w:type="dxa"/>
          </w:tcPr>
          <w:p>
            <w:pPr>
              <w:pStyle w:val="yTableNAm"/>
            </w:pPr>
            <w:r>
              <w:t>19.</w:t>
            </w:r>
          </w:p>
        </w:tc>
        <w:tc>
          <w:tcPr>
            <w:tcW w:w="1559" w:type="dxa"/>
          </w:tcPr>
          <w:p>
            <w:pPr>
              <w:pStyle w:val="yTableNAm"/>
              <w:jc w:val="center"/>
            </w:pPr>
            <w:r>
              <w:t>494</w:t>
            </w:r>
          </w:p>
        </w:tc>
        <w:tc>
          <w:tcPr>
            <w:tcW w:w="4536" w:type="dxa"/>
          </w:tcPr>
          <w:p>
            <w:pPr>
              <w:pStyle w:val="yTableNAm"/>
            </w:pPr>
            <w:r>
              <w:t>Skilled Employer Sponsored Regional (Provisional)</w:t>
            </w:r>
          </w:p>
        </w:tc>
      </w:tr>
      <w:tr>
        <w:tc>
          <w:tcPr>
            <w:tcW w:w="709" w:type="dxa"/>
          </w:tcPr>
          <w:p>
            <w:pPr>
              <w:pStyle w:val="yTableNAm"/>
            </w:pPr>
            <w:r>
              <w:t>20.</w:t>
            </w:r>
          </w:p>
        </w:tc>
        <w:tc>
          <w:tcPr>
            <w:tcW w:w="1559" w:type="dxa"/>
          </w:tcPr>
          <w:p>
            <w:pPr>
              <w:pStyle w:val="yTableNAm"/>
              <w:jc w:val="center"/>
            </w:pPr>
            <w:r>
              <w:t>576</w:t>
            </w:r>
          </w:p>
        </w:tc>
        <w:tc>
          <w:tcPr>
            <w:tcW w:w="4536" w:type="dxa"/>
          </w:tcPr>
          <w:p>
            <w:pPr>
              <w:pStyle w:val="yTableNAm"/>
            </w:pPr>
            <w:r>
              <w:t>Foreign Affairs or Defence Sector</w:t>
            </w:r>
          </w:p>
        </w:tc>
      </w:tr>
      <w:tr>
        <w:tc>
          <w:tcPr>
            <w:tcW w:w="709" w:type="dxa"/>
          </w:tcPr>
          <w:p>
            <w:pPr>
              <w:pStyle w:val="yTableNAm"/>
            </w:pPr>
            <w:r>
              <w:t>21.</w:t>
            </w:r>
          </w:p>
        </w:tc>
        <w:tc>
          <w:tcPr>
            <w:tcW w:w="1559" w:type="dxa"/>
          </w:tcPr>
          <w:p>
            <w:pPr>
              <w:pStyle w:val="yTableNAm"/>
              <w:jc w:val="center"/>
            </w:pPr>
            <w:r>
              <w:t>785</w:t>
            </w:r>
          </w:p>
        </w:tc>
        <w:tc>
          <w:tcPr>
            <w:tcW w:w="4536" w:type="dxa"/>
          </w:tcPr>
          <w:p>
            <w:pPr>
              <w:pStyle w:val="yTableNAm"/>
            </w:pPr>
            <w:r>
              <w:t>Temporary Protection</w:t>
            </w:r>
          </w:p>
        </w:tc>
      </w:tr>
      <w:tr>
        <w:tc>
          <w:tcPr>
            <w:tcW w:w="709" w:type="dxa"/>
          </w:tcPr>
          <w:p>
            <w:pPr>
              <w:pStyle w:val="yTableNAm"/>
            </w:pPr>
            <w:r>
              <w:t>22.</w:t>
            </w:r>
          </w:p>
        </w:tc>
        <w:tc>
          <w:tcPr>
            <w:tcW w:w="1559" w:type="dxa"/>
          </w:tcPr>
          <w:p>
            <w:pPr>
              <w:pStyle w:val="yTableNAm"/>
              <w:jc w:val="center"/>
            </w:pPr>
            <w:r>
              <w:t>786</w:t>
            </w:r>
          </w:p>
        </w:tc>
        <w:tc>
          <w:tcPr>
            <w:tcW w:w="4536" w:type="dxa"/>
          </w:tcPr>
          <w:p>
            <w:pPr>
              <w:pStyle w:val="yTableNAm"/>
            </w:pPr>
            <w:r>
              <w:t>Temporary (Humanitarian Concern)</w:t>
            </w:r>
          </w:p>
        </w:tc>
      </w:tr>
      <w:tr>
        <w:tc>
          <w:tcPr>
            <w:tcW w:w="709" w:type="dxa"/>
          </w:tcPr>
          <w:p>
            <w:pPr>
              <w:pStyle w:val="yTableNAm"/>
            </w:pPr>
            <w:r>
              <w:t>23.</w:t>
            </w:r>
          </w:p>
        </w:tc>
        <w:tc>
          <w:tcPr>
            <w:tcW w:w="1559" w:type="dxa"/>
          </w:tcPr>
          <w:p>
            <w:pPr>
              <w:pStyle w:val="yTableNAm"/>
              <w:jc w:val="center"/>
            </w:pPr>
            <w:r>
              <w:t>790</w:t>
            </w:r>
          </w:p>
        </w:tc>
        <w:tc>
          <w:tcPr>
            <w:tcW w:w="4536" w:type="dxa"/>
          </w:tcPr>
          <w:p>
            <w:pPr>
              <w:pStyle w:val="yTableNAm"/>
            </w:pPr>
            <w:r>
              <w:t>Safe Haven Enterprise</w:t>
            </w:r>
          </w:p>
        </w:tc>
      </w:tr>
      <w:tr>
        <w:tc>
          <w:tcPr>
            <w:tcW w:w="709" w:type="dxa"/>
          </w:tcPr>
          <w:p>
            <w:pPr>
              <w:pStyle w:val="yTableNAm"/>
            </w:pPr>
            <w:r>
              <w:t>24.</w:t>
            </w:r>
          </w:p>
        </w:tc>
        <w:tc>
          <w:tcPr>
            <w:tcW w:w="1559" w:type="dxa"/>
          </w:tcPr>
          <w:p>
            <w:pPr>
              <w:pStyle w:val="yTableNAm"/>
              <w:jc w:val="center"/>
            </w:pPr>
            <w:r>
              <w:t>820</w:t>
            </w:r>
          </w:p>
        </w:tc>
        <w:tc>
          <w:tcPr>
            <w:tcW w:w="4536" w:type="dxa"/>
          </w:tcPr>
          <w:p>
            <w:pPr>
              <w:pStyle w:val="yTableNAm"/>
            </w:pPr>
            <w:r>
              <w:t>Partner</w:t>
            </w:r>
          </w:p>
        </w:tc>
      </w:tr>
      <w:tr>
        <w:tc>
          <w:tcPr>
            <w:tcW w:w="709" w:type="dxa"/>
          </w:tcPr>
          <w:p>
            <w:pPr>
              <w:pStyle w:val="yTableNAm"/>
            </w:pPr>
            <w:r>
              <w:t>25.</w:t>
            </w:r>
          </w:p>
        </w:tc>
        <w:tc>
          <w:tcPr>
            <w:tcW w:w="1559" w:type="dxa"/>
          </w:tcPr>
          <w:p>
            <w:pPr>
              <w:pStyle w:val="yTableNAm"/>
              <w:jc w:val="center"/>
            </w:pPr>
            <w:r>
              <w:t>850</w:t>
            </w:r>
          </w:p>
        </w:tc>
        <w:tc>
          <w:tcPr>
            <w:tcW w:w="4536" w:type="dxa"/>
          </w:tcPr>
          <w:p>
            <w:pPr>
              <w:pStyle w:val="yTableNAm"/>
            </w:pPr>
            <w:r>
              <w:t>Resolution of Status (Temporary)</w:t>
            </w:r>
          </w:p>
        </w:tc>
      </w:tr>
      <w:tr>
        <w:tc>
          <w:tcPr>
            <w:tcW w:w="709" w:type="dxa"/>
            <w:tcBorders>
              <w:bottom w:val="single" w:sz="4" w:space="0" w:color="auto"/>
            </w:tcBorders>
          </w:tcPr>
          <w:p>
            <w:pPr>
              <w:pStyle w:val="yTableNAm"/>
            </w:pPr>
            <w:r>
              <w:t>26.</w:t>
            </w:r>
          </w:p>
        </w:tc>
        <w:tc>
          <w:tcPr>
            <w:tcW w:w="1559" w:type="dxa"/>
            <w:tcBorders>
              <w:bottom w:val="single" w:sz="4" w:space="0" w:color="auto"/>
            </w:tcBorders>
          </w:tcPr>
          <w:p>
            <w:pPr>
              <w:pStyle w:val="yTableNAm"/>
              <w:jc w:val="center"/>
            </w:pPr>
            <w:r>
              <w:t>995</w:t>
            </w:r>
          </w:p>
        </w:tc>
        <w:tc>
          <w:tcPr>
            <w:tcW w:w="4536" w:type="dxa"/>
            <w:tcBorders>
              <w:bottom w:val="single" w:sz="4" w:space="0" w:color="auto"/>
            </w:tcBorders>
          </w:tcPr>
          <w:p>
            <w:pPr>
              <w:pStyle w:val="yTableNAm"/>
            </w:pPr>
            <w:r>
              <w:t>Diplomatic (Temporary)</w:t>
            </w:r>
          </w:p>
        </w:tc>
      </w:tr>
    </w:tbl>
    <w:p>
      <w:pPr>
        <w:pStyle w:val="yFootnotesection"/>
        <w:rPr>
          <w:rStyle w:val="CharSDivNo"/>
        </w:rPr>
      </w:pPr>
      <w:r>
        <w:tab/>
        <w:t>[Division 1 inserted: SL 2020/101 r. 5.]</w:t>
      </w:r>
    </w:p>
    <w:p>
      <w:pPr>
        <w:pStyle w:val="yHeading3"/>
        <w:rPr>
          <w:rStyle w:val="CharSDivText"/>
        </w:rPr>
      </w:pPr>
      <w:bookmarkStart w:id="389" w:name="_Toc170134261"/>
      <w:bookmarkStart w:id="390" w:name="_Toc170135144"/>
      <w:bookmarkStart w:id="391" w:name="_Toc170204484"/>
      <w:bookmarkStart w:id="392" w:name="_Toc170204703"/>
      <w:r>
        <w:rPr>
          <w:rStyle w:val="CharSDivNo"/>
        </w:rPr>
        <w:t>Division </w:t>
      </w:r>
      <w:r>
        <w:t>2 — </w:t>
      </w:r>
      <w:r>
        <w:rPr>
          <w:rStyle w:val="CharSDivText"/>
        </w:rPr>
        <w:t>Visas for which child or person on whom child is dependent has validly applied</w:t>
      </w:r>
      <w:bookmarkEnd w:id="389"/>
      <w:bookmarkEnd w:id="390"/>
      <w:bookmarkEnd w:id="391"/>
      <w:bookmarkEnd w:id="392"/>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08"/>
        <w:gridCol w:w="4536"/>
      </w:tblGrid>
      <w:tr>
        <w:trPr>
          <w:tblHeader/>
        </w:trPr>
        <w:tc>
          <w:tcPr>
            <w:tcW w:w="709" w:type="dxa"/>
            <w:tcBorders>
              <w:top w:val="single" w:sz="4" w:space="0" w:color="auto"/>
              <w:bottom w:val="single" w:sz="4" w:space="0" w:color="auto"/>
            </w:tcBorders>
            <w:shd w:val="clear" w:color="auto" w:fill="auto"/>
            <w:noWrap/>
          </w:tcPr>
          <w:p>
            <w:pPr>
              <w:pStyle w:val="yTableNAm"/>
              <w:jc w:val="center"/>
              <w:rPr>
                <w:b/>
              </w:rPr>
            </w:pPr>
            <w:r>
              <w:rPr>
                <w:b/>
              </w:rPr>
              <w:t>Item</w:t>
            </w:r>
          </w:p>
        </w:tc>
        <w:tc>
          <w:tcPr>
            <w:tcW w:w="1808" w:type="dxa"/>
            <w:tcBorders>
              <w:top w:val="single" w:sz="4" w:space="0" w:color="auto"/>
              <w:bottom w:val="single" w:sz="4" w:space="0" w:color="auto"/>
            </w:tcBorders>
            <w:shd w:val="clear" w:color="auto" w:fill="auto"/>
            <w:noWrap/>
          </w:tcPr>
          <w:p>
            <w:pPr>
              <w:pStyle w:val="yTableNAm"/>
              <w:jc w:val="center"/>
              <w:rPr>
                <w:b/>
              </w:rPr>
            </w:pPr>
            <w:r>
              <w:rPr>
                <w:b/>
              </w:rPr>
              <w:t>Visa subclass number</w:t>
            </w:r>
          </w:p>
        </w:tc>
        <w:tc>
          <w:tcPr>
            <w:tcW w:w="4536" w:type="dxa"/>
            <w:tcBorders>
              <w:top w:val="single" w:sz="4" w:space="0" w:color="auto"/>
              <w:bottom w:val="single" w:sz="4" w:space="0" w:color="auto"/>
            </w:tcBorders>
            <w:noWrap/>
          </w:tcPr>
          <w:p>
            <w:pPr>
              <w:pStyle w:val="yTableNAm"/>
              <w:rPr>
                <w:b/>
              </w:rPr>
            </w:pPr>
            <w:r>
              <w:rPr>
                <w:b/>
              </w:rPr>
              <w:t>Visa subclass name</w:t>
            </w:r>
          </w:p>
        </w:tc>
      </w:tr>
      <w:tr>
        <w:tc>
          <w:tcPr>
            <w:tcW w:w="709" w:type="dxa"/>
            <w:shd w:val="clear" w:color="auto" w:fill="auto"/>
            <w:noWrap/>
          </w:tcPr>
          <w:p>
            <w:pPr>
              <w:pStyle w:val="yTableNAm"/>
            </w:pPr>
            <w:r>
              <w:t>1.</w:t>
            </w:r>
          </w:p>
        </w:tc>
        <w:tc>
          <w:tcPr>
            <w:tcW w:w="1808" w:type="dxa"/>
            <w:shd w:val="clear" w:color="auto" w:fill="auto"/>
            <w:noWrap/>
          </w:tcPr>
          <w:p>
            <w:pPr>
              <w:pStyle w:val="yTableNAm"/>
              <w:jc w:val="center"/>
            </w:pPr>
            <w:r>
              <w:t>785</w:t>
            </w:r>
          </w:p>
        </w:tc>
        <w:tc>
          <w:tcPr>
            <w:tcW w:w="4536" w:type="dxa"/>
            <w:noWrap/>
          </w:tcPr>
          <w:p>
            <w:pPr>
              <w:pStyle w:val="yTableNAm"/>
            </w:pPr>
            <w:r>
              <w:t>Temporary Protection</w:t>
            </w:r>
          </w:p>
        </w:tc>
      </w:tr>
      <w:tr>
        <w:tc>
          <w:tcPr>
            <w:tcW w:w="709" w:type="dxa"/>
            <w:shd w:val="clear" w:color="auto" w:fill="auto"/>
            <w:noWrap/>
          </w:tcPr>
          <w:p>
            <w:pPr>
              <w:pStyle w:val="yTableNAm"/>
            </w:pPr>
            <w:r>
              <w:t>2.</w:t>
            </w:r>
          </w:p>
        </w:tc>
        <w:tc>
          <w:tcPr>
            <w:tcW w:w="1808" w:type="dxa"/>
            <w:shd w:val="clear" w:color="auto" w:fill="auto"/>
            <w:noWrap/>
          </w:tcPr>
          <w:p>
            <w:pPr>
              <w:pStyle w:val="yTableNAm"/>
              <w:jc w:val="center"/>
            </w:pPr>
            <w:r>
              <w:t>790</w:t>
            </w:r>
          </w:p>
        </w:tc>
        <w:tc>
          <w:tcPr>
            <w:tcW w:w="4536" w:type="dxa"/>
            <w:noWrap/>
          </w:tcPr>
          <w:p>
            <w:pPr>
              <w:pStyle w:val="yTableNAm"/>
            </w:pPr>
            <w:r>
              <w:t>Safe Haven Enterprise</w:t>
            </w:r>
          </w:p>
        </w:tc>
      </w:tr>
      <w:tr>
        <w:tc>
          <w:tcPr>
            <w:tcW w:w="709" w:type="dxa"/>
            <w:tcBorders>
              <w:bottom w:val="single" w:sz="4" w:space="0" w:color="auto"/>
            </w:tcBorders>
            <w:shd w:val="clear" w:color="auto" w:fill="auto"/>
            <w:noWrap/>
          </w:tcPr>
          <w:p>
            <w:pPr>
              <w:pStyle w:val="yTableNAm"/>
            </w:pPr>
            <w:r>
              <w:t>3.</w:t>
            </w:r>
          </w:p>
        </w:tc>
        <w:tc>
          <w:tcPr>
            <w:tcW w:w="1808" w:type="dxa"/>
            <w:tcBorders>
              <w:bottom w:val="single" w:sz="4" w:space="0" w:color="auto"/>
            </w:tcBorders>
            <w:shd w:val="clear" w:color="auto" w:fill="auto"/>
            <w:noWrap/>
          </w:tcPr>
          <w:p>
            <w:pPr>
              <w:pStyle w:val="yTableNAm"/>
              <w:jc w:val="center"/>
            </w:pPr>
            <w:r>
              <w:t>866</w:t>
            </w:r>
          </w:p>
        </w:tc>
        <w:tc>
          <w:tcPr>
            <w:tcW w:w="4536" w:type="dxa"/>
            <w:tcBorders>
              <w:bottom w:val="single" w:sz="4" w:space="0" w:color="auto"/>
            </w:tcBorders>
            <w:noWrap/>
          </w:tcPr>
          <w:p>
            <w:pPr>
              <w:pStyle w:val="yTableNAm"/>
            </w:pPr>
            <w:r>
              <w:t xml:space="preserve">Protection </w:t>
            </w:r>
          </w:p>
        </w:tc>
      </w:tr>
    </w:tbl>
    <w:p>
      <w:pPr>
        <w:pStyle w:val="yFootnotesection"/>
      </w:pPr>
      <w:r>
        <w:tab/>
        <w:t>[Division 2 inserted: SL 2020/101 r. 5.]</w:t>
      </w:r>
    </w:p>
    <w:p>
      <w:pPr>
        <w:pStyle w:val="yScheduleHeading"/>
      </w:pPr>
      <w:bookmarkStart w:id="393" w:name="_Toc170134262"/>
      <w:bookmarkStart w:id="394" w:name="_Toc170135145"/>
      <w:bookmarkStart w:id="395" w:name="_Toc170204485"/>
      <w:bookmarkStart w:id="396" w:name="_Toc170204704"/>
      <w:r>
        <w:rPr>
          <w:rStyle w:val="CharSchNo"/>
        </w:rPr>
        <w:lastRenderedPageBreak/>
        <w:t>Schedule 3A</w:t>
      </w:r>
      <w:r>
        <w:rPr>
          <w:rStyle w:val="CharSDivNo"/>
        </w:rPr>
        <w:t> </w:t>
      </w:r>
      <w:r>
        <w:t>—</w:t>
      </w:r>
      <w:r>
        <w:rPr>
          <w:rStyle w:val="CharSDivText"/>
        </w:rPr>
        <w:t> </w:t>
      </w:r>
      <w:r>
        <w:rPr>
          <w:rStyle w:val="CharSchText"/>
        </w:rPr>
        <w:t>Overseas students with entitlement to enrolment at government school</w:t>
      </w:r>
      <w:bookmarkEnd w:id="393"/>
      <w:bookmarkEnd w:id="394"/>
      <w:bookmarkEnd w:id="395"/>
      <w:bookmarkEnd w:id="396"/>
    </w:p>
    <w:p>
      <w:pPr>
        <w:pStyle w:val="yShoulderClause"/>
      </w:pPr>
      <w:r>
        <w:t>[r. 3(1)]</w:t>
      </w:r>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43"/>
        <w:gridCol w:w="425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1843" w:type="dxa"/>
            <w:tcBorders>
              <w:top w:val="single" w:sz="4" w:space="0" w:color="auto"/>
              <w:bottom w:val="single" w:sz="4" w:space="0" w:color="auto"/>
            </w:tcBorders>
            <w:noWrap/>
          </w:tcPr>
          <w:p>
            <w:pPr>
              <w:pStyle w:val="yTableNAm"/>
              <w:jc w:val="center"/>
              <w:rPr>
                <w:b/>
              </w:rPr>
            </w:pPr>
            <w:r>
              <w:rPr>
                <w:b/>
              </w:rPr>
              <w:t>Visa subclass number</w:t>
            </w:r>
          </w:p>
        </w:tc>
        <w:tc>
          <w:tcPr>
            <w:tcW w:w="4252" w:type="dxa"/>
            <w:tcBorders>
              <w:top w:val="single" w:sz="4" w:space="0" w:color="auto"/>
              <w:bottom w:val="single" w:sz="4" w:space="0" w:color="auto"/>
            </w:tcBorders>
            <w:noWrap/>
          </w:tcPr>
          <w:p>
            <w:pPr>
              <w:pStyle w:val="yTableNAm"/>
              <w:jc w:val="center"/>
              <w:rPr>
                <w:b/>
              </w:rPr>
            </w:pPr>
            <w:r>
              <w:rPr>
                <w:b/>
              </w:rPr>
              <w:t>Visa subclass name</w:t>
            </w:r>
          </w:p>
        </w:tc>
      </w:tr>
      <w:tr>
        <w:tc>
          <w:tcPr>
            <w:tcW w:w="709" w:type="dxa"/>
            <w:tcBorders>
              <w:top w:val="single" w:sz="4" w:space="0" w:color="auto"/>
            </w:tcBorders>
            <w:noWrap/>
          </w:tcPr>
          <w:p>
            <w:pPr>
              <w:pStyle w:val="yTableNAm"/>
            </w:pPr>
            <w:r>
              <w:t>1.</w:t>
            </w:r>
          </w:p>
        </w:tc>
        <w:tc>
          <w:tcPr>
            <w:tcW w:w="1843" w:type="dxa"/>
            <w:tcBorders>
              <w:top w:val="single" w:sz="4" w:space="0" w:color="auto"/>
            </w:tcBorders>
            <w:noWrap/>
          </w:tcPr>
          <w:p>
            <w:pPr>
              <w:pStyle w:val="yTableNAm"/>
              <w:jc w:val="center"/>
            </w:pPr>
            <w:r>
              <w:t>457</w:t>
            </w:r>
          </w:p>
        </w:tc>
        <w:tc>
          <w:tcPr>
            <w:tcW w:w="4252" w:type="dxa"/>
            <w:tcBorders>
              <w:top w:val="single" w:sz="4" w:space="0" w:color="auto"/>
            </w:tcBorders>
            <w:noWrap/>
          </w:tcPr>
          <w:p>
            <w:pPr>
              <w:pStyle w:val="yTableNAm"/>
            </w:pPr>
            <w:r>
              <w:t>Temporary Work (Skilled)</w:t>
            </w:r>
          </w:p>
        </w:tc>
      </w:tr>
      <w:tr>
        <w:tc>
          <w:tcPr>
            <w:tcW w:w="709" w:type="dxa"/>
            <w:tcBorders>
              <w:bottom w:val="single" w:sz="4" w:space="0" w:color="auto"/>
            </w:tcBorders>
            <w:noWrap/>
          </w:tcPr>
          <w:p>
            <w:pPr>
              <w:pStyle w:val="yTableNAm"/>
            </w:pPr>
            <w:r>
              <w:t>2.</w:t>
            </w:r>
          </w:p>
        </w:tc>
        <w:tc>
          <w:tcPr>
            <w:tcW w:w="1843" w:type="dxa"/>
            <w:tcBorders>
              <w:bottom w:val="single" w:sz="4" w:space="0" w:color="auto"/>
            </w:tcBorders>
            <w:noWrap/>
          </w:tcPr>
          <w:p>
            <w:pPr>
              <w:pStyle w:val="yTableNAm"/>
              <w:jc w:val="center"/>
            </w:pPr>
            <w:r>
              <w:t>482</w:t>
            </w:r>
          </w:p>
        </w:tc>
        <w:tc>
          <w:tcPr>
            <w:tcW w:w="4252" w:type="dxa"/>
            <w:tcBorders>
              <w:bottom w:val="single" w:sz="4" w:space="0" w:color="auto"/>
            </w:tcBorders>
            <w:noWrap/>
          </w:tcPr>
          <w:p>
            <w:pPr>
              <w:pStyle w:val="yTableNAm"/>
            </w:pPr>
            <w:r>
              <w:t>Temporary Skill Shortage</w:t>
            </w:r>
          </w:p>
        </w:tc>
      </w:tr>
    </w:tbl>
    <w:p>
      <w:pPr>
        <w:pStyle w:val="yFootnotesection"/>
      </w:pPr>
      <w:r>
        <w:tab/>
        <w:t>[Schedule 3A inserted: SL 2020/101 r. 5.]</w:t>
      </w:r>
    </w:p>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98" w:name="_Toc170134263"/>
      <w:bookmarkStart w:id="399" w:name="_Toc170135146"/>
      <w:bookmarkStart w:id="400" w:name="_Toc170204486"/>
      <w:bookmarkStart w:id="401" w:name="_Toc170204705"/>
      <w:r>
        <w:lastRenderedPageBreak/>
        <w:t>Notes</w:t>
      </w:r>
      <w:bookmarkEnd w:id="398"/>
      <w:bookmarkEnd w:id="399"/>
      <w:bookmarkEnd w:id="400"/>
      <w:bookmarkEnd w:id="401"/>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p>
    <w:p>
      <w:pPr>
        <w:pStyle w:val="nHeading3"/>
      </w:pPr>
      <w:bookmarkStart w:id="402" w:name="_Toc170204706"/>
      <w:r>
        <w:t>Compilation table</w:t>
      </w:r>
      <w:bookmarkEnd w:id="4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nil"/>
            </w:tcBorders>
          </w:tcPr>
          <w:p>
            <w:pPr>
              <w:pStyle w:val="nTable"/>
              <w:spacing w:after="40"/>
              <w:rPr>
                <w:i/>
              </w:rPr>
            </w:pPr>
            <w:r>
              <w:rPr>
                <w:i/>
              </w:rPr>
              <w:t>School Education Amendment Regulations 2020</w:t>
            </w:r>
          </w:p>
        </w:tc>
        <w:tc>
          <w:tcPr>
            <w:tcW w:w="1276" w:type="dxa"/>
            <w:tcBorders>
              <w:top w:val="nil"/>
              <w:bottom w:val="nil"/>
            </w:tcBorders>
          </w:tcPr>
          <w:p>
            <w:pPr>
              <w:pStyle w:val="nTable"/>
              <w:spacing w:after="40"/>
            </w:pPr>
            <w:r>
              <w:t>SL 2020/15</w:t>
            </w:r>
            <w:r>
              <w:br/>
              <w:t>17 Mar 2020</w:t>
            </w:r>
          </w:p>
        </w:tc>
        <w:tc>
          <w:tcPr>
            <w:tcW w:w="2693" w:type="dxa"/>
            <w:tcBorders>
              <w:top w:val="nil"/>
              <w:bottom w:val="nil"/>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 </w:t>
            </w:r>
            <w:r>
              <w:br/>
              <w:t>r. 4: 17 Apr 2020 (see r. 2(b))</w:t>
            </w:r>
          </w:p>
        </w:tc>
      </w:tr>
      <w:tr>
        <w:trPr>
          <w:cantSplit/>
        </w:trPr>
        <w:tc>
          <w:tcPr>
            <w:tcW w:w="3119" w:type="dxa"/>
            <w:tcBorders>
              <w:top w:val="nil"/>
              <w:bottom w:val="nil"/>
            </w:tcBorders>
          </w:tcPr>
          <w:p>
            <w:pPr>
              <w:pStyle w:val="nTable"/>
              <w:spacing w:after="40"/>
              <w:rPr>
                <w:i/>
              </w:rPr>
            </w:pPr>
            <w:r>
              <w:rPr>
                <w:i/>
              </w:rPr>
              <w:t>School Education Amendment Regulations (No. 2) 2020</w:t>
            </w:r>
          </w:p>
        </w:tc>
        <w:tc>
          <w:tcPr>
            <w:tcW w:w="1276" w:type="dxa"/>
            <w:tcBorders>
              <w:top w:val="nil"/>
              <w:bottom w:val="nil"/>
            </w:tcBorders>
          </w:tcPr>
          <w:p>
            <w:pPr>
              <w:pStyle w:val="nTable"/>
              <w:spacing w:after="40"/>
            </w:pPr>
            <w:r>
              <w:t>SL 2020/101</w:t>
            </w:r>
            <w:r>
              <w:br/>
              <w:t>30 Jun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30 Jun 2020</w:t>
            </w:r>
            <w:r>
              <w:rPr>
                <w:bCs/>
                <w:snapToGrid w:val="0"/>
                <w:spacing w:val="-2"/>
              </w:rPr>
              <w:t xml:space="preserve"> (see r. 2(a));</w:t>
            </w:r>
            <w:r>
              <w:rPr>
                <w:bCs/>
                <w:snapToGrid w:val="0"/>
                <w:spacing w:val="-2"/>
              </w:rPr>
              <w:br/>
              <w:t>Regulations other than r. 1 and 2: 1 Jul 2020</w:t>
            </w:r>
            <w:r>
              <w:t xml:space="preserve"> (see r. 2(b))</w:t>
            </w:r>
          </w:p>
        </w:tc>
      </w:tr>
      <w:tr>
        <w:trPr>
          <w:cantSplit/>
        </w:trPr>
        <w:tc>
          <w:tcPr>
            <w:tcW w:w="3119" w:type="dxa"/>
            <w:tcBorders>
              <w:top w:val="nil"/>
              <w:bottom w:val="single" w:sz="4" w:space="0" w:color="auto"/>
            </w:tcBorders>
          </w:tcPr>
          <w:p>
            <w:pPr>
              <w:pStyle w:val="nTable"/>
              <w:spacing w:after="40"/>
              <w:rPr>
                <w:i/>
              </w:rPr>
            </w:pPr>
            <w:r>
              <w:rPr>
                <w:i/>
              </w:rPr>
              <w:t>School Education Amendment Regulations 2024</w:t>
            </w:r>
          </w:p>
        </w:tc>
        <w:tc>
          <w:tcPr>
            <w:tcW w:w="1276" w:type="dxa"/>
            <w:tcBorders>
              <w:top w:val="nil"/>
              <w:bottom w:val="single" w:sz="4" w:space="0" w:color="auto"/>
            </w:tcBorders>
          </w:tcPr>
          <w:p>
            <w:pPr>
              <w:pStyle w:val="nTable"/>
              <w:spacing w:after="40"/>
            </w:pPr>
            <w:r>
              <w:t>SL 2024/118 26 Jun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2024 (see r. 2(b) and SL 2024/111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04" w:name="_Toc170134265"/>
      <w:bookmarkStart w:id="405" w:name="_Toc170135148"/>
      <w:bookmarkStart w:id="406" w:name="_Toc170204488"/>
      <w:bookmarkStart w:id="407" w:name="_Toc170204707"/>
      <w:r>
        <w:rPr>
          <w:sz w:val="28"/>
        </w:rPr>
        <w:lastRenderedPageBreak/>
        <w:t>Defined terms</w:t>
      </w:r>
      <w:bookmarkEnd w:id="404"/>
      <w:bookmarkEnd w:id="405"/>
      <w:bookmarkEnd w:id="406"/>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advance determination</w:t>
      </w:r>
      <w:r>
        <w:tab/>
        <w:t>130(1), 130A(1)</w:t>
      </w:r>
    </w:p>
    <w:p>
      <w:pPr>
        <w:pStyle w:val="DefinedTerms"/>
      </w:pPr>
      <w:r>
        <w:t>advisory panel</w:t>
      </w:r>
      <w:r>
        <w:tab/>
        <w:t>130(1)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commencement day</w:t>
      </w:r>
      <w:r>
        <w:tab/>
        <w:t>130A(1)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non</w:t>
      </w:r>
      <w:r>
        <w:noBreakHyphen/>
        <w:t>compulsory education</w:t>
      </w:r>
      <w:r>
        <w:tab/>
        <w:t>129(1)</w:t>
      </w:r>
    </w:p>
    <w:p>
      <w:pPr>
        <w:pStyle w:val="DefinedTerms"/>
      </w:pPr>
      <w:r>
        <w:t>non</w:t>
      </w:r>
      <w:r>
        <w:noBreakHyphen/>
        <w:t>system school</w:t>
      </w:r>
      <w:r>
        <w:tab/>
        <w:t>130(1)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lastRenderedPageBreak/>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education</w:t>
      </w:r>
      <w:r>
        <w:tab/>
        <w:t>129(1)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planning proposal</w:t>
      </w:r>
      <w:r>
        <w:tab/>
        <w:t>130(1)</w:t>
      </w:r>
    </w:p>
    <w:p>
      <w:pPr>
        <w:pStyle w:val="DefinedTerms"/>
      </w:pPr>
      <w:r>
        <w:t>school premises</w:t>
      </w:r>
      <w:r>
        <w:tab/>
        <w:t>3(1)</w:t>
      </w:r>
    </w:p>
    <w:p>
      <w:pPr>
        <w:pStyle w:val="DefinedTerms"/>
      </w:pPr>
      <w:r>
        <w:t>school system</w:t>
      </w:r>
      <w:r>
        <w:tab/>
        <w:t>130(1)</w:t>
      </w:r>
    </w:p>
    <w:p>
      <w:pPr>
        <w:pStyle w:val="DefinedTerms"/>
      </w:pPr>
      <w:r>
        <w:t>school’s premises</w:t>
      </w:r>
      <w:r>
        <w:tab/>
        <w:t>3(1)</w:t>
      </w:r>
    </w:p>
    <w:p>
      <w:pPr>
        <w:pStyle w:val="DefinedTerms"/>
      </w:pPr>
      <w:r>
        <w:t>secondary education</w:t>
      </w:r>
      <w:r>
        <w:tab/>
        <w:t>129(1)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9A13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1735BE" w14:textId="43C70611" w:rsidR="00E42BD2" w:rsidRDefault="00E42B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A57">
                        <w:rPr>
                          <w:sz w:val="16"/>
                        </w:rPr>
                        <w:t>2024</w:t>
                      </w:r>
                      <w:r>
                        <w:rPr>
                          <w:sz w:val="16"/>
                        </w:rPr>
                        <w:fldChar w:fldCharType="end"/>
                      </w:r>
                      <w:r>
                        <w:rPr>
                          <w:sz w:val="16"/>
                        </w:rPr>
                        <w:t>.</w:t>
                      </w:r>
                    </w:p>
                    <w:p w14:paraId="41757238" w14:textId="77777777" w:rsidR="00E42BD2" w:rsidRDefault="00E42B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ABB106" w14:textId="045F16A7" w:rsidR="00E42BD2" w:rsidRDefault="00E42B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A57">
                        <w:rPr>
                          <w:sz w:val="16"/>
                        </w:rPr>
                        <w:t>2024</w:t>
                      </w:r>
                      <w:r>
                        <w:rPr>
                          <w:sz w:val="16"/>
                        </w:rPr>
                        <w:fldChar w:fldCharType="end"/>
                      </w:r>
                      <w:r>
                        <w:rPr>
                          <w:sz w:val="16"/>
                        </w:rPr>
                        <w:t>.</w:t>
                      </w:r>
                    </w:p>
                    <w:p w14:paraId="42B3157C" w14:textId="77777777" w:rsidR="00E42BD2" w:rsidRDefault="00E42B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0550"/>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 w:name="WAFER_20200629161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9161631_GUID" w:val="a46be7f4-7214-4644-aba5-68b9758e70fe"/>
    <w:docVar w:name="WAFER_20240624150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0550_GUID" w:val="95eca0e7-3691-4759-ab1f-6e9fd6488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9A2344A4-0166-42B3-AA99-AEB6DE7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DB959-A0C6-445F-9385-CEB3E677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27514</Words>
  <Characters>134544</Characters>
  <Application>Microsoft Office Word</Application>
  <DocSecurity>0</DocSecurity>
  <Lines>3844</Lines>
  <Paragraphs>2348</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2000 - 03-h0-00</dc:title>
  <dc:subject/>
  <dc:creator/>
  <cp:keywords/>
  <dc:description/>
  <cp:lastModifiedBy>Master Repository Process</cp:lastModifiedBy>
  <cp:revision>4</cp:revision>
  <cp:lastPrinted>2017-08-22T06:36:00Z</cp:lastPrinted>
  <dcterms:created xsi:type="dcterms:W3CDTF">2025-06-23T03:22:00Z</dcterms:created>
  <dcterms:modified xsi:type="dcterms:W3CDTF">2025-06-23T03:22:00Z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03-h0-00</vt:lpwstr>
  </property>
  <property fmtid="{D5CDD505-2E9C-101B-9397-08002B2CF9AE}" pid="12" name="Official">
    <vt:lpwstr/>
  </property>
</Properties>
</file>