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Short-Term Rental Accommodation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Short-Term Rental Accommodation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_Toc170201043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_Toc170201044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_Toc170201045 \h </w:instrText>
      </w:r>
      <w:r>
        <w:fldChar w:fldCharType="separate"/>
      </w:r>
      <w:r>
        <w:t>1</w:t>
      </w:r>
      <w:r>
        <w:fldChar w:fldCharType="end"/>
      </w:r>
    </w:p>
    <w:p>
      <w:pPr>
        <w:pStyle w:val="TOC8"/>
        <w:rPr>
          <w:rFonts w:asciiTheme="minorHAnsi" w:eastAsiaTheme="minorEastAsia" w:hAnsiTheme="minorHAnsi" w:cstheme="minorBidi"/>
          <w:szCs w:val="22"/>
        </w:rPr>
      </w:pPr>
      <w:r>
        <w:t>4.</w:t>
      </w:r>
      <w:r>
        <w:tab/>
        <w:t>Hosted accommodation</w:t>
      </w:r>
      <w:r>
        <w:tab/>
      </w:r>
      <w:r>
        <w:fldChar w:fldCharType="begin"/>
      </w:r>
      <w:r>
        <w:instrText xml:space="preserve"> PAGEREF _Toc170201046 \h </w:instrText>
      </w:r>
      <w:r>
        <w:fldChar w:fldCharType="separate"/>
      </w:r>
      <w:r>
        <w:t>1</w:t>
      </w:r>
      <w:r>
        <w:fldChar w:fldCharType="end"/>
      </w:r>
    </w:p>
    <w:p>
      <w:pPr>
        <w:pStyle w:val="TOC8"/>
        <w:rPr>
          <w:rFonts w:asciiTheme="minorHAnsi" w:eastAsiaTheme="minorEastAsia" w:hAnsiTheme="minorHAnsi" w:cstheme="minorBidi"/>
          <w:szCs w:val="22"/>
        </w:rPr>
      </w:pPr>
      <w:r>
        <w:t>5.</w:t>
      </w:r>
      <w:r>
        <w:tab/>
        <w:t>Premises to which Act does not apply</w:t>
      </w:r>
      <w:r>
        <w:tab/>
      </w:r>
      <w:r>
        <w:fldChar w:fldCharType="begin"/>
      </w:r>
      <w:r>
        <w:instrText xml:space="preserve"> PAGEREF _Toc170201047 \h </w:instrText>
      </w:r>
      <w:r>
        <w:fldChar w:fldCharType="separate"/>
      </w:r>
      <w:r>
        <w:t>2</w:t>
      </w:r>
      <w:r>
        <w:fldChar w:fldCharType="end"/>
      </w:r>
    </w:p>
    <w:p>
      <w:pPr>
        <w:pStyle w:val="TOC8"/>
        <w:rPr>
          <w:rFonts w:asciiTheme="minorHAnsi" w:eastAsiaTheme="minorEastAsia" w:hAnsiTheme="minorHAnsi" w:cstheme="minorBidi"/>
          <w:szCs w:val="22"/>
        </w:rPr>
      </w:pPr>
      <w:r>
        <w:t>6.</w:t>
      </w:r>
      <w:r>
        <w:tab/>
        <w:t>Information to be included in applications for registration</w:t>
      </w:r>
      <w:r>
        <w:tab/>
      </w:r>
      <w:r>
        <w:fldChar w:fldCharType="begin"/>
      </w:r>
      <w:r>
        <w:instrText xml:space="preserve"> PAGEREF _Toc170201048 \h </w:instrText>
      </w:r>
      <w:r>
        <w:fldChar w:fldCharType="separate"/>
      </w:r>
      <w:r>
        <w:t>3</w:t>
      </w:r>
      <w:r>
        <w:fldChar w:fldCharType="end"/>
      </w:r>
    </w:p>
    <w:p>
      <w:pPr>
        <w:pStyle w:val="TOC8"/>
        <w:rPr>
          <w:rFonts w:asciiTheme="minorHAnsi" w:eastAsiaTheme="minorEastAsia" w:hAnsiTheme="minorHAnsi" w:cstheme="minorBidi"/>
          <w:szCs w:val="22"/>
        </w:rPr>
      </w:pPr>
      <w:r>
        <w:t>7.</w:t>
      </w:r>
      <w:r>
        <w:tab/>
        <w:t>Suspension or cancellation of registration</w:t>
      </w:r>
      <w:r>
        <w:tab/>
      </w:r>
      <w:r>
        <w:fldChar w:fldCharType="begin"/>
      </w:r>
      <w:r>
        <w:instrText xml:space="preserve"> PAGEREF _Toc170201049 \h </w:instrText>
      </w:r>
      <w:r>
        <w:fldChar w:fldCharType="separate"/>
      </w:r>
      <w:r>
        <w:t>3</w:t>
      </w:r>
      <w:r>
        <w:fldChar w:fldCharType="end"/>
      </w:r>
    </w:p>
    <w:p>
      <w:pPr>
        <w:pStyle w:val="TOC8"/>
        <w:rPr>
          <w:rFonts w:asciiTheme="minorHAnsi" w:eastAsiaTheme="minorEastAsia" w:hAnsiTheme="minorHAnsi" w:cstheme="minorBidi"/>
          <w:szCs w:val="22"/>
        </w:rPr>
      </w:pPr>
      <w:r>
        <w:t>8.</w:t>
      </w:r>
      <w:r>
        <w:tab/>
        <w:t>Changes to be notified to Commissioner</w:t>
      </w:r>
      <w:r>
        <w:tab/>
      </w:r>
      <w:r>
        <w:fldChar w:fldCharType="begin"/>
      </w:r>
      <w:r>
        <w:instrText xml:space="preserve"> PAGEREF _Toc170201050 \h </w:instrText>
      </w:r>
      <w:r>
        <w:fldChar w:fldCharType="separate"/>
      </w:r>
      <w:r>
        <w:t>5</w:t>
      </w:r>
      <w:r>
        <w:fldChar w:fldCharType="end"/>
      </w:r>
    </w:p>
    <w:p>
      <w:pPr>
        <w:pStyle w:val="TOC8"/>
        <w:rPr>
          <w:rFonts w:asciiTheme="minorHAnsi" w:eastAsiaTheme="minorEastAsia" w:hAnsiTheme="minorHAnsi" w:cstheme="minorBidi"/>
          <w:szCs w:val="22"/>
        </w:rPr>
      </w:pPr>
      <w:r>
        <w:t>9.</w:t>
      </w:r>
      <w:r>
        <w:tab/>
        <w:t>Certificate evidence</w:t>
      </w:r>
      <w:r>
        <w:tab/>
      </w:r>
      <w:r>
        <w:fldChar w:fldCharType="begin"/>
      </w:r>
      <w:r>
        <w:instrText xml:space="preserve"> PAGEREF _Toc170201051 \h </w:instrText>
      </w:r>
      <w:r>
        <w:fldChar w:fldCharType="separate"/>
      </w:r>
      <w:r>
        <w:t>5</w:t>
      </w:r>
      <w:r>
        <w:fldChar w:fldCharType="end"/>
      </w:r>
    </w:p>
    <w:p>
      <w:pPr>
        <w:pStyle w:val="TOC8"/>
        <w:rPr>
          <w:rFonts w:asciiTheme="minorHAnsi" w:eastAsiaTheme="minorEastAsia" w:hAnsiTheme="minorHAnsi" w:cstheme="minorBidi"/>
          <w:szCs w:val="22"/>
        </w:rPr>
      </w:pPr>
      <w:r>
        <w:t>10.</w:t>
      </w:r>
      <w:r>
        <w:tab/>
        <w:t>Information to be included in Register</w:t>
      </w:r>
      <w:r>
        <w:tab/>
      </w:r>
      <w:r>
        <w:fldChar w:fldCharType="begin"/>
      </w:r>
      <w:r>
        <w:instrText xml:space="preserve"> PAGEREF _Toc170201052 \h </w:instrText>
      </w:r>
      <w:r>
        <w:fldChar w:fldCharType="separate"/>
      </w:r>
      <w:r>
        <w:t>6</w:t>
      </w:r>
      <w:r>
        <w:fldChar w:fldCharType="end"/>
      </w:r>
    </w:p>
    <w:p>
      <w:pPr>
        <w:pStyle w:val="TOC8"/>
        <w:rPr>
          <w:rFonts w:asciiTheme="minorHAnsi" w:eastAsiaTheme="minorEastAsia" w:hAnsiTheme="minorHAnsi" w:cstheme="minorBidi"/>
          <w:szCs w:val="22"/>
        </w:rPr>
      </w:pPr>
      <w:r>
        <w:t>11.</w:t>
      </w:r>
      <w:r>
        <w:tab/>
        <w:t>Disclosure of information: health and safety</w:t>
      </w:r>
      <w:r>
        <w:tab/>
      </w:r>
      <w:r>
        <w:fldChar w:fldCharType="begin"/>
      </w:r>
      <w:r>
        <w:instrText xml:space="preserve"> PAGEREF _Toc170201053 \h </w:instrText>
      </w:r>
      <w:r>
        <w:fldChar w:fldCharType="separate"/>
      </w:r>
      <w:r>
        <w:t>7</w:t>
      </w:r>
      <w:r>
        <w:fldChar w:fldCharType="end"/>
      </w:r>
    </w:p>
    <w:p>
      <w:pPr>
        <w:pStyle w:val="TOC8"/>
        <w:rPr>
          <w:rFonts w:asciiTheme="minorHAnsi" w:eastAsiaTheme="minorEastAsia" w:hAnsiTheme="minorHAnsi" w:cstheme="minorBidi"/>
          <w:szCs w:val="22"/>
        </w:rPr>
      </w:pPr>
      <w:r>
        <w:t>12.</w:t>
      </w:r>
      <w:r>
        <w:tab/>
        <w:t>Disclosure of information: community titles schemes and strata titles schemes</w:t>
      </w:r>
      <w:r>
        <w:tab/>
      </w:r>
      <w:r>
        <w:fldChar w:fldCharType="begin"/>
      </w:r>
      <w:r>
        <w:instrText xml:space="preserve"> PAGEREF _Toc170201054 \h </w:instrText>
      </w:r>
      <w:r>
        <w:fldChar w:fldCharType="separate"/>
      </w:r>
      <w:r>
        <w:t>7</w:t>
      </w:r>
      <w:r>
        <w:fldChar w:fldCharType="end"/>
      </w:r>
    </w:p>
    <w:p>
      <w:pPr>
        <w:pStyle w:val="TOC8"/>
        <w:rPr>
          <w:rFonts w:asciiTheme="minorHAnsi" w:eastAsiaTheme="minorEastAsia" w:hAnsiTheme="minorHAnsi" w:cstheme="minorBidi"/>
          <w:szCs w:val="22"/>
        </w:rPr>
      </w:pPr>
      <w:r>
        <w:t>13.</w:t>
      </w:r>
      <w:r>
        <w:tab/>
        <w:t>Particulars of short</w:t>
      </w:r>
      <w:r>
        <w:noBreakHyphen/>
        <w:t>term rental arrangements to be notified to Commissioner</w:t>
      </w:r>
      <w:r>
        <w:tab/>
      </w:r>
      <w:r>
        <w:fldChar w:fldCharType="begin"/>
      </w:r>
      <w:r>
        <w:instrText xml:space="preserve"> PAGEREF _Toc170201055 \h </w:instrText>
      </w:r>
      <w:r>
        <w:fldChar w:fldCharType="separate"/>
      </w:r>
      <w:r>
        <w:t>8</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_Toc170201056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offences and modified penalties</w:t>
      </w:r>
      <w:r>
        <w:tab/>
      </w:r>
      <w:r>
        <w:fldChar w:fldCharType="begin"/>
      </w:r>
      <w:r>
        <w:instrText xml:space="preserve"> PAGEREF _Toc170201057 \h </w:instrText>
      </w:r>
      <w:r>
        <w:fldChar w:fldCharType="separate"/>
      </w:r>
      <w:r>
        <w:t>10</w:t>
      </w:r>
      <w:r>
        <w:fldChar w:fldCharType="end"/>
      </w:r>
    </w:p>
    <w:p>
      <w:pPr>
        <w:pStyle w:val="TOC8"/>
        <w:rPr>
          <w:rFonts w:asciiTheme="minorHAnsi" w:eastAsiaTheme="minorEastAsia" w:hAnsiTheme="minorHAnsi" w:cstheme="minorBidi"/>
          <w:szCs w:val="22"/>
        </w:rPr>
      </w:pPr>
      <w:r>
        <w:t>16.</w:t>
      </w:r>
      <w:r>
        <w:tab/>
        <w:t>Authorised officers and approved officers</w:t>
      </w:r>
      <w:r>
        <w:tab/>
      </w:r>
      <w:r>
        <w:fldChar w:fldCharType="begin"/>
      </w:r>
      <w:r>
        <w:instrText xml:space="preserve"> PAGEREF _Toc170201058 \h </w:instrText>
      </w:r>
      <w:r>
        <w:fldChar w:fldCharType="separate"/>
      </w:r>
      <w:r>
        <w:t>10</w:t>
      </w:r>
      <w:r>
        <w:fldChar w:fldCharType="end"/>
      </w:r>
    </w:p>
    <w:p>
      <w:pPr>
        <w:pStyle w:val="TOC8"/>
        <w:rPr>
          <w:rFonts w:asciiTheme="minorHAnsi" w:eastAsiaTheme="minorEastAsia" w:hAnsiTheme="minorHAnsi" w:cstheme="minorBidi"/>
          <w:szCs w:val="22"/>
        </w:rPr>
      </w:pPr>
      <w:r>
        <w:t>17.</w:t>
      </w:r>
      <w:r>
        <w:tab/>
        <w:t>Forms</w:t>
      </w:r>
      <w:r>
        <w:tab/>
      </w:r>
      <w:r>
        <w:fldChar w:fldCharType="begin"/>
      </w:r>
      <w:r>
        <w:instrText xml:space="preserve"> PAGEREF _Toc170201059 \h </w:instrText>
      </w:r>
      <w:r>
        <w:fldChar w:fldCharType="separate"/>
      </w:r>
      <w:r>
        <w:t>10</w:t>
      </w:r>
      <w:r>
        <w:fldChar w:fldCharType="end"/>
      </w:r>
    </w:p>
    <w:p>
      <w:pPr>
        <w:pStyle w:val="TOC8"/>
        <w:rPr>
          <w:rFonts w:asciiTheme="minorHAnsi" w:eastAsiaTheme="minorEastAsia" w:hAnsiTheme="minorHAnsi" w:cstheme="minorBidi"/>
          <w:szCs w:val="22"/>
        </w:rPr>
      </w:pPr>
      <w:r>
        <w:t>18.</w:t>
      </w:r>
      <w:r>
        <w:tab/>
        <w:t>Transitional provision</w:t>
      </w:r>
      <w:r>
        <w:tab/>
      </w:r>
      <w:r>
        <w:fldChar w:fldCharType="begin"/>
      </w:r>
      <w:r>
        <w:instrText xml:space="preserve"> PAGEREF _Toc170201060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i/>
          <w:iCs/>
        </w:rPr>
        <w:t>Building Regulations 2012</w:t>
      </w:r>
      <w:r>
        <w:t xml:space="preserve"> amended</w:t>
      </w:r>
      <w:r>
        <w:tab/>
      </w:r>
      <w:r>
        <w:fldChar w:fldCharType="begin"/>
      </w:r>
      <w:r>
        <w:instrText xml:space="preserve"> PAGEREF _Toc170201061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62.</w:t>
      </w:r>
      <w:r>
        <w:rPr>
          <w:noProof/>
        </w:rPr>
        <w:tab/>
        <w:t>Requirement to maintain certain smoke alarms</w:t>
      </w:r>
      <w:r>
        <w:rPr>
          <w:noProof/>
        </w:rPr>
        <w:tab/>
      </w:r>
      <w:r>
        <w:rPr>
          <w:noProof/>
        </w:rPr>
        <w:fldChar w:fldCharType="begin"/>
      </w:r>
      <w:r>
        <w:rPr>
          <w:noProof/>
        </w:rPr>
        <w:instrText xml:space="preserve"> PAGEREF _Toc170201062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20.</w:t>
      </w:r>
      <w:r>
        <w:tab/>
      </w:r>
      <w:r>
        <w:rPr>
          <w:i/>
        </w:rPr>
        <w:t>Electricity Regulations 1947</w:t>
      </w:r>
      <w:r>
        <w:t xml:space="preserve"> amended</w:t>
      </w:r>
      <w:r>
        <w:tab/>
      </w:r>
      <w:r>
        <w:fldChar w:fldCharType="begin"/>
      </w:r>
      <w:r>
        <w:instrText xml:space="preserve"> PAGEREF _Toc170201063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_Toc170201069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Heading5"/>
      </w:pPr>
      <w:bookmarkStart w:id="2" w:name="_Toc169799482"/>
      <w:bookmarkStart w:id="3" w:name="_Toc170201043"/>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5" w:name="_Toc169799483"/>
      <w:bookmarkStart w:id="6" w:name="_Toc170201044"/>
      <w:r>
        <w:rPr>
          <w:rStyle w:val="CharSectno"/>
        </w:rPr>
        <w:t>2</w:t>
      </w:r>
      <w:r>
        <w:rPr>
          <w:spacing w:val="-2"/>
        </w:rPr>
        <w:t>.</w:t>
      </w:r>
      <w:r>
        <w:rPr>
          <w:spacing w:val="-2"/>
        </w:rPr>
        <w:tab/>
        <w:t>Commencement</w:t>
      </w:r>
      <w:bookmarkEnd w:id="5"/>
      <w:bookmarkEnd w:id="6"/>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7" w:name="_Toc169799484"/>
      <w:bookmarkStart w:id="8" w:name="_Toc170201045"/>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9" w:name="_Toc169799485"/>
      <w:bookmarkStart w:id="10" w:name="_Toc170201046"/>
      <w:r>
        <w:rPr>
          <w:rStyle w:val="CharSectno"/>
        </w:rPr>
        <w:t>4</w:t>
      </w:r>
      <w:r>
        <w:t>.</w:t>
      </w:r>
      <w:r>
        <w:tab/>
        <w:t>Hosted accommodation</w:t>
      </w:r>
      <w:bookmarkEnd w:id="9"/>
      <w:bookmarkEnd w:id="10"/>
    </w:p>
    <w:p>
      <w:pPr>
        <w:pStyle w:val="Subsection"/>
      </w:pPr>
      <w:r>
        <w:tab/>
        <w:t>(1)</w:t>
      </w:r>
      <w:r>
        <w:tab/>
        <w:t xml:space="preserve">In this regulation — </w:t>
      </w:r>
    </w:p>
    <w:p>
      <w:pPr>
        <w:pStyle w:val="Defstart"/>
      </w:pPr>
      <w:r>
        <w:tab/>
      </w:r>
      <w:r>
        <w:rPr>
          <w:rStyle w:val="CharDefText"/>
        </w:rPr>
        <w:t>ancillary dwelling</w:t>
      </w:r>
      <w:r>
        <w:t xml:space="preserve"> has the meaning given in the R</w:t>
      </w:r>
      <w:r>
        <w:noBreakHyphen/>
        <w:t>Codes Volume 1 Appendix 1;</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tab/>
      </w:r>
      <w:r>
        <w:rPr>
          <w:rStyle w:val="CharDefText"/>
        </w:rPr>
        <w:t>title</w:t>
      </w:r>
      <w:r>
        <w:t xml:space="preserve"> means a certificate of title created under the </w:t>
      </w:r>
      <w:r>
        <w:rPr>
          <w:i/>
        </w:rPr>
        <w:t>Transfer of Land Act 1893</w:t>
      </w:r>
      <w:r>
        <w:t>.</w:t>
      </w:r>
    </w:p>
    <w:p>
      <w:pPr>
        <w:pStyle w:val="Subsection"/>
      </w:pPr>
      <w:r>
        <w:lastRenderedPageBreak/>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term rental arrangement, the accommodation provider resides on residential premises that are comprised in the same title as the ancillary dwelling.</w:t>
      </w:r>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Heading5"/>
      </w:pPr>
      <w:bookmarkStart w:id="11" w:name="_Toc169799486"/>
      <w:bookmarkStart w:id="12" w:name="_Toc170201047"/>
      <w:r>
        <w:rPr>
          <w:rStyle w:val="CharSectno"/>
        </w:rPr>
        <w:t>5</w:t>
      </w:r>
      <w:r>
        <w:t>.</w:t>
      </w:r>
      <w:r>
        <w:tab/>
        <w:t>Premises to which Act does not apply</w:t>
      </w:r>
      <w:bookmarkEnd w:id="11"/>
      <w:bookmarkEnd w:id="12"/>
    </w:p>
    <w:p>
      <w:pPr>
        <w:pStyle w:val="Subsection"/>
      </w:pPr>
      <w:r>
        <w:tab/>
        <w:t>(1)</w:t>
      </w:r>
      <w:r>
        <w:tab/>
        <w:t xml:space="preserve">In this regulation — </w:t>
      </w:r>
    </w:p>
    <w:p>
      <w:pPr>
        <w:pStyle w:val="Defstart"/>
      </w:pPr>
      <w:r>
        <w:tab/>
      </w:r>
      <w:r>
        <w:rPr>
          <w:rStyle w:val="CharDefText"/>
        </w:rPr>
        <w:t>serviced apartment</w:t>
      </w:r>
      <w:r>
        <w:t xml:space="preserve"> has the meaning given in the </w:t>
      </w:r>
      <w:r>
        <w:rPr>
          <w:i/>
        </w:rPr>
        <w:t xml:space="preserve">Planning and Development (Local Planning Schemes) Regulations 2015 </w:t>
      </w:r>
      <w:r>
        <w:t>Schedule 1 clause 38;</w:t>
      </w:r>
    </w:p>
    <w:p>
      <w:pPr>
        <w:pStyle w:val="Defstart"/>
      </w:pPr>
      <w:r>
        <w:tab/>
      </w:r>
      <w:r>
        <w:rPr>
          <w:rStyle w:val="CharDefText"/>
        </w:rPr>
        <w:t>tourist development</w:t>
      </w:r>
      <w:r>
        <w:t xml:space="preserve"> has the meaning given in the </w:t>
      </w:r>
      <w:r>
        <w:rPr>
          <w:i/>
        </w:rPr>
        <w:t xml:space="preserve">Planning and Development (Local Planning Schemes) Regulations 2015 </w:t>
      </w:r>
      <w:r>
        <w:t>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premises that are a tourist development;</w:t>
      </w:r>
    </w:p>
    <w:p>
      <w:pPr>
        <w:pStyle w:val="Indenta"/>
      </w:pPr>
      <w:r>
        <w:tab/>
        <w:t>(d)</w:t>
      </w:r>
      <w:r>
        <w:tab/>
        <w:t>premises that are a serviced apartment.</w:t>
      </w:r>
    </w:p>
    <w:p>
      <w:pPr>
        <w:pStyle w:val="Heading5"/>
      </w:pPr>
      <w:bookmarkStart w:id="13" w:name="_Toc169799487"/>
      <w:bookmarkStart w:id="14" w:name="_Toc170201048"/>
      <w:r>
        <w:rPr>
          <w:rStyle w:val="CharSectno"/>
        </w:rPr>
        <w:lastRenderedPageBreak/>
        <w:t>6</w:t>
      </w:r>
      <w:r>
        <w:t>.</w:t>
      </w:r>
      <w:r>
        <w:tab/>
        <w:t>Information to be included in applications for registration</w:t>
      </w:r>
      <w:bookmarkEnd w:id="13"/>
      <w:bookmarkEnd w:id="14"/>
    </w:p>
    <w:p>
      <w:pPr>
        <w:pStyle w:val="Subsection"/>
      </w:pPr>
      <w:r>
        <w:tab/>
      </w:r>
      <w:r>
        <w:tab/>
        <w:t>An application made under section 17 of the Act must include the information set out in regulation 10.</w:t>
      </w:r>
    </w:p>
    <w:p>
      <w:pPr>
        <w:pStyle w:val="Heading5"/>
      </w:pPr>
      <w:bookmarkStart w:id="15" w:name="_Toc169799488"/>
      <w:bookmarkStart w:id="16" w:name="_Toc170201049"/>
      <w:r>
        <w:rPr>
          <w:rStyle w:val="CharSectno"/>
        </w:rPr>
        <w:t>7</w:t>
      </w:r>
      <w:r>
        <w:t>.</w:t>
      </w:r>
      <w:r>
        <w:tab/>
        <w:t>Suspension or cancellation of registration</w:t>
      </w:r>
      <w:bookmarkEnd w:id="15"/>
      <w:bookmarkEnd w:id="16"/>
    </w:p>
    <w:p>
      <w:pPr>
        <w:pStyle w:val="Subsection"/>
      </w:pPr>
      <w:r>
        <w:tab/>
        <w:t>(1)</w:t>
      </w:r>
      <w:r>
        <w:tab/>
        <w:t>The Commissioner may cancel or suspend the registration of residential premises under section 24(b) of the Act on the ground that the accommodation provider has contravened a 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lastRenderedPageBreak/>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Merge w:val="restart"/>
            <w:vAlign w:val="center"/>
          </w:tcPr>
          <w:p>
            <w:pPr>
              <w:pStyle w:val="TableNAm"/>
            </w:pPr>
            <w:r>
              <w:rPr>
                <w:i/>
              </w:rPr>
              <w:t>Health (Miscellaneous Provisions) Act 1911</w:t>
            </w:r>
          </w:p>
        </w:tc>
        <w:tc>
          <w:tcPr>
            <w:tcW w:w="3034" w:type="dxa"/>
            <w:vAlign w:val="center"/>
          </w:tcPr>
          <w:p>
            <w:pPr>
              <w:pStyle w:val="TableNAm"/>
              <w:rPr>
                <w:i/>
                <w:iCs/>
              </w:rPr>
            </w:pPr>
            <w:r>
              <w:rPr>
                <w:i/>
                <w:iCs/>
              </w:rPr>
              <w:t>Fly Eradication Regulations</w:t>
            </w:r>
          </w:p>
        </w:tc>
      </w:tr>
      <w:tr>
        <w:tc>
          <w:tcPr>
            <w:tcW w:w="3033" w:type="dxa"/>
            <w:vMerge/>
            <w:vAlign w:val="center"/>
          </w:tcPr>
          <w:p>
            <w:pPr>
              <w:pStyle w:val="TableNAm"/>
              <w:rPr>
                <w:i/>
              </w:rPr>
            </w:pPr>
          </w:p>
        </w:tc>
        <w:tc>
          <w:tcPr>
            <w:tcW w:w="3034" w:type="dxa"/>
            <w:vAlign w:val="center"/>
          </w:tcPr>
          <w:p>
            <w:pPr>
              <w:pStyle w:val="TableNAm"/>
              <w:rPr>
                <w:b/>
                <w:bCs/>
                <w:i/>
                <w:iCs/>
                <w:sz w:val="20"/>
                <w:szCs w:val="16"/>
              </w:rPr>
            </w:pPr>
            <w:r>
              <w:rPr>
                <w:i/>
                <w:iCs/>
              </w:rPr>
              <w:t>Sewerage (Lighting, Ventilation and Construction) Regulations 1971</w:t>
            </w:r>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lastRenderedPageBreak/>
              <w:t>Strata Titles Act 1985</w:t>
            </w:r>
          </w:p>
        </w:tc>
        <w:tc>
          <w:tcPr>
            <w:tcW w:w="3034" w:type="dxa"/>
            <w:vAlign w:val="center"/>
          </w:tcPr>
          <w:p>
            <w:pPr>
              <w:pStyle w:val="TableNAm"/>
            </w:pPr>
          </w:p>
        </w:tc>
      </w:tr>
      <w:tr>
        <w:tc>
          <w:tcPr>
            <w:tcW w:w="3033" w:type="dxa"/>
            <w:vAlign w:val="center"/>
          </w:tcPr>
          <w:p>
            <w:pPr>
              <w:pStyle w:val="TableNAm"/>
            </w:pPr>
            <w:r>
              <w:rPr>
                <w:i/>
              </w:rPr>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Heading5"/>
      </w:pPr>
      <w:bookmarkStart w:id="17" w:name="_Toc169799489"/>
      <w:bookmarkStart w:id="18" w:name="_Toc170201050"/>
      <w:r>
        <w:rPr>
          <w:rStyle w:val="CharSectno"/>
        </w:rPr>
        <w:t>8</w:t>
      </w:r>
      <w:r>
        <w:t>.</w:t>
      </w:r>
      <w:r>
        <w:tab/>
        <w:t>Changes to be notified to Commissioner</w:t>
      </w:r>
      <w:bookmarkEnd w:id="17"/>
      <w:bookmarkEnd w:id="18"/>
    </w:p>
    <w:p>
      <w:pPr>
        <w:pStyle w:val="Subsection"/>
      </w:pPr>
      <w:r>
        <w:tab/>
      </w:r>
      <w:r>
        <w:tab/>
        <w:t xml:space="preserve">For the purposes of section 28(f) of the Act, an accommodation provider for registered premises must notify the Commissioner 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19" w:name="_Toc169799490"/>
      <w:bookmarkStart w:id="20" w:name="_Toc170201051"/>
      <w:r>
        <w:rPr>
          <w:rStyle w:val="CharSectno"/>
        </w:rPr>
        <w:t>9</w:t>
      </w:r>
      <w:r>
        <w:t>.</w:t>
      </w:r>
      <w:r>
        <w:tab/>
        <w:t>Certificate evidence</w:t>
      </w:r>
      <w:bookmarkEnd w:id="19"/>
      <w:bookmarkEnd w:id="20"/>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21" w:name="_Toc169799491"/>
      <w:bookmarkStart w:id="22" w:name="_Toc170201052"/>
      <w:r>
        <w:rPr>
          <w:rStyle w:val="CharSectno"/>
        </w:rPr>
        <w:lastRenderedPageBreak/>
        <w:t>10</w:t>
      </w:r>
      <w:r>
        <w:t>.</w:t>
      </w:r>
      <w:r>
        <w:tab/>
        <w:t>Information to be included in Register</w:t>
      </w:r>
      <w:bookmarkEnd w:id="21"/>
      <w:bookmarkEnd w:id="22"/>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laws prohibit the use of the premises as short</w:t>
      </w:r>
      <w:r>
        <w:noBreakHyphen/>
        <w:t>term rental accommodation;</w:t>
      </w:r>
    </w:p>
    <w:p>
      <w:pPr>
        <w:pStyle w:val="Indenta"/>
      </w:pPr>
      <w:r>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23" w:name="_Toc169799492"/>
      <w:bookmarkStart w:id="24" w:name="_Toc170201053"/>
      <w:r>
        <w:rPr>
          <w:rStyle w:val="CharSectno"/>
        </w:rPr>
        <w:lastRenderedPageBreak/>
        <w:t>11</w:t>
      </w:r>
      <w:r>
        <w:t>.</w:t>
      </w:r>
      <w:r>
        <w:tab/>
        <w:t>Disclosure of information: health and safety</w:t>
      </w:r>
      <w:bookmarkEnd w:id="23"/>
      <w:bookmarkEnd w:id="24"/>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25" w:name="_Toc169799493"/>
      <w:bookmarkStart w:id="26" w:name="_Toc170201054"/>
      <w:r>
        <w:rPr>
          <w:rStyle w:val="CharSectno"/>
        </w:rPr>
        <w:t>12</w:t>
      </w:r>
      <w:r>
        <w:t>.</w:t>
      </w:r>
      <w:r>
        <w:tab/>
        <w:t>Disclosure of information: community titles schemes and strata titles schemes</w:t>
      </w:r>
      <w:bookmarkEnd w:id="25"/>
      <w:bookmarkEnd w:id="26"/>
    </w:p>
    <w:p>
      <w:pPr>
        <w:pStyle w:val="Subsection"/>
      </w:pPr>
      <w:r>
        <w:tab/>
        <w:t>(1)</w:t>
      </w:r>
      <w:r>
        <w:tab/>
        <w:t xml:space="preserve">In this regulation — </w:t>
      </w:r>
    </w:p>
    <w:p>
      <w:pPr>
        <w:pStyle w:val="Defstar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27" w:name="_Toc169799494"/>
      <w:bookmarkStart w:id="28" w:name="_Toc170201055"/>
      <w:r>
        <w:rPr>
          <w:rStyle w:val="CharSectno"/>
        </w:rPr>
        <w:lastRenderedPageBreak/>
        <w:t>13</w:t>
      </w:r>
      <w:r>
        <w:t>.</w:t>
      </w:r>
      <w:r>
        <w:tab/>
        <w:t>Particulars of short</w:t>
      </w:r>
      <w:r>
        <w:noBreakHyphen/>
        <w:t>term rental arrangements to be notified to Commissioner</w:t>
      </w:r>
      <w:bookmarkEnd w:id="27"/>
      <w:bookmarkEnd w:id="28"/>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lastRenderedPageBreak/>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term rental arrangement is made in relation to a registered premises other than by means of an electronically integrated booking platform, 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29" w:name="_Toc169799495"/>
      <w:bookmarkStart w:id="30" w:name="_Toc170201056"/>
      <w:r>
        <w:rPr>
          <w:rStyle w:val="CharSectno"/>
        </w:rPr>
        <w:t>14</w:t>
      </w:r>
      <w:r>
        <w:t>.</w:t>
      </w:r>
      <w:r>
        <w:tab/>
        <w:t>Fees</w:t>
      </w:r>
      <w:bookmarkEnd w:id="29"/>
      <w:bookmarkEnd w:id="30"/>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lastRenderedPageBreak/>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31" w:name="_Toc169799496"/>
      <w:bookmarkStart w:id="32" w:name="_Toc170201057"/>
      <w:r>
        <w:rPr>
          <w:rStyle w:val="CharSectno"/>
        </w:rPr>
        <w:t>15</w:t>
      </w:r>
      <w:r>
        <w:t>.</w:t>
      </w:r>
      <w:r>
        <w:tab/>
        <w:t>Prescribed offences and modified penalties</w:t>
      </w:r>
      <w:bookmarkEnd w:id="31"/>
      <w:bookmarkEnd w:id="32"/>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33" w:name="_Toc169799497"/>
      <w:bookmarkStart w:id="34" w:name="_Toc170201058"/>
      <w:r>
        <w:rPr>
          <w:rStyle w:val="CharSectno"/>
        </w:rPr>
        <w:t>16</w:t>
      </w:r>
      <w:r>
        <w:t>.</w:t>
      </w:r>
      <w:r>
        <w:tab/>
        <w:t>Authorised officers and approved officers</w:t>
      </w:r>
      <w:bookmarkEnd w:id="33"/>
      <w:bookmarkEnd w:id="34"/>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35" w:name="_Toc169799498"/>
      <w:bookmarkStart w:id="36" w:name="_Toc170201059"/>
      <w:r>
        <w:rPr>
          <w:rStyle w:val="CharSectno"/>
        </w:rPr>
        <w:t>17</w:t>
      </w:r>
      <w:r>
        <w:t>.</w:t>
      </w:r>
      <w:r>
        <w:tab/>
        <w:t>Forms</w:t>
      </w:r>
      <w:bookmarkEnd w:id="35"/>
      <w:bookmarkEnd w:id="36"/>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37" w:name="_Toc169799499"/>
      <w:bookmarkStart w:id="38" w:name="_Toc170201060"/>
      <w:r>
        <w:rPr>
          <w:rStyle w:val="CharSectno"/>
        </w:rPr>
        <w:lastRenderedPageBreak/>
        <w:t>18</w:t>
      </w:r>
      <w:r>
        <w:t>.</w:t>
      </w:r>
      <w:r>
        <w:tab/>
        <w:t>Transitional provision</w:t>
      </w:r>
      <w:bookmarkEnd w:id="37"/>
      <w:bookmarkEnd w:id="38"/>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pPr>
      <w:r>
        <w:tab/>
        <w:t>(b)</w:t>
      </w:r>
      <w:r>
        <w:tab/>
        <w:t>continuing until the day that is 3 months after that day.</w:t>
      </w:r>
    </w:p>
    <w:p>
      <w:pPr>
        <w:pStyle w:val="Subsection"/>
      </w:pPr>
      <w:r>
        <w:tab/>
        <w:t>(2)</w:t>
      </w:r>
      <w:r>
        <w:tab/>
        <w:t>The Commissioner may waive, in whole or in part, the application fee in respect of an application made during the fee waiver period.</w:t>
      </w:r>
    </w:p>
    <w:p>
      <w:pPr>
        <w:pStyle w:val="Heading5"/>
      </w:pPr>
      <w:bookmarkStart w:id="39" w:name="_Toc169799500"/>
      <w:bookmarkStart w:id="40" w:name="_Toc170201061"/>
      <w:r>
        <w:rPr>
          <w:rStyle w:val="CharSectno"/>
        </w:rPr>
        <w:t>19</w:t>
      </w:r>
      <w:r>
        <w:t>.</w:t>
      </w:r>
      <w:r>
        <w:tab/>
      </w:r>
      <w:r>
        <w:rPr>
          <w:i/>
          <w:iCs/>
        </w:rPr>
        <w:t>Building Regulations 2012</w:t>
      </w:r>
      <w:r>
        <w:t xml:space="preserve"> amended</w:t>
      </w:r>
      <w:bookmarkEnd w:id="39"/>
      <w:bookmarkEnd w:id="40"/>
    </w:p>
    <w:p>
      <w:pPr>
        <w:pStyle w:val="Subsection"/>
      </w:pPr>
      <w:r>
        <w:tab/>
        <w:t>(1)</w:t>
      </w:r>
      <w:r>
        <w:tab/>
        <w:t xml:space="preserve">This regulation amends the </w:t>
      </w:r>
      <w:r>
        <w:rPr>
          <w:i/>
        </w:rPr>
        <w:t>Building Regulations 2012</w:t>
      </w:r>
      <w:r>
        <w:t>.</w:t>
      </w:r>
    </w:p>
    <w:p>
      <w:pPr>
        <w:pStyle w:val="Subsection"/>
      </w:pPr>
      <w:r>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lastRenderedPageBreak/>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lastRenderedPageBreak/>
        <w:tab/>
        <w:t>(8)</w:t>
      </w:r>
      <w:r>
        <w:tab/>
        <w:t>Delete regulation 62 and insert:</w:t>
      </w:r>
    </w:p>
    <w:p>
      <w:pPr>
        <w:pStyle w:val="BlankOpen"/>
      </w:pPr>
    </w:p>
    <w:p>
      <w:pPr>
        <w:pStyle w:val="zHeading5"/>
      </w:pPr>
      <w:bookmarkStart w:id="41" w:name="_Toc169799501"/>
      <w:bookmarkStart w:id="42" w:name="_Toc170201062"/>
      <w:r>
        <w:t>62.</w:t>
      </w:r>
      <w:r>
        <w:tab/>
        <w:t>Requirement to maintain certain smoke alarms</w:t>
      </w:r>
      <w:bookmarkEnd w:id="41"/>
      <w:bookmarkEnd w:id="42"/>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 xml:space="preserve">If an expiry date is provided on a smoke alarm installed in the dwelling, the lessor or owner must, to the extent </w:t>
      </w:r>
      <w:r>
        <w:lastRenderedPageBreak/>
        <w:t>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43" w:name="_Toc169799502"/>
      <w:bookmarkStart w:id="44" w:name="_Toc170201063"/>
      <w:r>
        <w:rPr>
          <w:rStyle w:val="CharSectno"/>
        </w:rPr>
        <w:t>20</w:t>
      </w:r>
      <w:r>
        <w:t>.</w:t>
      </w:r>
      <w:r>
        <w:tab/>
      </w:r>
      <w:r>
        <w:rPr>
          <w:i/>
        </w:rPr>
        <w:t>Electricity Regulations 1947</w:t>
      </w:r>
      <w:r>
        <w:t xml:space="preserve"> amended</w:t>
      </w:r>
      <w:bookmarkEnd w:id="43"/>
      <w:bookmarkEnd w:id="44"/>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5" w:name="_Toc169799503"/>
      <w:bookmarkStart w:id="46" w:name="_Toc169799575"/>
      <w:bookmarkStart w:id="47" w:name="_Toc169799815"/>
      <w:bookmarkStart w:id="48" w:name="_Toc170135675"/>
      <w:bookmarkStart w:id="49" w:name="_Toc170201064"/>
      <w:r>
        <w:rPr>
          <w:rStyle w:val="CharSchNo"/>
        </w:rPr>
        <w:lastRenderedPageBreak/>
        <w:t>Schedule 1</w:t>
      </w:r>
      <w:r>
        <w:t> — </w:t>
      </w:r>
      <w:r>
        <w:rPr>
          <w:rStyle w:val="CharSchText"/>
        </w:rPr>
        <w:t>Prescribed offences and modified penalties</w:t>
      </w:r>
      <w:bookmarkEnd w:id="45"/>
      <w:bookmarkEnd w:id="46"/>
      <w:bookmarkEnd w:id="47"/>
      <w:bookmarkEnd w:id="48"/>
      <w:bookmarkEnd w:id="49"/>
    </w:p>
    <w:p>
      <w:pPr>
        <w:pStyle w:val="yShoulderClause"/>
      </w:pPr>
      <w:r>
        <w:t>[r. 15(1) and (2)]</w:t>
      </w:r>
    </w:p>
    <w:p>
      <w:pPr>
        <w:pStyle w:val="yHeading3"/>
      </w:pPr>
      <w:bookmarkStart w:id="50" w:name="_Toc169799504"/>
      <w:bookmarkStart w:id="51" w:name="_Toc169799576"/>
      <w:bookmarkStart w:id="52" w:name="_Toc169799816"/>
      <w:bookmarkStart w:id="53" w:name="_Toc170135676"/>
      <w:bookmarkStart w:id="54" w:name="_Toc170201065"/>
      <w:r>
        <w:rPr>
          <w:rStyle w:val="CharSDivNo"/>
        </w:rPr>
        <w:t>Division 1</w:t>
      </w:r>
      <w:r>
        <w:rPr>
          <w:rStyle w:val="CharSClsNo"/>
        </w:rPr>
        <w:t> </w:t>
      </w:r>
      <w:r>
        <w:t>—</w:t>
      </w:r>
      <w:r>
        <w:rPr>
          <w:rStyle w:val="CharSClsNo"/>
        </w:rPr>
        <w:t> </w:t>
      </w:r>
      <w:r>
        <w:rPr>
          <w:rStyle w:val="CharSDivText"/>
        </w:rPr>
        <w:t>Offences under Act</w:t>
      </w:r>
      <w:bookmarkEnd w:id="50"/>
      <w:bookmarkEnd w:id="51"/>
      <w:bookmarkEnd w:id="52"/>
      <w:bookmarkEnd w:id="53"/>
      <w:bookmarkEnd w:id="54"/>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spacing w:after="120"/>
            </w:pPr>
            <w:r>
              <w:t>s. 9</w:t>
            </w:r>
          </w:p>
        </w:tc>
        <w:tc>
          <w:tcPr>
            <w:tcW w:w="3260" w:type="dxa"/>
            <w:noWrap/>
            <w:vAlign w:val="center"/>
          </w:tcPr>
          <w:p>
            <w:pPr>
              <w:pStyle w:val="yTableNAm"/>
              <w:spacing w:after="120"/>
            </w:pPr>
            <w:r>
              <w:t>Entering into, or seeking to enter into, short</w:t>
            </w:r>
            <w:r>
              <w:noBreakHyphen/>
              <w:t>term rental arrangement for unregistered premises</w:t>
            </w:r>
          </w:p>
        </w:tc>
        <w:tc>
          <w:tcPr>
            <w:tcW w:w="2410" w:type="dxa"/>
            <w:noWrap/>
          </w:tcPr>
          <w:p>
            <w:pPr>
              <w:pStyle w:val="yTableNAm"/>
              <w:spacing w:after="120"/>
              <w:jc w:val="center"/>
            </w:pPr>
            <w:r>
              <w:t>For entering into a short</w:t>
            </w:r>
            <w:r>
              <w:noBreakHyphen/>
              <w:t>term rental arrangement — $2 000</w:t>
            </w:r>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16(2)</w:t>
            </w:r>
          </w:p>
        </w:tc>
        <w:tc>
          <w:tcPr>
            <w:tcW w:w="3260" w:type="dxa"/>
            <w:noWrap/>
            <w:vAlign w:val="center"/>
          </w:tcPr>
          <w:p>
            <w:pPr>
              <w:pStyle w:val="yTableNAm"/>
              <w:spacing w:after="120"/>
            </w:pPr>
            <w:r>
              <w:t>Display of false registration number for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Heading3"/>
      </w:pPr>
      <w:bookmarkStart w:id="55" w:name="_Toc169799505"/>
      <w:bookmarkStart w:id="56" w:name="_Toc169799577"/>
      <w:bookmarkStart w:id="57" w:name="_Toc169799817"/>
      <w:bookmarkStart w:id="58" w:name="_Toc170135677"/>
      <w:bookmarkStart w:id="59" w:name="_Toc170201066"/>
      <w:r>
        <w:rPr>
          <w:rStyle w:val="CharSDivNo"/>
        </w:rPr>
        <w:lastRenderedPageBreak/>
        <w:t>Division 2</w:t>
      </w:r>
      <w:r>
        <w:t> — </w:t>
      </w:r>
      <w:r>
        <w:rPr>
          <w:rStyle w:val="CharSDivText"/>
        </w:rPr>
        <w:t>Offences under regulations</w:t>
      </w:r>
      <w:bookmarkEnd w:id="55"/>
      <w:bookmarkEnd w:id="56"/>
      <w:bookmarkEnd w:id="57"/>
      <w:bookmarkEnd w:id="58"/>
      <w:bookmarkEnd w:id="59"/>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60" w:name="_Toc169799506"/>
      <w:bookmarkStart w:id="61" w:name="_Toc169799578"/>
      <w:bookmarkStart w:id="62" w:name="_Toc169799818"/>
      <w:bookmarkStart w:id="63" w:name="_Toc170135678"/>
      <w:bookmarkStart w:id="64" w:name="_Toc170201067"/>
      <w:r>
        <w:rPr>
          <w:rStyle w:val="CharSchNo"/>
        </w:rPr>
        <w:lastRenderedPageBreak/>
        <w:t>Schedule 2</w:t>
      </w:r>
      <w:r>
        <w:rPr>
          <w:rStyle w:val="CharSDivNo"/>
        </w:rPr>
        <w:t> </w:t>
      </w:r>
      <w:r>
        <w:t>—</w:t>
      </w:r>
      <w:r>
        <w:rPr>
          <w:rStyle w:val="CharSDivText"/>
        </w:rPr>
        <w:t> </w:t>
      </w:r>
      <w:r>
        <w:rPr>
          <w:rStyle w:val="CharSchText"/>
        </w:rPr>
        <w:t>Forms</w:t>
      </w:r>
      <w:bookmarkEnd w:id="60"/>
      <w:bookmarkEnd w:id="61"/>
      <w:bookmarkEnd w:id="62"/>
      <w:bookmarkEnd w:id="63"/>
      <w:bookmarkEnd w:id="64"/>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lastRenderedPageBreak/>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lastRenderedPageBreak/>
              <w:t>[*Delete whichever is not applicable]</w:t>
            </w:r>
          </w:p>
        </w:tc>
        <w:tc>
          <w:tcPr>
            <w:tcW w:w="5245" w:type="dxa"/>
            <w:gridSpan w:val="5"/>
            <w:tcBorders>
              <w:top w:val="single" w:sz="4" w:space="0" w:color="auto"/>
              <w:bottom w:val="nil"/>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lastRenderedPageBreak/>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6" w:name="_Toc170135679"/>
      <w:bookmarkStart w:id="67" w:name="_Toc170201068"/>
      <w:bookmarkStart w:id="68" w:name="_Toc169799819"/>
      <w:r>
        <w:lastRenderedPageBreak/>
        <w:t>Notes</w:t>
      </w:r>
      <w:bookmarkEnd w:id="66"/>
      <w:bookmarkEnd w:id="67"/>
    </w:p>
    <w:p>
      <w:pPr>
        <w:pStyle w:val="nStatement"/>
      </w:pPr>
      <w:r>
        <w:t xml:space="preserve">This is a compilation of the </w:t>
      </w:r>
      <w:r>
        <w:rPr>
          <w:i/>
          <w:noProof/>
        </w:rPr>
        <w:t>Short-Term Rental Accommodation Regulations 2024</w:t>
      </w:r>
      <w:r>
        <w:t>.  For provisions that have come into operation see the compilation table.</w:t>
      </w:r>
    </w:p>
    <w:p>
      <w:pPr>
        <w:pStyle w:val="nHeading3"/>
      </w:pPr>
      <w:bookmarkStart w:id="69" w:name="_Toc170201069"/>
      <w:r>
        <w:t>Compilation table</w:t>
      </w:r>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Short-Term Rental Accommodation Regulations 2024</w:t>
            </w:r>
          </w:p>
        </w:tc>
        <w:tc>
          <w:tcPr>
            <w:tcW w:w="1276" w:type="dxa"/>
          </w:tcPr>
          <w:p>
            <w:pPr>
              <w:pStyle w:val="nTable"/>
              <w:spacing w:after="40"/>
            </w:pPr>
            <w:r>
              <w:t>SL 2024/123 26 Jun 2024</w:t>
            </w:r>
          </w:p>
        </w:tc>
        <w:tc>
          <w:tcPr>
            <w:tcW w:w="2693" w:type="dxa"/>
          </w:tcPr>
          <w:p>
            <w:pPr>
              <w:pStyle w:val="nTable"/>
              <w:spacing w:after="40"/>
            </w:pPr>
            <w:r>
              <w:t>1 Jul 2024 (see r. 2(b) and SL 2024/88 cl. 2(a))</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71" w:name="_Toc170201070"/>
      <w:bookmarkEnd w:id="68"/>
      <w:r>
        <w:rPr>
          <w:sz w:val="28"/>
        </w:rPr>
        <w:lastRenderedPageBreak/>
        <w:t>Defined terms</w:t>
      </w:r>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ancillary dwelling</w:t>
      </w:r>
      <w:r>
        <w:tab/>
        <w:t>4(1)</w:t>
      </w:r>
    </w:p>
    <w:p>
      <w:pPr>
        <w:pStyle w:val="DefinedTerms"/>
      </w:pPr>
      <w:r>
        <w:t>API</w:t>
      </w:r>
      <w:r>
        <w:tab/>
        <w:t>13(1)</w:t>
      </w:r>
    </w:p>
    <w:p>
      <w:pPr>
        <w:pStyle w:val="DefinedTerms"/>
      </w:pPr>
      <w:r>
        <w:t>application fee</w:t>
      </w:r>
      <w:r>
        <w:tab/>
        <w:t>14(1), 18(1)</w:t>
      </w:r>
    </w:p>
    <w:p>
      <w:pPr>
        <w:pStyle w:val="DefinedTerms"/>
      </w:pPr>
      <w:r>
        <w:t>application programming interface</w:t>
      </w:r>
      <w:r>
        <w:tab/>
        <w:t>13(1)</w:t>
      </w:r>
    </w:p>
    <w:p>
      <w:pPr>
        <w:pStyle w:val="DefinedTerms"/>
      </w:pPr>
      <w:r>
        <w:t>approved form</w:t>
      </w:r>
      <w:r>
        <w:tab/>
        <w:t>9(1)</w:t>
      </w:r>
    </w:p>
    <w:p>
      <w:pPr>
        <w:pStyle w:val="DefinedTerms"/>
      </w:pPr>
      <w:r>
        <w:t>community titles scheme</w:t>
      </w:r>
      <w:r>
        <w:tab/>
        <w:t>3</w:t>
      </w:r>
    </w:p>
    <w:p>
      <w:pPr>
        <w:pStyle w:val="DefinedTerms"/>
      </w:pPr>
      <w:r>
        <w:t>electronically integrated</w:t>
      </w:r>
      <w:r>
        <w:tab/>
        <w:t>13(2)</w:t>
      </w:r>
    </w:p>
    <w:p>
      <w:pPr>
        <w:pStyle w:val="DefinedTerms"/>
      </w:pPr>
      <w:r>
        <w:t>fee waiver period</w:t>
      </w:r>
      <w:r>
        <w:tab/>
        <w:t>18(1)</w:t>
      </w:r>
    </w:p>
    <w:p>
      <w:pPr>
        <w:pStyle w:val="DefinedTerms"/>
      </w:pPr>
      <w:r>
        <w:t>notifiable particulars</w:t>
      </w:r>
      <w:r>
        <w:tab/>
        <w:t>13(1)</w:t>
      </w:r>
    </w:p>
    <w:p>
      <w:pPr>
        <w:pStyle w:val="DefinedTerms"/>
      </w:pPr>
      <w:r>
        <w:t>R-Codes</w:t>
      </w:r>
      <w:r>
        <w:tab/>
        <w:t>4(1)</w:t>
      </w:r>
    </w:p>
    <w:p>
      <w:pPr>
        <w:pStyle w:val="DefinedTerms"/>
      </w:pPr>
      <w:r>
        <w:t>renewal fee</w:t>
      </w:r>
      <w:r>
        <w:tab/>
        <w:t>14(1)</w:t>
      </w:r>
    </w:p>
    <w:p>
      <w:pPr>
        <w:pStyle w:val="DefinedTerms"/>
      </w:pPr>
      <w:r>
        <w:t>scheme corporation</w:t>
      </w:r>
      <w:r>
        <w:tab/>
        <w:t>12(1)</w:t>
      </w:r>
    </w:p>
    <w:p>
      <w:pPr>
        <w:pStyle w:val="DefinedTerms"/>
      </w:pPr>
      <w:r>
        <w:t>serviced apartment</w:t>
      </w:r>
      <w:r>
        <w:tab/>
        <w:t>5(1)</w:t>
      </w:r>
    </w:p>
    <w:p>
      <w:pPr>
        <w:pStyle w:val="DefinedTerms"/>
      </w:pPr>
      <w:r>
        <w:t>strata titles scheme</w:t>
      </w:r>
      <w:r>
        <w:tab/>
        <w:t>3</w:t>
      </w:r>
    </w:p>
    <w:p>
      <w:pPr>
        <w:pStyle w:val="DefinedTerms"/>
      </w:pPr>
      <w:r>
        <w:t>title</w:t>
      </w:r>
      <w:r>
        <w:tab/>
        <w:t>4(1)</w:t>
      </w:r>
    </w:p>
    <w:p>
      <w:pPr>
        <w:pStyle w:val="DefinedTerms"/>
      </w:pPr>
      <w:r>
        <w:t>tourist development</w:t>
      </w:r>
      <w:r>
        <w:tab/>
        <w:t>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DC809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976ADC" w14:textId="38F815F0" w:rsidR="003514A1" w:rsidRDefault="003514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18F9">
                        <w:rPr>
                          <w:sz w:val="16"/>
                        </w:rPr>
                        <w:t>2024</w:t>
                      </w:r>
                      <w:r>
                        <w:rPr>
                          <w:sz w:val="16"/>
                        </w:rPr>
                        <w:fldChar w:fldCharType="end"/>
                      </w:r>
                      <w:r>
                        <w:rPr>
                          <w:sz w:val="16"/>
                        </w:rPr>
                        <w:t>.</w:t>
                      </w:r>
                    </w:p>
                    <w:p w14:paraId="21EB5962" w14:textId="77777777" w:rsidR="003514A1" w:rsidRDefault="003514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D0C7D0" w14:textId="669A6AE9" w:rsidR="003514A1" w:rsidRDefault="003514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18F9">
                        <w:rPr>
                          <w:sz w:val="16"/>
                        </w:rPr>
                        <w:t>2024</w:t>
                      </w:r>
                      <w:r>
                        <w:rPr>
                          <w:sz w:val="16"/>
                        </w:rPr>
                        <w:fldChar w:fldCharType="end"/>
                      </w:r>
                      <w:r>
                        <w:rPr>
                          <w:sz w:val="16"/>
                        </w:rPr>
                        <w:t>.</w:t>
                      </w:r>
                    </w:p>
                    <w:p w14:paraId="508E4DC7" w14:textId="77777777" w:rsidR="003514A1" w:rsidRDefault="003514A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fldChar w:fldCharType="end"/>
          </w: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2" w:name="DefinedTerms"/>
    <w:bookmarkEnd w:id="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08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018104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3850</Words>
  <Characters>20215</Characters>
  <Application>Microsoft Office Word</Application>
  <DocSecurity>0</DocSecurity>
  <Lines>842</Lines>
  <Paragraphs>462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2024 - 00-a0-00</dc:title>
  <dc:subject/>
  <dc:creator/>
  <cp:keywords/>
  <dc:description/>
  <cp:lastModifiedBy>Master Repository Process</cp:lastModifiedBy>
  <cp:revision>4</cp:revision>
  <cp:lastPrinted>2024-05-02T06:58:00Z</cp:lastPrinted>
  <dcterms:created xsi:type="dcterms:W3CDTF">2025-06-05T03:02:00Z</dcterms:created>
  <dcterms:modified xsi:type="dcterms:W3CDTF">2025-06-05T03:03:00Z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