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rPr>
          <w:noProof/>
        </w:rPr>
        <w:br/>
        <w:t>Waste Avoidance and Resource Recovery Levy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_Toc170199978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_Toc170199979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_Toc170199980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_Toc170199981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_Toc170199983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_Toc170199984 \h </w:instrText>
      </w:r>
      <w:r>
        <w:fldChar w:fldCharType="separate"/>
      </w:r>
      <w:r>
        <w:t>8</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_Toc170199985 \h </w:instrText>
      </w:r>
      <w:r>
        <w:fldChar w:fldCharType="separate"/>
      </w:r>
      <w:r>
        <w:t>8</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_Toc170199986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_Toc170199987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_Toc170199988 \h </w:instrText>
      </w:r>
      <w:r>
        <w:fldChar w:fldCharType="separate"/>
      </w:r>
      <w:r>
        <w:t>12</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_Toc170199989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_Toc170199990 \h </w:instrText>
      </w:r>
      <w:r>
        <w:fldChar w:fldCharType="separate"/>
      </w:r>
      <w:r>
        <w:t>15</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_Toc170199991 \h </w:instrText>
      </w:r>
      <w:r>
        <w:fldChar w:fldCharType="separate"/>
      </w:r>
      <w:r>
        <w:t>16</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_Toc170199992 \h </w:instrText>
      </w:r>
      <w:r>
        <w:fldChar w:fldCharType="separate"/>
      </w:r>
      <w:r>
        <w:t>16</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_Toc170199993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_Toc170199995 \h </w:instrText>
      </w:r>
      <w:r>
        <w:fldChar w:fldCharType="separate"/>
      </w:r>
      <w:r>
        <w:t>20</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_Toc170199996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_Toc170199998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_Toc170199999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2" w:name="_Toc170124489"/>
      <w:bookmarkStart w:id="3" w:name="_Toc170124514"/>
      <w:bookmarkStart w:id="4" w:name="_Toc170125310"/>
      <w:bookmarkStart w:id="5" w:name="_Toc1701999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0199978"/>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8" w:name="_Toc17019997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9" w:name="_Toc170199980"/>
      <w:r>
        <w:rPr>
          <w:rStyle w:val="CharSectno"/>
        </w:rPr>
        <w:t>3</w:t>
      </w:r>
      <w:r>
        <w:t>.</w:t>
      </w:r>
      <w:r>
        <w:tab/>
        <w:t>Terms used in these regulations</w:t>
      </w:r>
      <w:bookmarkEnd w:id="9"/>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0" w:name="_Toc170199981"/>
      <w:r>
        <w:rPr>
          <w:rStyle w:val="CharSectno"/>
        </w:rPr>
        <w:lastRenderedPageBreak/>
        <w:t>4</w:t>
      </w:r>
      <w:r>
        <w:t>.</w:t>
      </w:r>
      <w:r>
        <w:tab/>
        <w:t>Application</w:t>
      </w:r>
      <w:bookmarkEnd w:id="10"/>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1" w:name="_Toc170124494"/>
      <w:bookmarkStart w:id="12" w:name="_Toc170124519"/>
      <w:bookmarkStart w:id="13" w:name="_Toc170125315"/>
      <w:bookmarkStart w:id="14" w:name="_Toc170199982"/>
      <w:r>
        <w:rPr>
          <w:rStyle w:val="CharPartNo"/>
        </w:rPr>
        <w:lastRenderedPageBreak/>
        <w:t>Part 2</w:t>
      </w:r>
      <w:r>
        <w:rPr>
          <w:rStyle w:val="CharDivNo"/>
        </w:rPr>
        <w:t> </w:t>
      </w:r>
      <w:r>
        <w:t>—</w:t>
      </w:r>
      <w:r>
        <w:rPr>
          <w:rStyle w:val="CharDivText"/>
        </w:rPr>
        <w:t> </w:t>
      </w:r>
      <w:r>
        <w:rPr>
          <w:rStyle w:val="CharPartText"/>
        </w:rPr>
        <w:t>Levy</w:t>
      </w:r>
      <w:bookmarkEnd w:id="11"/>
      <w:bookmarkEnd w:id="12"/>
      <w:bookmarkEnd w:id="13"/>
      <w:bookmarkEnd w:id="14"/>
    </w:p>
    <w:p>
      <w:pPr>
        <w:pStyle w:val="Heading5"/>
      </w:pPr>
      <w:bookmarkStart w:id="15" w:name="_Toc170199983"/>
      <w:r>
        <w:rPr>
          <w:rStyle w:val="CharSectno"/>
        </w:rPr>
        <w:t>5</w:t>
      </w:r>
      <w:r>
        <w:t>.</w:t>
      </w:r>
      <w:r>
        <w:tab/>
        <w:t>Exemptions</w:t>
      </w:r>
      <w:bookmarkEnd w:id="15"/>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lastRenderedPageBreak/>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lastRenderedPageBreak/>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lastRenderedPageBreak/>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lastRenderedPageBreak/>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16" w:name="_Toc170199984"/>
      <w:r>
        <w:rPr>
          <w:rStyle w:val="CharSectno"/>
        </w:rPr>
        <w:t>6</w:t>
      </w:r>
      <w:r>
        <w:t>.</w:t>
      </w:r>
      <w:r>
        <w:tab/>
        <w:t>Review</w:t>
      </w:r>
      <w:bookmarkEnd w:id="16"/>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7" w:name="_Toc170199985"/>
      <w:r>
        <w:rPr>
          <w:rStyle w:val="CharSectno"/>
        </w:rPr>
        <w:t>7</w:t>
      </w:r>
      <w:r>
        <w:t>.</w:t>
      </w:r>
      <w:r>
        <w:tab/>
        <w:t>Financial assurance — exempt waste</w:t>
      </w:r>
      <w:bookmarkEnd w:id="17"/>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lastRenderedPageBreak/>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8" w:name="_Toc170199986"/>
      <w:r>
        <w:rPr>
          <w:rStyle w:val="CharSectno"/>
        </w:rPr>
        <w:t>8</w:t>
      </w:r>
      <w:r>
        <w:t>.</w:t>
      </w:r>
      <w:r>
        <w:tab/>
        <w:t>Category 64 or 65 licensed landfill with weighbridge</w:t>
      </w:r>
      <w:bookmarkEnd w:id="18"/>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lastRenderedPageBreak/>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19" w:name="_Toc170199987"/>
      <w:r>
        <w:rPr>
          <w:rStyle w:val="CharSectno"/>
        </w:rPr>
        <w:t>9</w:t>
      </w:r>
      <w:r>
        <w:t>.</w:t>
      </w:r>
      <w:r>
        <w:tab/>
        <w:t>Other category 64 or 65 landfill premises</w:t>
      </w:r>
      <w:bookmarkEnd w:id="19"/>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lastRenderedPageBreak/>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20" w:name="_Toc170199988"/>
      <w:r>
        <w:rPr>
          <w:rStyle w:val="CharSectno"/>
        </w:rPr>
        <w:lastRenderedPageBreak/>
        <w:t>10</w:t>
      </w:r>
      <w:r>
        <w:t>.</w:t>
      </w:r>
      <w:r>
        <w:tab/>
        <w:t>Category 63 licensed landfills in metropolitan region</w:t>
      </w:r>
      <w:bookmarkEnd w:id="20"/>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w:t>
      </w:r>
      <w:r>
        <w:lastRenderedPageBreak/>
        <w:t xml:space="preserve">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21" w:name="_Toc170199989"/>
      <w:r>
        <w:rPr>
          <w:rStyle w:val="CharSectno"/>
        </w:rPr>
        <w:t>11</w:t>
      </w:r>
      <w:r>
        <w:t>.</w:t>
      </w:r>
      <w:r>
        <w:tab/>
        <w:t>CEO estimates for certain category 63 premises in metropolitan region</w:t>
      </w:r>
      <w:bookmarkEnd w:id="21"/>
    </w:p>
    <w:p>
      <w:pPr>
        <w:pStyle w:val="Subsection"/>
      </w:pPr>
      <w:r>
        <w:tab/>
        <w:t>(1)</w:t>
      </w:r>
      <w:r>
        <w:tab/>
        <w:t xml:space="preserve">If the licensee of a category 63 licensed landfill in the metropolitan region fails to comply with regulation 10(2) the CEO may establish an estimated base from which the volume of </w:t>
      </w:r>
      <w:r>
        <w:lastRenderedPageBreak/>
        <w:t>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22" w:name="_Toc170199990"/>
      <w:r>
        <w:rPr>
          <w:rStyle w:val="CharSectno"/>
        </w:rPr>
        <w:lastRenderedPageBreak/>
        <w:t>12A</w:t>
      </w:r>
      <w:r>
        <w:t>.</w:t>
      </w:r>
      <w:r>
        <w:tab/>
        <w:t>Category 63 licensed landfills outside metropolitan region</w:t>
      </w:r>
      <w:bookmarkEnd w:id="22"/>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23" w:name="_Toc170199991"/>
      <w:r>
        <w:rPr>
          <w:rStyle w:val="CharSectno"/>
        </w:rPr>
        <w:lastRenderedPageBreak/>
        <w:t>12B</w:t>
      </w:r>
      <w:r>
        <w:t>.</w:t>
      </w:r>
      <w:r>
        <w:tab/>
        <w:t>Category 63 unlicensed landfills outside metropolitan region</w:t>
      </w:r>
      <w:bookmarkEnd w:id="23"/>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24" w:name="_Toc170199992"/>
      <w:r>
        <w:rPr>
          <w:rStyle w:val="CharSectno"/>
        </w:rPr>
        <w:t>12C</w:t>
      </w:r>
      <w:r>
        <w:t>.</w:t>
      </w:r>
      <w:r>
        <w:tab/>
        <w:t>CEO’s costs recoverable</w:t>
      </w:r>
      <w:bookmarkEnd w:id="24"/>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 xml:space="preserve">regulation 15 to cover any costs incurred </w:t>
      </w:r>
      <w:r>
        <w:lastRenderedPageBreak/>
        <w:t>under regulation 8(4), 9(2C), 11(1) or (2) or 12A(4) that are included in the amount of levy payable by a person.</w:t>
      </w:r>
    </w:p>
    <w:p>
      <w:pPr>
        <w:pStyle w:val="Footnotesection"/>
      </w:pPr>
      <w:r>
        <w:tab/>
        <w:t>[Regulation 12C inserted: Gazette 17 Jun 2016 p. 2097.]</w:t>
      </w:r>
    </w:p>
    <w:p>
      <w:pPr>
        <w:pStyle w:val="Heading5"/>
      </w:pPr>
      <w:bookmarkStart w:id="25" w:name="_Toc170199993"/>
      <w:r>
        <w:rPr>
          <w:rStyle w:val="CharSectno"/>
        </w:rPr>
        <w:t>12</w:t>
      </w:r>
      <w:r>
        <w:t>.</w:t>
      </w:r>
      <w:r>
        <w:tab/>
        <w:t>Amount of levy</w:t>
      </w:r>
      <w:bookmarkEnd w:id="2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(g)</w:t>
      </w:r>
      <w:r>
        <w:tab/>
        <w:t>on or after 1 July 2019 and before 1 July 2024 — $105;</w:t>
      </w:r>
    </w:p>
    <w:p>
      <w:pPr>
        <w:pStyle w:val="MiscellaneousBody"/>
        <w:spacing w:before="80"/>
        <w:ind w:left="2466" w:hanging="635"/>
      </w:pPr>
      <w:r>
        <w:t>(h)</w:t>
      </w:r>
      <w:r>
        <w:tab/>
        <w:t>on or after 1 July 2024 — $129;</w:t>
      </w:r>
    </w:p>
    <w:p>
      <w:pPr>
        <w:pStyle w:val="Subsection"/>
        <w:tabs>
          <w:tab w:val="clear" w:pos="879"/>
          <w:tab w:val="left" w:pos="1050"/>
        </w:tabs>
        <w:spacing w:before="80"/>
        <w:ind w:left="1666"/>
      </w:pPr>
      <w:r>
        <w:tab/>
      </w:r>
      <w:r>
        <w:tab/>
        <w:t>and</w:t>
      </w:r>
    </w:p>
    <w:p>
      <w:pPr>
        <w:pStyle w:val="MiscellaneousBody"/>
        <w:keepNext/>
        <w:tabs>
          <w:tab w:val="left" w:pos="1218"/>
          <w:tab w:val="left" w:pos="1701"/>
        </w:tabs>
        <w:spacing w:before="80"/>
        <w:ind w:left="1624" w:hanging="1624"/>
      </w:pPr>
      <w:r>
        <w:lastRenderedPageBreak/>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Subsection"/>
        <w:tabs>
          <w:tab w:val="clear" w:pos="879"/>
          <w:tab w:val="left" w:pos="1050"/>
        </w:tabs>
        <w:spacing w:before="80"/>
        <w:ind w:left="1666"/>
      </w:pPr>
      <w:r>
        <w:tab/>
      </w:r>
      <w:r>
        <w:tab/>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t>(f)</w:t>
      </w:r>
      <w:r>
        <w:tab/>
        <w:t>on or after 1 July 2017 and before 30 June 2018 — $65;</w:t>
      </w:r>
    </w:p>
    <w:p>
      <w:pPr>
        <w:pStyle w:val="MiscellaneousBody"/>
        <w:spacing w:before="80"/>
        <w:ind w:left="2466" w:hanging="635"/>
      </w:pPr>
      <w:r>
        <w:lastRenderedPageBreak/>
        <w:t>(g)</w:t>
      </w:r>
      <w:r>
        <w:tab/>
        <w:t>on or after 1 July 2018 and before 30 June 2019 — $70;</w:t>
      </w:r>
    </w:p>
    <w:p>
      <w:pPr>
        <w:pStyle w:val="MiscellaneousBody"/>
        <w:spacing w:before="80"/>
        <w:ind w:left="2466" w:hanging="635"/>
      </w:pPr>
      <w:r>
        <w:t>(h)</w:t>
      </w:r>
      <w:r>
        <w:tab/>
        <w:t>on or after 1 July 2019 and before 1 July 2024 — $70;</w:t>
      </w:r>
    </w:p>
    <w:p>
      <w:pPr>
        <w:pStyle w:val="MiscellaneousBody"/>
        <w:spacing w:before="80"/>
        <w:ind w:left="2466" w:hanging="635"/>
        <w:rPr>
          <w:rStyle w:val="DraftersNotes"/>
          <w:b w:val="0"/>
          <w:i w:val="0"/>
          <w:noProof/>
        </w:rPr>
      </w:pPr>
      <w:r>
        <w:t>(i)</w:t>
      </w:r>
      <w:r>
        <w:tab/>
        <w:t>on or after 1 July 2024 — $85.</w:t>
      </w:r>
    </w:p>
    <w:p>
      <w:pPr>
        <w:pStyle w:val="Footnotesection"/>
      </w:pPr>
      <w:r>
        <w:tab/>
        <w:t>[Regulation 12 amended: Gazette 22 Dec 2009 p. 5256; 12 Sep 2014 p. 3280</w:t>
      </w:r>
      <w:r>
        <w:noBreakHyphen/>
        <w:t>1; 17 Jun 2016 p. 2097; SL 2024/84 r. 4.]</w:t>
      </w:r>
    </w:p>
    <w:p>
      <w:pPr>
        <w:pStyle w:val="Heading2"/>
      </w:pPr>
      <w:bookmarkStart w:id="26" w:name="_Toc170124506"/>
      <w:bookmarkStart w:id="27" w:name="_Toc170124531"/>
      <w:bookmarkStart w:id="28" w:name="_Toc170125327"/>
      <w:bookmarkStart w:id="29" w:name="_Toc170199994"/>
      <w:r>
        <w:rPr>
          <w:rStyle w:val="CharPartNo"/>
        </w:rPr>
        <w:lastRenderedPageBreak/>
        <w:t>Part 3</w:t>
      </w:r>
      <w:r>
        <w:rPr>
          <w:rStyle w:val="CharDivNo"/>
        </w:rPr>
        <w:t> </w:t>
      </w:r>
      <w:r>
        <w:t>—</w:t>
      </w:r>
      <w:r>
        <w:rPr>
          <w:rStyle w:val="CharDivText"/>
        </w:rPr>
        <w:t> </w:t>
      </w:r>
      <w:r>
        <w:rPr>
          <w:rStyle w:val="CharPartText"/>
        </w:rPr>
        <w:t>Savings and transitional provisions</w:t>
      </w:r>
      <w:bookmarkEnd w:id="26"/>
      <w:bookmarkEnd w:id="27"/>
      <w:bookmarkEnd w:id="28"/>
      <w:bookmarkEnd w:id="29"/>
    </w:p>
    <w:p>
      <w:pPr>
        <w:pStyle w:val="Heading5"/>
      </w:pPr>
      <w:bookmarkStart w:id="30" w:name="_Toc170199995"/>
      <w:r>
        <w:rPr>
          <w:rStyle w:val="CharSectno"/>
        </w:rPr>
        <w:t>13</w:t>
      </w:r>
      <w:r>
        <w:t>.</w:t>
      </w:r>
      <w:r>
        <w:tab/>
        <w:t>Exemptions and related financial assurances</w:t>
      </w:r>
      <w:bookmarkEnd w:id="30"/>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31" w:name="_Toc170199996"/>
      <w:r>
        <w:rPr>
          <w:rStyle w:val="CharSectno"/>
        </w:rPr>
        <w:t>14</w:t>
      </w:r>
      <w:r>
        <w:t>.</w:t>
      </w:r>
      <w:r>
        <w:tab/>
        <w:t>Baseline reports, estimated bases and quarterly surveys</w:t>
      </w:r>
      <w:bookmarkEnd w:id="31"/>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w:t>
      </w:r>
      <w:r>
        <w:lastRenderedPageBreak/>
        <w:t xml:space="preserve">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 w:name="_Toc170124509"/>
      <w:bookmarkStart w:id="33" w:name="_Toc170124534"/>
      <w:bookmarkStart w:id="34" w:name="_Toc170125330"/>
      <w:bookmarkStart w:id="35" w:name="_Toc170199997"/>
      <w:r>
        <w:lastRenderedPageBreak/>
        <w:t>Notes</w:t>
      </w:r>
      <w:bookmarkEnd w:id="32"/>
      <w:bookmarkEnd w:id="33"/>
      <w:bookmarkEnd w:id="34"/>
      <w:bookmarkEnd w:id="35"/>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w:t>
      </w:r>
    </w:p>
    <w:p>
      <w:pPr>
        <w:pStyle w:val="nHeading3"/>
      </w:pPr>
      <w:bookmarkStart w:id="36" w:name="_Toc170199998"/>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nil"/>
            </w:tcBorders>
            <w:shd w:val="clear" w:color="auto" w:fill="auto"/>
          </w:tcPr>
          <w:p>
            <w:pPr>
              <w:pStyle w:val="nTable"/>
              <w:spacing w:after="40"/>
            </w:pPr>
            <w:r>
              <w:t>SL 2020/3</w:t>
            </w:r>
            <w:r>
              <w:br/>
              <w:t>4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r>
        <w:tc>
          <w:tcPr>
            <w:tcW w:w="3118" w:type="dxa"/>
            <w:tcBorders>
              <w:top w:val="nil"/>
              <w:bottom w:val="single" w:sz="4" w:space="0" w:color="auto"/>
            </w:tcBorders>
            <w:shd w:val="clear" w:color="auto" w:fill="auto"/>
          </w:tcPr>
          <w:p>
            <w:pPr>
              <w:pStyle w:val="nTable"/>
              <w:spacing w:after="40"/>
              <w:rPr>
                <w:iCs/>
                <w:noProof/>
                <w:snapToGrid w:val="0"/>
              </w:rPr>
            </w:pPr>
            <w:r>
              <w:rPr>
                <w:i/>
              </w:rPr>
              <w:t>Waste Avoidance and Resource Recovery Levy Amendment Regulations (No. 2) 2024</w:t>
            </w:r>
            <w:r>
              <w:rPr>
                <w:iCs/>
                <w:vertAlign w:val="superscript"/>
              </w:rPr>
              <w:t> 1</w:t>
            </w:r>
          </w:p>
        </w:tc>
        <w:tc>
          <w:tcPr>
            <w:tcW w:w="1276" w:type="dxa"/>
            <w:tcBorders>
              <w:top w:val="nil"/>
              <w:bottom w:val="single" w:sz="4" w:space="0" w:color="auto"/>
            </w:tcBorders>
            <w:shd w:val="clear" w:color="auto" w:fill="auto"/>
          </w:tcPr>
          <w:p>
            <w:pPr>
              <w:pStyle w:val="nTable"/>
              <w:spacing w:after="40"/>
            </w:pPr>
            <w:r>
              <w:t>SL 2024/84 29 May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29 May 2024 (see r. 2(a));</w:t>
            </w:r>
            <w:r>
              <w:rPr>
                <w:snapToGrid w:val="0"/>
                <w:spacing w:val="-2"/>
              </w:rPr>
              <w:br/>
              <w:t>r. 5: 30 May 2024 (see r. 2(b));</w:t>
            </w:r>
            <w:r>
              <w:rPr>
                <w:snapToGrid w:val="0"/>
                <w:spacing w:val="-2"/>
              </w:rPr>
              <w:br/>
              <w:t>Regulations other than r. 1, 2 and 5: 1 Jul 2024 (see r. 2(c))</w:t>
            </w:r>
          </w:p>
        </w:tc>
      </w:tr>
    </w:tbl>
    <w:p>
      <w:pPr>
        <w:pStyle w:val="nHeading3"/>
      </w:pPr>
      <w:bookmarkStart w:id="37" w:name="_Toc170199999"/>
      <w:r>
        <w:lastRenderedPageBreak/>
        <w:t>Other notes</w:t>
      </w:r>
      <w:bookmarkEnd w:id="37"/>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39" w:name="_Toc170124513"/>
      <w:bookmarkStart w:id="40" w:name="_Toc170124538"/>
      <w:bookmarkStart w:id="41" w:name="_Toc170125333"/>
      <w:bookmarkStart w:id="42" w:name="_Toc170200000"/>
      <w:r>
        <w:rPr>
          <w:sz w:val="28"/>
        </w:rPr>
        <w:lastRenderedPageBreak/>
        <w:t>Defined terms</w:t>
      </w:r>
      <w:bookmarkEnd w:id="39"/>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9682C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22BEEEE" w14:textId="3F0193CB" w:rsidR="00A01132" w:rsidRDefault="009466F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751F">
                        <w:rPr>
                          <w:sz w:val="16"/>
                        </w:rPr>
                        <w:t>2024</w:t>
                      </w:r>
                      <w:r>
                        <w:rPr>
                          <w:sz w:val="16"/>
                        </w:rPr>
                        <w:fldChar w:fldCharType="end"/>
                      </w:r>
                      <w:r>
                        <w:rPr>
                          <w:sz w:val="16"/>
                        </w:rPr>
                        <w:t>.</w:t>
                      </w:r>
                    </w:p>
                    <w:p w14:paraId="5A79E445" w14:textId="77777777" w:rsidR="00A01132" w:rsidRDefault="009466F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3713AB" w14:textId="42F6FC68" w:rsidR="00A01132" w:rsidRDefault="009466F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751F">
                        <w:rPr>
                          <w:sz w:val="16"/>
                        </w:rPr>
                        <w:t>2024</w:t>
                      </w:r>
                      <w:r>
                        <w:rPr>
                          <w:sz w:val="16"/>
                        </w:rPr>
                        <w:fldChar w:fldCharType="end"/>
                      </w:r>
                      <w:r>
                        <w:rPr>
                          <w:sz w:val="16"/>
                        </w:rPr>
                        <w:t>.</w:t>
                      </w:r>
                    </w:p>
                    <w:p w14:paraId="08FA507B" w14:textId="77777777" w:rsidR="00A01132" w:rsidRDefault="009466F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22430"/>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 w:name="WAFER_20240624122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22430_GUID" w:val="d26c12c9-0779-4ae9-a141-f2203b0ac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5512</Words>
  <Characters>26406</Characters>
  <Application>Microsoft Office Word</Application>
  <DocSecurity>0</DocSecurity>
  <Lines>776</Lines>
  <Paragraphs>414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2008 - 00-l0-00</dc:title>
  <dc:subject/>
  <dc:creator/>
  <cp:keywords/>
  <dc:description/>
  <cp:lastModifiedBy>Master Repository Process</cp:lastModifiedBy>
  <cp:revision>4</cp:revision>
  <cp:lastPrinted>2020-02-03T06:09:00Z</cp:lastPrinted>
  <dcterms:created xsi:type="dcterms:W3CDTF">2025-06-24T01:51:00Z</dcterms:created>
  <dcterms:modified xsi:type="dcterms:W3CDTF">2025-06-24T01:51:00Z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AsAtDate">
    <vt:lpwstr>01 Jul 2024</vt:lpwstr>
  </property>
  <property fmtid="{D5CDD505-2E9C-101B-9397-08002B2CF9AE}" pid="6" name="Suffix">
    <vt:lpwstr>00-l0-00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