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(Water Corporations Charges)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(Water Corporations Charges)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_Toc170209094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_Toc170209095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_Toc170209096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4.</w:t>
      </w:r>
      <w:r>
        <w:tab/>
        <w:t>Annual charges and pro rata annual charges</w:t>
      </w:r>
      <w:r>
        <w:tab/>
      </w:r>
      <w:r>
        <w:fldChar w:fldCharType="begin"/>
      </w:r>
      <w:r>
        <w:instrText xml:space="preserve"> PAGEREF _Toc170209098 \h </w:instrText>
      </w:r>
      <w:r>
        <w:fldChar w:fldCharType="separate"/>
      </w:r>
      <w:r>
        <w:t>3</w:t>
      </w:r>
      <w:r>
        <w:fldChar w:fldCharType="end"/>
      </w:r>
    </w:p>
    <w:p>
      <w:pPr>
        <w:pStyle w:val="TOC8"/>
        <w:rPr>
          <w:rFonts w:asciiTheme="minorHAnsi" w:eastAsiaTheme="minorEastAsia" w:hAnsiTheme="minorHAnsi" w:cstheme="minorBidi"/>
          <w:szCs w:val="22"/>
        </w:rPr>
      </w:pPr>
      <w:r>
        <w:t>5.</w:t>
      </w:r>
      <w:r>
        <w:tab/>
        <w:t>Amendment of consumption or discharge charges during charge period</w:t>
      </w:r>
      <w:r>
        <w:tab/>
      </w:r>
      <w:r>
        <w:fldChar w:fldCharType="begin"/>
      </w:r>
      <w:r>
        <w:instrText xml:space="preserve"> PAGEREF _Toc170209099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Charges for Bunbury Water Corporation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_Toc170209101 \h </w:instrText>
      </w:r>
      <w:r>
        <w:fldChar w:fldCharType="separate"/>
      </w:r>
      <w:r>
        <w:t>4</w:t>
      </w:r>
      <w:r>
        <w:fldChar w:fldCharType="end"/>
      </w:r>
    </w:p>
    <w:p>
      <w:pPr>
        <w:pStyle w:val="TOC8"/>
        <w:rPr>
          <w:rFonts w:asciiTheme="minorHAnsi" w:eastAsiaTheme="minorEastAsia" w:hAnsiTheme="minorHAnsi" w:cstheme="minorBidi"/>
          <w:szCs w:val="22"/>
        </w:rPr>
      </w:pPr>
      <w:r>
        <w:t>7.</w:t>
      </w:r>
      <w:r>
        <w:tab/>
        <w:t>Water supply charges</w:t>
      </w:r>
      <w:r>
        <w:tab/>
      </w:r>
      <w:r>
        <w:fldChar w:fldCharType="begin"/>
      </w:r>
      <w:r>
        <w:instrText xml:space="preserve"> PAGEREF _Toc170209102 \h </w:instrText>
      </w:r>
      <w:r>
        <w:fldChar w:fldCharType="separate"/>
      </w:r>
      <w:r>
        <w:t>5</w:t>
      </w:r>
      <w:r>
        <w:fldChar w:fldCharType="end"/>
      </w:r>
    </w:p>
    <w:p>
      <w:pPr>
        <w:pStyle w:val="TOC8"/>
        <w:rPr>
          <w:rFonts w:asciiTheme="minorHAnsi" w:eastAsiaTheme="minorEastAsia" w:hAnsiTheme="minorHAnsi" w:cstheme="minorBidi"/>
          <w:szCs w:val="22"/>
        </w:rPr>
      </w:pPr>
      <w:r>
        <w:t>9.</w:t>
      </w:r>
      <w:r>
        <w:tab/>
        <w:t>Concessions</w:t>
      </w:r>
      <w:r>
        <w:tab/>
      </w:r>
      <w:r>
        <w:fldChar w:fldCharType="begin"/>
      </w:r>
      <w:r>
        <w:instrText xml:space="preserve"> PAGEREF _Toc170209103 \h </w:instrText>
      </w:r>
      <w:r>
        <w:fldChar w:fldCharType="separate"/>
      </w:r>
      <w:r>
        <w:t>5</w:t>
      </w:r>
      <w:r>
        <w:fldChar w:fldCharType="end"/>
      </w:r>
    </w:p>
    <w:p>
      <w:pPr>
        <w:pStyle w:val="TOC8"/>
        <w:rPr>
          <w:rFonts w:asciiTheme="minorHAnsi" w:eastAsiaTheme="minorEastAsia" w:hAnsiTheme="minorHAnsi" w:cstheme="minorBidi"/>
          <w:szCs w:val="22"/>
        </w:rPr>
      </w:pPr>
      <w:r>
        <w:t>10.</w:t>
      </w:r>
      <w:r>
        <w:tab/>
        <w:t>Interest accruing on overdue amounts</w:t>
      </w:r>
      <w:r>
        <w:tab/>
      </w:r>
      <w:r>
        <w:fldChar w:fldCharType="begin"/>
      </w:r>
      <w:r>
        <w:instrText xml:space="preserve"> PAGEREF _Toc170209104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Charges for Busselton Water Corporation</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_Toc170209106 \h </w:instrText>
      </w:r>
      <w:r>
        <w:fldChar w:fldCharType="separate"/>
      </w:r>
      <w:r>
        <w:t>7</w:t>
      </w:r>
      <w:r>
        <w:fldChar w:fldCharType="end"/>
      </w:r>
    </w:p>
    <w:p>
      <w:pPr>
        <w:pStyle w:val="TOC8"/>
        <w:rPr>
          <w:rFonts w:asciiTheme="minorHAnsi" w:eastAsiaTheme="minorEastAsia" w:hAnsiTheme="minorHAnsi" w:cstheme="minorBidi"/>
          <w:szCs w:val="22"/>
        </w:rPr>
      </w:pPr>
      <w:r>
        <w:t>12.</w:t>
      </w:r>
      <w:r>
        <w:tab/>
        <w:t>Water supply charges</w:t>
      </w:r>
      <w:r>
        <w:tab/>
      </w:r>
      <w:r>
        <w:fldChar w:fldCharType="begin"/>
      </w:r>
      <w:r>
        <w:instrText xml:space="preserve"> PAGEREF _Toc170209107 \h </w:instrText>
      </w:r>
      <w:r>
        <w:fldChar w:fldCharType="separate"/>
      </w:r>
      <w:r>
        <w:t>8</w:t>
      </w:r>
      <w:r>
        <w:fldChar w:fldCharType="end"/>
      </w:r>
    </w:p>
    <w:p>
      <w:pPr>
        <w:pStyle w:val="TOC8"/>
        <w:rPr>
          <w:rFonts w:asciiTheme="minorHAnsi" w:eastAsiaTheme="minorEastAsia" w:hAnsiTheme="minorHAnsi" w:cstheme="minorBidi"/>
          <w:szCs w:val="22"/>
        </w:rPr>
      </w:pPr>
      <w:r>
        <w:t>14.</w:t>
      </w:r>
      <w:r>
        <w:tab/>
        <w:t>Concessions</w:t>
      </w:r>
      <w:r>
        <w:tab/>
      </w:r>
      <w:r>
        <w:fldChar w:fldCharType="begin"/>
      </w:r>
      <w:r>
        <w:instrText xml:space="preserve"> PAGEREF _Toc170209108 \h </w:instrText>
      </w:r>
      <w:r>
        <w:fldChar w:fldCharType="separate"/>
      </w:r>
      <w:r>
        <w:t>8</w:t>
      </w:r>
      <w:r>
        <w:fldChar w:fldCharType="end"/>
      </w:r>
    </w:p>
    <w:p>
      <w:pPr>
        <w:pStyle w:val="TOC8"/>
        <w:rPr>
          <w:rFonts w:asciiTheme="minorHAnsi" w:eastAsiaTheme="minorEastAsia" w:hAnsiTheme="minorHAnsi" w:cstheme="minorBidi"/>
          <w:szCs w:val="22"/>
        </w:rPr>
      </w:pPr>
      <w:r>
        <w:t>15A.</w:t>
      </w:r>
      <w:r>
        <w:tab/>
        <w:t>Permitted surcharge for using credit card or debit card</w:t>
      </w:r>
      <w:r>
        <w:tab/>
      </w:r>
      <w:r>
        <w:fldChar w:fldCharType="begin"/>
      </w:r>
      <w:r>
        <w:instrText xml:space="preserve"> PAGEREF _Toc170209109 \h </w:instrText>
      </w:r>
      <w:r>
        <w:fldChar w:fldCharType="separate"/>
      </w:r>
      <w:r>
        <w:t>9</w:t>
      </w:r>
      <w:r>
        <w:fldChar w:fldCharType="end"/>
      </w:r>
    </w:p>
    <w:p>
      <w:pPr>
        <w:pStyle w:val="TOC8"/>
        <w:rPr>
          <w:rFonts w:asciiTheme="minorHAnsi" w:eastAsiaTheme="minorEastAsia" w:hAnsiTheme="minorHAnsi" w:cstheme="minorBidi"/>
          <w:szCs w:val="22"/>
        </w:rPr>
      </w:pPr>
      <w:r>
        <w:t>15.</w:t>
      </w:r>
      <w:r>
        <w:tab/>
        <w:t>Interest accruing on overdue amounts</w:t>
      </w:r>
      <w:r>
        <w:tab/>
      </w:r>
      <w:r>
        <w:fldChar w:fldCharType="begin"/>
      </w:r>
      <w:r>
        <w:instrText xml:space="preserve"> PAGEREF _Toc170209110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Charges for the Water Corporation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_Toc170209113 \h </w:instrText>
      </w:r>
      <w:r>
        <w:fldChar w:fldCharType="separate"/>
      </w:r>
      <w:r>
        <w:t>11</w:t>
      </w:r>
      <w:r>
        <w:fldChar w:fldCharType="end"/>
      </w:r>
    </w:p>
    <w:p>
      <w:pPr>
        <w:pStyle w:val="TOC8"/>
        <w:rPr>
          <w:rFonts w:asciiTheme="minorHAnsi" w:eastAsiaTheme="minorEastAsia" w:hAnsiTheme="minorHAnsi" w:cstheme="minorBidi"/>
          <w:szCs w:val="22"/>
        </w:rPr>
      </w:pPr>
      <w:r>
        <w:t>17.</w:t>
      </w:r>
      <w:r>
        <w:tab/>
        <w:t>Concessional land</w:t>
      </w:r>
      <w:r>
        <w:tab/>
      </w:r>
      <w:r>
        <w:fldChar w:fldCharType="begin"/>
      </w:r>
      <w:r>
        <w:instrText xml:space="preserve"> PAGEREF _Toc170209114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Provisions of general application</w:t>
      </w:r>
    </w:p>
    <w:p>
      <w:pPr>
        <w:pStyle w:val="TOC8"/>
        <w:rPr>
          <w:rFonts w:asciiTheme="minorHAnsi" w:eastAsiaTheme="minorEastAsia" w:hAnsiTheme="minorHAnsi" w:cstheme="minorBidi"/>
          <w:szCs w:val="22"/>
        </w:rPr>
      </w:pPr>
      <w:r>
        <w:t>18.</w:t>
      </w:r>
      <w:r>
        <w:tab/>
        <w:t>Application of this Division</w:t>
      </w:r>
      <w:r>
        <w:tab/>
      </w:r>
      <w:r>
        <w:fldChar w:fldCharType="begin"/>
      </w:r>
      <w:r>
        <w:instrText xml:space="preserve"> PAGEREF _Toc170209116 \h </w:instrText>
      </w:r>
      <w:r>
        <w:fldChar w:fldCharType="separate"/>
      </w:r>
      <w:r>
        <w:t>19</w:t>
      </w:r>
      <w:r>
        <w:fldChar w:fldCharType="end"/>
      </w:r>
    </w:p>
    <w:p>
      <w:pPr>
        <w:pStyle w:val="TOC8"/>
        <w:rPr>
          <w:rFonts w:asciiTheme="minorHAnsi" w:eastAsiaTheme="minorEastAsia" w:hAnsiTheme="minorHAnsi" w:cstheme="minorBidi"/>
          <w:szCs w:val="22"/>
        </w:rPr>
      </w:pPr>
      <w:r>
        <w:t>19.</w:t>
      </w:r>
      <w:r>
        <w:tab/>
        <w:t>Payment of charges</w:t>
      </w:r>
      <w:r>
        <w:tab/>
      </w:r>
      <w:r>
        <w:fldChar w:fldCharType="begin"/>
      </w:r>
      <w:r>
        <w:instrText xml:space="preserve"> PAGEREF _Toc170209117 \h </w:instrText>
      </w:r>
      <w:r>
        <w:fldChar w:fldCharType="separate"/>
      </w:r>
      <w:r>
        <w:t>20</w:t>
      </w:r>
      <w:r>
        <w:fldChar w:fldCharType="end"/>
      </w:r>
    </w:p>
    <w:p>
      <w:pPr>
        <w:pStyle w:val="TOC8"/>
        <w:rPr>
          <w:rFonts w:asciiTheme="minorHAnsi" w:eastAsiaTheme="minorEastAsia" w:hAnsiTheme="minorHAnsi" w:cstheme="minorBidi"/>
          <w:szCs w:val="22"/>
        </w:rPr>
      </w:pPr>
      <w:r>
        <w:t>20.</w:t>
      </w:r>
      <w:r>
        <w:tab/>
        <w:t>Permitted surcharge for using credit card or debit card</w:t>
      </w:r>
      <w:r>
        <w:tab/>
      </w:r>
      <w:r>
        <w:fldChar w:fldCharType="begin"/>
      </w:r>
      <w:r>
        <w:instrText xml:space="preserve"> PAGEREF _Toc170209118 \h </w:instrText>
      </w:r>
      <w:r>
        <w:fldChar w:fldCharType="separate"/>
      </w:r>
      <w:r>
        <w:t>20</w:t>
      </w:r>
      <w:r>
        <w:fldChar w:fldCharType="end"/>
      </w:r>
    </w:p>
    <w:p>
      <w:pPr>
        <w:pStyle w:val="TOC8"/>
        <w:rPr>
          <w:rFonts w:asciiTheme="minorHAnsi" w:eastAsiaTheme="minorEastAsia" w:hAnsiTheme="minorHAnsi" w:cstheme="minorBidi"/>
          <w:szCs w:val="22"/>
        </w:rPr>
      </w:pPr>
      <w:r>
        <w:t>21.</w:t>
      </w:r>
      <w:r>
        <w:tab/>
        <w:t>Special payment arrangements</w:t>
      </w:r>
      <w:r>
        <w:tab/>
      </w:r>
      <w:r>
        <w:fldChar w:fldCharType="begin"/>
      </w:r>
      <w:r>
        <w:instrText xml:space="preserve"> PAGEREF _Toc170209119 \h </w:instrText>
      </w:r>
      <w:r>
        <w:fldChar w:fldCharType="separate"/>
      </w:r>
      <w:r>
        <w:t>21</w:t>
      </w:r>
      <w:r>
        <w:fldChar w:fldCharType="end"/>
      </w:r>
    </w:p>
    <w:p>
      <w:pPr>
        <w:pStyle w:val="TOC8"/>
        <w:rPr>
          <w:rFonts w:asciiTheme="minorHAnsi" w:eastAsiaTheme="minorEastAsia" w:hAnsiTheme="minorHAnsi" w:cstheme="minorBidi"/>
          <w:szCs w:val="22"/>
        </w:rPr>
      </w:pPr>
      <w:r>
        <w:t>22.</w:t>
      </w:r>
      <w:r>
        <w:tab/>
        <w:t>Estimating quantity of water or wastewater supplied, discharged or drained</w:t>
      </w:r>
      <w:r>
        <w:tab/>
      </w:r>
      <w:r>
        <w:fldChar w:fldCharType="begin"/>
      </w:r>
      <w:r>
        <w:instrText xml:space="preserve"> PAGEREF _Toc170209120 \h </w:instrText>
      </w:r>
      <w:r>
        <w:fldChar w:fldCharType="separate"/>
      </w:r>
      <w:r>
        <w:t>21</w:t>
      </w:r>
      <w:r>
        <w:fldChar w:fldCharType="end"/>
      </w:r>
    </w:p>
    <w:p>
      <w:pPr>
        <w:pStyle w:val="TOC8"/>
        <w:rPr>
          <w:rFonts w:asciiTheme="minorHAnsi" w:eastAsiaTheme="minorEastAsia" w:hAnsiTheme="minorHAnsi" w:cstheme="minorBidi"/>
          <w:szCs w:val="22"/>
        </w:rPr>
      </w:pPr>
      <w:r>
        <w:t>23.</w:t>
      </w:r>
      <w:r>
        <w:tab/>
        <w:t>Determining quality and quantity of trade waste discharged</w:t>
      </w:r>
      <w:r>
        <w:tab/>
      </w:r>
      <w:r>
        <w:fldChar w:fldCharType="begin"/>
      </w:r>
      <w:r>
        <w:instrText xml:space="preserve"> PAGEREF _Toc170209121 \h </w:instrText>
      </w:r>
      <w:r>
        <w:fldChar w:fldCharType="separate"/>
      </w:r>
      <w:r>
        <w:t>23</w:t>
      </w:r>
      <w:r>
        <w:fldChar w:fldCharType="end"/>
      </w:r>
    </w:p>
    <w:p>
      <w:pPr>
        <w:pStyle w:val="TOC8"/>
        <w:rPr>
          <w:rFonts w:asciiTheme="minorHAnsi" w:eastAsiaTheme="minorEastAsia" w:hAnsiTheme="minorHAnsi" w:cstheme="minorBidi"/>
          <w:szCs w:val="22"/>
        </w:rPr>
      </w:pPr>
      <w:r>
        <w:t>24.</w:t>
      </w:r>
      <w:r>
        <w:tab/>
        <w:t>Vacant land: minimum charges before revaluation</w:t>
      </w:r>
      <w:r>
        <w:tab/>
      </w:r>
      <w:r>
        <w:fldChar w:fldCharType="begin"/>
      </w:r>
      <w:r>
        <w:instrText xml:space="preserve"> PAGEREF _Toc170209122 \h </w:instrText>
      </w:r>
      <w:r>
        <w:fldChar w:fldCharType="separate"/>
      </w:r>
      <w:r>
        <w:t>25</w:t>
      </w:r>
      <w:r>
        <w:fldChar w:fldCharType="end"/>
      </w:r>
    </w:p>
    <w:p>
      <w:pPr>
        <w:pStyle w:val="TOC8"/>
        <w:rPr>
          <w:rFonts w:asciiTheme="minorHAnsi" w:eastAsiaTheme="minorEastAsia" w:hAnsiTheme="minorHAnsi" w:cstheme="minorBidi"/>
          <w:szCs w:val="22"/>
        </w:rPr>
      </w:pPr>
      <w:r>
        <w:t>25.</w:t>
      </w:r>
      <w:r>
        <w:tab/>
        <w:t>Classification of land</w:t>
      </w:r>
      <w:r>
        <w:tab/>
      </w:r>
      <w:r>
        <w:fldChar w:fldCharType="begin"/>
      </w:r>
      <w:r>
        <w:instrText xml:space="preserve"> PAGEREF _Toc170209123 \h </w:instrText>
      </w:r>
      <w:r>
        <w:fldChar w:fldCharType="separate"/>
      </w:r>
      <w:r>
        <w:t>25</w:t>
      </w:r>
      <w:r>
        <w:fldChar w:fldCharType="end"/>
      </w:r>
    </w:p>
    <w:p>
      <w:pPr>
        <w:pStyle w:val="TOC8"/>
        <w:rPr>
          <w:rFonts w:asciiTheme="minorHAnsi" w:eastAsiaTheme="minorEastAsia" w:hAnsiTheme="minorHAnsi" w:cstheme="minorBidi"/>
          <w:szCs w:val="22"/>
        </w:rPr>
      </w:pPr>
      <w:r>
        <w:t>26.</w:t>
      </w:r>
      <w:r>
        <w:tab/>
        <w:t>Classification of land: holiday accommodation</w:t>
      </w:r>
      <w:r>
        <w:tab/>
      </w:r>
      <w:r>
        <w:fldChar w:fldCharType="begin"/>
      </w:r>
      <w:r>
        <w:instrText xml:space="preserve"> PAGEREF _Toc170209124 \h </w:instrText>
      </w:r>
      <w:r>
        <w:fldChar w:fldCharType="separate"/>
      </w:r>
      <w:r>
        <w:t>26</w:t>
      </w:r>
      <w:r>
        <w:fldChar w:fldCharType="end"/>
      </w:r>
    </w:p>
    <w:p>
      <w:pPr>
        <w:pStyle w:val="TOC8"/>
        <w:rPr>
          <w:rFonts w:asciiTheme="minorHAnsi" w:eastAsiaTheme="minorEastAsia" w:hAnsiTheme="minorHAnsi" w:cstheme="minorBidi"/>
          <w:szCs w:val="22"/>
        </w:rPr>
      </w:pPr>
      <w:r>
        <w:t>27.</w:t>
      </w:r>
      <w:r>
        <w:tab/>
        <w:t>Commercial caravan parks</w:t>
      </w:r>
      <w:r>
        <w:tab/>
      </w:r>
      <w:r>
        <w:fldChar w:fldCharType="begin"/>
      </w:r>
      <w:r>
        <w:instrText xml:space="preserve"> PAGEREF _Toc170209125 \h </w:instrText>
      </w:r>
      <w:r>
        <w:fldChar w:fldCharType="separate"/>
      </w:r>
      <w:r>
        <w:t>26</w:t>
      </w:r>
      <w:r>
        <w:fldChar w:fldCharType="end"/>
      </w:r>
    </w:p>
    <w:p>
      <w:pPr>
        <w:pStyle w:val="TOC8"/>
        <w:rPr>
          <w:rFonts w:asciiTheme="minorHAnsi" w:eastAsiaTheme="minorEastAsia" w:hAnsiTheme="minorHAnsi" w:cstheme="minorBidi"/>
          <w:szCs w:val="22"/>
        </w:rPr>
      </w:pPr>
      <w:r>
        <w:t>28.</w:t>
      </w:r>
      <w:r>
        <w:tab/>
        <w:t>Maximum increases for various GRV based charges</w:t>
      </w:r>
      <w:r>
        <w:tab/>
      </w:r>
      <w:r>
        <w:fldChar w:fldCharType="begin"/>
      </w:r>
      <w:r>
        <w:instrText xml:space="preserve"> PAGEREF _Toc170209126 \h </w:instrText>
      </w:r>
      <w:r>
        <w:fldChar w:fldCharType="separate"/>
      </w:r>
      <w:r>
        <w:t>27</w:t>
      </w:r>
      <w:r>
        <w:fldChar w:fldCharType="end"/>
      </w:r>
    </w:p>
    <w:p>
      <w:pPr>
        <w:pStyle w:val="TOC8"/>
        <w:rPr>
          <w:rFonts w:asciiTheme="minorHAnsi" w:eastAsiaTheme="minorEastAsia" w:hAnsiTheme="minorHAnsi" w:cstheme="minorBidi"/>
          <w:szCs w:val="22"/>
        </w:rPr>
      </w:pPr>
      <w:r>
        <w:t>29.</w:t>
      </w:r>
      <w:r>
        <w:tab/>
        <w:t>Interest accruing on overdue amounts</w:t>
      </w:r>
      <w:r>
        <w:tab/>
      </w:r>
      <w:r>
        <w:fldChar w:fldCharType="begin"/>
      </w:r>
      <w:r>
        <w:instrText xml:space="preserve"> PAGEREF _Toc170209127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Water supply charges</w:t>
      </w:r>
    </w:p>
    <w:p>
      <w:pPr>
        <w:pStyle w:val="TOC8"/>
        <w:rPr>
          <w:rFonts w:asciiTheme="minorHAnsi" w:eastAsiaTheme="minorEastAsia" w:hAnsiTheme="minorHAnsi" w:cstheme="minorBidi"/>
          <w:szCs w:val="22"/>
        </w:rPr>
      </w:pPr>
      <w:r>
        <w:t>30.</w:t>
      </w:r>
      <w:r>
        <w:tab/>
        <w:t>Land connected to water supply works</w:t>
      </w:r>
      <w:r>
        <w:tab/>
      </w:r>
      <w:r>
        <w:fldChar w:fldCharType="begin"/>
      </w:r>
      <w:r>
        <w:instrText xml:space="preserve"> PAGEREF _Toc170209129 \h </w:instrText>
      </w:r>
      <w:r>
        <w:fldChar w:fldCharType="separate"/>
      </w:r>
      <w:r>
        <w:t>29</w:t>
      </w:r>
      <w:r>
        <w:fldChar w:fldCharType="end"/>
      </w:r>
    </w:p>
    <w:p>
      <w:pPr>
        <w:pStyle w:val="TOC8"/>
        <w:rPr>
          <w:rFonts w:asciiTheme="minorHAnsi" w:eastAsiaTheme="minorEastAsia" w:hAnsiTheme="minorHAnsi" w:cstheme="minorBidi"/>
          <w:szCs w:val="22"/>
        </w:rPr>
      </w:pPr>
      <w:r>
        <w:t>31.</w:t>
      </w:r>
      <w:r>
        <w:tab/>
        <w:t>Water supply charges</w:t>
      </w:r>
      <w:r>
        <w:tab/>
      </w:r>
      <w:r>
        <w:fldChar w:fldCharType="begin"/>
      </w:r>
      <w:r>
        <w:instrText xml:space="preserve"> PAGEREF _Toc170209130 \h </w:instrText>
      </w:r>
      <w:r>
        <w:fldChar w:fldCharType="separate"/>
      </w:r>
      <w:r>
        <w:t>29</w:t>
      </w:r>
      <w:r>
        <w:fldChar w:fldCharType="end"/>
      </w:r>
    </w:p>
    <w:p>
      <w:pPr>
        <w:pStyle w:val="TOC8"/>
        <w:rPr>
          <w:rFonts w:asciiTheme="minorHAnsi" w:eastAsiaTheme="minorEastAsia" w:hAnsiTheme="minorHAnsi" w:cstheme="minorBidi"/>
          <w:szCs w:val="22"/>
        </w:rPr>
      </w:pPr>
      <w:r>
        <w:t>32.</w:t>
      </w:r>
      <w:r>
        <w:tab/>
        <w:t>Classification of land</w:t>
      </w:r>
      <w:r>
        <w:tab/>
      </w:r>
      <w:r>
        <w:fldChar w:fldCharType="begin"/>
      </w:r>
      <w:r>
        <w:instrText xml:space="preserve"> PAGEREF _Toc170209131 \h </w:instrText>
      </w:r>
      <w:r>
        <w:fldChar w:fldCharType="separate"/>
      </w:r>
      <w:r>
        <w:t>30</w:t>
      </w:r>
      <w:r>
        <w:fldChar w:fldCharType="end"/>
      </w:r>
    </w:p>
    <w:p>
      <w:pPr>
        <w:pStyle w:val="TOC8"/>
        <w:rPr>
          <w:rFonts w:asciiTheme="minorHAnsi" w:eastAsiaTheme="minorEastAsia" w:hAnsiTheme="minorHAnsi" w:cstheme="minorBidi"/>
          <w:szCs w:val="22"/>
        </w:rPr>
      </w:pPr>
      <w:r>
        <w:t>33.</w:t>
      </w:r>
      <w:r>
        <w:tab/>
        <w:t>Change of occupancy during year</w:t>
      </w:r>
      <w:r>
        <w:tab/>
      </w:r>
      <w:r>
        <w:fldChar w:fldCharType="begin"/>
      </w:r>
      <w:r>
        <w:instrText xml:space="preserve"> PAGEREF _Toc170209132 \h </w:instrText>
      </w:r>
      <w:r>
        <w:fldChar w:fldCharType="separate"/>
      </w:r>
      <w:r>
        <w:t>33</w:t>
      </w:r>
      <w:r>
        <w:fldChar w:fldCharType="end"/>
      </w:r>
    </w:p>
    <w:p>
      <w:pPr>
        <w:pStyle w:val="TOC8"/>
        <w:rPr>
          <w:rFonts w:asciiTheme="minorHAnsi" w:eastAsiaTheme="minorEastAsia" w:hAnsiTheme="minorHAnsi" w:cstheme="minorBidi"/>
          <w:szCs w:val="22"/>
        </w:rPr>
      </w:pPr>
      <w:r>
        <w:t>34.</w:t>
      </w:r>
      <w:r>
        <w:tab/>
        <w:t>Concessions: consumption charges</w:t>
      </w:r>
      <w:r>
        <w:tab/>
      </w:r>
      <w:r>
        <w:fldChar w:fldCharType="begin"/>
      </w:r>
      <w:r>
        <w:instrText xml:space="preserve"> PAGEREF _Toc170209133 \h </w:instrText>
      </w:r>
      <w:r>
        <w:fldChar w:fldCharType="separate"/>
      </w:r>
      <w:r>
        <w:t>34</w:t>
      </w:r>
      <w:r>
        <w:fldChar w:fldCharType="end"/>
      </w:r>
    </w:p>
    <w:p>
      <w:pPr>
        <w:pStyle w:val="TOC8"/>
        <w:rPr>
          <w:rFonts w:asciiTheme="minorHAnsi" w:eastAsiaTheme="minorEastAsia" w:hAnsiTheme="minorHAnsi" w:cstheme="minorBidi"/>
          <w:szCs w:val="22"/>
        </w:rPr>
      </w:pPr>
      <w:r>
        <w:t>35.</w:t>
      </w:r>
      <w:r>
        <w:tab/>
        <w:t>Concessions: certain occupiers of multi</w:t>
      </w:r>
      <w:r>
        <w:noBreakHyphen/>
        <w:t>unit developments</w:t>
      </w:r>
      <w:r>
        <w:tab/>
      </w:r>
      <w:r>
        <w:fldChar w:fldCharType="begin"/>
      </w:r>
      <w:r>
        <w:instrText xml:space="preserve"> PAGEREF _Toc170209134 \h </w:instrText>
      </w:r>
      <w:r>
        <w:fldChar w:fldCharType="separate"/>
      </w:r>
      <w:r>
        <w:t>36</w:t>
      </w:r>
      <w:r>
        <w:fldChar w:fldCharType="end"/>
      </w:r>
    </w:p>
    <w:p>
      <w:pPr>
        <w:pStyle w:val="TOC8"/>
        <w:rPr>
          <w:rFonts w:asciiTheme="minorHAnsi" w:eastAsiaTheme="minorEastAsia" w:hAnsiTheme="minorHAnsi" w:cstheme="minorBidi"/>
          <w:szCs w:val="22"/>
        </w:rPr>
      </w:pPr>
      <w:r>
        <w:t>36.</w:t>
      </w:r>
      <w:r>
        <w:tab/>
        <w:t>Concessions: certain retirement village residents</w:t>
      </w:r>
      <w:r>
        <w:tab/>
      </w:r>
      <w:r>
        <w:fldChar w:fldCharType="begin"/>
      </w:r>
      <w:r>
        <w:instrText xml:space="preserve"> PAGEREF _Toc170209135 \h </w:instrText>
      </w:r>
      <w:r>
        <w:fldChar w:fldCharType="separate"/>
      </w:r>
      <w:r>
        <w:t>38</w:t>
      </w:r>
      <w:r>
        <w:fldChar w:fldCharType="end"/>
      </w:r>
    </w:p>
    <w:p>
      <w:pPr>
        <w:pStyle w:val="TOC8"/>
        <w:rPr>
          <w:rFonts w:asciiTheme="minorHAnsi" w:eastAsiaTheme="minorEastAsia" w:hAnsiTheme="minorHAnsi" w:cstheme="minorBidi"/>
          <w:szCs w:val="22"/>
        </w:rPr>
      </w:pPr>
      <w:r>
        <w:t>36A.</w:t>
      </w:r>
      <w:r>
        <w:tab/>
        <w:t>Water supplied through commercial standpipes within areas over which a water deficiency declaration applies</w:t>
      </w:r>
      <w:r>
        <w:tab/>
      </w:r>
      <w:r>
        <w:fldChar w:fldCharType="begin"/>
      </w:r>
      <w:r>
        <w:instrText xml:space="preserve"> PAGEREF _Toc170209136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Sewerage charges</w:t>
      </w:r>
    </w:p>
    <w:p>
      <w:pPr>
        <w:pStyle w:val="TOC8"/>
        <w:rPr>
          <w:rFonts w:asciiTheme="minorHAnsi" w:eastAsiaTheme="minorEastAsia" w:hAnsiTheme="minorHAnsi" w:cstheme="minorBidi"/>
          <w:szCs w:val="22"/>
        </w:rPr>
      </w:pPr>
      <w:r>
        <w:t>37.</w:t>
      </w:r>
      <w:r>
        <w:tab/>
        <w:t>Land connected to sewerage works</w:t>
      </w:r>
      <w:r>
        <w:tab/>
      </w:r>
      <w:r>
        <w:fldChar w:fldCharType="begin"/>
      </w:r>
      <w:r>
        <w:instrText xml:space="preserve"> PAGEREF _Toc170209138 \h </w:instrText>
      </w:r>
      <w:r>
        <w:fldChar w:fldCharType="separate"/>
      </w:r>
      <w:r>
        <w:t>39</w:t>
      </w:r>
      <w:r>
        <w:fldChar w:fldCharType="end"/>
      </w:r>
    </w:p>
    <w:p>
      <w:pPr>
        <w:pStyle w:val="TOC8"/>
        <w:rPr>
          <w:rFonts w:asciiTheme="minorHAnsi" w:eastAsiaTheme="minorEastAsia" w:hAnsiTheme="minorHAnsi" w:cstheme="minorBidi"/>
          <w:szCs w:val="22"/>
        </w:rPr>
      </w:pPr>
      <w:r>
        <w:t>38.</w:t>
      </w:r>
      <w:r>
        <w:tab/>
        <w:t>Sewerage areas</w:t>
      </w:r>
      <w:r>
        <w:tab/>
      </w:r>
      <w:r>
        <w:fldChar w:fldCharType="begin"/>
      </w:r>
      <w:r>
        <w:instrText xml:space="preserve"> PAGEREF _Toc170209139 \h </w:instrText>
      </w:r>
      <w:r>
        <w:fldChar w:fldCharType="separate"/>
      </w:r>
      <w:r>
        <w:t>39</w:t>
      </w:r>
      <w:r>
        <w:fldChar w:fldCharType="end"/>
      </w:r>
    </w:p>
    <w:p>
      <w:pPr>
        <w:pStyle w:val="TOC8"/>
        <w:rPr>
          <w:rFonts w:asciiTheme="minorHAnsi" w:eastAsiaTheme="minorEastAsia" w:hAnsiTheme="minorHAnsi" w:cstheme="minorBidi"/>
          <w:szCs w:val="22"/>
        </w:rPr>
      </w:pPr>
      <w:r>
        <w:t>39.</w:t>
      </w:r>
      <w:r>
        <w:tab/>
        <w:t>Sewerage charges</w:t>
      </w:r>
      <w:r>
        <w:tab/>
      </w:r>
      <w:r>
        <w:fldChar w:fldCharType="begin"/>
      </w:r>
      <w:r>
        <w:instrText xml:space="preserve"> PAGEREF _Toc170209140 \h </w:instrText>
      </w:r>
      <w:r>
        <w:fldChar w:fldCharType="separate"/>
      </w:r>
      <w:r>
        <w:t>40</w:t>
      </w:r>
      <w:r>
        <w:fldChar w:fldCharType="end"/>
      </w:r>
    </w:p>
    <w:p>
      <w:pPr>
        <w:pStyle w:val="TOC8"/>
        <w:rPr>
          <w:rFonts w:asciiTheme="minorHAnsi" w:eastAsiaTheme="minorEastAsia" w:hAnsiTheme="minorHAnsi" w:cstheme="minorBidi"/>
          <w:szCs w:val="22"/>
        </w:rPr>
      </w:pPr>
      <w:r>
        <w:lastRenderedPageBreak/>
        <w:t>40.</w:t>
      </w:r>
      <w:r>
        <w:tab/>
        <w:t>Classification of land</w:t>
      </w:r>
      <w:r>
        <w:tab/>
      </w:r>
      <w:r>
        <w:fldChar w:fldCharType="begin"/>
      </w:r>
      <w:r>
        <w:instrText xml:space="preserve"> PAGEREF _Toc170209141 \h </w:instrText>
      </w:r>
      <w:r>
        <w:fldChar w:fldCharType="separate"/>
      </w:r>
      <w:r>
        <w:t>41</w:t>
      </w:r>
      <w:r>
        <w:fldChar w:fldCharType="end"/>
      </w:r>
    </w:p>
    <w:p>
      <w:pPr>
        <w:pStyle w:val="TOC8"/>
        <w:rPr>
          <w:rFonts w:asciiTheme="minorHAnsi" w:eastAsiaTheme="minorEastAsia" w:hAnsiTheme="minorHAnsi" w:cstheme="minorBidi"/>
          <w:szCs w:val="22"/>
        </w:rPr>
      </w:pPr>
      <w:r>
        <w:t>41.</w:t>
      </w:r>
      <w:r>
        <w:tab/>
        <w:t>Minimum charges: Schedule 4 Division 2</w:t>
      </w:r>
      <w:r>
        <w:tab/>
      </w:r>
      <w:r>
        <w:fldChar w:fldCharType="begin"/>
      </w:r>
      <w:r>
        <w:instrText xml:space="preserve"> PAGEREF _Toc170209142 \h </w:instrText>
      </w:r>
      <w:r>
        <w:fldChar w:fldCharType="separate"/>
      </w:r>
      <w:r>
        <w:t>43</w:t>
      </w:r>
      <w:r>
        <w:fldChar w:fldCharType="end"/>
      </w:r>
    </w:p>
    <w:p>
      <w:pPr>
        <w:pStyle w:val="TOC8"/>
        <w:rPr>
          <w:rFonts w:asciiTheme="minorHAnsi" w:eastAsiaTheme="minorEastAsia" w:hAnsiTheme="minorHAnsi" w:cstheme="minorBidi"/>
          <w:szCs w:val="22"/>
        </w:rPr>
      </w:pPr>
      <w:r>
        <w:t>42.</w:t>
      </w:r>
      <w:r>
        <w:tab/>
        <w:t>Estimating charge, or volume discharged, for previous year: Schedule 4 Division 2</w:t>
      </w:r>
      <w:r>
        <w:tab/>
      </w:r>
      <w:r>
        <w:fldChar w:fldCharType="begin"/>
      </w:r>
      <w:r>
        <w:instrText xml:space="preserve"> PAGEREF _Toc170209143 \h </w:instrText>
      </w:r>
      <w:r>
        <w:fldChar w:fldCharType="separate"/>
      </w:r>
      <w:r>
        <w:t>44</w:t>
      </w:r>
      <w:r>
        <w:fldChar w:fldCharType="end"/>
      </w:r>
    </w:p>
    <w:p>
      <w:pPr>
        <w:pStyle w:val="TOC8"/>
        <w:rPr>
          <w:rFonts w:asciiTheme="minorHAnsi" w:eastAsiaTheme="minorEastAsia" w:hAnsiTheme="minorHAnsi" w:cstheme="minorBidi"/>
          <w:szCs w:val="22"/>
        </w:rPr>
      </w:pPr>
      <w:r>
        <w:t>43.</w:t>
      </w:r>
      <w:r>
        <w:tab/>
        <w:t>Determining number of major fixtures: Schedule 4 Division 2</w:t>
      </w:r>
      <w:r>
        <w:tab/>
      </w:r>
      <w:r>
        <w:fldChar w:fldCharType="begin"/>
      </w:r>
      <w:r>
        <w:instrText xml:space="preserve"> PAGEREF _Toc170209144 \h </w:instrText>
      </w:r>
      <w:r>
        <w:fldChar w:fldCharType="separate"/>
      </w:r>
      <w:r>
        <w:t>45</w:t>
      </w:r>
      <w:r>
        <w:fldChar w:fldCharType="end"/>
      </w:r>
    </w:p>
    <w:p>
      <w:pPr>
        <w:pStyle w:val="TOC8"/>
        <w:rPr>
          <w:rFonts w:asciiTheme="minorHAnsi" w:eastAsiaTheme="minorEastAsia" w:hAnsiTheme="minorHAnsi" w:cstheme="minorBidi"/>
          <w:szCs w:val="22"/>
        </w:rPr>
      </w:pPr>
      <w:r>
        <w:t>44.</w:t>
      </w:r>
      <w:r>
        <w:tab/>
        <w:t>Concessions: certain retirement village residents</w:t>
      </w:r>
      <w:r>
        <w:tab/>
      </w:r>
      <w:r>
        <w:fldChar w:fldCharType="begin"/>
      </w:r>
      <w:r>
        <w:instrText xml:space="preserve"> PAGEREF _Toc170209145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Drainage charges</w:t>
      </w:r>
    </w:p>
    <w:p>
      <w:pPr>
        <w:pStyle w:val="TOC8"/>
        <w:rPr>
          <w:rFonts w:asciiTheme="minorHAnsi" w:eastAsiaTheme="minorEastAsia" w:hAnsiTheme="minorHAnsi" w:cstheme="minorBidi"/>
          <w:szCs w:val="22"/>
        </w:rPr>
      </w:pPr>
      <w:r>
        <w:t>45.</w:t>
      </w:r>
      <w:r>
        <w:tab/>
        <w:t>Drainage areas</w:t>
      </w:r>
      <w:r>
        <w:tab/>
      </w:r>
      <w:r>
        <w:fldChar w:fldCharType="begin"/>
      </w:r>
      <w:r>
        <w:instrText xml:space="preserve"> PAGEREF _Toc170209147 \h </w:instrText>
      </w:r>
      <w:r>
        <w:fldChar w:fldCharType="separate"/>
      </w:r>
      <w:r>
        <w:t>46</w:t>
      </w:r>
      <w:r>
        <w:fldChar w:fldCharType="end"/>
      </w:r>
    </w:p>
    <w:p>
      <w:pPr>
        <w:pStyle w:val="TOC8"/>
        <w:rPr>
          <w:rFonts w:asciiTheme="minorHAnsi" w:eastAsiaTheme="minorEastAsia" w:hAnsiTheme="minorHAnsi" w:cstheme="minorBidi"/>
          <w:szCs w:val="22"/>
        </w:rPr>
      </w:pPr>
      <w:r>
        <w:t>46.</w:t>
      </w:r>
      <w:r>
        <w:tab/>
        <w:t>Drainage areas: notice of and objections to proposed designation</w:t>
      </w:r>
      <w:r>
        <w:tab/>
      </w:r>
      <w:r>
        <w:fldChar w:fldCharType="begin"/>
      </w:r>
      <w:r>
        <w:instrText xml:space="preserve"> PAGEREF _Toc170209148 \h </w:instrText>
      </w:r>
      <w:r>
        <w:fldChar w:fldCharType="separate"/>
      </w:r>
      <w:r>
        <w:t>47</w:t>
      </w:r>
      <w:r>
        <w:fldChar w:fldCharType="end"/>
      </w:r>
    </w:p>
    <w:p>
      <w:pPr>
        <w:pStyle w:val="TOC8"/>
        <w:rPr>
          <w:rFonts w:asciiTheme="minorHAnsi" w:eastAsiaTheme="minorEastAsia" w:hAnsiTheme="minorHAnsi" w:cstheme="minorBidi"/>
          <w:szCs w:val="22"/>
        </w:rPr>
      </w:pPr>
      <w:r>
        <w:t>47.</w:t>
      </w:r>
      <w:r>
        <w:tab/>
        <w:t>Drainage charges</w:t>
      </w:r>
      <w:r>
        <w:tab/>
      </w:r>
      <w:r>
        <w:fldChar w:fldCharType="begin"/>
      </w:r>
      <w:r>
        <w:instrText xml:space="preserve"> PAGEREF _Toc170209149 \h </w:instrText>
      </w:r>
      <w:r>
        <w:fldChar w:fldCharType="separate"/>
      </w:r>
      <w:r>
        <w:t>48</w:t>
      </w:r>
      <w:r>
        <w:fldChar w:fldCharType="end"/>
      </w:r>
    </w:p>
    <w:p>
      <w:pPr>
        <w:pStyle w:val="TOC8"/>
        <w:rPr>
          <w:rFonts w:asciiTheme="minorHAnsi" w:eastAsiaTheme="minorEastAsia" w:hAnsiTheme="minorHAnsi" w:cstheme="minorBidi"/>
          <w:szCs w:val="22"/>
        </w:rPr>
      </w:pPr>
      <w:r>
        <w:t>48.</w:t>
      </w:r>
      <w:r>
        <w:tab/>
        <w:t>Classification of land</w:t>
      </w:r>
      <w:r>
        <w:tab/>
      </w:r>
      <w:r>
        <w:fldChar w:fldCharType="begin"/>
      </w:r>
      <w:r>
        <w:instrText xml:space="preserve"> PAGEREF _Toc170209150 \h </w:instrText>
      </w:r>
      <w:r>
        <w:fldChar w:fldCharType="separate"/>
      </w:r>
      <w:r>
        <w:t>49</w:t>
      </w:r>
      <w:r>
        <w:fldChar w:fldCharType="end"/>
      </w:r>
    </w:p>
    <w:p>
      <w:pPr>
        <w:pStyle w:val="TOC8"/>
        <w:rPr>
          <w:rFonts w:asciiTheme="minorHAnsi" w:eastAsiaTheme="minorEastAsia" w:hAnsiTheme="minorHAnsi" w:cstheme="minorBidi"/>
          <w:szCs w:val="22"/>
        </w:rPr>
      </w:pPr>
      <w:r>
        <w:t>49.</w:t>
      </w:r>
      <w:r>
        <w:tab/>
        <w:t>Concessions: certain retirement village residents</w:t>
      </w:r>
      <w:r>
        <w:tab/>
      </w:r>
      <w:r>
        <w:fldChar w:fldCharType="begin"/>
      </w:r>
      <w:r>
        <w:instrText xml:space="preserve"> PAGEREF _Toc170209151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Irrigation charges</w:t>
      </w:r>
    </w:p>
    <w:p>
      <w:pPr>
        <w:pStyle w:val="TOC8"/>
        <w:rPr>
          <w:rFonts w:asciiTheme="minorHAnsi" w:eastAsiaTheme="minorEastAsia" w:hAnsiTheme="minorHAnsi" w:cstheme="minorBidi"/>
          <w:szCs w:val="22"/>
        </w:rPr>
      </w:pPr>
      <w:r>
        <w:t>50.</w:t>
      </w:r>
      <w:r>
        <w:tab/>
        <w:t>Charges for water supplied from certain irrigation works</w:t>
      </w:r>
      <w:r>
        <w:tab/>
      </w:r>
      <w:r>
        <w:fldChar w:fldCharType="begin"/>
      </w:r>
      <w:r>
        <w:instrText xml:space="preserve"> PAGEREF _Toc170209153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Miscellaneous charges</w:t>
      </w:r>
    </w:p>
    <w:p>
      <w:pPr>
        <w:pStyle w:val="TOC8"/>
        <w:rPr>
          <w:rFonts w:asciiTheme="minorHAnsi" w:eastAsiaTheme="minorEastAsia" w:hAnsiTheme="minorHAnsi" w:cstheme="minorBidi"/>
          <w:szCs w:val="22"/>
        </w:rPr>
      </w:pPr>
      <w:r>
        <w:t>51.</w:t>
      </w:r>
      <w:r>
        <w:tab/>
        <w:t>Miscellaneous charges</w:t>
      </w:r>
      <w:r>
        <w:tab/>
      </w:r>
      <w:r>
        <w:fldChar w:fldCharType="begin"/>
      </w:r>
      <w:r>
        <w:instrText xml:space="preserve"> PAGEREF _Toc170209155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Water Services (Water Corporations Charges) Regulations 2013</w:t>
      </w:r>
      <w:r>
        <w:t xml:space="preserve"> repealed</w:t>
      </w:r>
    </w:p>
    <w:p>
      <w:pPr>
        <w:pStyle w:val="TOC8"/>
        <w:rPr>
          <w:rFonts w:asciiTheme="minorHAnsi" w:eastAsiaTheme="minorEastAsia" w:hAnsiTheme="minorHAnsi" w:cstheme="minorBidi"/>
          <w:szCs w:val="22"/>
        </w:rPr>
      </w:pPr>
      <w:r>
        <w:t>52.</w:t>
      </w:r>
      <w:r>
        <w:tab/>
      </w:r>
      <w:r>
        <w:rPr>
          <w:i/>
        </w:rPr>
        <w:t>Water Services (Water Corporations Charges) Regulations 2013</w:t>
      </w:r>
      <w:r>
        <w:t xml:space="preserve"> repealed</w:t>
      </w:r>
      <w:r>
        <w:tab/>
      </w:r>
      <w:r>
        <w:fldChar w:fldCharType="begin"/>
      </w:r>
      <w:r>
        <w:instrText xml:space="preserve"> PAGEREF _Toc170209158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w:t>
      </w:r>
      <w:r>
        <w:rPr>
          <w:i/>
        </w:rPr>
        <w:t>Water Services (Water Corporations Charges) Regulations 2014</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53.</w:t>
      </w:r>
      <w:r>
        <w:tab/>
        <w:t xml:space="preserve">Application of the </w:t>
      </w:r>
      <w:r>
        <w:rPr>
          <w:i/>
        </w:rPr>
        <w:t>Interpretation Act 1984</w:t>
      </w:r>
      <w:r>
        <w:tab/>
      </w:r>
      <w:r>
        <w:fldChar w:fldCharType="begin"/>
      </w:r>
      <w:r>
        <w:instrText xml:space="preserve"> PAGEREF _Toc170209161 \h </w:instrText>
      </w:r>
      <w:r>
        <w:fldChar w:fldCharType="separate"/>
      </w:r>
      <w:r>
        <w:t>52</w:t>
      </w:r>
      <w:r>
        <w:fldChar w:fldCharType="end"/>
      </w:r>
    </w:p>
    <w:p>
      <w:pPr>
        <w:pStyle w:val="TOC8"/>
        <w:rPr>
          <w:rFonts w:asciiTheme="minorHAnsi" w:eastAsiaTheme="minorEastAsia" w:hAnsiTheme="minorHAnsi" w:cstheme="minorBidi"/>
          <w:szCs w:val="22"/>
        </w:rPr>
      </w:pPr>
      <w:r>
        <w:t>54.</w:t>
      </w:r>
      <w:r>
        <w:tab/>
        <w:t>Liability to water service charges</w:t>
      </w:r>
      <w:r>
        <w:tab/>
      </w:r>
      <w:r>
        <w:fldChar w:fldCharType="begin"/>
      </w:r>
      <w:r>
        <w:instrText xml:space="preserve"> PAGEREF _Toc170209162 \h </w:instrText>
      </w:r>
      <w:r>
        <w:fldChar w:fldCharType="separate"/>
      </w:r>
      <w:r>
        <w:t>52</w:t>
      </w:r>
      <w:r>
        <w:fldChar w:fldCharType="end"/>
      </w:r>
    </w:p>
    <w:p>
      <w:pPr>
        <w:pStyle w:val="TOC8"/>
        <w:rPr>
          <w:rFonts w:asciiTheme="minorHAnsi" w:eastAsiaTheme="minorEastAsia" w:hAnsiTheme="minorHAnsi" w:cstheme="minorBidi"/>
          <w:szCs w:val="22"/>
        </w:rPr>
      </w:pPr>
      <w:r>
        <w:t>55.</w:t>
      </w:r>
      <w:r>
        <w:tab/>
        <w:t>Continuing effect of things done before 1 July 2014</w:t>
      </w:r>
      <w:r>
        <w:tab/>
      </w:r>
      <w:r>
        <w:fldChar w:fldCharType="begin"/>
      </w:r>
      <w:r>
        <w:instrText xml:space="preserve"> PAGEREF _Toc170209163 \h </w:instrText>
      </w:r>
      <w:r>
        <w:fldChar w:fldCharType="separate"/>
      </w:r>
      <w:r>
        <w:t>52</w:t>
      </w:r>
      <w:r>
        <w:fldChar w:fldCharType="end"/>
      </w:r>
    </w:p>
    <w:p>
      <w:pPr>
        <w:pStyle w:val="TOC8"/>
        <w:rPr>
          <w:rFonts w:asciiTheme="minorHAnsi" w:eastAsiaTheme="minorEastAsia" w:hAnsiTheme="minorHAnsi" w:cstheme="minorBidi"/>
          <w:szCs w:val="22"/>
        </w:rPr>
      </w:pPr>
      <w:r>
        <w:t>56.</w:t>
      </w:r>
      <w:r>
        <w:tab/>
        <w:t>Relationship between Subdivision 1 and Subdivision 2</w:t>
      </w:r>
      <w:r>
        <w:tab/>
      </w:r>
      <w:r>
        <w:fldChar w:fldCharType="begin"/>
      </w:r>
      <w:r>
        <w:instrText xml:space="preserve"> PAGEREF _Toc170209164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Specific provisions</w:t>
      </w:r>
    </w:p>
    <w:p>
      <w:pPr>
        <w:pStyle w:val="TOC8"/>
        <w:rPr>
          <w:rFonts w:asciiTheme="minorHAnsi" w:eastAsiaTheme="minorEastAsia" w:hAnsiTheme="minorHAnsi" w:cstheme="minorBidi"/>
          <w:szCs w:val="22"/>
        </w:rPr>
      </w:pPr>
      <w:r>
        <w:t>57.</w:t>
      </w:r>
      <w:r>
        <w:tab/>
        <w:t>Commencement of these regulations during charge period</w:t>
      </w:r>
      <w:r>
        <w:tab/>
      </w:r>
      <w:r>
        <w:fldChar w:fldCharType="begin"/>
      </w:r>
      <w:r>
        <w:instrText xml:space="preserve"> PAGEREF _Toc170209166 \h </w:instrText>
      </w:r>
      <w:r>
        <w:fldChar w:fldCharType="separate"/>
      </w:r>
      <w:r>
        <w:t>53</w:t>
      </w:r>
      <w:r>
        <w:fldChar w:fldCharType="end"/>
      </w:r>
    </w:p>
    <w:p>
      <w:pPr>
        <w:pStyle w:val="TOC8"/>
        <w:rPr>
          <w:rFonts w:asciiTheme="minorHAnsi" w:eastAsiaTheme="minorEastAsia" w:hAnsiTheme="minorHAnsi" w:cstheme="minorBidi"/>
          <w:szCs w:val="22"/>
        </w:rPr>
      </w:pPr>
      <w:r>
        <w:t>58.</w:t>
      </w:r>
      <w:r>
        <w:tab/>
        <w:t>Special payment arrangements</w:t>
      </w:r>
      <w:r>
        <w:tab/>
      </w:r>
      <w:r>
        <w:fldChar w:fldCharType="begin"/>
      </w:r>
      <w:r>
        <w:instrText xml:space="preserve"> PAGEREF _Toc170209167 \h </w:instrText>
      </w:r>
      <w:r>
        <w:fldChar w:fldCharType="separate"/>
      </w:r>
      <w:r>
        <w:t>53</w:t>
      </w:r>
      <w:r>
        <w:fldChar w:fldCharType="end"/>
      </w:r>
    </w:p>
    <w:p>
      <w:pPr>
        <w:pStyle w:val="TOC8"/>
        <w:rPr>
          <w:rFonts w:asciiTheme="minorHAnsi" w:eastAsiaTheme="minorEastAsia" w:hAnsiTheme="minorHAnsi" w:cstheme="minorBidi"/>
          <w:szCs w:val="22"/>
        </w:rPr>
      </w:pPr>
      <w:r>
        <w:t>59.</w:t>
      </w:r>
      <w:r>
        <w:tab/>
        <w:t>Commercial caravan parks</w:t>
      </w:r>
      <w:r>
        <w:tab/>
      </w:r>
      <w:r>
        <w:fldChar w:fldCharType="begin"/>
      </w:r>
      <w:r>
        <w:instrText xml:space="preserve"> PAGEREF _Toc170209168 \h </w:instrText>
      </w:r>
      <w:r>
        <w:fldChar w:fldCharType="separate"/>
      </w:r>
      <w:r>
        <w:t>54</w:t>
      </w:r>
      <w:r>
        <w:fldChar w:fldCharType="end"/>
      </w:r>
    </w:p>
    <w:p>
      <w:pPr>
        <w:pStyle w:val="TOC8"/>
        <w:rPr>
          <w:rFonts w:asciiTheme="minorHAnsi" w:eastAsiaTheme="minorEastAsia" w:hAnsiTheme="minorHAnsi" w:cstheme="minorBidi"/>
          <w:szCs w:val="22"/>
        </w:rPr>
      </w:pPr>
      <w:r>
        <w:t>60.</w:t>
      </w:r>
      <w:r>
        <w:tab/>
        <w:t>Certain charges and discharge volumes before 1 July 2014</w:t>
      </w:r>
      <w:r>
        <w:tab/>
      </w:r>
      <w:r>
        <w:fldChar w:fldCharType="begin"/>
      </w:r>
      <w:r>
        <w:instrText xml:space="preserve"> PAGEREF _Toc170209169 \h </w:instrText>
      </w:r>
      <w:r>
        <w:fldChar w:fldCharType="separate"/>
      </w:r>
      <w:r>
        <w:t>54</w:t>
      </w:r>
      <w:r>
        <w:fldChar w:fldCharType="end"/>
      </w:r>
    </w:p>
    <w:p>
      <w:pPr>
        <w:pStyle w:val="TOC8"/>
        <w:rPr>
          <w:rFonts w:asciiTheme="minorHAnsi" w:eastAsiaTheme="minorEastAsia" w:hAnsiTheme="minorHAnsi" w:cstheme="minorBidi"/>
          <w:szCs w:val="22"/>
        </w:rPr>
      </w:pPr>
      <w:r>
        <w:t>61.</w:t>
      </w:r>
      <w:r>
        <w:tab/>
        <w:t>Concessions: r. 34 and 35</w:t>
      </w:r>
      <w:r>
        <w:tab/>
      </w:r>
      <w:r>
        <w:fldChar w:fldCharType="begin"/>
      </w:r>
      <w:r>
        <w:instrText xml:space="preserve"> PAGEREF _Toc170209170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w:t>
      </w:r>
      <w:r>
        <w:rPr>
          <w:i/>
        </w:rPr>
        <w:t>Water Services (Water Corporations Charges) Amendment Regulations (No. 2) 2014</w:t>
      </w:r>
    </w:p>
    <w:p>
      <w:pPr>
        <w:pStyle w:val="TOC8"/>
        <w:rPr>
          <w:rFonts w:asciiTheme="minorHAnsi" w:eastAsiaTheme="minorEastAsia" w:hAnsiTheme="minorHAnsi" w:cstheme="minorBidi"/>
          <w:szCs w:val="22"/>
        </w:rPr>
      </w:pPr>
      <w:r>
        <w:t>62.</w:t>
      </w:r>
      <w:r>
        <w:tab/>
        <w:t>Application of r. 5</w:t>
      </w:r>
      <w:r>
        <w:tab/>
      </w:r>
      <w:r>
        <w:fldChar w:fldCharType="begin"/>
      </w:r>
      <w:r>
        <w:instrText xml:space="preserve"> PAGEREF _Toc170209172 \h </w:instrText>
      </w:r>
      <w:r>
        <w:fldChar w:fldCharType="separate"/>
      </w:r>
      <w:r>
        <w:t>55</w:t>
      </w:r>
      <w:r>
        <w:fldChar w:fldCharType="end"/>
      </w:r>
    </w:p>
    <w:p>
      <w:pPr>
        <w:pStyle w:val="TOC8"/>
        <w:rPr>
          <w:rFonts w:asciiTheme="minorHAnsi" w:eastAsiaTheme="minorEastAsia" w:hAnsiTheme="minorHAnsi" w:cstheme="minorBidi"/>
          <w:szCs w:val="22"/>
        </w:rPr>
      </w:pPr>
      <w:r>
        <w:t>63.</w:t>
      </w:r>
      <w:r>
        <w:tab/>
        <w:t>Reduction, waiver or refund of certain charges</w:t>
      </w:r>
      <w:r>
        <w:tab/>
      </w:r>
      <w:r>
        <w:fldChar w:fldCharType="begin"/>
      </w:r>
      <w:r>
        <w:instrText xml:space="preserve"> PAGEREF _Toc170209173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 for Bunbury Water Corporation</w:t>
      </w:r>
    </w:p>
    <w:p>
      <w:pPr>
        <w:pStyle w:val="TOC4"/>
        <w:tabs>
          <w:tab w:val="right" w:leader="dot" w:pos="7077"/>
        </w:tabs>
        <w:rPr>
          <w:rFonts w:asciiTheme="minorHAnsi" w:eastAsiaTheme="minorEastAsia" w:hAnsiTheme="minorHAnsi" w:cstheme="minorBidi"/>
          <w:b w:val="0"/>
          <w:szCs w:val="22"/>
        </w:rPr>
      </w:pPr>
      <w:r>
        <w:t>Division 1 — Service charges</w:t>
      </w:r>
    </w:p>
    <w:p>
      <w:pPr>
        <w:pStyle w:val="TOC8"/>
        <w:rPr>
          <w:rFonts w:asciiTheme="minorHAnsi" w:eastAsiaTheme="minorEastAsia" w:hAnsiTheme="minorHAnsi" w:cstheme="minorBidi"/>
          <w:szCs w:val="22"/>
        </w:rPr>
      </w:pPr>
      <w:r>
        <w:t>1.</w:t>
      </w:r>
      <w:r>
        <w:tab/>
        <w:t>Service charges for 2024/25 and subsequent years</w:t>
      </w:r>
      <w:r>
        <w:tab/>
      </w:r>
      <w:r>
        <w:fldChar w:fldCharType="begin"/>
      </w:r>
      <w:r>
        <w:instrText xml:space="preserve"> PAGEREF _Toc170209176 \h </w:instrText>
      </w:r>
      <w:r>
        <w:fldChar w:fldCharType="separate"/>
      </w:r>
      <w:r>
        <w:t>57</w:t>
      </w:r>
      <w:r>
        <w:fldChar w:fldCharType="end"/>
      </w:r>
    </w:p>
    <w:p>
      <w:pPr>
        <w:pStyle w:val="TOC8"/>
        <w:rPr>
          <w:rFonts w:asciiTheme="minorHAnsi" w:eastAsiaTheme="minorEastAsia" w:hAnsiTheme="minorHAnsi" w:cstheme="minorBidi"/>
          <w:szCs w:val="22"/>
        </w:rPr>
      </w:pPr>
      <w:r>
        <w:t>2.</w:t>
      </w:r>
      <w:r>
        <w:tab/>
        <w:t>Residential lots</w:t>
      </w:r>
      <w:r>
        <w:tab/>
      </w:r>
      <w:r>
        <w:fldChar w:fldCharType="begin"/>
      </w:r>
      <w:r>
        <w:instrText xml:space="preserve"> PAGEREF _Toc170209177 \h </w:instrText>
      </w:r>
      <w:r>
        <w:fldChar w:fldCharType="separate"/>
      </w:r>
      <w:r>
        <w:t>57</w:t>
      </w:r>
      <w:r>
        <w:fldChar w:fldCharType="end"/>
      </w:r>
    </w:p>
    <w:p>
      <w:pPr>
        <w:pStyle w:val="TOC8"/>
        <w:rPr>
          <w:rFonts w:asciiTheme="minorHAnsi" w:eastAsiaTheme="minorEastAsia" w:hAnsiTheme="minorHAnsi" w:cstheme="minorBidi"/>
          <w:szCs w:val="22"/>
        </w:rPr>
      </w:pPr>
      <w:r>
        <w:t>3.</w:t>
      </w:r>
      <w:r>
        <w:tab/>
        <w:t>Non</w:t>
      </w:r>
      <w:r>
        <w:noBreakHyphen/>
        <w:t>residential lots</w:t>
      </w:r>
      <w:r>
        <w:tab/>
      </w:r>
      <w:r>
        <w:fldChar w:fldCharType="begin"/>
      </w:r>
      <w:r>
        <w:instrText xml:space="preserve"> PAGEREF _Toc170209178 \h </w:instrText>
      </w:r>
      <w:r>
        <w:fldChar w:fldCharType="separate"/>
      </w:r>
      <w:r>
        <w:t>57</w:t>
      </w:r>
      <w:r>
        <w:fldChar w:fldCharType="end"/>
      </w:r>
    </w:p>
    <w:p>
      <w:pPr>
        <w:pStyle w:val="TOC8"/>
        <w:rPr>
          <w:rFonts w:asciiTheme="minorHAnsi" w:eastAsiaTheme="minorEastAsia" w:hAnsiTheme="minorHAnsi" w:cstheme="minorBidi"/>
          <w:szCs w:val="22"/>
        </w:rPr>
      </w:pPr>
      <w:r>
        <w:t>4.</w:t>
      </w:r>
      <w:r>
        <w:tab/>
        <w:t>Fire service connections</w:t>
      </w:r>
      <w:r>
        <w:tab/>
      </w:r>
      <w:r>
        <w:fldChar w:fldCharType="begin"/>
      </w:r>
      <w:r>
        <w:instrText xml:space="preserve"> PAGEREF _Toc170209179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Consumption charges</w:t>
      </w:r>
    </w:p>
    <w:p>
      <w:pPr>
        <w:pStyle w:val="TOC8"/>
        <w:rPr>
          <w:rFonts w:asciiTheme="minorHAnsi" w:eastAsiaTheme="minorEastAsia" w:hAnsiTheme="minorHAnsi" w:cstheme="minorBidi"/>
          <w:szCs w:val="22"/>
        </w:rPr>
      </w:pPr>
      <w:r>
        <w:t>5.</w:t>
      </w:r>
      <w:r>
        <w:tab/>
        <w:t>Consumption charges for 2024/25 and subsequent years</w:t>
      </w:r>
      <w:r>
        <w:tab/>
      </w:r>
      <w:r>
        <w:fldChar w:fldCharType="begin"/>
      </w:r>
      <w:r>
        <w:instrText xml:space="preserve"> PAGEREF _Toc170209181 \h </w:instrText>
      </w:r>
      <w:r>
        <w:fldChar w:fldCharType="separate"/>
      </w:r>
      <w:r>
        <w:t>58</w:t>
      </w:r>
      <w:r>
        <w:fldChar w:fldCharType="end"/>
      </w:r>
    </w:p>
    <w:p>
      <w:pPr>
        <w:pStyle w:val="TOC8"/>
        <w:rPr>
          <w:rFonts w:asciiTheme="minorHAnsi" w:eastAsiaTheme="minorEastAsia" w:hAnsiTheme="minorHAnsi" w:cstheme="minorBidi"/>
          <w:szCs w:val="22"/>
        </w:rPr>
      </w:pPr>
      <w:r>
        <w:t>6.</w:t>
      </w:r>
      <w:r>
        <w:tab/>
        <w:t>Residential lots</w:t>
      </w:r>
      <w:r>
        <w:tab/>
      </w:r>
      <w:r>
        <w:fldChar w:fldCharType="begin"/>
      </w:r>
      <w:r>
        <w:instrText xml:space="preserve"> PAGEREF _Toc170209182 \h </w:instrText>
      </w:r>
      <w:r>
        <w:fldChar w:fldCharType="separate"/>
      </w:r>
      <w:r>
        <w:t>58</w:t>
      </w:r>
      <w:r>
        <w:fldChar w:fldCharType="end"/>
      </w:r>
    </w:p>
    <w:p>
      <w:pPr>
        <w:pStyle w:val="TOC8"/>
        <w:rPr>
          <w:rFonts w:asciiTheme="minorHAnsi" w:eastAsiaTheme="minorEastAsia" w:hAnsiTheme="minorHAnsi" w:cstheme="minorBidi"/>
          <w:szCs w:val="22"/>
        </w:rPr>
      </w:pPr>
      <w:r>
        <w:t>7.</w:t>
      </w:r>
      <w:r>
        <w:tab/>
        <w:t>Non</w:t>
      </w:r>
      <w:r>
        <w:noBreakHyphen/>
        <w:t>residential lots</w:t>
      </w:r>
      <w:r>
        <w:tab/>
      </w:r>
      <w:r>
        <w:fldChar w:fldCharType="begin"/>
      </w:r>
      <w:r>
        <w:instrText xml:space="preserve"> PAGEREF _Toc170209183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Charges for Busselton Water Corporation</w:t>
      </w:r>
    </w:p>
    <w:p>
      <w:pPr>
        <w:pStyle w:val="TOC4"/>
        <w:tabs>
          <w:tab w:val="right" w:leader="dot" w:pos="7077"/>
        </w:tabs>
        <w:rPr>
          <w:rFonts w:asciiTheme="minorHAnsi" w:eastAsiaTheme="minorEastAsia" w:hAnsiTheme="minorHAnsi" w:cstheme="minorBidi"/>
          <w:b w:val="0"/>
          <w:szCs w:val="22"/>
        </w:rPr>
      </w:pPr>
      <w:r>
        <w:t>Division 1 — Service charges</w:t>
      </w:r>
    </w:p>
    <w:p>
      <w:pPr>
        <w:pStyle w:val="TOC8"/>
        <w:rPr>
          <w:rFonts w:asciiTheme="minorHAnsi" w:eastAsiaTheme="minorEastAsia" w:hAnsiTheme="minorHAnsi" w:cstheme="minorBidi"/>
          <w:szCs w:val="22"/>
        </w:rPr>
      </w:pPr>
      <w:r>
        <w:t>1.</w:t>
      </w:r>
      <w:r>
        <w:tab/>
        <w:t>Service charges for 2024/25 and subsequent years</w:t>
      </w:r>
      <w:r>
        <w:tab/>
      </w:r>
      <w:r>
        <w:fldChar w:fldCharType="begin"/>
      </w:r>
      <w:r>
        <w:instrText xml:space="preserve"> PAGEREF _Toc170209186 \h </w:instrText>
      </w:r>
      <w:r>
        <w:fldChar w:fldCharType="separate"/>
      </w:r>
      <w:r>
        <w:t>59</w:t>
      </w:r>
      <w:r>
        <w:fldChar w:fldCharType="end"/>
      </w:r>
    </w:p>
    <w:p>
      <w:pPr>
        <w:pStyle w:val="TOC8"/>
        <w:rPr>
          <w:rFonts w:asciiTheme="minorHAnsi" w:eastAsiaTheme="minorEastAsia" w:hAnsiTheme="minorHAnsi" w:cstheme="minorBidi"/>
          <w:szCs w:val="22"/>
        </w:rPr>
      </w:pPr>
      <w:r>
        <w:t>2.</w:t>
      </w:r>
      <w:r>
        <w:tab/>
        <w:t>Residential lots</w:t>
      </w:r>
      <w:r>
        <w:tab/>
      </w:r>
      <w:r>
        <w:fldChar w:fldCharType="begin"/>
      </w:r>
      <w:r>
        <w:instrText xml:space="preserve"> PAGEREF _Toc170209187 \h </w:instrText>
      </w:r>
      <w:r>
        <w:fldChar w:fldCharType="separate"/>
      </w:r>
      <w:r>
        <w:t>59</w:t>
      </w:r>
      <w:r>
        <w:fldChar w:fldCharType="end"/>
      </w:r>
    </w:p>
    <w:p>
      <w:pPr>
        <w:pStyle w:val="TOC8"/>
        <w:rPr>
          <w:rFonts w:asciiTheme="minorHAnsi" w:eastAsiaTheme="minorEastAsia" w:hAnsiTheme="minorHAnsi" w:cstheme="minorBidi"/>
          <w:szCs w:val="22"/>
        </w:rPr>
      </w:pPr>
      <w:r>
        <w:t>3.</w:t>
      </w:r>
      <w:r>
        <w:tab/>
        <w:t>Non</w:t>
      </w:r>
      <w:r>
        <w:noBreakHyphen/>
        <w:t>residential lots</w:t>
      </w:r>
      <w:r>
        <w:tab/>
      </w:r>
      <w:r>
        <w:fldChar w:fldCharType="begin"/>
      </w:r>
      <w:r>
        <w:instrText xml:space="preserve"> PAGEREF _Toc170209188 \h </w:instrText>
      </w:r>
      <w:r>
        <w:fldChar w:fldCharType="separate"/>
      </w:r>
      <w:r>
        <w:t>59</w:t>
      </w:r>
      <w:r>
        <w:fldChar w:fldCharType="end"/>
      </w:r>
    </w:p>
    <w:p>
      <w:pPr>
        <w:pStyle w:val="TOC8"/>
        <w:rPr>
          <w:rFonts w:asciiTheme="minorHAnsi" w:eastAsiaTheme="minorEastAsia" w:hAnsiTheme="minorHAnsi" w:cstheme="minorBidi"/>
          <w:szCs w:val="22"/>
        </w:rPr>
      </w:pPr>
      <w:r>
        <w:t>4.</w:t>
      </w:r>
      <w:r>
        <w:tab/>
        <w:t>Vacant land</w:t>
      </w:r>
      <w:r>
        <w:tab/>
      </w:r>
      <w:r>
        <w:fldChar w:fldCharType="begin"/>
      </w:r>
      <w:r>
        <w:instrText xml:space="preserve"> PAGEREF _Toc170209189 \h </w:instrText>
      </w:r>
      <w:r>
        <w:fldChar w:fldCharType="separate"/>
      </w:r>
      <w:r>
        <w:t>59</w:t>
      </w:r>
      <w:r>
        <w:fldChar w:fldCharType="end"/>
      </w:r>
    </w:p>
    <w:p>
      <w:pPr>
        <w:pStyle w:val="TOC8"/>
        <w:rPr>
          <w:rFonts w:asciiTheme="minorHAnsi" w:eastAsiaTheme="minorEastAsia" w:hAnsiTheme="minorHAnsi" w:cstheme="minorBidi"/>
          <w:szCs w:val="22"/>
        </w:rPr>
      </w:pPr>
      <w:r>
        <w:t>5.</w:t>
      </w:r>
      <w:r>
        <w:tab/>
        <w:t>Fire service connections</w:t>
      </w:r>
      <w:r>
        <w:tab/>
      </w:r>
      <w:r>
        <w:fldChar w:fldCharType="begin"/>
      </w:r>
      <w:r>
        <w:instrText xml:space="preserve"> PAGEREF _Toc170209190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Consumption charges</w:t>
      </w:r>
    </w:p>
    <w:p>
      <w:pPr>
        <w:pStyle w:val="TOC8"/>
        <w:rPr>
          <w:rFonts w:asciiTheme="minorHAnsi" w:eastAsiaTheme="minorEastAsia" w:hAnsiTheme="minorHAnsi" w:cstheme="minorBidi"/>
          <w:szCs w:val="22"/>
        </w:rPr>
      </w:pPr>
      <w:r>
        <w:t>6.</w:t>
      </w:r>
      <w:r>
        <w:tab/>
        <w:t>Consumption charges for 2024/25 and subsequent years</w:t>
      </w:r>
      <w:r>
        <w:tab/>
      </w:r>
      <w:r>
        <w:fldChar w:fldCharType="begin"/>
      </w:r>
      <w:r>
        <w:instrText xml:space="preserve"> PAGEREF _Toc170209192 \h </w:instrText>
      </w:r>
      <w:r>
        <w:fldChar w:fldCharType="separate"/>
      </w:r>
      <w:r>
        <w:t>60</w:t>
      </w:r>
      <w:r>
        <w:fldChar w:fldCharType="end"/>
      </w:r>
    </w:p>
    <w:p>
      <w:pPr>
        <w:pStyle w:val="TOC8"/>
        <w:rPr>
          <w:rFonts w:asciiTheme="minorHAnsi" w:eastAsiaTheme="minorEastAsia" w:hAnsiTheme="minorHAnsi" w:cstheme="minorBidi"/>
          <w:szCs w:val="22"/>
        </w:rPr>
      </w:pPr>
      <w:r>
        <w:lastRenderedPageBreak/>
        <w:t>7.</w:t>
      </w:r>
      <w:r>
        <w:tab/>
        <w:t>Residential lots</w:t>
      </w:r>
      <w:r>
        <w:tab/>
      </w:r>
      <w:r>
        <w:fldChar w:fldCharType="begin"/>
      </w:r>
      <w:r>
        <w:instrText xml:space="preserve"> PAGEREF _Toc170209193 \h </w:instrText>
      </w:r>
      <w:r>
        <w:fldChar w:fldCharType="separate"/>
      </w:r>
      <w:r>
        <w:t>60</w:t>
      </w:r>
      <w:r>
        <w:fldChar w:fldCharType="end"/>
      </w:r>
    </w:p>
    <w:p>
      <w:pPr>
        <w:pStyle w:val="TOC8"/>
        <w:rPr>
          <w:rFonts w:asciiTheme="minorHAnsi" w:eastAsiaTheme="minorEastAsia" w:hAnsiTheme="minorHAnsi" w:cstheme="minorBidi"/>
          <w:szCs w:val="22"/>
        </w:rPr>
      </w:pPr>
      <w:r>
        <w:t>8.</w:t>
      </w:r>
      <w:r>
        <w:tab/>
        <w:t>Non</w:t>
      </w:r>
      <w:r>
        <w:noBreakHyphen/>
        <w:t>residential lots</w:t>
      </w:r>
      <w:r>
        <w:tab/>
      </w:r>
      <w:r>
        <w:fldChar w:fldCharType="begin"/>
      </w:r>
      <w:r>
        <w:instrText xml:space="preserve"> PAGEREF _Toc170209194 \h </w:instrText>
      </w:r>
      <w:r>
        <w:fldChar w:fldCharType="separate"/>
      </w:r>
      <w:r>
        <w:t>60</w:t>
      </w:r>
      <w:r>
        <w:fldChar w:fldCharType="end"/>
      </w:r>
    </w:p>
    <w:p>
      <w:pPr>
        <w:pStyle w:val="TOC8"/>
        <w:rPr>
          <w:rFonts w:asciiTheme="minorHAnsi" w:eastAsiaTheme="minorEastAsia" w:hAnsiTheme="minorHAnsi" w:cstheme="minorBidi"/>
          <w:szCs w:val="22"/>
        </w:rPr>
      </w:pPr>
      <w:r>
        <w:t>9.</w:t>
      </w:r>
      <w:r>
        <w:tab/>
        <w:t>Water supply service (fire)</w:t>
      </w:r>
      <w:r>
        <w:tab/>
      </w:r>
      <w:r>
        <w:fldChar w:fldCharType="begin"/>
      </w:r>
      <w:r>
        <w:instrText xml:space="preserve"> PAGEREF _Toc170209195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supply charges for Water Corporation</w:t>
      </w:r>
    </w:p>
    <w:p>
      <w:pPr>
        <w:pStyle w:val="TOC4"/>
        <w:tabs>
          <w:tab w:val="right" w:leader="dot" w:pos="7077"/>
        </w:tabs>
        <w:rPr>
          <w:rFonts w:asciiTheme="minorHAnsi" w:eastAsiaTheme="minorEastAsia" w:hAnsiTheme="minorHAnsi" w:cstheme="minorBidi"/>
          <w:b w:val="0"/>
          <w:szCs w:val="22"/>
        </w:rPr>
      </w:pPr>
      <w:r>
        <w:t>Division 1 — Service charges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Service charges for 2024/25 and subsequent years</w:t>
      </w:r>
      <w:r>
        <w:tab/>
      </w:r>
      <w:r>
        <w:fldChar w:fldCharType="begin"/>
      </w:r>
      <w:r>
        <w:instrText xml:space="preserve"> PAGEREF _Toc170209199 \h </w:instrText>
      </w:r>
      <w:r>
        <w:fldChar w:fldCharType="separate"/>
      </w:r>
      <w:r>
        <w:t>61</w:t>
      </w:r>
      <w:r>
        <w:fldChar w:fldCharType="end"/>
      </w:r>
    </w:p>
    <w:p>
      <w:pPr>
        <w:pStyle w:val="TOC8"/>
        <w:rPr>
          <w:rFonts w:asciiTheme="minorHAnsi" w:eastAsiaTheme="minorEastAsia" w:hAnsiTheme="minorHAnsi" w:cstheme="minorBidi"/>
          <w:szCs w:val="22"/>
        </w:rPr>
      </w:pPr>
      <w:r>
        <w:t>2.</w:t>
      </w:r>
      <w:r>
        <w:tab/>
        <w:t>Table of meter</w:t>
      </w:r>
      <w:r>
        <w:noBreakHyphen/>
        <w:t>based charges</w:t>
      </w:r>
      <w:r>
        <w:tab/>
      </w:r>
      <w:r>
        <w:fldChar w:fldCharType="begin"/>
      </w:r>
      <w:r>
        <w:instrText xml:space="preserve"> PAGEREF _Toc170209200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charges that apply for land</w:t>
      </w:r>
    </w:p>
    <w:p>
      <w:pPr>
        <w:pStyle w:val="TOC8"/>
        <w:rPr>
          <w:rFonts w:asciiTheme="minorHAnsi" w:eastAsiaTheme="minorEastAsia" w:hAnsiTheme="minorHAnsi" w:cstheme="minorBidi"/>
          <w:szCs w:val="22"/>
        </w:rPr>
      </w:pPr>
      <w:r>
        <w:t>3.</w:t>
      </w:r>
      <w:r>
        <w:tab/>
        <w:t>Residential</w:t>
      </w:r>
      <w:r>
        <w:tab/>
      </w:r>
      <w:r>
        <w:fldChar w:fldCharType="begin"/>
      </w:r>
      <w:r>
        <w:instrText xml:space="preserve"> PAGEREF _Toc170209202 \h </w:instrText>
      </w:r>
      <w:r>
        <w:fldChar w:fldCharType="separate"/>
      </w:r>
      <w:r>
        <w:t>62</w:t>
      </w:r>
      <w:r>
        <w:fldChar w:fldCharType="end"/>
      </w:r>
    </w:p>
    <w:p>
      <w:pPr>
        <w:pStyle w:val="TOC8"/>
        <w:rPr>
          <w:rFonts w:asciiTheme="minorHAnsi" w:eastAsiaTheme="minorEastAsia" w:hAnsiTheme="minorHAnsi" w:cstheme="minorBidi"/>
          <w:szCs w:val="22"/>
        </w:rPr>
      </w:pPr>
      <w:r>
        <w:t>4.</w:t>
      </w:r>
      <w:r>
        <w:tab/>
        <w:t>Metropolitan concessional</w:t>
      </w:r>
      <w:r>
        <w:tab/>
      </w:r>
      <w:r>
        <w:fldChar w:fldCharType="begin"/>
      </w:r>
      <w:r>
        <w:instrText xml:space="preserve"> PAGEREF _Toc170209203 \h </w:instrText>
      </w:r>
      <w:r>
        <w:fldChar w:fldCharType="separate"/>
      </w:r>
      <w:r>
        <w:t>62</w:t>
      </w:r>
      <w:r>
        <w:fldChar w:fldCharType="end"/>
      </w:r>
    </w:p>
    <w:p>
      <w:pPr>
        <w:pStyle w:val="TOC8"/>
        <w:rPr>
          <w:rFonts w:asciiTheme="minorHAnsi" w:eastAsiaTheme="minorEastAsia" w:hAnsiTheme="minorHAnsi" w:cstheme="minorBidi"/>
          <w:szCs w:val="22"/>
        </w:rPr>
      </w:pPr>
      <w:r>
        <w:t>5.</w:t>
      </w:r>
      <w:r>
        <w:tab/>
        <w:t>Strata</w:t>
      </w:r>
      <w:r>
        <w:noBreakHyphen/>
        <w:t>titled or long</w:t>
      </w:r>
      <w:r>
        <w:noBreakHyphen/>
        <w:t>term residential caravan bays and park homes</w:t>
      </w:r>
      <w:r>
        <w:tab/>
      </w:r>
      <w:r>
        <w:fldChar w:fldCharType="begin"/>
      </w:r>
      <w:r>
        <w:instrText xml:space="preserve"> PAGEREF _Toc170209204 \h </w:instrText>
      </w:r>
      <w:r>
        <w:fldChar w:fldCharType="separate"/>
      </w:r>
      <w:r>
        <w:t>63</w:t>
      </w:r>
      <w:r>
        <w:fldChar w:fldCharType="end"/>
      </w:r>
    </w:p>
    <w:p>
      <w:pPr>
        <w:pStyle w:val="TOC8"/>
        <w:rPr>
          <w:rFonts w:asciiTheme="minorHAnsi" w:eastAsiaTheme="minorEastAsia" w:hAnsiTheme="minorHAnsi" w:cstheme="minorBidi"/>
          <w:szCs w:val="22"/>
        </w:rPr>
      </w:pPr>
      <w:r>
        <w:t>6.</w:t>
      </w:r>
      <w:r>
        <w:tab/>
        <w:t>Storage units or parking bays in strata titles scheme or community titles scheme</w:t>
      </w:r>
      <w:r>
        <w:tab/>
      </w:r>
      <w:r>
        <w:fldChar w:fldCharType="begin"/>
      </w:r>
      <w:r>
        <w:instrText xml:space="preserve"> PAGEREF _Toc170209205 \h </w:instrText>
      </w:r>
      <w:r>
        <w:fldChar w:fldCharType="separate"/>
      </w:r>
      <w:r>
        <w:t>63</w:t>
      </w:r>
      <w:r>
        <w:fldChar w:fldCharType="end"/>
      </w:r>
    </w:p>
    <w:p>
      <w:pPr>
        <w:pStyle w:val="TOC8"/>
        <w:rPr>
          <w:rFonts w:asciiTheme="minorHAnsi" w:eastAsiaTheme="minorEastAsia" w:hAnsiTheme="minorHAnsi" w:cstheme="minorBidi"/>
          <w:szCs w:val="22"/>
        </w:rPr>
      </w:pPr>
      <w:r>
        <w:t>7.</w:t>
      </w:r>
      <w:r>
        <w:tab/>
        <w:t>Non</w:t>
      </w:r>
      <w:r>
        <w:noBreakHyphen/>
        <w:t>residential lots in strata titles scheme or community titles scheme that share a service</w:t>
      </w:r>
      <w:r>
        <w:tab/>
      </w:r>
      <w:r>
        <w:fldChar w:fldCharType="begin"/>
      </w:r>
      <w:r>
        <w:instrText xml:space="preserve"> PAGEREF _Toc170209206 \h </w:instrText>
      </w:r>
      <w:r>
        <w:fldChar w:fldCharType="separate"/>
      </w:r>
      <w:r>
        <w:t>63</w:t>
      </w:r>
      <w:r>
        <w:fldChar w:fldCharType="end"/>
      </w:r>
    </w:p>
    <w:p>
      <w:pPr>
        <w:pStyle w:val="TOC8"/>
        <w:rPr>
          <w:rFonts w:asciiTheme="minorHAnsi" w:eastAsiaTheme="minorEastAsia" w:hAnsiTheme="minorHAnsi" w:cstheme="minorBidi"/>
          <w:szCs w:val="22"/>
        </w:rPr>
      </w:pPr>
      <w:r>
        <w:t>8.</w:t>
      </w:r>
      <w:r>
        <w:tab/>
        <w:t>Community residential</w:t>
      </w:r>
      <w:r>
        <w:tab/>
      </w:r>
      <w:r>
        <w:fldChar w:fldCharType="begin"/>
      </w:r>
      <w:r>
        <w:instrText xml:space="preserve"> PAGEREF _Toc170209207 \h </w:instrText>
      </w:r>
      <w:r>
        <w:fldChar w:fldCharType="separate"/>
      </w:r>
      <w:r>
        <w:t>64</w:t>
      </w:r>
      <w:r>
        <w:fldChar w:fldCharType="end"/>
      </w:r>
    </w:p>
    <w:p>
      <w:pPr>
        <w:pStyle w:val="TOC8"/>
        <w:rPr>
          <w:rFonts w:asciiTheme="minorHAnsi" w:eastAsiaTheme="minorEastAsia" w:hAnsiTheme="minorHAnsi" w:cstheme="minorBidi"/>
          <w:szCs w:val="22"/>
        </w:rPr>
      </w:pPr>
      <w:r>
        <w:t>9.</w:t>
      </w:r>
      <w:r>
        <w:tab/>
        <w:t>Semi</w:t>
      </w:r>
      <w:r>
        <w:noBreakHyphen/>
        <w:t>rural residential</w:t>
      </w:r>
      <w:r>
        <w:tab/>
      </w:r>
      <w:r>
        <w:fldChar w:fldCharType="begin"/>
      </w:r>
      <w:r>
        <w:instrText xml:space="preserve"> PAGEREF _Toc170209208 \h </w:instrText>
      </w:r>
      <w:r>
        <w:fldChar w:fldCharType="separate"/>
      </w:r>
      <w:r>
        <w:t>64</w:t>
      </w:r>
      <w:r>
        <w:fldChar w:fldCharType="end"/>
      </w:r>
    </w:p>
    <w:p>
      <w:pPr>
        <w:pStyle w:val="TOC8"/>
        <w:rPr>
          <w:rFonts w:asciiTheme="minorHAnsi" w:eastAsiaTheme="minorEastAsia" w:hAnsiTheme="minorHAnsi" w:cstheme="minorBidi"/>
          <w:szCs w:val="22"/>
        </w:rPr>
      </w:pPr>
      <w:r>
        <w:t>10.</w:t>
      </w:r>
      <w:r>
        <w:tab/>
        <w:t>Non</w:t>
      </w:r>
      <w:r>
        <w:noBreakHyphen/>
        <w:t>metropolitan concessional</w:t>
      </w:r>
      <w:r>
        <w:tab/>
      </w:r>
      <w:r>
        <w:fldChar w:fldCharType="begin"/>
      </w:r>
      <w:r>
        <w:instrText xml:space="preserve"> PAGEREF _Toc170209209 \h </w:instrText>
      </w:r>
      <w:r>
        <w:fldChar w:fldCharType="separate"/>
      </w:r>
      <w:r>
        <w:t>64</w:t>
      </w:r>
      <w:r>
        <w:fldChar w:fldCharType="end"/>
      </w:r>
    </w:p>
    <w:p>
      <w:pPr>
        <w:pStyle w:val="TOC8"/>
        <w:rPr>
          <w:rFonts w:asciiTheme="minorHAnsi" w:eastAsiaTheme="minorEastAsia" w:hAnsiTheme="minorHAnsi" w:cstheme="minorBidi"/>
          <w:szCs w:val="22"/>
        </w:rPr>
      </w:pPr>
      <w:r>
        <w:t>11.</w:t>
      </w:r>
      <w:r>
        <w:tab/>
        <w:t>Non</w:t>
      </w:r>
      <w:r>
        <w:noBreakHyphen/>
        <w:t>residential or commercial residential (except storage units, parking bays and certain lots in strata titles scheme or community titles scheme)</w:t>
      </w:r>
      <w:r>
        <w:tab/>
      </w:r>
      <w:r>
        <w:fldChar w:fldCharType="begin"/>
      </w:r>
      <w:r>
        <w:instrText xml:space="preserve"> PAGEREF _Toc170209210 \h </w:instrText>
      </w:r>
      <w:r>
        <w:fldChar w:fldCharType="separate"/>
      </w:r>
      <w:r>
        <w:t>66</w:t>
      </w:r>
      <w:r>
        <w:fldChar w:fldCharType="end"/>
      </w:r>
    </w:p>
    <w:p>
      <w:pPr>
        <w:pStyle w:val="TOC8"/>
        <w:rPr>
          <w:rFonts w:asciiTheme="minorHAnsi" w:eastAsiaTheme="minorEastAsia" w:hAnsiTheme="minorHAnsi" w:cstheme="minorBidi"/>
          <w:szCs w:val="22"/>
        </w:rPr>
      </w:pPr>
      <w:r>
        <w:t>12.</w:t>
      </w:r>
      <w:r>
        <w:tab/>
        <w:t>Additional connections</w:t>
      </w:r>
      <w:r>
        <w:tab/>
      </w:r>
      <w:r>
        <w:fldChar w:fldCharType="begin"/>
      </w:r>
      <w:r>
        <w:instrText xml:space="preserve"> PAGEREF _Toc170209211 \h </w:instrText>
      </w:r>
      <w:r>
        <w:fldChar w:fldCharType="separate"/>
      </w:r>
      <w:r>
        <w:t>66</w:t>
      </w:r>
      <w:r>
        <w:fldChar w:fldCharType="end"/>
      </w:r>
    </w:p>
    <w:p>
      <w:pPr>
        <w:pStyle w:val="TOC8"/>
        <w:rPr>
          <w:rFonts w:asciiTheme="minorHAnsi" w:eastAsiaTheme="minorEastAsia" w:hAnsiTheme="minorHAnsi" w:cstheme="minorBidi"/>
          <w:szCs w:val="22"/>
        </w:rPr>
      </w:pPr>
      <w:r>
        <w:t>13.</w:t>
      </w:r>
      <w:r>
        <w:tab/>
        <w:t>Vacant land</w:t>
      </w:r>
      <w:r>
        <w:tab/>
      </w:r>
      <w:r>
        <w:fldChar w:fldCharType="begin"/>
      </w:r>
      <w:r>
        <w:instrText xml:space="preserve"> PAGEREF _Toc170209212 \h </w:instrText>
      </w:r>
      <w:r>
        <w:fldChar w:fldCharType="separate"/>
      </w:r>
      <w:r>
        <w:t>67</w:t>
      </w:r>
      <w:r>
        <w:fldChar w:fldCharType="end"/>
      </w:r>
    </w:p>
    <w:p>
      <w:pPr>
        <w:pStyle w:val="TOC8"/>
        <w:rPr>
          <w:rFonts w:asciiTheme="minorHAnsi" w:eastAsiaTheme="minorEastAsia" w:hAnsiTheme="minorHAnsi" w:cstheme="minorBidi"/>
          <w:szCs w:val="22"/>
        </w:rPr>
      </w:pPr>
      <w:r>
        <w:t>14.</w:t>
      </w:r>
      <w:r>
        <w:tab/>
        <w:t>Garden service connections</w:t>
      </w:r>
      <w:r>
        <w:tab/>
      </w:r>
      <w:r>
        <w:fldChar w:fldCharType="begin"/>
      </w:r>
      <w:r>
        <w:instrText xml:space="preserve"> PAGEREF _Toc170209213 \h </w:instrText>
      </w:r>
      <w:r>
        <w:fldChar w:fldCharType="separate"/>
      </w:r>
      <w:r>
        <w:t>67</w:t>
      </w:r>
      <w:r>
        <w:fldChar w:fldCharType="end"/>
      </w:r>
    </w:p>
    <w:p>
      <w:pPr>
        <w:pStyle w:val="TOC8"/>
        <w:rPr>
          <w:rFonts w:asciiTheme="minorHAnsi" w:eastAsiaTheme="minorEastAsia" w:hAnsiTheme="minorHAnsi" w:cstheme="minorBidi"/>
          <w:szCs w:val="22"/>
        </w:rPr>
      </w:pPr>
      <w:r>
        <w:t>15.</w:t>
      </w:r>
      <w:r>
        <w:tab/>
        <w:t>Government trading organisations and non</w:t>
      </w:r>
      <w:r>
        <w:noBreakHyphen/>
        <w:t>commercial government property</w:t>
      </w:r>
      <w:r>
        <w:tab/>
      </w:r>
      <w:r>
        <w:fldChar w:fldCharType="begin"/>
      </w:r>
      <w:r>
        <w:instrText xml:space="preserve"> PAGEREF _Toc170209214 \h </w:instrText>
      </w:r>
      <w:r>
        <w:fldChar w:fldCharType="separate"/>
      </w:r>
      <w:r>
        <w:t>67</w:t>
      </w:r>
      <w:r>
        <w:fldChar w:fldCharType="end"/>
      </w:r>
    </w:p>
    <w:p>
      <w:pPr>
        <w:pStyle w:val="TOC8"/>
        <w:rPr>
          <w:rFonts w:asciiTheme="minorHAnsi" w:eastAsiaTheme="minorEastAsia" w:hAnsiTheme="minorHAnsi" w:cstheme="minorBidi"/>
          <w:szCs w:val="22"/>
        </w:rPr>
      </w:pPr>
      <w:r>
        <w:t>16.</w:t>
      </w:r>
      <w:r>
        <w:tab/>
        <w:t>Government trading organisations and non</w:t>
      </w:r>
      <w:r>
        <w:noBreakHyphen/>
        <w:t>commercial government property: on</w:t>
      </w:r>
      <w:r>
        <w:noBreakHyphen/>
        <w:t>supply to lessees or ships</w:t>
      </w:r>
      <w:r>
        <w:tab/>
      </w:r>
      <w:r>
        <w:fldChar w:fldCharType="begin"/>
      </w:r>
      <w:r>
        <w:instrText xml:space="preserve"> PAGEREF _Toc170209215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service charges</w:t>
      </w:r>
    </w:p>
    <w:p>
      <w:pPr>
        <w:pStyle w:val="TOC8"/>
        <w:rPr>
          <w:rFonts w:asciiTheme="minorHAnsi" w:eastAsiaTheme="minorEastAsia" w:hAnsiTheme="minorHAnsi" w:cstheme="minorBidi"/>
          <w:szCs w:val="22"/>
        </w:rPr>
      </w:pPr>
      <w:r>
        <w:t>17.</w:t>
      </w:r>
      <w:r>
        <w:tab/>
        <w:t>Farmland</w:t>
      </w:r>
      <w:r>
        <w:tab/>
      </w:r>
      <w:r>
        <w:fldChar w:fldCharType="begin"/>
      </w:r>
      <w:r>
        <w:instrText xml:space="preserve"> PAGEREF _Toc170209217 \h </w:instrText>
      </w:r>
      <w:r>
        <w:fldChar w:fldCharType="separate"/>
      </w:r>
      <w:r>
        <w:t>68</w:t>
      </w:r>
      <w:r>
        <w:fldChar w:fldCharType="end"/>
      </w:r>
    </w:p>
    <w:p>
      <w:pPr>
        <w:pStyle w:val="TOC8"/>
        <w:rPr>
          <w:rFonts w:asciiTheme="minorHAnsi" w:eastAsiaTheme="minorEastAsia" w:hAnsiTheme="minorHAnsi" w:cstheme="minorBidi"/>
          <w:szCs w:val="22"/>
        </w:rPr>
      </w:pPr>
      <w:r>
        <w:t>18.</w:t>
      </w:r>
      <w:r>
        <w:tab/>
        <w:t>Stock</w:t>
      </w:r>
      <w:r>
        <w:tab/>
      </w:r>
      <w:r>
        <w:fldChar w:fldCharType="begin"/>
      </w:r>
      <w:r>
        <w:instrText xml:space="preserve"> PAGEREF _Toc170209218 \h </w:instrText>
      </w:r>
      <w:r>
        <w:fldChar w:fldCharType="separate"/>
      </w:r>
      <w:r>
        <w:t>68</w:t>
      </w:r>
      <w:r>
        <w:fldChar w:fldCharType="end"/>
      </w:r>
    </w:p>
    <w:p>
      <w:pPr>
        <w:pStyle w:val="TOC8"/>
        <w:rPr>
          <w:rFonts w:asciiTheme="minorHAnsi" w:eastAsiaTheme="minorEastAsia" w:hAnsiTheme="minorHAnsi" w:cstheme="minorBidi"/>
          <w:szCs w:val="22"/>
        </w:rPr>
      </w:pPr>
      <w:r>
        <w:t>19.</w:t>
      </w:r>
      <w:r>
        <w:tab/>
        <w:t>Shipping</w:t>
      </w:r>
      <w:r>
        <w:tab/>
      </w:r>
      <w:r>
        <w:fldChar w:fldCharType="begin"/>
      </w:r>
      <w:r>
        <w:instrText xml:space="preserve"> PAGEREF _Toc170209219 \h </w:instrText>
      </w:r>
      <w:r>
        <w:fldChar w:fldCharType="separate"/>
      </w:r>
      <w:r>
        <w:t>69</w:t>
      </w:r>
      <w:r>
        <w:fldChar w:fldCharType="end"/>
      </w:r>
    </w:p>
    <w:p>
      <w:pPr>
        <w:pStyle w:val="TOC8"/>
        <w:rPr>
          <w:rFonts w:asciiTheme="minorHAnsi" w:eastAsiaTheme="minorEastAsia" w:hAnsiTheme="minorHAnsi" w:cstheme="minorBidi"/>
          <w:szCs w:val="22"/>
        </w:rPr>
      </w:pPr>
      <w:r>
        <w:t>20.</w:t>
      </w:r>
      <w:r>
        <w:tab/>
        <w:t>Local government standpipes</w:t>
      </w:r>
      <w:r>
        <w:tab/>
      </w:r>
      <w:r>
        <w:fldChar w:fldCharType="begin"/>
      </w:r>
      <w:r>
        <w:instrText xml:space="preserve"> PAGEREF _Toc170209220 \h </w:instrText>
      </w:r>
      <w:r>
        <w:fldChar w:fldCharType="separate"/>
      </w:r>
      <w:r>
        <w:t>69</w:t>
      </w:r>
      <w:r>
        <w:fldChar w:fldCharType="end"/>
      </w:r>
    </w:p>
    <w:p>
      <w:pPr>
        <w:pStyle w:val="TOC8"/>
        <w:rPr>
          <w:rFonts w:asciiTheme="minorHAnsi" w:eastAsiaTheme="minorEastAsia" w:hAnsiTheme="minorHAnsi" w:cstheme="minorBidi"/>
          <w:szCs w:val="22"/>
        </w:rPr>
      </w:pPr>
      <w:r>
        <w:t>21.</w:t>
      </w:r>
      <w:r>
        <w:tab/>
        <w:t>Fire service connections</w:t>
      </w:r>
      <w:r>
        <w:tab/>
      </w:r>
      <w:r>
        <w:fldChar w:fldCharType="begin"/>
      </w:r>
      <w:r>
        <w:instrText xml:space="preserve"> PAGEREF _Toc170209221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Consumption charges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22.</w:t>
      </w:r>
      <w:r>
        <w:tab/>
        <w:t>Consumption charges for 2024/25 and subsequent years</w:t>
      </w:r>
      <w:r>
        <w:tab/>
      </w:r>
      <w:r>
        <w:fldChar w:fldCharType="begin"/>
      </w:r>
      <w:r>
        <w:instrText xml:space="preserve"> PAGEREF _Toc170209224 \h </w:instrText>
      </w:r>
      <w:r>
        <w:fldChar w:fldCharType="separate"/>
      </w:r>
      <w:r>
        <w:t>69</w:t>
      </w:r>
      <w:r>
        <w:fldChar w:fldCharType="end"/>
      </w:r>
    </w:p>
    <w:p>
      <w:pPr>
        <w:pStyle w:val="TOC8"/>
        <w:rPr>
          <w:rFonts w:asciiTheme="minorHAnsi" w:eastAsiaTheme="minorEastAsia" w:hAnsiTheme="minorHAnsi" w:cstheme="minorBidi"/>
          <w:szCs w:val="22"/>
        </w:rPr>
      </w:pPr>
      <w:r>
        <w:t>23.</w:t>
      </w:r>
      <w:r>
        <w:tab/>
        <w:t>Residential or non</w:t>
      </w:r>
      <w:r>
        <w:noBreakHyphen/>
        <w:t>residential class of town or area</w:t>
      </w:r>
      <w:r>
        <w:tab/>
      </w:r>
      <w:r>
        <w:fldChar w:fldCharType="begin"/>
      </w:r>
      <w:r>
        <w:instrText xml:space="preserve"> PAGEREF _Toc170209225 \h </w:instrText>
      </w:r>
      <w:r>
        <w:fldChar w:fldCharType="separate"/>
      </w:r>
      <w:r>
        <w:t>70</w:t>
      </w:r>
      <w:r>
        <w:fldChar w:fldCharType="end"/>
      </w:r>
    </w:p>
    <w:p>
      <w:pPr>
        <w:pStyle w:val="TOC8"/>
        <w:rPr>
          <w:rFonts w:asciiTheme="minorHAnsi" w:eastAsiaTheme="minorEastAsia" w:hAnsiTheme="minorHAnsi" w:cstheme="minorBidi"/>
          <w:szCs w:val="22"/>
        </w:rPr>
      </w:pPr>
      <w:r>
        <w:t>24.</w:t>
      </w:r>
      <w:r>
        <w:tab/>
        <w:t>Table of class</w:t>
      </w:r>
      <w:r>
        <w:noBreakHyphen/>
        <w:t>based charges</w:t>
      </w:r>
      <w:r>
        <w:tab/>
      </w:r>
      <w:r>
        <w:fldChar w:fldCharType="begin"/>
      </w:r>
      <w:r>
        <w:instrText xml:space="preserve"> PAGEREF _Toc170209226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Consumption charges that apply to land</w:t>
      </w:r>
    </w:p>
    <w:p>
      <w:pPr>
        <w:pStyle w:val="TOC8"/>
        <w:rPr>
          <w:rFonts w:asciiTheme="minorHAnsi" w:eastAsiaTheme="minorEastAsia" w:hAnsiTheme="minorHAnsi" w:cstheme="minorBidi"/>
          <w:szCs w:val="22"/>
        </w:rPr>
      </w:pPr>
      <w:r>
        <w:t>25.</w:t>
      </w:r>
      <w:r>
        <w:tab/>
        <w:t>Metropolitan residential and semi</w:t>
      </w:r>
      <w:r>
        <w:noBreakHyphen/>
        <w:t>rural residential</w:t>
      </w:r>
      <w:r>
        <w:tab/>
      </w:r>
      <w:r>
        <w:fldChar w:fldCharType="begin"/>
      </w:r>
      <w:r>
        <w:instrText xml:space="preserve"> PAGEREF _Toc170209228 \h </w:instrText>
      </w:r>
      <w:r>
        <w:fldChar w:fldCharType="separate"/>
      </w:r>
      <w:r>
        <w:t>71</w:t>
      </w:r>
      <w:r>
        <w:fldChar w:fldCharType="end"/>
      </w:r>
    </w:p>
    <w:p>
      <w:pPr>
        <w:pStyle w:val="TOC8"/>
        <w:rPr>
          <w:rFonts w:asciiTheme="minorHAnsi" w:eastAsiaTheme="minorEastAsia" w:hAnsiTheme="minorHAnsi" w:cstheme="minorBidi"/>
          <w:szCs w:val="22"/>
        </w:rPr>
      </w:pPr>
      <w:r>
        <w:t>26.</w:t>
      </w:r>
      <w:r>
        <w:tab/>
        <w:t>Metropolitan non</w:t>
      </w:r>
      <w:r>
        <w:noBreakHyphen/>
        <w:t>residential</w:t>
      </w:r>
      <w:r>
        <w:tab/>
      </w:r>
      <w:r>
        <w:fldChar w:fldCharType="begin"/>
      </w:r>
      <w:r>
        <w:instrText xml:space="preserve"> PAGEREF _Toc170209229 \h </w:instrText>
      </w:r>
      <w:r>
        <w:fldChar w:fldCharType="separate"/>
      </w:r>
      <w:r>
        <w:t>71</w:t>
      </w:r>
      <w:r>
        <w:fldChar w:fldCharType="end"/>
      </w:r>
    </w:p>
    <w:p>
      <w:pPr>
        <w:pStyle w:val="TOC8"/>
        <w:rPr>
          <w:rFonts w:asciiTheme="minorHAnsi" w:eastAsiaTheme="minorEastAsia" w:hAnsiTheme="minorHAnsi" w:cstheme="minorBidi"/>
          <w:szCs w:val="22"/>
        </w:rPr>
      </w:pPr>
      <w:r>
        <w:t>27.</w:t>
      </w:r>
      <w:r>
        <w:tab/>
        <w:t>Metropolitan non</w:t>
      </w:r>
      <w:r>
        <w:noBreakHyphen/>
        <w:t>residential concessional</w:t>
      </w:r>
      <w:r>
        <w:tab/>
      </w:r>
      <w:r>
        <w:fldChar w:fldCharType="begin"/>
      </w:r>
      <w:r>
        <w:instrText xml:space="preserve"> PAGEREF _Toc170209230 \h </w:instrText>
      </w:r>
      <w:r>
        <w:fldChar w:fldCharType="separate"/>
      </w:r>
      <w:r>
        <w:t>71</w:t>
      </w:r>
      <w:r>
        <w:fldChar w:fldCharType="end"/>
      </w:r>
    </w:p>
    <w:p>
      <w:pPr>
        <w:pStyle w:val="TOC8"/>
        <w:rPr>
          <w:rFonts w:asciiTheme="minorHAnsi" w:eastAsiaTheme="minorEastAsia" w:hAnsiTheme="minorHAnsi" w:cstheme="minorBidi"/>
          <w:szCs w:val="22"/>
        </w:rPr>
      </w:pPr>
      <w:r>
        <w:t>28.</w:t>
      </w:r>
      <w:r>
        <w:tab/>
        <w:t>Community residential</w:t>
      </w:r>
      <w:r>
        <w:tab/>
      </w:r>
      <w:r>
        <w:fldChar w:fldCharType="begin"/>
      </w:r>
      <w:r>
        <w:instrText xml:space="preserve"> PAGEREF _Toc170209231 \h </w:instrText>
      </w:r>
      <w:r>
        <w:fldChar w:fldCharType="separate"/>
      </w:r>
      <w:r>
        <w:t>72</w:t>
      </w:r>
      <w:r>
        <w:fldChar w:fldCharType="end"/>
      </w:r>
    </w:p>
    <w:p>
      <w:pPr>
        <w:pStyle w:val="TOC8"/>
        <w:rPr>
          <w:rFonts w:asciiTheme="minorHAnsi" w:eastAsiaTheme="minorEastAsia" w:hAnsiTheme="minorHAnsi" w:cstheme="minorBidi"/>
          <w:szCs w:val="22"/>
        </w:rPr>
      </w:pPr>
      <w:r>
        <w:t>29.</w:t>
      </w:r>
      <w:r>
        <w:tab/>
        <w:t>Non</w:t>
      </w:r>
      <w:r>
        <w:noBreakHyphen/>
        <w:t>metropolitan residential</w:t>
      </w:r>
      <w:r>
        <w:tab/>
      </w:r>
      <w:r>
        <w:fldChar w:fldCharType="begin"/>
      </w:r>
      <w:r>
        <w:instrText xml:space="preserve"> PAGEREF _Toc170209232 \h </w:instrText>
      </w:r>
      <w:r>
        <w:fldChar w:fldCharType="separate"/>
      </w:r>
      <w:r>
        <w:t>72</w:t>
      </w:r>
      <w:r>
        <w:fldChar w:fldCharType="end"/>
      </w:r>
    </w:p>
    <w:p>
      <w:pPr>
        <w:pStyle w:val="TOC8"/>
        <w:rPr>
          <w:rFonts w:asciiTheme="minorHAnsi" w:eastAsiaTheme="minorEastAsia" w:hAnsiTheme="minorHAnsi" w:cstheme="minorBidi"/>
          <w:szCs w:val="22"/>
        </w:rPr>
      </w:pPr>
      <w:r>
        <w:t>30.</w:t>
      </w:r>
      <w:r>
        <w:tab/>
        <w:t>Non</w:t>
      </w:r>
      <w:r>
        <w:noBreakHyphen/>
        <w:t>metropolitan non</w:t>
      </w:r>
      <w:r>
        <w:noBreakHyphen/>
        <w:t>residential</w:t>
      </w:r>
      <w:r>
        <w:tab/>
      </w:r>
      <w:r>
        <w:fldChar w:fldCharType="begin"/>
      </w:r>
      <w:r>
        <w:instrText xml:space="preserve"> PAGEREF _Toc170209233 \h </w:instrText>
      </w:r>
      <w:r>
        <w:fldChar w:fldCharType="separate"/>
      </w:r>
      <w:r>
        <w:t>73</w:t>
      </w:r>
      <w:r>
        <w:fldChar w:fldCharType="end"/>
      </w:r>
    </w:p>
    <w:p>
      <w:pPr>
        <w:pStyle w:val="TOC8"/>
        <w:rPr>
          <w:rFonts w:asciiTheme="minorHAnsi" w:eastAsiaTheme="minorEastAsia" w:hAnsiTheme="minorHAnsi" w:cstheme="minorBidi"/>
          <w:szCs w:val="22"/>
        </w:rPr>
      </w:pPr>
      <w:r>
        <w:t>31.</w:t>
      </w:r>
      <w:r>
        <w:tab/>
        <w:t>Strata</w:t>
      </w:r>
      <w:r>
        <w:noBreakHyphen/>
        <w:t>titled or long</w:t>
      </w:r>
      <w:r>
        <w:noBreakHyphen/>
        <w:t>term residential caravan bays</w:t>
      </w:r>
      <w:r>
        <w:tab/>
      </w:r>
      <w:r>
        <w:fldChar w:fldCharType="begin"/>
      </w:r>
      <w:r>
        <w:instrText xml:space="preserve"> PAGEREF _Toc170209234 \h </w:instrText>
      </w:r>
      <w:r>
        <w:fldChar w:fldCharType="separate"/>
      </w:r>
      <w:r>
        <w:t>74</w:t>
      </w:r>
      <w:r>
        <w:fldChar w:fldCharType="end"/>
      </w:r>
    </w:p>
    <w:p>
      <w:pPr>
        <w:pStyle w:val="TOC8"/>
        <w:rPr>
          <w:rFonts w:asciiTheme="minorHAnsi" w:eastAsiaTheme="minorEastAsia" w:hAnsiTheme="minorHAnsi" w:cstheme="minorBidi"/>
          <w:szCs w:val="22"/>
        </w:rPr>
      </w:pPr>
      <w:r>
        <w:t>32.</w:t>
      </w:r>
      <w:r>
        <w:tab/>
        <w:t>Government trading organisations and non</w:t>
      </w:r>
      <w:r>
        <w:noBreakHyphen/>
        <w:t>commercial government property</w:t>
      </w:r>
      <w:r>
        <w:tab/>
      </w:r>
      <w:r>
        <w:fldChar w:fldCharType="begin"/>
      </w:r>
      <w:r>
        <w:instrText xml:space="preserve"> PAGEREF _Toc170209235 \h </w:instrText>
      </w:r>
      <w:r>
        <w:fldChar w:fldCharType="separate"/>
      </w:r>
      <w:r>
        <w:t>74</w:t>
      </w:r>
      <w:r>
        <w:fldChar w:fldCharType="end"/>
      </w:r>
    </w:p>
    <w:p>
      <w:pPr>
        <w:pStyle w:val="TOC8"/>
        <w:rPr>
          <w:rFonts w:asciiTheme="minorHAnsi" w:eastAsiaTheme="minorEastAsia" w:hAnsiTheme="minorHAnsi" w:cstheme="minorBidi"/>
          <w:szCs w:val="22"/>
        </w:rPr>
      </w:pPr>
      <w:r>
        <w:t>33.</w:t>
      </w:r>
      <w:r>
        <w:tab/>
        <w:t>Coral Bay desalinated</w:t>
      </w:r>
      <w:r>
        <w:tab/>
      </w:r>
      <w:r>
        <w:fldChar w:fldCharType="begin"/>
      </w:r>
      <w:r>
        <w:instrText xml:space="preserve"> PAGEREF _Toc170209236 \h </w:instrText>
      </w:r>
      <w:r>
        <w:fldChar w:fldCharType="separate"/>
      </w:r>
      <w:r>
        <w:t>75</w:t>
      </w:r>
      <w:r>
        <w:fldChar w:fldCharType="end"/>
      </w:r>
    </w:p>
    <w:p>
      <w:pPr>
        <w:pStyle w:val="TOC8"/>
        <w:rPr>
          <w:rFonts w:asciiTheme="minorHAnsi" w:eastAsiaTheme="minorEastAsia" w:hAnsiTheme="minorHAnsi" w:cstheme="minorBidi"/>
          <w:szCs w:val="22"/>
        </w:rPr>
      </w:pPr>
      <w:r>
        <w:t>34.</w:t>
      </w:r>
      <w:r>
        <w:tab/>
        <w:t>Denham desalinated</w:t>
      </w:r>
      <w:r>
        <w:tab/>
      </w:r>
      <w:r>
        <w:fldChar w:fldCharType="begin"/>
      </w:r>
      <w:r>
        <w:instrText xml:space="preserve"> PAGEREF _Toc170209237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consumption charges</w:t>
      </w:r>
    </w:p>
    <w:p>
      <w:pPr>
        <w:pStyle w:val="TOC8"/>
        <w:rPr>
          <w:rFonts w:asciiTheme="minorHAnsi" w:eastAsiaTheme="minorEastAsia" w:hAnsiTheme="minorHAnsi" w:cstheme="minorBidi"/>
          <w:szCs w:val="22"/>
        </w:rPr>
      </w:pPr>
      <w:r>
        <w:t>35.</w:t>
      </w:r>
      <w:r>
        <w:tab/>
        <w:t>Local government standpipes</w:t>
      </w:r>
      <w:r>
        <w:tab/>
      </w:r>
      <w:r>
        <w:fldChar w:fldCharType="begin"/>
      </w:r>
      <w:r>
        <w:instrText xml:space="preserve"> PAGEREF _Toc170209239 \h </w:instrText>
      </w:r>
      <w:r>
        <w:fldChar w:fldCharType="separate"/>
      </w:r>
      <w:r>
        <w:t>76</w:t>
      </w:r>
      <w:r>
        <w:fldChar w:fldCharType="end"/>
      </w:r>
    </w:p>
    <w:p>
      <w:pPr>
        <w:pStyle w:val="TOC8"/>
        <w:rPr>
          <w:rFonts w:asciiTheme="minorHAnsi" w:eastAsiaTheme="minorEastAsia" w:hAnsiTheme="minorHAnsi" w:cstheme="minorBidi"/>
          <w:szCs w:val="22"/>
        </w:rPr>
      </w:pPr>
      <w:r>
        <w:t>36.</w:t>
      </w:r>
      <w:r>
        <w:tab/>
        <w:t>Shipping</w:t>
      </w:r>
      <w:r>
        <w:tab/>
      </w:r>
      <w:r>
        <w:fldChar w:fldCharType="begin"/>
      </w:r>
      <w:r>
        <w:instrText xml:space="preserve"> PAGEREF _Toc170209240 \h </w:instrText>
      </w:r>
      <w:r>
        <w:fldChar w:fldCharType="separate"/>
      </w:r>
      <w:r>
        <w:t>76</w:t>
      </w:r>
      <w:r>
        <w:fldChar w:fldCharType="end"/>
      </w:r>
    </w:p>
    <w:p>
      <w:pPr>
        <w:pStyle w:val="TOC8"/>
        <w:rPr>
          <w:rFonts w:asciiTheme="minorHAnsi" w:eastAsiaTheme="minorEastAsia" w:hAnsiTheme="minorHAnsi" w:cstheme="minorBidi"/>
          <w:szCs w:val="22"/>
        </w:rPr>
      </w:pPr>
      <w:r>
        <w:t>37.</w:t>
      </w:r>
      <w:r>
        <w:tab/>
        <w:t>Stock</w:t>
      </w:r>
      <w:r>
        <w:tab/>
      </w:r>
      <w:r>
        <w:fldChar w:fldCharType="begin"/>
      </w:r>
      <w:r>
        <w:instrText xml:space="preserve"> PAGEREF _Toc170209241 \h </w:instrText>
      </w:r>
      <w:r>
        <w:fldChar w:fldCharType="separate"/>
      </w:r>
      <w:r>
        <w:t>76</w:t>
      </w:r>
      <w:r>
        <w:fldChar w:fldCharType="end"/>
      </w:r>
    </w:p>
    <w:p>
      <w:pPr>
        <w:pStyle w:val="TOC8"/>
        <w:rPr>
          <w:rFonts w:asciiTheme="minorHAnsi" w:eastAsiaTheme="minorEastAsia" w:hAnsiTheme="minorHAnsi" w:cstheme="minorBidi"/>
          <w:szCs w:val="22"/>
        </w:rPr>
      </w:pPr>
      <w:r>
        <w:t>38.</w:t>
      </w:r>
      <w:r>
        <w:tab/>
        <w:t>Hydrant standpipes</w:t>
      </w:r>
      <w:r>
        <w:tab/>
      </w:r>
      <w:r>
        <w:fldChar w:fldCharType="begin"/>
      </w:r>
      <w:r>
        <w:instrText xml:space="preserve"> PAGEREF _Toc170209242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4 — Sewerage charges for Water Corporation</w:t>
      </w:r>
    </w:p>
    <w:p>
      <w:pPr>
        <w:pStyle w:val="TOC4"/>
        <w:tabs>
          <w:tab w:val="right" w:leader="dot" w:pos="7077"/>
        </w:tabs>
        <w:rPr>
          <w:rFonts w:asciiTheme="minorHAnsi" w:eastAsiaTheme="minorEastAsia" w:hAnsiTheme="minorHAnsi" w:cstheme="minorBidi"/>
          <w:b w:val="0"/>
          <w:szCs w:val="22"/>
        </w:rPr>
      </w:pPr>
      <w:r>
        <w:t>Division 1 — Service charges</w:t>
      </w:r>
    </w:p>
    <w:p>
      <w:pPr>
        <w:pStyle w:val="TOC8"/>
        <w:rPr>
          <w:rFonts w:asciiTheme="minorHAnsi" w:eastAsiaTheme="minorEastAsia" w:hAnsiTheme="minorHAnsi" w:cstheme="minorBidi"/>
          <w:szCs w:val="22"/>
        </w:rPr>
      </w:pPr>
      <w:r>
        <w:t>1.</w:t>
      </w:r>
      <w:r>
        <w:tab/>
        <w:t>Service charges for 2024/25 and subsequent years</w:t>
      </w:r>
      <w:r>
        <w:tab/>
      </w:r>
      <w:r>
        <w:fldChar w:fldCharType="begin"/>
      </w:r>
      <w:r>
        <w:instrText xml:space="preserve"> PAGEREF _Toc170209245 \h </w:instrText>
      </w:r>
      <w:r>
        <w:fldChar w:fldCharType="separate"/>
      </w:r>
      <w:r>
        <w:t>77</w:t>
      </w:r>
      <w:r>
        <w:fldChar w:fldCharType="end"/>
      </w:r>
    </w:p>
    <w:p>
      <w:pPr>
        <w:pStyle w:val="TOC8"/>
        <w:rPr>
          <w:rFonts w:asciiTheme="minorHAnsi" w:eastAsiaTheme="minorEastAsia" w:hAnsiTheme="minorHAnsi" w:cstheme="minorBidi"/>
          <w:szCs w:val="22"/>
        </w:rPr>
      </w:pPr>
      <w:r>
        <w:t>2.</w:t>
      </w:r>
      <w:r>
        <w:tab/>
        <w:t>Metropolitan residential</w:t>
      </w:r>
      <w:r>
        <w:tab/>
      </w:r>
      <w:r>
        <w:fldChar w:fldCharType="begin"/>
      </w:r>
      <w:r>
        <w:instrText xml:space="preserve"> PAGEREF _Toc170209246 \h </w:instrText>
      </w:r>
      <w:r>
        <w:fldChar w:fldCharType="separate"/>
      </w:r>
      <w:r>
        <w:t>77</w:t>
      </w:r>
      <w:r>
        <w:fldChar w:fldCharType="end"/>
      </w:r>
    </w:p>
    <w:p>
      <w:pPr>
        <w:pStyle w:val="TOC8"/>
        <w:rPr>
          <w:rFonts w:asciiTheme="minorHAnsi" w:eastAsiaTheme="minorEastAsia" w:hAnsiTheme="minorHAnsi" w:cstheme="minorBidi"/>
          <w:szCs w:val="22"/>
        </w:rPr>
      </w:pPr>
      <w:r>
        <w:t>3.</w:t>
      </w:r>
      <w:r>
        <w:tab/>
        <w:t>Metropolitan vacant land</w:t>
      </w:r>
      <w:r>
        <w:tab/>
      </w:r>
      <w:r>
        <w:fldChar w:fldCharType="begin"/>
      </w:r>
      <w:r>
        <w:instrText xml:space="preserve"> PAGEREF _Toc170209247 \h </w:instrText>
      </w:r>
      <w:r>
        <w:fldChar w:fldCharType="separate"/>
      </w:r>
      <w:r>
        <w:t>77</w:t>
      </w:r>
      <w:r>
        <w:fldChar w:fldCharType="end"/>
      </w:r>
    </w:p>
    <w:p>
      <w:pPr>
        <w:pStyle w:val="TOC8"/>
        <w:rPr>
          <w:rFonts w:asciiTheme="minorHAnsi" w:eastAsiaTheme="minorEastAsia" w:hAnsiTheme="minorHAnsi" w:cstheme="minorBidi"/>
          <w:szCs w:val="22"/>
        </w:rPr>
      </w:pPr>
      <w:r>
        <w:t>4.</w:t>
      </w:r>
      <w:r>
        <w:tab/>
        <w:t>Metropolitan concessional</w:t>
      </w:r>
      <w:r>
        <w:tab/>
      </w:r>
      <w:r>
        <w:fldChar w:fldCharType="begin"/>
      </w:r>
      <w:r>
        <w:instrText xml:space="preserve"> PAGEREF _Toc170209248 \h </w:instrText>
      </w:r>
      <w:r>
        <w:fldChar w:fldCharType="separate"/>
      </w:r>
      <w:r>
        <w:t>77</w:t>
      </w:r>
      <w:r>
        <w:fldChar w:fldCharType="end"/>
      </w:r>
    </w:p>
    <w:p>
      <w:pPr>
        <w:pStyle w:val="TOC8"/>
        <w:rPr>
          <w:rFonts w:asciiTheme="minorHAnsi" w:eastAsiaTheme="minorEastAsia" w:hAnsiTheme="minorHAnsi" w:cstheme="minorBidi"/>
          <w:szCs w:val="22"/>
        </w:rPr>
      </w:pPr>
      <w:r>
        <w:t>5.</w:t>
      </w:r>
      <w:r>
        <w:tab/>
        <w:t>Strata</w:t>
      </w:r>
      <w:r>
        <w:noBreakHyphen/>
        <w:t>titled long</w:t>
      </w:r>
      <w:r>
        <w:noBreakHyphen/>
        <w:t>term residential caravan bays and park homes</w:t>
      </w:r>
      <w:r>
        <w:tab/>
      </w:r>
      <w:r>
        <w:fldChar w:fldCharType="begin"/>
      </w:r>
      <w:r>
        <w:instrText xml:space="preserve"> PAGEREF _Toc170209249 \h </w:instrText>
      </w:r>
      <w:r>
        <w:fldChar w:fldCharType="separate"/>
      </w:r>
      <w:r>
        <w:t>78</w:t>
      </w:r>
      <w:r>
        <w:fldChar w:fldCharType="end"/>
      </w:r>
    </w:p>
    <w:p>
      <w:pPr>
        <w:pStyle w:val="TOC8"/>
        <w:rPr>
          <w:rFonts w:asciiTheme="minorHAnsi" w:eastAsiaTheme="minorEastAsia" w:hAnsiTheme="minorHAnsi" w:cstheme="minorBidi"/>
          <w:szCs w:val="22"/>
        </w:rPr>
      </w:pPr>
      <w:r>
        <w:t>6.</w:t>
      </w:r>
      <w:r>
        <w:tab/>
        <w:t>Storage units or parking bays in strata titles scheme or community titles scheme</w:t>
      </w:r>
      <w:r>
        <w:tab/>
      </w:r>
      <w:r>
        <w:fldChar w:fldCharType="begin"/>
      </w:r>
      <w:r>
        <w:instrText xml:space="preserve"> PAGEREF _Toc170209250 \h </w:instrText>
      </w:r>
      <w:r>
        <w:fldChar w:fldCharType="separate"/>
      </w:r>
      <w:r>
        <w:t>79</w:t>
      </w:r>
      <w:r>
        <w:fldChar w:fldCharType="end"/>
      </w:r>
    </w:p>
    <w:p>
      <w:pPr>
        <w:pStyle w:val="TOC8"/>
        <w:rPr>
          <w:rFonts w:asciiTheme="minorHAnsi" w:eastAsiaTheme="minorEastAsia" w:hAnsiTheme="minorHAnsi" w:cstheme="minorBidi"/>
          <w:szCs w:val="22"/>
        </w:rPr>
      </w:pPr>
      <w:r>
        <w:t>7.</w:t>
      </w:r>
      <w:r>
        <w:tab/>
        <w:t>Land from which trade waste is discharged into sewer</w:t>
      </w:r>
      <w:r>
        <w:tab/>
      </w:r>
      <w:r>
        <w:fldChar w:fldCharType="begin"/>
      </w:r>
      <w:r>
        <w:instrText xml:space="preserve"> PAGEREF _Toc170209251 \h </w:instrText>
      </w:r>
      <w:r>
        <w:fldChar w:fldCharType="separate"/>
      </w:r>
      <w:r>
        <w:t>79</w:t>
      </w:r>
      <w:r>
        <w:fldChar w:fldCharType="end"/>
      </w:r>
    </w:p>
    <w:p>
      <w:pPr>
        <w:pStyle w:val="TOC8"/>
        <w:rPr>
          <w:rFonts w:asciiTheme="minorHAnsi" w:eastAsiaTheme="minorEastAsia" w:hAnsiTheme="minorHAnsi" w:cstheme="minorBidi"/>
          <w:szCs w:val="22"/>
        </w:rPr>
      </w:pPr>
      <w:r>
        <w:lastRenderedPageBreak/>
        <w:t>8.</w:t>
      </w:r>
      <w:r>
        <w:tab/>
        <w:t>Land from which trade waste is discharged into sewer through grease arrestor</w:t>
      </w:r>
      <w:r>
        <w:tab/>
      </w:r>
      <w:r>
        <w:fldChar w:fldCharType="begin"/>
      </w:r>
      <w:r>
        <w:instrText xml:space="preserve"> PAGEREF _Toc170209252 \h </w:instrText>
      </w:r>
      <w:r>
        <w:fldChar w:fldCharType="separate"/>
      </w:r>
      <w:r>
        <w:t>79</w:t>
      </w:r>
      <w:r>
        <w:fldChar w:fldCharType="end"/>
      </w:r>
    </w:p>
    <w:p>
      <w:pPr>
        <w:pStyle w:val="TOC8"/>
        <w:rPr>
          <w:rFonts w:asciiTheme="minorHAnsi" w:eastAsiaTheme="minorEastAsia" w:hAnsiTheme="minorHAnsi" w:cstheme="minorBidi"/>
          <w:szCs w:val="22"/>
        </w:rPr>
      </w:pPr>
      <w:r>
        <w:t>9.</w:t>
      </w:r>
      <w:r>
        <w:tab/>
        <w:t>Trade waste discharged from open area</w:t>
      </w:r>
      <w:r>
        <w:tab/>
      </w:r>
      <w:r>
        <w:fldChar w:fldCharType="begin"/>
      </w:r>
      <w:r>
        <w:instrText xml:space="preserve"> PAGEREF _Toc170209253 \h </w:instrText>
      </w:r>
      <w:r>
        <w:fldChar w:fldCharType="separate"/>
      </w:r>
      <w:r>
        <w:t>79</w:t>
      </w:r>
      <w:r>
        <w:fldChar w:fldCharType="end"/>
      </w:r>
    </w:p>
    <w:p>
      <w:pPr>
        <w:pStyle w:val="TOC8"/>
        <w:rPr>
          <w:rFonts w:asciiTheme="minorHAnsi" w:eastAsiaTheme="minorEastAsia" w:hAnsiTheme="minorHAnsi" w:cstheme="minorBidi"/>
          <w:szCs w:val="22"/>
        </w:rPr>
      </w:pPr>
      <w:r>
        <w:t>10.</w:t>
      </w:r>
      <w:r>
        <w:tab/>
        <w:t>Non</w:t>
      </w:r>
      <w:r>
        <w:noBreakHyphen/>
        <w:t>metropolitan concessional</w:t>
      </w:r>
      <w:r>
        <w:tab/>
      </w:r>
      <w:r>
        <w:fldChar w:fldCharType="begin"/>
      </w:r>
      <w:r>
        <w:instrText xml:space="preserve"> PAGEREF _Toc170209254 \h </w:instrText>
      </w:r>
      <w:r>
        <w:fldChar w:fldCharType="separate"/>
      </w:r>
      <w:r>
        <w:t>79</w:t>
      </w:r>
      <w:r>
        <w:fldChar w:fldCharType="end"/>
      </w:r>
    </w:p>
    <w:p>
      <w:pPr>
        <w:pStyle w:val="TOC8"/>
        <w:rPr>
          <w:rFonts w:asciiTheme="minorHAnsi" w:eastAsiaTheme="minorEastAsia" w:hAnsiTheme="minorHAnsi" w:cstheme="minorBidi"/>
          <w:szCs w:val="22"/>
        </w:rPr>
      </w:pPr>
      <w:r>
        <w:t>11.</w:t>
      </w:r>
      <w:r>
        <w:tab/>
        <w:t>Community residential</w:t>
      </w:r>
      <w:r>
        <w:tab/>
      </w:r>
      <w:r>
        <w:fldChar w:fldCharType="begin"/>
      </w:r>
      <w:r>
        <w:instrText xml:space="preserve"> PAGEREF _Toc170209255 \h </w:instrText>
      </w:r>
      <w:r>
        <w:fldChar w:fldCharType="separate"/>
      </w:r>
      <w:r>
        <w:t>80</w:t>
      </w:r>
      <w:r>
        <w:fldChar w:fldCharType="end"/>
      </w:r>
    </w:p>
    <w:p>
      <w:pPr>
        <w:pStyle w:val="TOC8"/>
        <w:rPr>
          <w:rFonts w:asciiTheme="minorHAnsi" w:eastAsiaTheme="minorEastAsia" w:hAnsiTheme="minorHAnsi" w:cstheme="minorBidi"/>
          <w:szCs w:val="22"/>
        </w:rPr>
      </w:pPr>
      <w:r>
        <w:t>12.</w:t>
      </w:r>
      <w:r>
        <w:tab/>
        <w:t>Non</w:t>
      </w:r>
      <w:r>
        <w:noBreakHyphen/>
        <w:t>metropolitan residential or vacant land</w:t>
      </w:r>
      <w:r>
        <w:tab/>
      </w:r>
      <w:r>
        <w:fldChar w:fldCharType="begin"/>
      </w:r>
      <w:r>
        <w:instrText xml:space="preserve"> PAGEREF _Toc170209256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Combined charges for certain non</w:t>
      </w:r>
      <w:r>
        <w:noBreakHyphen/>
        <w:t>residential property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w:t>
      </w:r>
      <w:r>
        <w:tab/>
        <w:t>Combined charges for 2024/25 and subsequent years</w:t>
      </w:r>
      <w:r>
        <w:tab/>
      </w:r>
      <w:r>
        <w:fldChar w:fldCharType="begin"/>
      </w:r>
      <w:r>
        <w:instrText xml:space="preserve"> PAGEREF _Toc170209259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Combined charges: metropolitan</w:t>
      </w:r>
    </w:p>
    <w:p>
      <w:pPr>
        <w:pStyle w:val="TOC8"/>
        <w:rPr>
          <w:rFonts w:asciiTheme="minorHAnsi" w:eastAsiaTheme="minorEastAsia" w:hAnsiTheme="minorHAnsi" w:cstheme="minorBidi"/>
          <w:szCs w:val="22"/>
        </w:rPr>
      </w:pPr>
      <w:r>
        <w:t>14.</w:t>
      </w:r>
      <w:r>
        <w:tab/>
        <w:t>Metropolitan non</w:t>
      </w:r>
      <w:r>
        <w:noBreakHyphen/>
        <w:t>residential</w:t>
      </w:r>
      <w:r>
        <w:tab/>
      </w:r>
      <w:r>
        <w:fldChar w:fldCharType="begin"/>
      </w:r>
      <w:r>
        <w:instrText xml:space="preserve"> PAGEREF _Toc170209261 \h </w:instrText>
      </w:r>
      <w:r>
        <w:fldChar w:fldCharType="separate"/>
      </w:r>
      <w:r>
        <w:t>87</w:t>
      </w:r>
      <w:r>
        <w:fldChar w:fldCharType="end"/>
      </w:r>
    </w:p>
    <w:p>
      <w:pPr>
        <w:pStyle w:val="TOC8"/>
        <w:rPr>
          <w:rFonts w:asciiTheme="minorHAnsi" w:eastAsiaTheme="minorEastAsia" w:hAnsiTheme="minorHAnsi" w:cstheme="minorBidi"/>
          <w:szCs w:val="22"/>
        </w:rPr>
      </w:pPr>
      <w:r>
        <w:t>15.</w:t>
      </w:r>
      <w:r>
        <w:tab/>
        <w:t>Metropolitan government trading organisation and non</w:t>
      </w:r>
      <w:r>
        <w:noBreakHyphen/>
        <w:t>commercial government property</w:t>
      </w:r>
      <w:r>
        <w:tab/>
      </w:r>
      <w:r>
        <w:fldChar w:fldCharType="begin"/>
      </w:r>
      <w:r>
        <w:instrText xml:space="preserve"> PAGEREF _Toc170209262 \h </w:instrText>
      </w:r>
      <w:r>
        <w:fldChar w:fldCharType="separate"/>
      </w:r>
      <w:r>
        <w:t>88</w:t>
      </w:r>
      <w:r>
        <w:fldChar w:fldCharType="end"/>
      </w:r>
    </w:p>
    <w:p>
      <w:pPr>
        <w:pStyle w:val="TOC8"/>
        <w:rPr>
          <w:rFonts w:asciiTheme="minorHAnsi" w:eastAsiaTheme="minorEastAsia" w:hAnsiTheme="minorHAnsi" w:cstheme="minorBidi"/>
          <w:szCs w:val="22"/>
        </w:rPr>
      </w:pPr>
      <w:r>
        <w:t>16.</w:t>
      </w:r>
      <w:r>
        <w:tab/>
        <w:t>Metropolitan non</w:t>
      </w:r>
      <w:r>
        <w:noBreakHyphen/>
        <w:t>strata titled caravan park with long</w:t>
      </w:r>
      <w:r>
        <w:noBreakHyphen/>
        <w:t>term residential caravan bays</w:t>
      </w:r>
      <w:r>
        <w:tab/>
      </w:r>
      <w:r>
        <w:fldChar w:fldCharType="begin"/>
      </w:r>
      <w:r>
        <w:instrText xml:space="preserve"> PAGEREF _Toc170209263 \h </w:instrText>
      </w:r>
      <w:r>
        <w:fldChar w:fldCharType="separate"/>
      </w:r>
      <w:r>
        <w:t>88</w:t>
      </w:r>
      <w:r>
        <w:fldChar w:fldCharType="end"/>
      </w:r>
    </w:p>
    <w:p>
      <w:pPr>
        <w:pStyle w:val="TOC8"/>
        <w:rPr>
          <w:rFonts w:asciiTheme="minorHAnsi" w:eastAsiaTheme="minorEastAsia" w:hAnsiTheme="minorHAnsi" w:cstheme="minorBidi"/>
          <w:szCs w:val="22"/>
        </w:rPr>
      </w:pPr>
      <w:r>
        <w:t>17.</w:t>
      </w:r>
      <w:r>
        <w:tab/>
        <w:t>Metropolitan nursing home</w:t>
      </w:r>
      <w:r>
        <w:tab/>
      </w:r>
      <w:r>
        <w:fldChar w:fldCharType="begin"/>
      </w:r>
      <w:r>
        <w:instrText xml:space="preserve"> PAGEREF _Toc170209264 \h </w:instrText>
      </w:r>
      <w:r>
        <w:fldChar w:fldCharType="separate"/>
      </w:r>
      <w:r>
        <w:t>89</w:t>
      </w:r>
      <w:r>
        <w:fldChar w:fldCharType="end"/>
      </w:r>
    </w:p>
    <w:p>
      <w:pPr>
        <w:pStyle w:val="TOC8"/>
        <w:rPr>
          <w:rFonts w:asciiTheme="minorHAnsi" w:eastAsiaTheme="minorEastAsia" w:hAnsiTheme="minorHAnsi" w:cstheme="minorBidi"/>
          <w:szCs w:val="22"/>
        </w:rPr>
      </w:pPr>
      <w:r>
        <w:t>18.</w:t>
      </w:r>
      <w:r>
        <w:tab/>
        <w:t>Certain metropolitan units</w:t>
      </w:r>
      <w:r>
        <w:tab/>
      </w:r>
      <w:r>
        <w:fldChar w:fldCharType="begin"/>
      </w:r>
      <w:r>
        <w:instrText xml:space="preserve"> PAGEREF _Toc170209265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certain factors for Subdivision 2</w:t>
      </w:r>
    </w:p>
    <w:p>
      <w:pPr>
        <w:pStyle w:val="TOC8"/>
        <w:rPr>
          <w:rFonts w:asciiTheme="minorHAnsi" w:eastAsiaTheme="minorEastAsia" w:hAnsiTheme="minorHAnsi" w:cstheme="minorBidi"/>
          <w:szCs w:val="22"/>
        </w:rPr>
      </w:pPr>
      <w:r>
        <w:t>19.</w:t>
      </w:r>
      <w:r>
        <w:tab/>
        <w:t>Service charge</w:t>
      </w:r>
      <w:r>
        <w:tab/>
      </w:r>
      <w:r>
        <w:fldChar w:fldCharType="begin"/>
      </w:r>
      <w:r>
        <w:instrText xml:space="preserve"> PAGEREF _Toc170209267 \h </w:instrText>
      </w:r>
      <w:r>
        <w:fldChar w:fldCharType="separate"/>
      </w:r>
      <w:r>
        <w:t>90</w:t>
      </w:r>
      <w:r>
        <w:fldChar w:fldCharType="end"/>
      </w:r>
    </w:p>
    <w:p>
      <w:pPr>
        <w:pStyle w:val="TOC8"/>
        <w:rPr>
          <w:rFonts w:asciiTheme="minorHAnsi" w:eastAsiaTheme="minorEastAsia" w:hAnsiTheme="minorHAnsi" w:cstheme="minorBidi"/>
          <w:szCs w:val="22"/>
        </w:rPr>
      </w:pPr>
      <w:r>
        <w:t>20.</w:t>
      </w:r>
      <w:r>
        <w:tab/>
        <w:t>Discharge charge</w:t>
      </w:r>
      <w:r>
        <w:tab/>
      </w:r>
      <w:r>
        <w:fldChar w:fldCharType="begin"/>
      </w:r>
      <w:r>
        <w:instrText xml:space="preserve"> PAGEREF _Toc170209268 \h </w:instrText>
      </w:r>
      <w:r>
        <w:fldChar w:fldCharType="separate"/>
      </w:r>
      <w:r>
        <w:t>90</w:t>
      </w:r>
      <w:r>
        <w:fldChar w:fldCharType="end"/>
      </w:r>
    </w:p>
    <w:p>
      <w:pPr>
        <w:pStyle w:val="TOC8"/>
        <w:rPr>
          <w:rFonts w:asciiTheme="minorHAnsi" w:eastAsiaTheme="minorEastAsia" w:hAnsiTheme="minorHAnsi" w:cstheme="minorBidi"/>
          <w:szCs w:val="22"/>
        </w:rPr>
      </w:pPr>
      <w:r>
        <w:t>21.</w:t>
      </w:r>
      <w:r>
        <w:tab/>
        <w:t>Discharge allowance</w:t>
      </w:r>
      <w:r>
        <w:tab/>
      </w:r>
      <w:r>
        <w:fldChar w:fldCharType="begin"/>
      </w:r>
      <w:r>
        <w:instrText xml:space="preserve"> PAGEREF _Toc170209269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Combined charges: non</w:t>
      </w:r>
      <w:r>
        <w:noBreakHyphen/>
        <w:t>metropolitan</w:t>
      </w:r>
    </w:p>
    <w:p>
      <w:pPr>
        <w:pStyle w:val="TOC8"/>
        <w:rPr>
          <w:rFonts w:asciiTheme="minorHAnsi" w:eastAsiaTheme="minorEastAsia" w:hAnsiTheme="minorHAnsi" w:cstheme="minorBidi"/>
          <w:szCs w:val="22"/>
        </w:rPr>
      </w:pPr>
      <w:r>
        <w:t>22.</w:t>
      </w:r>
      <w:r>
        <w:tab/>
        <w:t>Non</w:t>
      </w:r>
      <w:r>
        <w:noBreakHyphen/>
        <w:t>metropolitan non</w:t>
      </w:r>
      <w:r>
        <w:noBreakHyphen/>
        <w:t>residential</w:t>
      </w:r>
      <w:r>
        <w:tab/>
      </w:r>
      <w:r>
        <w:fldChar w:fldCharType="begin"/>
      </w:r>
      <w:r>
        <w:instrText xml:space="preserve"> PAGEREF _Toc170209271 \h </w:instrText>
      </w:r>
      <w:r>
        <w:fldChar w:fldCharType="separate"/>
      </w:r>
      <w:r>
        <w:t>91</w:t>
      </w:r>
      <w:r>
        <w:fldChar w:fldCharType="end"/>
      </w:r>
    </w:p>
    <w:p>
      <w:pPr>
        <w:pStyle w:val="TOC8"/>
        <w:rPr>
          <w:rFonts w:asciiTheme="minorHAnsi" w:eastAsiaTheme="minorEastAsia" w:hAnsiTheme="minorHAnsi" w:cstheme="minorBidi"/>
          <w:szCs w:val="22"/>
        </w:rPr>
      </w:pPr>
      <w:r>
        <w:t>23.</w:t>
      </w:r>
      <w:r>
        <w:tab/>
        <w:t>Non</w:t>
      </w:r>
      <w:r>
        <w:noBreakHyphen/>
        <w:t>metropolitan non</w:t>
      </w:r>
      <w:r>
        <w:noBreakHyphen/>
        <w:t>strata titled caravan park with long</w:t>
      </w:r>
      <w:r>
        <w:noBreakHyphen/>
        <w:t>term residential caravan bays</w:t>
      </w:r>
      <w:r>
        <w:tab/>
      </w:r>
      <w:r>
        <w:fldChar w:fldCharType="begin"/>
      </w:r>
      <w:r>
        <w:instrText xml:space="preserve"> PAGEREF _Toc170209272 \h </w:instrText>
      </w:r>
      <w:r>
        <w:fldChar w:fldCharType="separate"/>
      </w:r>
      <w:r>
        <w:t>92</w:t>
      </w:r>
      <w:r>
        <w:fldChar w:fldCharType="end"/>
      </w:r>
    </w:p>
    <w:p>
      <w:pPr>
        <w:pStyle w:val="TOC8"/>
        <w:rPr>
          <w:rFonts w:asciiTheme="minorHAnsi" w:eastAsiaTheme="minorEastAsia" w:hAnsiTheme="minorHAnsi" w:cstheme="minorBidi"/>
          <w:szCs w:val="22"/>
        </w:rPr>
      </w:pPr>
      <w:r>
        <w:t>24.</w:t>
      </w:r>
      <w:r>
        <w:tab/>
        <w:t>Non</w:t>
      </w:r>
      <w:r>
        <w:noBreakHyphen/>
        <w:t>metropolitan nursing home</w:t>
      </w:r>
      <w:r>
        <w:tab/>
      </w:r>
      <w:r>
        <w:fldChar w:fldCharType="begin"/>
      </w:r>
      <w:r>
        <w:instrText xml:space="preserve"> PAGEREF _Toc170209273 \h </w:instrText>
      </w:r>
      <w:r>
        <w:fldChar w:fldCharType="separate"/>
      </w:r>
      <w:r>
        <w:t>93</w:t>
      </w:r>
      <w:r>
        <w:fldChar w:fldCharType="end"/>
      </w:r>
    </w:p>
    <w:p>
      <w:pPr>
        <w:pStyle w:val="TOC8"/>
        <w:rPr>
          <w:rFonts w:asciiTheme="minorHAnsi" w:eastAsiaTheme="minorEastAsia" w:hAnsiTheme="minorHAnsi" w:cstheme="minorBidi"/>
          <w:szCs w:val="22"/>
        </w:rPr>
      </w:pPr>
      <w:r>
        <w:t>25.</w:t>
      </w:r>
      <w:r>
        <w:tab/>
        <w:t>Certain non</w:t>
      </w:r>
      <w:r>
        <w:noBreakHyphen/>
        <w:t>metropolitan units</w:t>
      </w:r>
      <w:r>
        <w:tab/>
      </w:r>
      <w:r>
        <w:fldChar w:fldCharType="begin"/>
      </w:r>
      <w:r>
        <w:instrText xml:space="preserve"> PAGEREF _Toc170209274 \h </w:instrText>
      </w:r>
      <w:r>
        <w:fldChar w:fldCharType="separate"/>
      </w:r>
      <w:r>
        <w:t>94</w:t>
      </w:r>
      <w:r>
        <w:fldChar w:fldCharType="end"/>
      </w:r>
    </w:p>
    <w:p>
      <w:pPr>
        <w:pStyle w:val="TOC8"/>
        <w:rPr>
          <w:rFonts w:asciiTheme="minorHAnsi" w:eastAsiaTheme="minorEastAsia" w:hAnsiTheme="minorHAnsi" w:cstheme="minorBidi"/>
          <w:szCs w:val="22"/>
        </w:rPr>
      </w:pPr>
      <w:r>
        <w:t>26.</w:t>
      </w:r>
      <w:r>
        <w:tab/>
        <w:t>Non</w:t>
      </w:r>
      <w:r>
        <w:noBreakHyphen/>
        <w:t>metropolitan government trading organisation and non</w:t>
      </w:r>
      <w:r>
        <w:noBreakHyphen/>
        <w:t>commercial government property</w:t>
      </w:r>
      <w:r>
        <w:tab/>
      </w:r>
      <w:r>
        <w:fldChar w:fldCharType="begin"/>
      </w:r>
      <w:r>
        <w:instrText xml:space="preserve"> PAGEREF _Toc170209275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Calculation of certain factors for Subdivision 4</w:t>
      </w:r>
    </w:p>
    <w:p>
      <w:pPr>
        <w:pStyle w:val="TOC8"/>
        <w:rPr>
          <w:rFonts w:asciiTheme="minorHAnsi" w:eastAsiaTheme="minorEastAsia" w:hAnsiTheme="minorHAnsi" w:cstheme="minorBidi"/>
          <w:szCs w:val="22"/>
        </w:rPr>
      </w:pPr>
      <w:r>
        <w:t>27.</w:t>
      </w:r>
      <w:r>
        <w:tab/>
        <w:t>Service charge</w:t>
      </w:r>
      <w:r>
        <w:tab/>
      </w:r>
      <w:r>
        <w:fldChar w:fldCharType="begin"/>
      </w:r>
      <w:r>
        <w:instrText xml:space="preserve"> PAGEREF _Toc170209277 \h </w:instrText>
      </w:r>
      <w:r>
        <w:fldChar w:fldCharType="separate"/>
      </w:r>
      <w:r>
        <w:t>95</w:t>
      </w:r>
      <w:r>
        <w:fldChar w:fldCharType="end"/>
      </w:r>
    </w:p>
    <w:p>
      <w:pPr>
        <w:pStyle w:val="TOC8"/>
        <w:rPr>
          <w:rFonts w:asciiTheme="minorHAnsi" w:eastAsiaTheme="minorEastAsia" w:hAnsiTheme="minorHAnsi" w:cstheme="minorBidi"/>
          <w:szCs w:val="22"/>
        </w:rPr>
      </w:pPr>
      <w:r>
        <w:t>28.</w:t>
      </w:r>
      <w:r>
        <w:tab/>
        <w:t>Discharge charge</w:t>
      </w:r>
      <w:r>
        <w:tab/>
      </w:r>
      <w:r>
        <w:fldChar w:fldCharType="begin"/>
      </w:r>
      <w:r>
        <w:instrText xml:space="preserve"> PAGEREF _Toc170209278 \h </w:instrText>
      </w:r>
      <w:r>
        <w:fldChar w:fldCharType="separate"/>
      </w:r>
      <w:r>
        <w:t>96</w:t>
      </w:r>
      <w:r>
        <w:fldChar w:fldCharType="end"/>
      </w:r>
    </w:p>
    <w:p>
      <w:pPr>
        <w:pStyle w:val="TOC8"/>
        <w:rPr>
          <w:rFonts w:asciiTheme="minorHAnsi" w:eastAsiaTheme="minorEastAsia" w:hAnsiTheme="minorHAnsi" w:cstheme="minorBidi"/>
          <w:szCs w:val="22"/>
        </w:rPr>
      </w:pPr>
      <w:r>
        <w:t>29.</w:t>
      </w:r>
      <w:r>
        <w:tab/>
        <w:t>Discharge allowance</w:t>
      </w:r>
      <w:r>
        <w:tab/>
      </w:r>
      <w:r>
        <w:fldChar w:fldCharType="begin"/>
      </w:r>
      <w:r>
        <w:instrText xml:space="preserve"> PAGEREF _Toc170209279 \h </w:instrText>
      </w:r>
      <w:r>
        <w:fldChar w:fldCharType="separate"/>
      </w:r>
      <w:r>
        <w:t>96</w:t>
      </w:r>
      <w:r>
        <w:fldChar w:fldCharType="end"/>
      </w:r>
    </w:p>
    <w:p>
      <w:pPr>
        <w:pStyle w:val="TOC8"/>
        <w:rPr>
          <w:rFonts w:asciiTheme="minorHAnsi" w:eastAsiaTheme="minorEastAsia" w:hAnsiTheme="minorHAnsi" w:cstheme="minorBidi"/>
          <w:szCs w:val="22"/>
        </w:rPr>
      </w:pPr>
      <w:r>
        <w:t>30.</w:t>
      </w:r>
      <w:r>
        <w:tab/>
        <w:t>Maximum charge</w:t>
      </w:r>
      <w:r>
        <w:tab/>
      </w:r>
      <w:r>
        <w:fldChar w:fldCharType="begin"/>
      </w:r>
      <w:r>
        <w:instrText xml:space="preserve"> PAGEREF _Toc170209280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Discharge charges: trade waste and effluent</w:t>
      </w:r>
    </w:p>
    <w:p>
      <w:pPr>
        <w:pStyle w:val="TOC8"/>
        <w:rPr>
          <w:rFonts w:asciiTheme="minorHAnsi" w:eastAsiaTheme="minorEastAsia" w:hAnsiTheme="minorHAnsi" w:cstheme="minorBidi"/>
          <w:szCs w:val="22"/>
        </w:rPr>
      </w:pPr>
      <w:r>
        <w:t>31.</w:t>
      </w:r>
      <w:r>
        <w:tab/>
        <w:t>Discharge charges for 2024/25 and subsequent years</w:t>
      </w:r>
      <w:r>
        <w:tab/>
      </w:r>
      <w:r>
        <w:fldChar w:fldCharType="begin"/>
      </w:r>
      <w:r>
        <w:instrText xml:space="preserve"> PAGEREF _Toc170209282 \h </w:instrText>
      </w:r>
      <w:r>
        <w:fldChar w:fldCharType="separate"/>
      </w:r>
      <w:r>
        <w:t>98</w:t>
      </w:r>
      <w:r>
        <w:fldChar w:fldCharType="end"/>
      </w:r>
    </w:p>
    <w:p>
      <w:pPr>
        <w:pStyle w:val="TOC8"/>
        <w:rPr>
          <w:rFonts w:asciiTheme="minorHAnsi" w:eastAsiaTheme="minorEastAsia" w:hAnsiTheme="minorHAnsi" w:cstheme="minorBidi"/>
          <w:szCs w:val="22"/>
        </w:rPr>
      </w:pPr>
      <w:r>
        <w:t>32.</w:t>
      </w:r>
      <w:r>
        <w:tab/>
        <w:t>Trade waste discharged into sewer under approval</w:t>
      </w:r>
      <w:r>
        <w:tab/>
      </w:r>
      <w:r>
        <w:fldChar w:fldCharType="begin"/>
      </w:r>
      <w:r>
        <w:instrText xml:space="preserve"> PAGEREF _Toc170209283 \h </w:instrText>
      </w:r>
      <w:r>
        <w:fldChar w:fldCharType="separate"/>
      </w:r>
      <w:r>
        <w:t>98</w:t>
      </w:r>
      <w:r>
        <w:fldChar w:fldCharType="end"/>
      </w:r>
    </w:p>
    <w:p>
      <w:pPr>
        <w:pStyle w:val="TOC8"/>
        <w:rPr>
          <w:rFonts w:asciiTheme="minorHAnsi" w:eastAsiaTheme="minorEastAsia" w:hAnsiTheme="minorHAnsi" w:cstheme="minorBidi"/>
          <w:szCs w:val="22"/>
        </w:rPr>
      </w:pPr>
      <w:r>
        <w:t>33.</w:t>
      </w:r>
      <w:r>
        <w:tab/>
        <w:t>Effluent discharged from septic tank effluent pumping system into sewer</w:t>
      </w:r>
      <w:r>
        <w:tab/>
      </w:r>
      <w:r>
        <w:fldChar w:fldCharType="begin"/>
      </w:r>
      <w:r>
        <w:instrText xml:space="preserve"> PAGEREF _Toc170209284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5 — Drainage charges for Water Corporation</w:t>
      </w:r>
    </w:p>
    <w:p>
      <w:pPr>
        <w:pStyle w:val="TOC8"/>
        <w:rPr>
          <w:rFonts w:asciiTheme="minorHAnsi" w:eastAsiaTheme="minorEastAsia" w:hAnsiTheme="minorHAnsi" w:cstheme="minorBidi"/>
          <w:szCs w:val="22"/>
        </w:rPr>
      </w:pPr>
      <w:r>
        <w:t>1.</w:t>
      </w:r>
      <w:r>
        <w:tab/>
        <w:t>Drainage charges for 2024/25 and subsequent years</w:t>
      </w:r>
      <w:r>
        <w:tab/>
      </w:r>
      <w:r>
        <w:fldChar w:fldCharType="begin"/>
      </w:r>
      <w:r>
        <w:instrText xml:space="preserve"> PAGEREF _Toc170209286 \h </w:instrText>
      </w:r>
      <w:r>
        <w:fldChar w:fldCharType="separate"/>
      </w:r>
      <w:r>
        <w:t>102</w:t>
      </w:r>
      <w:r>
        <w:fldChar w:fldCharType="end"/>
      </w:r>
    </w:p>
    <w:p>
      <w:pPr>
        <w:pStyle w:val="TOC8"/>
        <w:rPr>
          <w:rFonts w:asciiTheme="minorHAnsi" w:eastAsiaTheme="minorEastAsia" w:hAnsiTheme="minorHAnsi" w:cstheme="minorBidi"/>
          <w:szCs w:val="22"/>
        </w:rPr>
      </w:pPr>
      <w:r>
        <w:t>2.</w:t>
      </w:r>
      <w:r>
        <w:tab/>
        <w:t>Strata</w:t>
      </w:r>
      <w:r>
        <w:noBreakHyphen/>
        <w:t>titled long</w:t>
      </w:r>
      <w:r>
        <w:noBreakHyphen/>
        <w:t>term residential caravan bays and park homes</w:t>
      </w:r>
      <w:r>
        <w:tab/>
      </w:r>
      <w:r>
        <w:fldChar w:fldCharType="begin"/>
      </w:r>
      <w:r>
        <w:instrText xml:space="preserve"> PAGEREF _Toc170209287 \h </w:instrText>
      </w:r>
      <w:r>
        <w:fldChar w:fldCharType="separate"/>
      </w:r>
      <w:r>
        <w:t>102</w:t>
      </w:r>
      <w:r>
        <w:fldChar w:fldCharType="end"/>
      </w:r>
    </w:p>
    <w:p>
      <w:pPr>
        <w:pStyle w:val="TOC8"/>
        <w:rPr>
          <w:rFonts w:asciiTheme="minorHAnsi" w:eastAsiaTheme="minorEastAsia" w:hAnsiTheme="minorHAnsi" w:cstheme="minorBidi"/>
          <w:szCs w:val="22"/>
        </w:rPr>
      </w:pPr>
      <w:r>
        <w:t>3.</w:t>
      </w:r>
      <w:r>
        <w:tab/>
        <w:t>Storage units or parking bays in strata titles scheme or community titles scheme</w:t>
      </w:r>
      <w:r>
        <w:tab/>
      </w:r>
      <w:r>
        <w:fldChar w:fldCharType="begin"/>
      </w:r>
      <w:r>
        <w:instrText xml:space="preserve"> PAGEREF _Toc170209288 \h </w:instrText>
      </w:r>
      <w:r>
        <w:fldChar w:fldCharType="separate"/>
      </w:r>
      <w:r>
        <w:t>102</w:t>
      </w:r>
      <w:r>
        <w:fldChar w:fldCharType="end"/>
      </w:r>
    </w:p>
    <w:p>
      <w:pPr>
        <w:pStyle w:val="TOC8"/>
        <w:rPr>
          <w:rFonts w:asciiTheme="minorHAnsi" w:eastAsiaTheme="minorEastAsia" w:hAnsiTheme="minorHAnsi" w:cstheme="minorBidi"/>
          <w:szCs w:val="22"/>
        </w:rPr>
      </w:pPr>
      <w:r>
        <w:t>4.</w:t>
      </w:r>
      <w:r>
        <w:tab/>
        <w:t>Residential or semi</w:t>
      </w:r>
      <w:r>
        <w:noBreakHyphen/>
        <w:t>rural residential</w:t>
      </w:r>
      <w:r>
        <w:tab/>
      </w:r>
      <w:r>
        <w:fldChar w:fldCharType="begin"/>
      </w:r>
      <w:r>
        <w:instrText xml:space="preserve"> PAGEREF _Toc170209289 \h </w:instrText>
      </w:r>
      <w:r>
        <w:fldChar w:fldCharType="separate"/>
      </w:r>
      <w:r>
        <w:t>102</w:t>
      </w:r>
      <w:r>
        <w:fldChar w:fldCharType="end"/>
      </w:r>
    </w:p>
    <w:p>
      <w:pPr>
        <w:pStyle w:val="TOC8"/>
        <w:rPr>
          <w:rFonts w:asciiTheme="minorHAnsi" w:eastAsiaTheme="minorEastAsia" w:hAnsiTheme="minorHAnsi" w:cstheme="minorBidi"/>
          <w:szCs w:val="22"/>
        </w:rPr>
      </w:pPr>
      <w:r>
        <w:t>5.</w:t>
      </w:r>
      <w:r>
        <w:tab/>
        <w:t>Vacant land</w:t>
      </w:r>
      <w:r>
        <w:tab/>
      </w:r>
      <w:r>
        <w:fldChar w:fldCharType="begin"/>
      </w:r>
      <w:r>
        <w:instrText xml:space="preserve"> PAGEREF _Toc170209290 \h </w:instrText>
      </w:r>
      <w:r>
        <w:fldChar w:fldCharType="separate"/>
      </w:r>
      <w:r>
        <w:t>102</w:t>
      </w:r>
      <w:r>
        <w:fldChar w:fldCharType="end"/>
      </w:r>
    </w:p>
    <w:p>
      <w:pPr>
        <w:pStyle w:val="TOC8"/>
        <w:rPr>
          <w:rFonts w:asciiTheme="minorHAnsi" w:eastAsiaTheme="minorEastAsia" w:hAnsiTheme="minorHAnsi" w:cstheme="minorBidi"/>
          <w:szCs w:val="22"/>
        </w:rPr>
      </w:pPr>
      <w:r>
        <w:t>6.</w:t>
      </w:r>
      <w:r>
        <w:tab/>
        <w:t>Non</w:t>
      </w:r>
      <w:r>
        <w:noBreakHyphen/>
        <w:t>residential (except strata titled caravan bays and storage units or parking bays in strata titles scheme or community titles scheme)</w:t>
      </w:r>
      <w:r>
        <w:tab/>
      </w:r>
      <w:r>
        <w:fldChar w:fldCharType="begin"/>
      </w:r>
      <w:r>
        <w:instrText xml:space="preserve"> PAGEREF _Toc170209291 \h </w:instrText>
      </w:r>
      <w:r>
        <w:fldChar w:fldCharType="separate"/>
      </w:r>
      <w:r>
        <w:t>103</w:t>
      </w:r>
      <w:r>
        <w:fldChar w:fldCharType="end"/>
      </w:r>
    </w:p>
    <w:p>
      <w:pPr>
        <w:pStyle w:val="TOC8"/>
        <w:rPr>
          <w:rFonts w:asciiTheme="minorHAnsi" w:eastAsiaTheme="minorEastAsia" w:hAnsiTheme="minorHAnsi" w:cstheme="minorBidi"/>
          <w:szCs w:val="22"/>
        </w:rPr>
      </w:pPr>
      <w:r>
        <w:t>7.</w:t>
      </w:r>
      <w:r>
        <w:tab/>
        <w:t>Concessional land</w:t>
      </w:r>
      <w:r>
        <w:tab/>
      </w:r>
      <w:r>
        <w:fldChar w:fldCharType="begin"/>
      </w:r>
      <w:r>
        <w:instrText xml:space="preserve"> PAGEREF _Toc170209292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6 — Irrigation charges for Water Corporation (Ord Irrigation District)</w:t>
      </w:r>
    </w:p>
    <w:p>
      <w:pPr>
        <w:pStyle w:val="TOC8"/>
        <w:rPr>
          <w:rFonts w:asciiTheme="minorHAnsi" w:eastAsiaTheme="minorEastAsia" w:hAnsiTheme="minorHAnsi" w:cstheme="minorBidi"/>
          <w:szCs w:val="22"/>
        </w:rPr>
      </w:pPr>
      <w:r>
        <w:t>1.</w:t>
      </w:r>
      <w:r>
        <w:tab/>
        <w:t>Irrigation charges for 2024/25 and subsequent years</w:t>
      </w:r>
      <w:r>
        <w:tab/>
      </w:r>
      <w:r>
        <w:fldChar w:fldCharType="begin"/>
      </w:r>
      <w:r>
        <w:instrText xml:space="preserve"> PAGEREF _Toc170209294 \h </w:instrText>
      </w:r>
      <w:r>
        <w:fldChar w:fldCharType="separate"/>
      </w:r>
      <w:r>
        <w:t>104</w:t>
      </w:r>
      <w:r>
        <w:fldChar w:fldCharType="end"/>
      </w:r>
    </w:p>
    <w:p>
      <w:pPr>
        <w:pStyle w:val="TOC8"/>
        <w:rPr>
          <w:rFonts w:asciiTheme="minorHAnsi" w:eastAsiaTheme="minorEastAsia" w:hAnsiTheme="minorHAnsi" w:cstheme="minorBidi"/>
          <w:szCs w:val="22"/>
        </w:rPr>
      </w:pPr>
      <w:r>
        <w:t>2.</w:t>
      </w:r>
      <w:r>
        <w:tab/>
        <w:t>Water provided as irrigation service</w:t>
      </w:r>
      <w:r>
        <w:tab/>
      </w:r>
      <w:r>
        <w:fldChar w:fldCharType="begin"/>
      </w:r>
      <w:r>
        <w:instrText xml:space="preserve"> PAGEREF _Toc170209295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7 — Miscellaneous charges for Water Corporation</w:t>
      </w:r>
    </w:p>
    <w:p>
      <w:pPr>
        <w:pStyle w:val="TOC8"/>
        <w:rPr>
          <w:rFonts w:asciiTheme="minorHAnsi" w:eastAsiaTheme="minorEastAsia" w:hAnsiTheme="minorHAnsi" w:cstheme="minorBidi"/>
          <w:szCs w:val="22"/>
        </w:rPr>
      </w:pPr>
      <w:r>
        <w:t>1.</w:t>
      </w:r>
      <w:r>
        <w:tab/>
        <w:t>Requests for sub</w:t>
      </w:r>
      <w:r>
        <w:noBreakHyphen/>
        <w:t>meter installations: multi</w:t>
      </w:r>
      <w:r>
        <w:noBreakHyphen/>
        <w:t>unit developments</w:t>
      </w:r>
      <w:r>
        <w:tab/>
      </w:r>
      <w:r>
        <w:fldChar w:fldCharType="begin"/>
      </w:r>
      <w:r>
        <w:instrText xml:space="preserve"> PAGEREF _Toc170209297 \h </w:instrText>
      </w:r>
      <w:r>
        <w:fldChar w:fldCharType="separate"/>
      </w:r>
      <w:r>
        <w:t>105</w:t>
      </w:r>
      <w:r>
        <w:fldChar w:fldCharType="end"/>
      </w:r>
    </w:p>
    <w:p>
      <w:pPr>
        <w:pStyle w:val="TOC8"/>
        <w:rPr>
          <w:rFonts w:asciiTheme="minorHAnsi" w:eastAsiaTheme="minorEastAsia" w:hAnsiTheme="minorHAnsi" w:cstheme="minorBidi"/>
          <w:szCs w:val="22"/>
        </w:rPr>
      </w:pPr>
      <w:r>
        <w:t>2.</w:t>
      </w:r>
      <w:r>
        <w:tab/>
        <w:t>Sub</w:t>
      </w:r>
      <w:r>
        <w:noBreakHyphen/>
        <w:t>meter installations: multi</w:t>
      </w:r>
      <w:r>
        <w:noBreakHyphen/>
        <w:t>unit developments</w:t>
      </w:r>
      <w:r>
        <w:tab/>
      </w:r>
      <w:r>
        <w:fldChar w:fldCharType="begin"/>
      </w:r>
      <w:r>
        <w:instrText xml:space="preserve"> PAGEREF _Toc170209298 \h </w:instrText>
      </w:r>
      <w:r>
        <w:fldChar w:fldCharType="separate"/>
      </w:r>
      <w:r>
        <w:t>105</w:t>
      </w:r>
      <w:r>
        <w:fldChar w:fldCharType="end"/>
      </w:r>
    </w:p>
    <w:p>
      <w:pPr>
        <w:pStyle w:val="TOC8"/>
        <w:rPr>
          <w:rFonts w:asciiTheme="minorHAnsi" w:eastAsiaTheme="minorEastAsia" w:hAnsiTheme="minorHAnsi" w:cstheme="minorBidi"/>
          <w:szCs w:val="22"/>
        </w:rPr>
      </w:pPr>
      <w:r>
        <w:t>3.</w:t>
      </w:r>
      <w:r>
        <w:tab/>
        <w:t>Testing meters</w:t>
      </w:r>
      <w:r>
        <w:tab/>
      </w:r>
      <w:r>
        <w:fldChar w:fldCharType="begin"/>
      </w:r>
      <w:r>
        <w:instrText xml:space="preserve"> PAGEREF _Toc170209299 \h </w:instrText>
      </w:r>
      <w:r>
        <w:fldChar w:fldCharType="separate"/>
      </w:r>
      <w:r>
        <w:t>105</w:t>
      </w:r>
      <w:r>
        <w:fldChar w:fldCharType="end"/>
      </w:r>
    </w:p>
    <w:p>
      <w:pPr>
        <w:pStyle w:val="TOC8"/>
        <w:rPr>
          <w:rFonts w:asciiTheme="minorHAnsi" w:eastAsiaTheme="minorEastAsia" w:hAnsiTheme="minorHAnsi" w:cstheme="minorBidi"/>
          <w:szCs w:val="22"/>
        </w:rPr>
      </w:pPr>
      <w:r>
        <w:t>4.</w:t>
      </w:r>
      <w:r>
        <w:tab/>
        <w:t>Installing water supply connection</w:t>
      </w:r>
      <w:r>
        <w:tab/>
      </w:r>
      <w:r>
        <w:fldChar w:fldCharType="begin"/>
      </w:r>
      <w:r>
        <w:instrText xml:space="preserve"> PAGEREF _Toc170209300 \h </w:instrText>
      </w:r>
      <w:r>
        <w:fldChar w:fldCharType="separate"/>
      </w:r>
      <w:r>
        <w:t>105</w:t>
      </w:r>
      <w:r>
        <w:fldChar w:fldCharType="end"/>
      </w:r>
    </w:p>
    <w:p>
      <w:pPr>
        <w:pStyle w:val="TOC8"/>
        <w:rPr>
          <w:rFonts w:asciiTheme="minorHAnsi" w:eastAsiaTheme="minorEastAsia" w:hAnsiTheme="minorHAnsi" w:cstheme="minorBidi"/>
          <w:szCs w:val="22"/>
        </w:rPr>
      </w:pPr>
      <w:r>
        <w:t>5.</w:t>
      </w:r>
      <w:r>
        <w:tab/>
        <w:t>Activating water supply connection</w:t>
      </w:r>
      <w:r>
        <w:tab/>
      </w:r>
      <w:r>
        <w:fldChar w:fldCharType="begin"/>
      </w:r>
      <w:r>
        <w:instrText xml:space="preserve"> PAGEREF _Toc170209301 \h </w:instrText>
      </w:r>
      <w:r>
        <w:fldChar w:fldCharType="separate"/>
      </w:r>
      <w:r>
        <w:t>106</w:t>
      </w:r>
      <w:r>
        <w:fldChar w:fldCharType="end"/>
      </w:r>
    </w:p>
    <w:p>
      <w:pPr>
        <w:pStyle w:val="TOC8"/>
        <w:rPr>
          <w:rFonts w:asciiTheme="minorHAnsi" w:eastAsiaTheme="minorEastAsia" w:hAnsiTheme="minorHAnsi" w:cstheme="minorBidi"/>
          <w:szCs w:val="22"/>
        </w:rPr>
      </w:pPr>
      <w:r>
        <w:t>6.</w:t>
      </w:r>
      <w:r>
        <w:tab/>
        <w:t>Disconnecting water supply connection</w:t>
      </w:r>
      <w:r>
        <w:tab/>
      </w:r>
      <w:r>
        <w:fldChar w:fldCharType="begin"/>
      </w:r>
      <w:r>
        <w:instrText xml:space="preserve"> PAGEREF _Toc170209302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7.</w:t>
      </w:r>
      <w:r>
        <w:tab/>
        <w:t>Relocating water supply connection</w:t>
      </w:r>
      <w:r>
        <w:tab/>
      </w:r>
      <w:r>
        <w:fldChar w:fldCharType="begin"/>
      </w:r>
      <w:r>
        <w:instrText xml:space="preserve"> PAGEREF _Toc170209303 \h </w:instrText>
      </w:r>
      <w:r>
        <w:fldChar w:fldCharType="separate"/>
      </w:r>
      <w:r>
        <w:t>107</w:t>
      </w:r>
      <w:r>
        <w:fldChar w:fldCharType="end"/>
      </w:r>
    </w:p>
    <w:p>
      <w:pPr>
        <w:pStyle w:val="TOC8"/>
        <w:rPr>
          <w:rFonts w:asciiTheme="minorHAnsi" w:eastAsiaTheme="minorEastAsia" w:hAnsiTheme="minorHAnsi" w:cstheme="minorBidi"/>
          <w:szCs w:val="22"/>
        </w:rPr>
      </w:pPr>
      <w:r>
        <w:t>8.</w:t>
      </w:r>
      <w:r>
        <w:tab/>
        <w:t>Proposal to connect to sewer</w:t>
      </w:r>
      <w:r>
        <w:tab/>
      </w:r>
      <w:r>
        <w:fldChar w:fldCharType="begin"/>
      </w:r>
      <w:r>
        <w:instrText xml:space="preserve"> PAGEREF _Toc170209304 \h </w:instrText>
      </w:r>
      <w:r>
        <w:fldChar w:fldCharType="separate"/>
      </w:r>
      <w:r>
        <w:t>108</w:t>
      </w:r>
      <w:r>
        <w:fldChar w:fldCharType="end"/>
      </w:r>
    </w:p>
    <w:p>
      <w:pPr>
        <w:pStyle w:val="TOC8"/>
        <w:rPr>
          <w:rFonts w:asciiTheme="minorHAnsi" w:eastAsiaTheme="minorEastAsia" w:hAnsiTheme="minorHAnsi" w:cstheme="minorBidi"/>
          <w:szCs w:val="22"/>
        </w:rPr>
      </w:pPr>
      <w:r>
        <w:t>9.</w:t>
      </w:r>
      <w:r>
        <w:tab/>
        <w:t>Installing sewer junction</w:t>
      </w:r>
      <w:r>
        <w:tab/>
      </w:r>
      <w:r>
        <w:fldChar w:fldCharType="begin"/>
      </w:r>
      <w:r>
        <w:instrText xml:space="preserve"> PAGEREF _Toc170209305 \h </w:instrText>
      </w:r>
      <w:r>
        <w:fldChar w:fldCharType="separate"/>
      </w:r>
      <w:r>
        <w:t>108</w:t>
      </w:r>
      <w:r>
        <w:fldChar w:fldCharType="end"/>
      </w:r>
    </w:p>
    <w:p>
      <w:pPr>
        <w:pStyle w:val="TOC8"/>
        <w:rPr>
          <w:rFonts w:asciiTheme="minorHAnsi" w:eastAsiaTheme="minorEastAsia" w:hAnsiTheme="minorHAnsi" w:cstheme="minorBidi"/>
          <w:szCs w:val="22"/>
        </w:rPr>
      </w:pPr>
      <w:r>
        <w:t>10.</w:t>
      </w:r>
      <w:r>
        <w:tab/>
        <w:t>Hire of standpipe for fire hydrant</w:t>
      </w:r>
      <w:r>
        <w:tab/>
      </w:r>
      <w:r>
        <w:fldChar w:fldCharType="begin"/>
      </w:r>
      <w:r>
        <w:instrText xml:space="preserve"> PAGEREF _Toc170209306 \h </w:instrText>
      </w:r>
      <w:r>
        <w:fldChar w:fldCharType="separate"/>
      </w:r>
      <w:r>
        <w:t>108</w:t>
      </w:r>
      <w:r>
        <w:fldChar w:fldCharType="end"/>
      </w:r>
    </w:p>
    <w:p>
      <w:pPr>
        <w:pStyle w:val="TOC8"/>
        <w:rPr>
          <w:rFonts w:asciiTheme="minorHAnsi" w:eastAsiaTheme="minorEastAsia" w:hAnsiTheme="minorHAnsi" w:cstheme="minorBidi"/>
          <w:szCs w:val="22"/>
        </w:rPr>
      </w:pPr>
      <w:r>
        <w:t>11.</w:t>
      </w:r>
      <w:r>
        <w:tab/>
        <w:t>Trade waste: services in relation to discharge</w:t>
      </w:r>
      <w:r>
        <w:tab/>
      </w:r>
      <w:r>
        <w:fldChar w:fldCharType="begin"/>
      </w:r>
      <w:r>
        <w:instrText xml:space="preserve"> PAGEREF _Toc170209307 \h </w:instrText>
      </w:r>
      <w:r>
        <w:fldChar w:fldCharType="separate"/>
      </w:r>
      <w:r>
        <w:t>109</w:t>
      </w:r>
      <w:r>
        <w:fldChar w:fldCharType="end"/>
      </w:r>
    </w:p>
    <w:p>
      <w:pPr>
        <w:pStyle w:val="TOC8"/>
        <w:rPr>
          <w:rFonts w:asciiTheme="minorHAnsi" w:eastAsiaTheme="minorEastAsia" w:hAnsiTheme="minorHAnsi" w:cstheme="minorBidi"/>
          <w:szCs w:val="22"/>
        </w:rPr>
      </w:pPr>
      <w:r>
        <w:t>12.</w:t>
      </w:r>
      <w:r>
        <w:tab/>
        <w:t>Trade waste: product evaluation services</w:t>
      </w:r>
      <w:r>
        <w:tab/>
      </w:r>
      <w:r>
        <w:fldChar w:fldCharType="begin"/>
      </w:r>
      <w:r>
        <w:instrText xml:space="preserve"> PAGEREF _Toc170209308 \h </w:instrText>
      </w:r>
      <w:r>
        <w:fldChar w:fldCharType="separate"/>
      </w:r>
      <w:r>
        <w:t>109</w:t>
      </w:r>
      <w:r>
        <w:fldChar w:fldCharType="end"/>
      </w:r>
    </w:p>
    <w:p>
      <w:pPr>
        <w:pStyle w:val="TOC8"/>
        <w:rPr>
          <w:rFonts w:asciiTheme="minorHAnsi" w:eastAsiaTheme="minorEastAsia" w:hAnsiTheme="minorHAnsi" w:cstheme="minorBidi"/>
          <w:szCs w:val="22"/>
        </w:rPr>
      </w:pPr>
      <w:r>
        <w:t>13.</w:t>
      </w:r>
      <w:r>
        <w:tab/>
        <w:t>Trade waste: one</w:t>
      </w:r>
      <w:r>
        <w:noBreakHyphen/>
        <w:t>off discharge services</w:t>
      </w:r>
      <w:r>
        <w:tab/>
      </w:r>
      <w:r>
        <w:fldChar w:fldCharType="begin"/>
      </w:r>
      <w:r>
        <w:instrText xml:space="preserve"> PAGEREF _Toc170209309 \h </w:instrText>
      </w:r>
      <w:r>
        <w:fldChar w:fldCharType="separate"/>
      </w:r>
      <w:r>
        <w:t>110</w:t>
      </w:r>
      <w:r>
        <w:fldChar w:fldCharType="end"/>
      </w:r>
    </w:p>
    <w:p>
      <w:pPr>
        <w:pStyle w:val="TOC8"/>
        <w:rPr>
          <w:rFonts w:asciiTheme="minorHAnsi" w:eastAsiaTheme="minorEastAsia" w:hAnsiTheme="minorHAnsi" w:cstheme="minorBidi"/>
          <w:szCs w:val="22"/>
        </w:rPr>
      </w:pPr>
      <w:r>
        <w:t>14.</w:t>
      </w:r>
      <w:r>
        <w:tab/>
        <w:t>Meter reading and other information</w:t>
      </w:r>
      <w:r>
        <w:tab/>
      </w:r>
      <w:r>
        <w:fldChar w:fldCharType="begin"/>
      </w:r>
      <w:r>
        <w:instrText xml:space="preserve"> PAGEREF _Toc170209310 \h </w:instrText>
      </w:r>
      <w:r>
        <w:fldChar w:fldCharType="separate"/>
      </w:r>
      <w:r>
        <w:t>110</w:t>
      </w:r>
      <w:r>
        <w:fldChar w:fldCharType="end"/>
      </w:r>
    </w:p>
    <w:p>
      <w:pPr>
        <w:pStyle w:val="TOC8"/>
        <w:rPr>
          <w:rFonts w:asciiTheme="minorHAnsi" w:eastAsiaTheme="minorEastAsia" w:hAnsiTheme="minorHAnsi" w:cstheme="minorBidi"/>
          <w:szCs w:val="22"/>
        </w:rPr>
      </w:pPr>
      <w:r>
        <w:t>15.</w:t>
      </w:r>
      <w:r>
        <w:tab/>
        <w:t>Copies of records</w:t>
      </w:r>
      <w:r>
        <w:tab/>
      </w:r>
      <w:r>
        <w:fldChar w:fldCharType="begin"/>
      </w:r>
      <w:r>
        <w:instrText xml:space="preserve"> PAGEREF _Toc170209311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Schedule 8 — Government trading organisations</w:t>
      </w:r>
    </w:p>
    <w:p>
      <w:pPr>
        <w:pStyle w:val="TOC2"/>
        <w:tabs>
          <w:tab w:val="right" w:leader="dot" w:pos="7077"/>
        </w:tabs>
        <w:rPr>
          <w:rFonts w:asciiTheme="minorHAnsi" w:eastAsiaTheme="minorEastAsia" w:hAnsiTheme="minorHAnsi" w:cstheme="minorBidi"/>
          <w:b w:val="0"/>
          <w:sz w:val="22"/>
          <w:szCs w:val="22"/>
        </w:rPr>
      </w:pPr>
      <w:r>
        <w:t>Schedule 9 — Central business districts</w:t>
      </w:r>
    </w:p>
    <w:p>
      <w:pPr>
        <w:pStyle w:val="TOC8"/>
        <w:rPr>
          <w:rFonts w:asciiTheme="minorHAnsi" w:eastAsiaTheme="minorEastAsia" w:hAnsiTheme="minorHAnsi" w:cstheme="minorBidi"/>
          <w:szCs w:val="22"/>
        </w:rPr>
      </w:pPr>
      <w:r>
        <w:t>1.</w:t>
      </w:r>
      <w:r>
        <w:tab/>
        <w:t>Central business districts</w:t>
      </w:r>
      <w:r>
        <w:tab/>
      </w:r>
      <w:r>
        <w:fldChar w:fldCharType="begin"/>
      </w:r>
      <w:r>
        <w:instrText xml:space="preserve"> PAGEREF _Toc170209314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10 — Class of town or area: current consumption year</w:t>
      </w:r>
    </w:p>
    <w:p>
      <w:pPr>
        <w:pStyle w:val="TOC2"/>
        <w:tabs>
          <w:tab w:val="right" w:leader="dot" w:pos="7077"/>
        </w:tabs>
        <w:rPr>
          <w:rFonts w:asciiTheme="minorHAnsi" w:eastAsiaTheme="minorEastAsia" w:hAnsiTheme="minorHAnsi" w:cstheme="minorBidi"/>
          <w:b w:val="0"/>
          <w:sz w:val="22"/>
          <w:szCs w:val="22"/>
        </w:rPr>
      </w:pPr>
      <w:r>
        <w:t>Schedule 11 — Class of town or area: previous consumption year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_Toc170209318 \h </w:instrText>
      </w:r>
      <w:r>
        <w:fldChar w:fldCharType="separate"/>
      </w:r>
      <w:r>
        <w:t>134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_Toc170209319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(Water Corporations Charges) Regulations 2014</w:t>
      </w:r>
    </w:p>
    <w:p>
      <w:pPr>
        <w:pStyle w:val="Heading2"/>
        <w:pageBreakBefore w:val="0"/>
        <w:spacing w:before="240"/>
      </w:pPr>
      <w:bookmarkStart w:id="2" w:name="_Toc170136725"/>
      <w:bookmarkStart w:id="3" w:name="_Toc170138737"/>
      <w:bookmarkStart w:id="4" w:name="_Toc170203598"/>
      <w:bookmarkStart w:id="5" w:name="_Toc17020909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0209094"/>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(Water Corporations Charges) Regulations 2014</w:t>
      </w:r>
      <w:r>
        <w:t>.</w:t>
      </w:r>
    </w:p>
    <w:p>
      <w:pPr>
        <w:pStyle w:val="Heading5"/>
        <w:rPr>
          <w:spacing w:val="-2"/>
        </w:rPr>
      </w:pPr>
      <w:bookmarkStart w:id="8" w:name="_Toc17020909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rPr>
          <w:spacing w:val="-2"/>
        </w:rPr>
      </w:pPr>
      <w:r>
        <w:tab/>
        <w:t>(a)</w:t>
      </w:r>
      <w:r>
        <w:tab/>
      </w:r>
      <w:r>
        <w:rPr>
          <w:spacing w:val="-2"/>
        </w:rPr>
        <w:t xml:space="preserve">regulations 1 and 2 — on the day on which these regulations are published in the </w:t>
      </w:r>
      <w:r>
        <w:rPr>
          <w:i/>
          <w:spacing w:val="-2"/>
        </w:rPr>
        <w:t>Gazette</w:t>
      </w:r>
      <w:r>
        <w:rPr>
          <w:spacing w:val="-2"/>
        </w:rPr>
        <w:t>;</w:t>
      </w:r>
    </w:p>
    <w:p>
      <w:pPr>
        <w:pStyle w:val="Indenta"/>
      </w:pPr>
      <w:r>
        <w:tab/>
        <w:t>(b)</w:t>
      </w:r>
      <w:r>
        <w:tab/>
        <w:t xml:space="preserve">the rest of the </w:t>
      </w:r>
      <w:r>
        <w:rPr>
          <w:spacing w:val="-2"/>
        </w:rPr>
        <w:t xml:space="preserve">regulations — </w:t>
      </w:r>
      <w:r>
        <w:t>on 1 July 2014.</w:t>
      </w:r>
    </w:p>
    <w:p>
      <w:pPr>
        <w:pStyle w:val="Heading5"/>
      </w:pPr>
      <w:bookmarkStart w:id="9" w:name="_Toc170209096"/>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charge period</w:t>
      </w:r>
      <w:r>
        <w:t>, in relation to a water service charge, means the period to which an invoice for the charge, or a portion of the charge, relates;</w:t>
      </w:r>
    </w:p>
    <w:p>
      <w:pPr>
        <w:pStyle w:val="Defstart"/>
      </w:pPr>
      <w:r>
        <w:tab/>
      </w:r>
      <w:r>
        <w:rPr>
          <w:rStyle w:val="CharDefText"/>
        </w:rPr>
        <w:t>Commonwealth seniors health card</w:t>
      </w:r>
      <w:r>
        <w:t xml:space="preserve"> has the meaning given in the </w:t>
      </w:r>
      <w:r>
        <w:rPr>
          <w:i/>
        </w:rPr>
        <w:t>Rates and Charges (Rebates and Deferments) Act 1992</w:t>
      </w:r>
      <w:r>
        <w:t xml:space="preserve"> section 3(1);</w:t>
      </w:r>
    </w:p>
    <w:p>
      <w:pPr>
        <w:pStyle w:val="Defstart"/>
      </w:pPr>
      <w:r>
        <w:tab/>
      </w:r>
      <w:r>
        <w:rPr>
          <w:rStyle w:val="CharDefText"/>
        </w:rPr>
        <w:t>eligible pensioner</w:t>
      </w:r>
      <w:r>
        <w:t xml:space="preserve"> means a person to whom the </w:t>
      </w:r>
      <w:r>
        <w:rPr>
          <w:i/>
        </w:rPr>
        <w:t>Rates and Charges (Rebates and Deferments) Act 1992</w:t>
      </w:r>
      <w:r>
        <w:t xml:space="preserve"> section 23(1), (2), (3), (4A) or (5) or 24 applies;</w:t>
      </w:r>
    </w:p>
    <w:p>
      <w:pPr>
        <w:pStyle w:val="Defstart"/>
        <w:keepNext/>
        <w:rPr>
          <w:szCs w:val="24"/>
        </w:rPr>
      </w:pPr>
      <w:r>
        <w:lastRenderedPageBreak/>
        <w:tab/>
      </w:r>
      <w:r>
        <w:rPr>
          <w:rStyle w:val="CharDefText"/>
        </w:rPr>
        <w:t>garden service connection</w:t>
      </w:r>
      <w:r>
        <w:t xml:space="preserve"> means </w:t>
      </w:r>
      <w:r>
        <w:rPr>
          <w:szCs w:val="24"/>
        </w:rPr>
        <w:t xml:space="preserve">a water supply connection through which water is, or is to be, supplied exclusively for the purposes of watering a lawn and garden — </w:t>
      </w:r>
    </w:p>
    <w:p>
      <w:pPr>
        <w:pStyle w:val="Defpara"/>
      </w:pPr>
      <w:r>
        <w:tab/>
        <w:t>(a)</w:t>
      </w:r>
      <w:r>
        <w:tab/>
        <w:t>on land on which a dwelling is located, or is proposed to be located; and</w:t>
      </w:r>
    </w:p>
    <w:p>
      <w:pPr>
        <w:pStyle w:val="Defpara"/>
      </w:pPr>
      <w:r>
        <w:tab/>
        <w:t>(b)</w:t>
      </w:r>
      <w:r>
        <w:tab/>
        <w:t>in a street or road adjoining that land;</w:t>
      </w:r>
    </w:p>
    <w:p>
      <w:pPr>
        <w:pStyle w:val="Defstart"/>
      </w:pPr>
      <w:r>
        <w:tab/>
      </w:r>
      <w:r>
        <w:rPr>
          <w:rStyle w:val="CharDefText"/>
        </w:rPr>
        <w:t>registered pensioner</w:t>
      </w:r>
      <w:r>
        <w:t xml:space="preserve">, in relation to land, means an eligible pensioner whose entitlement as regards the land is registered under the </w:t>
      </w:r>
      <w:r>
        <w:rPr>
          <w:i/>
        </w:rPr>
        <w:t>Rates and Charges (Rebates and Deferments) Act 1992</w:t>
      </w:r>
      <w:r>
        <w:t xml:space="preserve"> section 32;</w:t>
      </w:r>
    </w:p>
    <w:p>
      <w:pPr>
        <w:pStyle w:val="Defstart"/>
      </w:pPr>
      <w:r>
        <w:tab/>
      </w:r>
      <w:r>
        <w:rPr>
          <w:rStyle w:val="CharDefText"/>
        </w:rPr>
        <w:t>registered senior</w:t>
      </w:r>
      <w:r>
        <w:t xml:space="preserve">, in relation to land, means an eligible senior, as defined in the </w:t>
      </w:r>
      <w:r>
        <w:rPr>
          <w:i/>
        </w:rPr>
        <w:t>Rates and Charges (Rebates and Deferments) Act 1992</w:t>
      </w:r>
      <w:r>
        <w:t xml:space="preserve"> section 3(1), whose entitlement as regards the land is registered under section 32 of that Act;</w:t>
      </w:r>
    </w:p>
    <w:p>
      <w:pPr>
        <w:pStyle w:val="Defstart"/>
      </w:pPr>
      <w:r>
        <w:tab/>
      </w:r>
      <w:r>
        <w:rPr>
          <w:rStyle w:val="CharDefText"/>
        </w:rPr>
        <w:t>vacant land</w:t>
      </w:r>
      <w:r>
        <w:t xml:space="preserve"> means land that is wholly unimproved apart from having merged improvements, as defined in the </w:t>
      </w:r>
      <w:r>
        <w:rPr>
          <w:i/>
        </w:rPr>
        <w:t>Valuation of Land Act 1978</w:t>
      </w:r>
      <w:r>
        <w:t xml:space="preserve"> section 4(1).</w:t>
      </w:r>
    </w:p>
    <w:p>
      <w:pPr>
        <w:pStyle w:val="Subsection"/>
      </w:pPr>
      <w:r>
        <w:tab/>
        <w:t>(2)</w:t>
      </w:r>
      <w:r>
        <w:tab/>
        <w:t xml:space="preserve">If a term is given a meaning in the </w:t>
      </w:r>
      <w:r>
        <w:rPr>
          <w:i/>
        </w:rPr>
        <w:t>Water Services Regulations 2013</w:t>
      </w:r>
      <w:r>
        <w:t>, it has the same meaning in these regulations unless the contrary intention appears in these regulations.</w:t>
      </w:r>
    </w:p>
    <w:p>
      <w:pPr>
        <w:pStyle w:val="Footnotesection"/>
      </w:pPr>
      <w:r>
        <w:tab/>
        <w:t>[Regulation 3 amended: Gazette 13 Dec 2016 p. 5689</w:t>
      </w:r>
      <w:r>
        <w:noBreakHyphen/>
        <w:t>90.]</w:t>
      </w:r>
    </w:p>
    <w:p>
      <w:pPr>
        <w:pStyle w:val="Heading2"/>
      </w:pPr>
      <w:bookmarkStart w:id="10" w:name="_Toc170136729"/>
      <w:bookmarkStart w:id="11" w:name="_Toc170138741"/>
      <w:bookmarkStart w:id="12" w:name="_Toc170203602"/>
      <w:bookmarkStart w:id="13" w:name="_Toc170209097"/>
      <w:r>
        <w:rPr>
          <w:rStyle w:val="CharPartNo"/>
        </w:rPr>
        <w:lastRenderedPageBreak/>
        <w:t>Part 2</w:t>
      </w:r>
      <w:r>
        <w:rPr>
          <w:rStyle w:val="CharDivNo"/>
        </w:rPr>
        <w:t> </w:t>
      </w:r>
      <w:r>
        <w:t>—</w:t>
      </w:r>
      <w:r>
        <w:rPr>
          <w:rStyle w:val="CharDivText"/>
        </w:rPr>
        <w:t> </w:t>
      </w:r>
      <w:r>
        <w:rPr>
          <w:rStyle w:val="CharPartText"/>
        </w:rPr>
        <w:t>General provisions</w:t>
      </w:r>
      <w:bookmarkEnd w:id="10"/>
      <w:bookmarkEnd w:id="11"/>
      <w:bookmarkEnd w:id="12"/>
      <w:bookmarkEnd w:id="13"/>
    </w:p>
    <w:p>
      <w:pPr>
        <w:pStyle w:val="Heading5"/>
      </w:pPr>
      <w:bookmarkStart w:id="14" w:name="_Toc170209098"/>
      <w:r>
        <w:rPr>
          <w:rStyle w:val="CharSectno"/>
        </w:rPr>
        <w:t>4</w:t>
      </w:r>
      <w:r>
        <w:t>.</w:t>
      </w:r>
      <w:r>
        <w:tab/>
        <w:t>Annual charges and pro rata annual charges</w:t>
      </w:r>
      <w:bookmarkEnd w:id="14"/>
    </w:p>
    <w:p>
      <w:pPr>
        <w:pStyle w:val="Subsection"/>
        <w:rPr>
          <w:snapToGrid w:val="0"/>
        </w:rPr>
      </w:pPr>
      <w:r>
        <w:rPr>
          <w:snapToGrid w:val="0"/>
        </w:rPr>
        <w:tab/>
        <w:t>(1)</w:t>
      </w:r>
      <w:r>
        <w:rPr>
          <w:snapToGrid w:val="0"/>
        </w:rPr>
        <w:tab/>
        <w:t>A water service charge, other than a quality/quantity charge, that applies in respect of land for a financial year applies for the whole year, even if the charge is prescribed after the commencement of the year.</w:t>
      </w:r>
    </w:p>
    <w:p>
      <w:pPr>
        <w:pStyle w:val="Subsection"/>
      </w:pPr>
      <w:r>
        <w:tab/>
        <w:t>(2)</w:t>
      </w:r>
      <w:r>
        <w:tab/>
        <w:t>However, subregulation (1) does not apply so as to affect the amount of any charge that has already become payable for the year.</w:t>
      </w:r>
    </w:p>
    <w:p>
      <w:pPr>
        <w:pStyle w:val="Subsection"/>
      </w:pPr>
      <w:r>
        <w:rPr>
          <w:snapToGrid w:val="0"/>
        </w:rPr>
        <w:tab/>
        <w:t>(3)</w:t>
      </w:r>
      <w:r>
        <w:rPr>
          <w:snapToGrid w:val="0"/>
        </w:rPr>
        <w:tab/>
      </w:r>
      <w:r>
        <w:t>If, part of the way through a financial year, there is a change of circumstances in relation to land that means that there is a change in the water service charges that apply in respect of the land, the charges for the year are to be calculated on a pro rata basis.</w:t>
      </w:r>
    </w:p>
    <w:p>
      <w:pPr>
        <w:pStyle w:val="Heading5"/>
      </w:pPr>
      <w:bookmarkStart w:id="15" w:name="_Toc170209099"/>
      <w:r>
        <w:rPr>
          <w:rStyle w:val="CharSectno"/>
        </w:rPr>
        <w:t>5</w:t>
      </w:r>
      <w:r>
        <w:t>.</w:t>
      </w:r>
      <w:r>
        <w:tab/>
        <w:t>Amendment of consumption or discharge charges during charge period</w:t>
      </w:r>
      <w:bookmarkEnd w:id="15"/>
    </w:p>
    <w:p>
      <w:pPr>
        <w:pStyle w:val="Subsection"/>
        <w:rPr>
          <w:szCs w:val="24"/>
        </w:rPr>
      </w:pPr>
      <w:r>
        <w:tab/>
        <w:t>(1)</w:t>
      </w:r>
      <w:r>
        <w:tab/>
        <w:t>This regulation applies in relation to a water service charge set out in Schedule 1 Division 2, Schedule 2 Division 2, Schedule 3 Division 2 or Schedule 4 Division 2 or </w:t>
      </w:r>
      <w:r>
        <w:rPr>
          <w:szCs w:val="24"/>
        </w:rPr>
        <w:t>3.</w:t>
      </w:r>
    </w:p>
    <w:p>
      <w:pPr>
        <w:pStyle w:val="Subsection"/>
      </w:pPr>
      <w:r>
        <w:rPr>
          <w:szCs w:val="24"/>
        </w:rPr>
        <w:tab/>
        <w:t>(2)</w:t>
      </w:r>
      <w:r>
        <w:rPr>
          <w:szCs w:val="24"/>
        </w:rPr>
        <w:tab/>
      </w:r>
      <w:r>
        <w:t>If the Division</w:t>
      </w:r>
      <w:r>
        <w:rPr>
          <w:szCs w:val="24"/>
        </w:rPr>
        <w:t xml:space="preserve"> </w:t>
      </w:r>
      <w:r>
        <w:t>is amended during a charge period, the amount of the charge payable under the Division for the period is to be worked out as if the amendment had not occurred.</w:t>
      </w:r>
    </w:p>
    <w:p>
      <w:pPr>
        <w:pStyle w:val="Heading2"/>
      </w:pPr>
      <w:bookmarkStart w:id="16" w:name="_Toc170136732"/>
      <w:bookmarkStart w:id="17" w:name="_Toc170138744"/>
      <w:bookmarkStart w:id="18" w:name="_Toc170203605"/>
      <w:bookmarkStart w:id="19" w:name="_Toc170209100"/>
      <w:r>
        <w:rPr>
          <w:rStyle w:val="CharPartNo"/>
        </w:rPr>
        <w:lastRenderedPageBreak/>
        <w:t>Part 3</w:t>
      </w:r>
      <w:r>
        <w:rPr>
          <w:rStyle w:val="CharDivNo"/>
        </w:rPr>
        <w:t> </w:t>
      </w:r>
      <w:r>
        <w:t>—</w:t>
      </w:r>
      <w:r>
        <w:rPr>
          <w:rStyle w:val="CharDivText"/>
        </w:rPr>
        <w:t> </w:t>
      </w:r>
      <w:r>
        <w:rPr>
          <w:rStyle w:val="CharPartText"/>
        </w:rPr>
        <w:t>Charges for Bunbury Water Corporation</w:t>
      </w:r>
      <w:bookmarkEnd w:id="16"/>
      <w:bookmarkEnd w:id="17"/>
      <w:bookmarkEnd w:id="18"/>
      <w:bookmarkEnd w:id="19"/>
    </w:p>
    <w:p>
      <w:pPr>
        <w:pStyle w:val="Heading5"/>
      </w:pPr>
      <w:bookmarkStart w:id="20" w:name="_Toc170209101"/>
      <w:r>
        <w:rPr>
          <w:rStyle w:val="CharSectno"/>
        </w:rPr>
        <w:t>6</w:t>
      </w:r>
      <w:r>
        <w:t>.</w:t>
      </w:r>
      <w:r>
        <w:tab/>
        <w:t>Terms used</w:t>
      </w:r>
      <w:bookmarkEnd w:id="20"/>
    </w:p>
    <w:p>
      <w:pPr>
        <w:pStyle w:val="Subsection"/>
      </w:pPr>
      <w:r>
        <w:tab/>
      </w:r>
      <w:r>
        <w:tab/>
        <w:t xml:space="preserve">In this Part — </w:t>
      </w:r>
    </w:p>
    <w:p>
      <w:pPr>
        <w:pStyle w:val="Defstart"/>
      </w:pPr>
      <w:r>
        <w:tab/>
      </w:r>
      <w:r>
        <w:rPr>
          <w:rStyle w:val="CharDefText"/>
        </w:rPr>
        <w:t>consumption year</w:t>
      </w:r>
      <w:r>
        <w:t>, for land, means the period determined by the Bunbury Water Corporation for the land, commencing on a day that is between 1 July and 31 October (inclusive) and ending on a day that is within 10 days of the expiration of one year after the commencement of the period;</w:t>
      </w:r>
    </w:p>
    <w:p>
      <w:pPr>
        <w:pStyle w:val="Defstart"/>
      </w:pPr>
      <w:r>
        <w:tab/>
      </w:r>
      <w:r>
        <w:rPr>
          <w:rStyle w:val="CharDefText"/>
        </w:rPr>
        <w:t>financial year</w:t>
      </w:r>
      <w:r>
        <w:t>, preceded by a reference to 2 calendar years (for example, 2014/15), means the financial year ending on 30 June in the second of those years;</w:t>
      </w:r>
    </w:p>
    <w:p>
      <w:pPr>
        <w:pStyle w:val="Defstart"/>
      </w:pPr>
      <w:r>
        <w:tab/>
      </w:r>
      <w:r>
        <w:rPr>
          <w:rStyle w:val="CharDefText"/>
        </w:rPr>
        <w:t>lot</w:t>
      </w:r>
      <w:r>
        <w:t xml:space="preserve"> — </w:t>
      </w:r>
    </w:p>
    <w:p>
      <w:pPr>
        <w:pStyle w:val="Defpara"/>
      </w:pPr>
      <w:r>
        <w:tab/>
        <w:t>(a)</w:t>
      </w:r>
      <w:r>
        <w:tab/>
        <w:t xml:space="preserve">has the meaning given in the </w:t>
      </w:r>
      <w:r>
        <w:rPr>
          <w:i/>
        </w:rPr>
        <w:t>Planning and Development Act 2005</w:t>
      </w:r>
      <w:r>
        <w:t xml:space="preserve"> section 4(1); and </w:t>
      </w:r>
    </w:p>
    <w:p>
      <w:pPr>
        <w:pStyle w:val="Defpara"/>
      </w:pPr>
      <w:r>
        <w:tab/>
        <w:t>(b)</w:t>
      </w:r>
      <w:r>
        <w:tab/>
        <w:t>includes the following —</w:t>
      </w:r>
    </w:p>
    <w:p>
      <w:pPr>
        <w:pStyle w:val="Defsubpara"/>
      </w:pPr>
      <w:r>
        <w:tab/>
        <w:t>(i)</w:t>
      </w:r>
      <w:r>
        <w:tab/>
        <w:t>a lot in a strata scheme or a lot in a survey</w:t>
      </w:r>
      <w:r>
        <w:noBreakHyphen/>
        <w:t xml:space="preserve">strata scheme, as those terms are defined in the </w:t>
      </w:r>
      <w:r>
        <w:rPr>
          <w:i/>
        </w:rPr>
        <w:t>Strata Titles Act 1985</w:t>
      </w:r>
      <w:r>
        <w:t xml:space="preserve"> section 3(1); </w:t>
      </w:r>
    </w:p>
    <w:p>
      <w:pPr>
        <w:pStyle w:val="Defsubpara"/>
      </w:pPr>
      <w:r>
        <w:tab/>
        <w:t>(ii)</w:t>
      </w:r>
      <w:r>
        <w:tab/>
        <w:t>an area shown as common property on the scheme plan for a survey</w:t>
      </w:r>
      <w:r>
        <w:noBreakHyphen/>
        <w:t xml:space="preserve">strata scheme, as those terms are defined in the </w:t>
      </w:r>
      <w:r>
        <w:rPr>
          <w:i/>
        </w:rPr>
        <w:t>Strata Titles Act 1985</w:t>
      </w:r>
      <w:r>
        <w:t xml:space="preserve"> section 3(1);</w:t>
      </w:r>
    </w:p>
    <w:p>
      <w:pPr>
        <w:pStyle w:val="Defsubpara"/>
      </w:pPr>
      <w:r>
        <w:tab/>
        <w:t>(iii)</w:t>
      </w:r>
      <w:r>
        <w:tab/>
        <w:t xml:space="preserve">a lot as defined in the </w:t>
      </w:r>
      <w:r>
        <w:rPr>
          <w:i/>
        </w:rPr>
        <w:t>Community Titles Act 2018</w:t>
      </w:r>
      <w:r>
        <w:t xml:space="preserve"> section 3(1); </w:t>
      </w:r>
    </w:p>
    <w:p>
      <w:pPr>
        <w:pStyle w:val="Defsubpara"/>
      </w:pPr>
      <w:r>
        <w:tab/>
        <w:t>(iv)</w:t>
      </w:r>
      <w:r>
        <w:tab/>
        <w:t xml:space="preserve">an area shown as common property on the scheme plan for a community titles (land) scheme, as those terms are defined in the </w:t>
      </w:r>
      <w:r>
        <w:rPr>
          <w:i/>
        </w:rPr>
        <w:t>Community Titles Act 2018</w:t>
      </w:r>
      <w:r>
        <w:t xml:space="preserve"> section 3(1);</w:t>
      </w:r>
    </w:p>
    <w:p>
      <w:pPr>
        <w:pStyle w:val="Defstart"/>
      </w:pPr>
      <w:r>
        <w:tab/>
      </w:r>
      <w:r>
        <w:rPr>
          <w:rStyle w:val="CharDefText"/>
        </w:rPr>
        <w:t>non</w:t>
      </w:r>
      <w:r>
        <w:rPr>
          <w:rStyle w:val="CharDefText"/>
        </w:rPr>
        <w:noBreakHyphen/>
        <w:t>residential lot</w:t>
      </w:r>
      <w:r>
        <w:t xml:space="preserve"> means a lot that is not a residential lot;</w:t>
      </w:r>
    </w:p>
    <w:p>
      <w:pPr>
        <w:pStyle w:val="Defstart"/>
        <w:keepNext/>
      </w:pPr>
      <w:r>
        <w:lastRenderedPageBreak/>
        <w:tab/>
      </w:r>
      <w:r>
        <w:rPr>
          <w:rStyle w:val="CharDefText"/>
        </w:rPr>
        <w:t>residential lot</w:t>
      </w:r>
      <w:r>
        <w:t xml:space="preserve"> means a lot used wholly or primarily for the purpose of providing residential accommodation for the owner or occupier of the lot.</w:t>
      </w:r>
    </w:p>
    <w:p>
      <w:pPr>
        <w:pStyle w:val="Footnotesection"/>
      </w:pPr>
      <w:r>
        <w:tab/>
        <w:t>[Regulation 6 amended: SL 2021/79 r. 8.]</w:t>
      </w:r>
    </w:p>
    <w:p>
      <w:pPr>
        <w:pStyle w:val="Heading5"/>
      </w:pPr>
      <w:bookmarkStart w:id="21" w:name="_Toc170209102"/>
      <w:r>
        <w:rPr>
          <w:rStyle w:val="CharSectno"/>
        </w:rPr>
        <w:t>7</w:t>
      </w:r>
      <w:r>
        <w:t>.</w:t>
      </w:r>
      <w:r>
        <w:tab/>
        <w:t>Water supply charges</w:t>
      </w:r>
      <w:bookmarkEnd w:id="21"/>
    </w:p>
    <w:p>
      <w:pPr>
        <w:pStyle w:val="Subsection"/>
      </w:pPr>
      <w:r>
        <w:tab/>
      </w:r>
      <w:r>
        <w:tab/>
        <w:t>The water service charges set out in Schedule 1 Divisions 1 and 2 apply, in accordance with the Schedule, in respect of land in respect of which a water supply service is provided by the Bunbury Water Corporation.</w:t>
      </w:r>
    </w:p>
    <w:p>
      <w:pPr>
        <w:pStyle w:val="Ednotesection"/>
      </w:pPr>
      <w:r>
        <w:t>[</w:t>
      </w:r>
      <w:r>
        <w:rPr>
          <w:b/>
        </w:rPr>
        <w:t>8.</w:t>
      </w:r>
      <w:r>
        <w:tab/>
        <w:t>Deleted: Gazette 23 Jun 2017 p. 3324.]</w:t>
      </w:r>
    </w:p>
    <w:p>
      <w:pPr>
        <w:pStyle w:val="Heading5"/>
      </w:pPr>
      <w:bookmarkStart w:id="22" w:name="_Toc170209103"/>
      <w:r>
        <w:rPr>
          <w:rStyle w:val="CharSectno"/>
        </w:rPr>
        <w:t>9</w:t>
      </w:r>
      <w:r>
        <w:t>.</w:t>
      </w:r>
      <w:r>
        <w:tab/>
        <w:t>Concessions</w:t>
      </w:r>
      <w:bookmarkEnd w:id="22"/>
    </w:p>
    <w:p>
      <w:pPr>
        <w:pStyle w:val="Subsection"/>
        <w:keepNext/>
      </w:pPr>
      <w:r>
        <w:tab/>
        <w:t>(1)</w:t>
      </w:r>
      <w:r>
        <w:tab/>
        <w:t xml:space="preserve">The following concessions on charges set out in Schedule 1 apply — </w:t>
      </w:r>
    </w:p>
    <w:p>
      <w:pPr>
        <w:pStyle w:val="Indenta"/>
      </w:pPr>
      <w:r>
        <w:rPr>
          <w:snapToGrid w:val="0"/>
        </w:rPr>
        <w:tab/>
        <w:t>(a)</w:t>
      </w:r>
      <w:r>
        <w:rPr>
          <w:snapToGrid w:val="0"/>
        </w:rPr>
        <w:tab/>
      </w:r>
      <w:r>
        <w:t xml:space="preserve">for a person who is a registered senior in relation to land and who does not hold a Commonwealth seniors health card — </w:t>
      </w:r>
    </w:p>
    <w:p>
      <w:pPr>
        <w:pStyle w:val="Indenti"/>
      </w:pPr>
      <w:r>
        <w:tab/>
        <w:t>(i)</w:t>
      </w:r>
      <w:r>
        <w:tab/>
        <w:t>for a charge set out in Schedule 1 item 2 — a 25% discount on the charge; and</w:t>
      </w:r>
    </w:p>
    <w:p>
      <w:pPr>
        <w:pStyle w:val="Indenti"/>
      </w:pPr>
      <w:r>
        <w:tab/>
        <w:t>(ii)</w:t>
      </w:r>
      <w:r>
        <w:tab/>
        <w:t>for a charge set out in Schedule 1 item 5 — a 50% discount on the charge for the first 150 kL of water supplied to the land in the current consumption year;</w:t>
      </w:r>
    </w:p>
    <w:p>
      <w:pPr>
        <w:pStyle w:val="Indenta"/>
      </w:pPr>
      <w:r>
        <w:rPr>
          <w:snapToGrid w:val="0"/>
        </w:rPr>
        <w:tab/>
        <w:t>(b)</w:t>
      </w:r>
      <w:r>
        <w:rPr>
          <w:snapToGrid w:val="0"/>
        </w:rPr>
        <w:tab/>
      </w:r>
      <w:r>
        <w:t xml:space="preserve">for a person who is a registered senior in relation to land and who holds a Commonwealth seniors health card — </w:t>
      </w:r>
    </w:p>
    <w:p>
      <w:pPr>
        <w:pStyle w:val="Indenti"/>
      </w:pPr>
      <w:r>
        <w:tab/>
        <w:t>(i)</w:t>
      </w:r>
      <w:r>
        <w:tab/>
        <w:t>for a charge set out in Schedule 1 item 2 — a 50% discount on the charge; and</w:t>
      </w:r>
    </w:p>
    <w:p>
      <w:pPr>
        <w:pStyle w:val="Indenti"/>
      </w:pPr>
      <w:r>
        <w:tab/>
        <w:t>(ii)</w:t>
      </w:r>
      <w:r>
        <w:tab/>
        <w:t>for a charge set out in Schedule 1 item 5 — a 50% discount on the charge for the first 150 kL of water supplied to the land in the current consumption year;</w:t>
      </w:r>
    </w:p>
    <w:p>
      <w:pPr>
        <w:pStyle w:val="Indenta"/>
      </w:pPr>
      <w:r>
        <w:rPr>
          <w:snapToGrid w:val="0"/>
        </w:rPr>
        <w:lastRenderedPageBreak/>
        <w:tab/>
        <w:t>(c)</w:t>
      </w:r>
      <w:r>
        <w:rPr>
          <w:snapToGrid w:val="0"/>
        </w:rPr>
        <w:tab/>
      </w:r>
      <w:r>
        <w:t xml:space="preserve">for a person who is a registered pensioner in relation to land — </w:t>
      </w:r>
    </w:p>
    <w:p>
      <w:pPr>
        <w:pStyle w:val="Indenti"/>
      </w:pPr>
      <w:r>
        <w:tab/>
        <w:t>(i)</w:t>
      </w:r>
      <w:r>
        <w:tab/>
        <w:t>for a charge set out in Schedule 1 item 2 — a 50% discount on the charge; and</w:t>
      </w:r>
    </w:p>
    <w:p>
      <w:pPr>
        <w:pStyle w:val="Indenti"/>
      </w:pPr>
      <w:r>
        <w:tab/>
        <w:t>(ii)</w:t>
      </w:r>
      <w:r>
        <w:tab/>
        <w:t>for a charge set out in Schedule 1 item 5 — a 50% discount on the charge for the first 350 kL of water supplied to the land in the current consumption year.</w:t>
      </w:r>
    </w:p>
    <w:p>
      <w:pPr>
        <w:pStyle w:val="Subsection"/>
      </w:pPr>
      <w:r>
        <w:tab/>
        <w:t>(2)</w:t>
      </w:r>
      <w:r>
        <w:tab/>
        <w:t>If, for a charge period, a person to whom subregulation (1) applies is not covered by just one paragraph of that subregulation for the whole of the period then concessions are to be determined pro rata.</w:t>
      </w:r>
    </w:p>
    <w:p>
      <w:pPr>
        <w:pStyle w:val="Heading5"/>
      </w:pPr>
      <w:bookmarkStart w:id="23" w:name="_Toc170209104"/>
      <w:r>
        <w:rPr>
          <w:rStyle w:val="CharSectno"/>
        </w:rPr>
        <w:t>10</w:t>
      </w:r>
      <w:r>
        <w:t>.</w:t>
      </w:r>
      <w:r>
        <w:tab/>
        <w:t>Interest accruing on overdue amounts</w:t>
      </w:r>
      <w:bookmarkEnd w:id="23"/>
    </w:p>
    <w:p>
      <w:pPr>
        <w:pStyle w:val="Subsection"/>
      </w:pPr>
      <w:r>
        <w:tab/>
      </w:r>
      <w:r>
        <w:tab/>
        <w:t>If an amount payable under this Part is overdue, interest accrues daily on any part of that amount unpaid after the day on which the amount was due, at the rate of 11.08% per annum.</w:t>
      </w:r>
    </w:p>
    <w:p>
      <w:pPr>
        <w:pStyle w:val="Footnotesection"/>
      </w:pPr>
      <w:r>
        <w:tab/>
        <w:t>[Regulation 10 amended: Gazette 30 Jun 2015 p. 2363; 27 Jun 2016 p. 2538; 23 Jun 2017 p. 3324; SL 2020/95 r. 4; SL 2021/80 r. 4; SL 2023/66 r. 4; SL 2024/117 r. 7.]</w:t>
      </w:r>
    </w:p>
    <w:p>
      <w:pPr>
        <w:pStyle w:val="Heading2"/>
      </w:pPr>
      <w:bookmarkStart w:id="24" w:name="_Toc170136737"/>
      <w:bookmarkStart w:id="25" w:name="_Toc170138749"/>
      <w:bookmarkStart w:id="26" w:name="_Toc170203610"/>
      <w:bookmarkStart w:id="27" w:name="_Toc170209105"/>
      <w:r>
        <w:rPr>
          <w:rStyle w:val="CharPartNo"/>
        </w:rPr>
        <w:lastRenderedPageBreak/>
        <w:t>Part 4</w:t>
      </w:r>
      <w:r>
        <w:rPr>
          <w:rStyle w:val="CharDivNo"/>
        </w:rPr>
        <w:t> </w:t>
      </w:r>
      <w:r>
        <w:t>—</w:t>
      </w:r>
      <w:r>
        <w:rPr>
          <w:rStyle w:val="CharDivText"/>
        </w:rPr>
        <w:t> </w:t>
      </w:r>
      <w:r>
        <w:rPr>
          <w:rStyle w:val="CharPartText"/>
        </w:rPr>
        <w:t>Charges for Busselton Water Corporation</w:t>
      </w:r>
      <w:bookmarkEnd w:id="24"/>
      <w:bookmarkEnd w:id="25"/>
      <w:bookmarkEnd w:id="26"/>
      <w:bookmarkEnd w:id="27"/>
    </w:p>
    <w:p>
      <w:pPr>
        <w:pStyle w:val="Heading5"/>
      </w:pPr>
      <w:bookmarkStart w:id="28" w:name="_Toc170209106"/>
      <w:r>
        <w:rPr>
          <w:rStyle w:val="CharSectno"/>
        </w:rPr>
        <w:t>11</w:t>
      </w:r>
      <w:r>
        <w:t>.</w:t>
      </w:r>
      <w:r>
        <w:tab/>
        <w:t>Terms used</w:t>
      </w:r>
      <w:bookmarkEnd w:id="28"/>
    </w:p>
    <w:p>
      <w:pPr>
        <w:pStyle w:val="Subsection"/>
      </w:pPr>
      <w:r>
        <w:tab/>
      </w:r>
      <w:r>
        <w:tab/>
        <w:t xml:space="preserve">In this Part — </w:t>
      </w:r>
    </w:p>
    <w:p>
      <w:pPr>
        <w:pStyle w:val="Defstart"/>
      </w:pPr>
      <w:r>
        <w:tab/>
      </w:r>
      <w:r>
        <w:rPr>
          <w:rStyle w:val="CharDefText"/>
        </w:rPr>
        <w:t>consumption year</w:t>
      </w:r>
      <w:r>
        <w:t>, in relation to land, means the period determined by the Busselton Water Corporation for the land, commencing on a day that is between 1 July and 31 October (inclusive) and ending on a day that is within 10 days of the expiration of one year after the commencement of the period;</w:t>
      </w:r>
    </w:p>
    <w:p>
      <w:pPr>
        <w:pStyle w:val="Defstart"/>
      </w:pPr>
      <w:r>
        <w:tab/>
      </w:r>
      <w:r>
        <w:rPr>
          <w:rStyle w:val="CharDefText"/>
        </w:rPr>
        <w:t>financial year</w:t>
      </w:r>
      <w:r>
        <w:t>, preceded by a reference to 2 calendar years (for example, 2014/15), means the financial year ending on 30 June in the second of those years;</w:t>
      </w:r>
    </w:p>
    <w:p>
      <w:pPr>
        <w:pStyle w:val="Defstart"/>
      </w:pPr>
      <w:r>
        <w:tab/>
      </w:r>
      <w:r>
        <w:rPr>
          <w:rStyle w:val="CharDefText"/>
        </w:rPr>
        <w:t>lot</w:t>
      </w:r>
      <w:r>
        <w:t xml:space="preserve"> — </w:t>
      </w:r>
    </w:p>
    <w:p>
      <w:pPr>
        <w:pStyle w:val="Defpara"/>
      </w:pPr>
      <w:r>
        <w:tab/>
        <w:t>(a)</w:t>
      </w:r>
      <w:r>
        <w:tab/>
        <w:t xml:space="preserve">has the meaning given in the </w:t>
      </w:r>
      <w:r>
        <w:rPr>
          <w:i/>
        </w:rPr>
        <w:t>Planning and Development Act 2005</w:t>
      </w:r>
      <w:r>
        <w:t xml:space="preserve"> section 4(1); and</w:t>
      </w:r>
    </w:p>
    <w:p>
      <w:pPr>
        <w:pStyle w:val="Defpara"/>
      </w:pPr>
      <w:r>
        <w:tab/>
        <w:t>(b)</w:t>
      </w:r>
      <w:r>
        <w:tab/>
        <w:t xml:space="preserve">includes the following — </w:t>
      </w:r>
    </w:p>
    <w:p>
      <w:pPr>
        <w:pStyle w:val="Defsubpara"/>
      </w:pPr>
      <w:r>
        <w:tab/>
        <w:t>(i)</w:t>
      </w:r>
      <w:r>
        <w:tab/>
        <w:t>a lot in a strata scheme or a lot in a survey</w:t>
      </w:r>
      <w:r>
        <w:noBreakHyphen/>
        <w:t xml:space="preserve">strata scheme, as those terms are defined in the </w:t>
      </w:r>
      <w:r>
        <w:rPr>
          <w:i/>
        </w:rPr>
        <w:t>Strata Titles Act 1985</w:t>
      </w:r>
      <w:r>
        <w:t xml:space="preserve"> section 3(1); </w:t>
      </w:r>
    </w:p>
    <w:p>
      <w:pPr>
        <w:pStyle w:val="Defsubpara"/>
      </w:pPr>
      <w:r>
        <w:tab/>
        <w:t>(ii)</w:t>
      </w:r>
      <w:r>
        <w:tab/>
        <w:t>an area shown as common property on the scheme plan for a survey</w:t>
      </w:r>
      <w:r>
        <w:noBreakHyphen/>
        <w:t xml:space="preserve">strata scheme, as those terms are defined in the </w:t>
      </w:r>
      <w:r>
        <w:rPr>
          <w:i/>
        </w:rPr>
        <w:t>Strata Titles Act 1985</w:t>
      </w:r>
      <w:r>
        <w:t xml:space="preserve"> section 3(1);</w:t>
      </w:r>
    </w:p>
    <w:p>
      <w:pPr>
        <w:pStyle w:val="Defsubpara"/>
      </w:pPr>
      <w:r>
        <w:tab/>
        <w:t>(iii)</w:t>
      </w:r>
      <w:r>
        <w:tab/>
        <w:t xml:space="preserve">a lot as defined in the </w:t>
      </w:r>
      <w:r>
        <w:rPr>
          <w:i/>
        </w:rPr>
        <w:t>Community Titles Act 2018</w:t>
      </w:r>
      <w:r>
        <w:t xml:space="preserve"> section 3(1); </w:t>
      </w:r>
    </w:p>
    <w:p>
      <w:pPr>
        <w:pStyle w:val="Defsubpara"/>
      </w:pPr>
      <w:r>
        <w:tab/>
        <w:t>(iv)</w:t>
      </w:r>
      <w:r>
        <w:tab/>
        <w:t xml:space="preserve">an area shown as common property on the scheme plan for a community titles (land) scheme, as those terms are defined in the </w:t>
      </w:r>
      <w:r>
        <w:rPr>
          <w:i/>
        </w:rPr>
        <w:t>Community Titles Act 2018</w:t>
      </w:r>
      <w:r>
        <w:t xml:space="preserve"> section 3(1);</w:t>
      </w:r>
    </w:p>
    <w:p>
      <w:pPr>
        <w:pStyle w:val="Defstart"/>
      </w:pPr>
      <w:r>
        <w:tab/>
      </w:r>
      <w:r>
        <w:rPr>
          <w:rStyle w:val="CharDefText"/>
        </w:rPr>
        <w:t>non</w:t>
      </w:r>
      <w:r>
        <w:rPr>
          <w:rStyle w:val="CharDefText"/>
        </w:rPr>
        <w:noBreakHyphen/>
        <w:t>residential lot</w:t>
      </w:r>
      <w:r>
        <w:t xml:space="preserve"> means a lot that is neither a residential lot nor vacant land;</w:t>
      </w:r>
    </w:p>
    <w:p>
      <w:pPr>
        <w:pStyle w:val="Defstart"/>
      </w:pPr>
      <w:r>
        <w:lastRenderedPageBreak/>
        <w:tab/>
      </w:r>
      <w:r>
        <w:rPr>
          <w:rStyle w:val="CharDefText"/>
        </w:rPr>
        <w:t>residential lot</w:t>
      </w:r>
      <w:r>
        <w:t xml:space="preserve"> means a lot used wholly or primarily for the purpose of providing residential accommodation for the owner or occupier of the lot.</w:t>
      </w:r>
    </w:p>
    <w:p>
      <w:pPr>
        <w:pStyle w:val="Footnotesection"/>
      </w:pPr>
      <w:r>
        <w:tab/>
        <w:t>[Regulation 11 amended: Gazette 13 Dec 2016 p. 5690; SL 2021/79 r. 9.]</w:t>
      </w:r>
    </w:p>
    <w:p>
      <w:pPr>
        <w:pStyle w:val="Heading5"/>
      </w:pPr>
      <w:bookmarkStart w:id="29" w:name="_Toc170209107"/>
      <w:r>
        <w:rPr>
          <w:rStyle w:val="CharSectno"/>
        </w:rPr>
        <w:t>12</w:t>
      </w:r>
      <w:r>
        <w:t>.</w:t>
      </w:r>
      <w:r>
        <w:tab/>
        <w:t>Water supply charges</w:t>
      </w:r>
      <w:bookmarkEnd w:id="29"/>
    </w:p>
    <w:p>
      <w:pPr>
        <w:pStyle w:val="Subsection"/>
      </w:pPr>
      <w:r>
        <w:tab/>
        <w:t>(1)</w:t>
      </w:r>
      <w:r>
        <w:tab/>
        <w:t>The water service charges set out in Schedule 2 Divisions 1 and 2 apply, in accordance with the Schedule, in respect of land in respect of which a water supply service is provided by the Busselton Water Corporation.</w:t>
      </w:r>
    </w:p>
    <w:p>
      <w:pPr>
        <w:pStyle w:val="Subsection"/>
      </w:pPr>
      <w:r>
        <w:tab/>
        <w:t>(2)</w:t>
      </w:r>
      <w:r>
        <w:tab/>
        <w:t>If the Busselton Water Corporation is satisfied that it is practicable for water supply works of the Busselton Water Corporation to be connected to a water supply outlet on land then, for the purposes of subregulation (1), a water supply service is to be taken to be provided in respect of the land by the Busselton Water Corporation, despite those works not being connected to a water supply outlet on the land.</w:t>
      </w:r>
    </w:p>
    <w:p>
      <w:pPr>
        <w:pStyle w:val="Ednotesection"/>
      </w:pPr>
      <w:r>
        <w:t>[</w:t>
      </w:r>
      <w:r>
        <w:rPr>
          <w:b/>
        </w:rPr>
        <w:t>13.</w:t>
      </w:r>
      <w:r>
        <w:tab/>
        <w:t>Deleted: Gazette 30 Jun 2015 p. 2363.]</w:t>
      </w:r>
    </w:p>
    <w:p>
      <w:pPr>
        <w:pStyle w:val="Heading5"/>
      </w:pPr>
      <w:bookmarkStart w:id="30" w:name="_Toc170209108"/>
      <w:r>
        <w:rPr>
          <w:rStyle w:val="CharSectno"/>
        </w:rPr>
        <w:t>14</w:t>
      </w:r>
      <w:r>
        <w:t>.</w:t>
      </w:r>
      <w:r>
        <w:tab/>
        <w:t>Concessions</w:t>
      </w:r>
      <w:bookmarkEnd w:id="30"/>
    </w:p>
    <w:p>
      <w:pPr>
        <w:pStyle w:val="Subsection"/>
      </w:pPr>
      <w:r>
        <w:tab/>
        <w:t>(1)</w:t>
      </w:r>
      <w:r>
        <w:tab/>
        <w:t xml:space="preserve">The following concessions on charges set out in Schedule 2 apply — </w:t>
      </w:r>
    </w:p>
    <w:p>
      <w:pPr>
        <w:pStyle w:val="Indenta"/>
      </w:pPr>
      <w:r>
        <w:rPr>
          <w:snapToGrid w:val="0"/>
        </w:rPr>
        <w:tab/>
        <w:t>(a)</w:t>
      </w:r>
      <w:r>
        <w:rPr>
          <w:snapToGrid w:val="0"/>
        </w:rPr>
        <w:tab/>
      </w:r>
      <w:r>
        <w:t>for a person who is a registered senior in relation to land and who does not hold a Commonwealth seniors health card, for a charge set out in Schedule 2 item 2 — a 25% discount on the charge;</w:t>
      </w:r>
    </w:p>
    <w:p>
      <w:pPr>
        <w:pStyle w:val="Indenta"/>
      </w:pPr>
      <w:r>
        <w:rPr>
          <w:snapToGrid w:val="0"/>
        </w:rPr>
        <w:tab/>
        <w:t>(b)</w:t>
      </w:r>
      <w:r>
        <w:rPr>
          <w:snapToGrid w:val="0"/>
        </w:rPr>
        <w:tab/>
      </w:r>
      <w:r>
        <w:t xml:space="preserve">for a person who is a registered senior in relation to land and who holds a Commonwealth seniors health card — </w:t>
      </w:r>
    </w:p>
    <w:p>
      <w:pPr>
        <w:pStyle w:val="Indenti"/>
      </w:pPr>
      <w:r>
        <w:tab/>
        <w:t>(i)</w:t>
      </w:r>
      <w:r>
        <w:tab/>
        <w:t>for a charge set out in Schedule 2 item 2 — a 50% discount on the charge; and</w:t>
      </w:r>
    </w:p>
    <w:p>
      <w:pPr>
        <w:pStyle w:val="Indenti"/>
        <w:keepNext/>
      </w:pPr>
      <w:r>
        <w:tab/>
        <w:t>(ii)</w:t>
      </w:r>
      <w:r>
        <w:tab/>
        <w:t xml:space="preserve">for a charge set out in Schedule 2 item 7 — a 50% discount on the charge for the first 350 kL </w:t>
      </w:r>
      <w:r>
        <w:lastRenderedPageBreak/>
        <w:t>of water supplied to the land in the current consumption year;</w:t>
      </w:r>
    </w:p>
    <w:p>
      <w:pPr>
        <w:pStyle w:val="Indenta"/>
      </w:pPr>
      <w:r>
        <w:rPr>
          <w:snapToGrid w:val="0"/>
        </w:rPr>
        <w:tab/>
        <w:t>(c)</w:t>
      </w:r>
      <w:r>
        <w:rPr>
          <w:snapToGrid w:val="0"/>
        </w:rPr>
        <w:tab/>
      </w:r>
      <w:r>
        <w:t xml:space="preserve">for a person who is a registered pensioner in relation to land — </w:t>
      </w:r>
    </w:p>
    <w:p>
      <w:pPr>
        <w:pStyle w:val="Indenti"/>
      </w:pPr>
      <w:r>
        <w:tab/>
        <w:t>(i)</w:t>
      </w:r>
      <w:r>
        <w:tab/>
        <w:t>for a charge set out in Schedule 2 item 2 — a 50% discount on the charge; and</w:t>
      </w:r>
    </w:p>
    <w:p>
      <w:pPr>
        <w:pStyle w:val="Indenti"/>
      </w:pPr>
      <w:r>
        <w:tab/>
        <w:t>(ii)</w:t>
      </w:r>
      <w:r>
        <w:tab/>
        <w:t>for a charge set out in Schedule 2 item 7 — a 50% discount on the charge for the first 350 kL of water supplied to the land in the current consumption year.</w:t>
      </w:r>
    </w:p>
    <w:p>
      <w:pPr>
        <w:pStyle w:val="Subsection"/>
      </w:pPr>
      <w:r>
        <w:tab/>
        <w:t>(2)</w:t>
      </w:r>
      <w:r>
        <w:tab/>
        <w:t>If, for a charge period, a person to whom subregulation (1) applies is not covered by just one paragraph of that subregulation for the whole of the period then concessions are to be determined pro rata.</w:t>
      </w:r>
    </w:p>
    <w:p>
      <w:pPr>
        <w:pStyle w:val="Heading5"/>
      </w:pPr>
      <w:bookmarkStart w:id="31" w:name="_Toc170209109"/>
      <w:r>
        <w:rPr>
          <w:rStyle w:val="CharSectno"/>
        </w:rPr>
        <w:t>15A</w:t>
      </w:r>
      <w:r>
        <w:t>.</w:t>
      </w:r>
      <w:r>
        <w:tab/>
        <w:t>Permitted surcharge for using credit card or debit card</w:t>
      </w:r>
      <w:bookmarkEnd w:id="31"/>
    </w:p>
    <w:p>
      <w:pPr>
        <w:pStyle w:val="Subsection"/>
      </w:pPr>
      <w:r>
        <w:tab/>
        <w:t>(1)</w:t>
      </w:r>
      <w:r>
        <w:tab/>
        <w:t xml:space="preserve">In this regulation — </w:t>
      </w:r>
    </w:p>
    <w:p>
      <w:pPr>
        <w:pStyle w:val="Defstart"/>
      </w:pPr>
      <w:r>
        <w:tab/>
      </w:r>
      <w:r>
        <w:rPr>
          <w:rStyle w:val="CharDefText"/>
        </w:rPr>
        <w:t>permitted surcharge</w:t>
      </w:r>
      <w:r>
        <w:t xml:space="preserve"> has the meaning given in RBA Standard No. 3 of 2016;</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pPr>
      <w:r>
        <w:tab/>
        <w:t>(2)</w:t>
      </w:r>
      <w:r>
        <w:tab/>
        <w:t>An invoice for a statutory water service charge, or a portion of a statutory water service charge, may include a permitted surcharge for payments made using a credit card or debit card.</w:t>
      </w:r>
    </w:p>
    <w:p>
      <w:pPr>
        <w:pStyle w:val="Subsection"/>
      </w:pPr>
      <w:r>
        <w:tab/>
        <w:t>(3)</w:t>
      </w:r>
      <w:r>
        <w:tab/>
        <w:t>The permitted surcharge is payable if the amount in the invoice is paid, in whole or in part, using a credit card or debit card.</w:t>
      </w:r>
    </w:p>
    <w:p>
      <w:pPr>
        <w:pStyle w:val="Footnotesection"/>
      </w:pPr>
      <w:r>
        <w:tab/>
        <w:t>[Regulation 15A inserted: Gazette 22 Jun 2018 p. 2212.]</w:t>
      </w:r>
    </w:p>
    <w:p>
      <w:pPr>
        <w:pStyle w:val="Heading5"/>
      </w:pPr>
      <w:bookmarkStart w:id="32" w:name="_Toc170209110"/>
      <w:r>
        <w:rPr>
          <w:rStyle w:val="CharSectno"/>
        </w:rPr>
        <w:lastRenderedPageBreak/>
        <w:t>15</w:t>
      </w:r>
      <w:r>
        <w:t>.</w:t>
      </w:r>
      <w:r>
        <w:tab/>
        <w:t>Interest accruing on overdue amounts</w:t>
      </w:r>
      <w:bookmarkEnd w:id="32"/>
    </w:p>
    <w:p>
      <w:pPr>
        <w:pStyle w:val="Subsection"/>
      </w:pPr>
      <w:r>
        <w:tab/>
      </w:r>
      <w:r>
        <w:tab/>
        <w:t>If an amount payable under this Part is overdue, interest accrues daily on any part of that amount unpaid after the day on which the amount was due, at the rate of 11.08% per annum.</w:t>
      </w:r>
    </w:p>
    <w:p>
      <w:pPr>
        <w:pStyle w:val="Footnotesection"/>
      </w:pPr>
      <w:r>
        <w:tab/>
        <w:t>[Regulation 15 amended: Gazette 27 Jun 2016 p. 2538; 23 Jun 2017 p. 3324; SL 2020/95 r. 5; SL 2021/80 r. 5; SL 2024/117 r. 8.]</w:t>
      </w:r>
    </w:p>
    <w:p>
      <w:pPr>
        <w:pStyle w:val="Heading2"/>
      </w:pPr>
      <w:bookmarkStart w:id="33" w:name="_Toc170136743"/>
      <w:bookmarkStart w:id="34" w:name="_Toc170138755"/>
      <w:bookmarkStart w:id="35" w:name="_Toc170203616"/>
      <w:bookmarkStart w:id="36" w:name="_Toc170209111"/>
      <w:r>
        <w:rPr>
          <w:rStyle w:val="CharPartNo"/>
        </w:rPr>
        <w:lastRenderedPageBreak/>
        <w:t>Part 5</w:t>
      </w:r>
      <w:r>
        <w:t> — </w:t>
      </w:r>
      <w:r>
        <w:rPr>
          <w:rStyle w:val="CharPartText"/>
        </w:rPr>
        <w:t>Charges for the Water Corporation</w:t>
      </w:r>
      <w:bookmarkEnd w:id="33"/>
      <w:bookmarkEnd w:id="34"/>
      <w:bookmarkEnd w:id="35"/>
      <w:bookmarkEnd w:id="36"/>
    </w:p>
    <w:p>
      <w:pPr>
        <w:pStyle w:val="Heading3"/>
      </w:pPr>
      <w:bookmarkStart w:id="37" w:name="_Toc170136744"/>
      <w:bookmarkStart w:id="38" w:name="_Toc170138756"/>
      <w:bookmarkStart w:id="39" w:name="_Toc170203617"/>
      <w:bookmarkStart w:id="40" w:name="_Toc170209112"/>
      <w:r>
        <w:rPr>
          <w:rStyle w:val="CharDivNo"/>
        </w:rPr>
        <w:t>Division 1</w:t>
      </w:r>
      <w:r>
        <w:t> — </w:t>
      </w:r>
      <w:r>
        <w:rPr>
          <w:rStyle w:val="CharDivText"/>
        </w:rPr>
        <w:t>Preliminary</w:t>
      </w:r>
      <w:bookmarkEnd w:id="37"/>
      <w:bookmarkEnd w:id="38"/>
      <w:bookmarkEnd w:id="39"/>
      <w:bookmarkEnd w:id="40"/>
    </w:p>
    <w:p>
      <w:pPr>
        <w:pStyle w:val="Heading5"/>
      </w:pPr>
      <w:bookmarkStart w:id="41" w:name="_Toc170209113"/>
      <w:r>
        <w:rPr>
          <w:rStyle w:val="CharSectno"/>
        </w:rPr>
        <w:t>16</w:t>
      </w:r>
      <w:r>
        <w:t>.</w:t>
      </w:r>
      <w:r>
        <w:tab/>
        <w:t>Terms used</w:t>
      </w:r>
      <w:bookmarkEnd w:id="41"/>
    </w:p>
    <w:p>
      <w:pPr>
        <w:pStyle w:val="Subsection"/>
      </w:pPr>
      <w:r>
        <w:tab/>
        <w:t>(1)</w:t>
      </w:r>
      <w:r>
        <w:tab/>
        <w:t xml:space="preserve">In this Part, unless the contrary intention appears — </w:t>
      </w:r>
    </w:p>
    <w:p>
      <w:pPr>
        <w:pStyle w:val="Defstart"/>
      </w:pPr>
      <w:r>
        <w:tab/>
      </w:r>
      <w:r>
        <w:rPr>
          <w:rStyle w:val="CharDefText"/>
        </w:rPr>
        <w:t>aged home</w:t>
      </w:r>
      <w:r>
        <w:t xml:space="preserve"> means a facility that, in the opinion of the Water Corporation — </w:t>
      </w:r>
    </w:p>
    <w:p>
      <w:pPr>
        <w:pStyle w:val="Defpara"/>
      </w:pPr>
      <w:r>
        <w:tab/>
        <w:t>(a)</w:t>
      </w:r>
      <w:r>
        <w:tab/>
        <w:t>is used to provide accommodation for aged persons; and</w:t>
      </w:r>
    </w:p>
    <w:p>
      <w:pPr>
        <w:pStyle w:val="Defpara"/>
      </w:pPr>
      <w:r>
        <w:tab/>
        <w:t>(b)</w:t>
      </w:r>
      <w:r>
        <w:tab/>
        <w:t>is not operated for the purpose of profit or gain;</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boundary volume</w:t>
      </w:r>
      <w:r>
        <w:t xml:space="preserve"> means the first or last volume in a volumetric range;</w:t>
      </w:r>
    </w:p>
    <w:p>
      <w:pPr>
        <w:pStyle w:val="Defstart"/>
      </w:pPr>
      <w:r>
        <w:tab/>
      </w:r>
      <w:r>
        <w:rPr>
          <w:rStyle w:val="CharDefText"/>
        </w:rPr>
        <w:t>caravan bay</w:t>
      </w:r>
      <w:r>
        <w:t xml:space="preserve"> means site as defined in the </w:t>
      </w:r>
      <w:r>
        <w:rPr>
          <w:i/>
        </w:rPr>
        <w:t>Caravan Parks and Camping Grounds Act 1995</w:t>
      </w:r>
      <w:r>
        <w:t xml:space="preserve"> section 5(1);</w:t>
      </w:r>
    </w:p>
    <w:p>
      <w:pPr>
        <w:pStyle w:val="Defstart"/>
      </w:pPr>
      <w:r>
        <w:tab/>
      </w:r>
      <w:r>
        <w:rPr>
          <w:rStyle w:val="CharDefText"/>
        </w:rPr>
        <w:t>central business districts</w:t>
      </w:r>
      <w:r>
        <w:t xml:space="preserve"> means the districts described in Schedule 9;</w:t>
      </w:r>
    </w:p>
    <w:p>
      <w:pPr>
        <w:pStyle w:val="Defstart"/>
      </w:pPr>
      <w:r>
        <w:tab/>
      </w:r>
      <w:r>
        <w:rPr>
          <w:rStyle w:val="CharDefText"/>
        </w:rPr>
        <w:t>change of circumstances</w:t>
      </w:r>
      <w:r>
        <w:t xml:space="preserve"> includes — </w:t>
      </w:r>
    </w:p>
    <w:p>
      <w:pPr>
        <w:pStyle w:val="Defpara"/>
      </w:pPr>
      <w:r>
        <w:tab/>
        <w:t>(a)</w:t>
      </w:r>
      <w:r>
        <w:tab/>
        <w:t>land becoming or ceasing to be land in respect of which a water service charge applies;</w:t>
      </w:r>
    </w:p>
    <w:p>
      <w:pPr>
        <w:pStyle w:val="Defpara"/>
      </w:pPr>
      <w:r>
        <w:tab/>
        <w:t>(b)</w:t>
      </w:r>
      <w:r>
        <w:tab/>
        <w:t>a change in the classification of land;</w:t>
      </w:r>
    </w:p>
    <w:p>
      <w:pPr>
        <w:pStyle w:val="Defpara"/>
      </w:pPr>
      <w:r>
        <w:tab/>
        <w:t>(c)</w:t>
      </w:r>
      <w:r>
        <w:tab/>
        <w:t>the installation of a meter or a change in the size of a meter;</w:t>
      </w:r>
    </w:p>
    <w:p>
      <w:pPr>
        <w:pStyle w:val="Defpara"/>
      </w:pPr>
      <w:r>
        <w:tab/>
        <w:t>(d)</w:t>
      </w:r>
      <w:r>
        <w:tab/>
        <w:t>a change in the number of major fixtures for land;</w:t>
      </w:r>
    </w:p>
    <w:p>
      <w:pPr>
        <w:pStyle w:val="Defstart"/>
      </w:pPr>
      <w:r>
        <w:tab/>
      </w:r>
      <w:r>
        <w:rPr>
          <w:rStyle w:val="CharDefText"/>
        </w:rPr>
        <w:t>charitable purposes</w:t>
      </w:r>
      <w:r>
        <w:t xml:space="preserve"> means purposes that, in the opinion of the Water Corporation, involve — </w:t>
      </w:r>
    </w:p>
    <w:p>
      <w:pPr>
        <w:pStyle w:val="Defpara"/>
      </w:pPr>
      <w:r>
        <w:tab/>
        <w:t>(a)</w:t>
      </w:r>
      <w:r>
        <w:tab/>
        <w:t>the provision of relief or assistance to sick, aged, disadvantaged, unemployed or young persons; or</w:t>
      </w:r>
    </w:p>
    <w:p>
      <w:pPr>
        <w:pStyle w:val="Defpara"/>
        <w:keepNext/>
      </w:pPr>
      <w:r>
        <w:lastRenderedPageBreak/>
        <w:tab/>
        <w:t>(b)</w:t>
      </w:r>
      <w:r>
        <w:tab/>
        <w:t>the conduct of other similar activities for the benefit of the public or in the interests of social welfare,</w:t>
      </w:r>
    </w:p>
    <w:p>
      <w:pPr>
        <w:pStyle w:val="Defstart"/>
      </w:pPr>
      <w:r>
        <w:tab/>
        <w:t>by a non</w:t>
      </w:r>
      <w:r>
        <w:noBreakHyphen/>
        <w:t>profit private organisation;</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concession card holder</w:t>
      </w:r>
      <w:r>
        <w:t xml:space="preserve"> means a person who holds a pensioner concession card, as defined in the </w:t>
      </w:r>
      <w:r>
        <w:rPr>
          <w:i/>
        </w:rPr>
        <w:t>Rates and Charges (Rebates and Deferments) Act 1992</w:t>
      </w:r>
      <w:r>
        <w:t xml:space="preserve"> section 3(1), or a State concession card, as defined in section 3(1) of that Act;</w:t>
      </w:r>
    </w:p>
    <w:p>
      <w:pPr>
        <w:pStyle w:val="Defstart"/>
      </w:pPr>
      <w:r>
        <w:tab/>
      </w:r>
      <w:r>
        <w:rPr>
          <w:rStyle w:val="CharDefText"/>
        </w:rPr>
        <w:t>concessional land</w:t>
      </w:r>
      <w:r>
        <w:t xml:space="preserve"> has the meaning given in regulation 17;</w:t>
      </w:r>
    </w:p>
    <w:p>
      <w:pPr>
        <w:pStyle w:val="Defstart"/>
      </w:pPr>
      <w:r>
        <w:tab/>
      </w:r>
      <w:r>
        <w:rPr>
          <w:rStyle w:val="CharDefText"/>
        </w:rPr>
        <w:t>consumption year</w:t>
      </w:r>
      <w:r>
        <w:t xml:space="preserve">, for quality/quantity charges for water supplied to land, means — </w:t>
      </w:r>
    </w:p>
    <w:p>
      <w:pPr>
        <w:pStyle w:val="Defpara"/>
      </w:pPr>
      <w:r>
        <w:tab/>
        <w:t>(a)</w:t>
      </w:r>
      <w:r>
        <w:tab/>
        <w:t>for land in the metropolitan area — a period determined by the Water Corporation for the land, commencing on a day that is between 1 January and 30 June (inclusive) and ending on a day that is within 20 days of the expiration of one year after the commencement of the period; and</w:t>
      </w:r>
    </w:p>
    <w:p>
      <w:pPr>
        <w:pStyle w:val="Defpara"/>
      </w:pPr>
      <w:r>
        <w:tab/>
        <w:t>(b)</w:t>
      </w:r>
      <w:r>
        <w:tab/>
        <w:t>for land in the non</w:t>
      </w:r>
      <w:r>
        <w:noBreakHyphen/>
        <w:t>metropolitan area — a period determined by the Water Corporation for the land, commencing on a day that is between 1 July and 31 August (inclusive) and ending on a day that is within 20 days of the expiration of one year after the commencement of the period;</w:t>
      </w:r>
    </w:p>
    <w:p>
      <w:pPr>
        <w:pStyle w:val="Defstart"/>
      </w:pPr>
      <w:r>
        <w:tab/>
      </w:r>
      <w:r>
        <w:rPr>
          <w:rStyle w:val="CharDefText"/>
        </w:rPr>
        <w:t>desalinated water</w:t>
      </w:r>
      <w:r>
        <w:t xml:space="preserve"> means water that has been treated to reduce or remove salts;</w:t>
      </w:r>
    </w:p>
    <w:p>
      <w:pPr>
        <w:pStyle w:val="Defstart"/>
      </w:pPr>
      <w:r>
        <w:tab/>
      </w:r>
      <w:r>
        <w:rPr>
          <w:rStyle w:val="CharDefText"/>
        </w:rPr>
        <w:t>discharge factor</w:t>
      </w:r>
      <w:r>
        <w:t xml:space="preserve">, for working out the volume of wastewater discharged from land into a sewer of the Water Corporation during a period, means the following percentage of the water supplied to the land in the period — </w:t>
      </w:r>
    </w:p>
    <w:p>
      <w:pPr>
        <w:pStyle w:val="Defpara"/>
      </w:pPr>
      <w:r>
        <w:tab/>
        <w:t>(a)</w:t>
      </w:r>
      <w:r>
        <w:tab/>
        <w:t>the percentage agreed between the Water Corporation and the customer; or</w:t>
      </w:r>
    </w:p>
    <w:p>
      <w:pPr>
        <w:pStyle w:val="Defpara"/>
      </w:pPr>
      <w:r>
        <w:tab/>
        <w:t>(b)</w:t>
      </w:r>
      <w:r>
        <w:tab/>
        <w:t>in the absence of an agreement — 95%;</w:t>
      </w:r>
    </w:p>
    <w:p>
      <w:pPr>
        <w:pStyle w:val="Defstart"/>
        <w:keepNext/>
      </w:pPr>
      <w:r>
        <w:lastRenderedPageBreak/>
        <w:tab/>
      </w:r>
      <w:r>
        <w:rPr>
          <w:rStyle w:val="CharDefText"/>
        </w:rPr>
        <w:t>discharge volume</w:t>
      </w:r>
      <w:r>
        <w:t xml:space="preserve">, for land and a discharge year, means the approximate volume of wastewater (in kL) discharged from the land into a sewer of the Water Corporation during the course of the year — </w:t>
      </w:r>
    </w:p>
    <w:p>
      <w:pPr>
        <w:pStyle w:val="Defpara"/>
      </w:pPr>
      <w:r>
        <w:tab/>
        <w:t>(a)</w:t>
      </w:r>
      <w:r>
        <w:tab/>
        <w:t>if the volume of water supplied to the land is known — calculated by multiplying the volume of water supplied to the land in the year by the discharge factor applicable to the land for the year; or</w:t>
      </w:r>
    </w:p>
    <w:p>
      <w:pPr>
        <w:pStyle w:val="Defpara"/>
      </w:pPr>
      <w:r>
        <w:tab/>
        <w:t>(b)</w:t>
      </w:r>
      <w:r>
        <w:tab/>
        <w:t>if the volume of water supplied to the land is not known — calculated by multiplying the estimated volume of water supplied to the land in the year by the discharge factor applicable to the land for the year; or</w:t>
      </w:r>
    </w:p>
    <w:p>
      <w:pPr>
        <w:pStyle w:val="Defpara"/>
      </w:pPr>
      <w:r>
        <w:tab/>
        <w:t>(c)</w:t>
      </w:r>
      <w:r>
        <w:tab/>
        <w:t>if neither paragraph (a) nor (b) are appropriate — estimated by the Water Corporation;</w:t>
      </w:r>
    </w:p>
    <w:p>
      <w:pPr>
        <w:pStyle w:val="Defstart"/>
      </w:pPr>
      <w:r>
        <w:tab/>
      </w:r>
      <w:r>
        <w:rPr>
          <w:rStyle w:val="CharDefText"/>
        </w:rPr>
        <w:t>discharge year</w:t>
      </w:r>
      <w:r>
        <w:t xml:space="preserve">, means — </w:t>
      </w:r>
    </w:p>
    <w:p>
      <w:pPr>
        <w:pStyle w:val="Defpara"/>
      </w:pPr>
      <w:r>
        <w:tab/>
        <w:t>(a)</w:t>
      </w:r>
      <w:r>
        <w:tab/>
        <w:t xml:space="preserve">for quality/quantity charges for wastewater, other than trade waste, discharged from land — a period determined by the Water Corporation for the land for the purposes of the definition of </w:t>
      </w:r>
      <w:r>
        <w:rPr>
          <w:b/>
          <w:i/>
        </w:rPr>
        <w:t>consumption year</w:t>
      </w:r>
      <w:r>
        <w:t>; and</w:t>
      </w:r>
    </w:p>
    <w:p>
      <w:pPr>
        <w:pStyle w:val="Defpara"/>
      </w:pPr>
      <w:r>
        <w:tab/>
        <w:t>(b)</w:t>
      </w:r>
      <w:r>
        <w:tab/>
        <w:t>for quality/quantity charges for trade waste discharged from land — a period determined by the Water Corporation for the land, commencing on a day between 1 July and 31 December (inclusive) in a year and ending on a day that is within 20 days of the expiration of one year after the commencement of the period;</w:t>
      </w:r>
    </w:p>
    <w:p>
      <w:pPr>
        <w:pStyle w:val="Defstart"/>
      </w:pPr>
      <w:r>
        <w:tab/>
      </w:r>
      <w:r>
        <w:rPr>
          <w:rStyle w:val="CharDefText"/>
        </w:rPr>
        <w:t>drainage area</w:t>
      </w:r>
      <w:r>
        <w:t xml:space="preserve"> means an area designated by the Minister as a drainage area under regulation 45;</w:t>
      </w:r>
    </w:p>
    <w:p>
      <w:pPr>
        <w:pStyle w:val="Defstart"/>
      </w:pPr>
      <w:r>
        <w:tab/>
      </w:r>
      <w:r>
        <w:rPr>
          <w:rStyle w:val="CharDefText"/>
        </w:rPr>
        <w:t>drainage charge</w:t>
      </w:r>
      <w:r>
        <w:t xml:space="preserve"> means a water service charge set out in Schedule 5;</w:t>
      </w:r>
    </w:p>
    <w:p>
      <w:pPr>
        <w:pStyle w:val="Defstart"/>
      </w:pPr>
      <w:r>
        <w:tab/>
      </w:r>
      <w:r>
        <w:rPr>
          <w:rStyle w:val="CharDefText"/>
        </w:rPr>
        <w:t>financial year</w:t>
      </w:r>
      <w:r>
        <w:t>, preceded by a reference to 2 calendar years (for example, 2014/15) means the financial year ending on 30 June in the second of those years;</w:t>
      </w:r>
    </w:p>
    <w:p>
      <w:pPr>
        <w:pStyle w:val="Defstart"/>
      </w:pPr>
      <w:r>
        <w:tab/>
      </w:r>
      <w:r>
        <w:rPr>
          <w:rStyle w:val="CharDefText"/>
        </w:rPr>
        <w:t>government trading organisation</w:t>
      </w:r>
      <w:r>
        <w:t xml:space="preserve"> means an organisation listed in Schedule 8;</w:t>
      </w:r>
    </w:p>
    <w:p>
      <w:pPr>
        <w:pStyle w:val="Defstart"/>
        <w:keepNext/>
      </w:pPr>
      <w:r>
        <w:lastRenderedPageBreak/>
        <w:tab/>
      </w:r>
      <w:r>
        <w:rPr>
          <w:rStyle w:val="CharDefText"/>
        </w:rPr>
        <w:t>GRV</w:t>
      </w:r>
      <w:r>
        <w:t xml:space="preserve">, of land, means the gross rental value of the land under the </w:t>
      </w:r>
      <w:r>
        <w:rPr>
          <w:i/>
        </w:rPr>
        <w:t>Valuation of Land Act 1978</w:t>
      </w:r>
      <w:r>
        <w:t>;</w:t>
      </w:r>
    </w:p>
    <w:p>
      <w:pPr>
        <w:pStyle w:val="Defstart"/>
        <w:keepNext/>
      </w:pPr>
      <w:r>
        <w:tab/>
      </w:r>
      <w:r>
        <w:rPr>
          <w:rStyle w:val="CharDefText"/>
        </w:rPr>
        <w:t>holiday accommodation</w:t>
      </w:r>
      <w:r>
        <w:t xml:space="preserve"> means accommodation which — </w:t>
      </w:r>
    </w:p>
    <w:p>
      <w:pPr>
        <w:pStyle w:val="Defpara"/>
      </w:pPr>
      <w:r>
        <w:tab/>
        <w:t>(a)</w:t>
      </w:r>
      <w:r>
        <w:tab/>
        <w:t>is held out by the owner or occupier of the land on which the accommodation is situated as being available for occupation for holiday purposes by persons other than the owner or occupier; or</w:t>
      </w:r>
    </w:p>
    <w:p>
      <w:pPr>
        <w:pStyle w:val="Defpara"/>
      </w:pPr>
      <w:r>
        <w:tab/>
        <w:t>(b)</w:t>
      </w:r>
      <w:r>
        <w:tab/>
        <w:t>is made available by that owner or occupier for those purposes,</w:t>
      </w:r>
    </w:p>
    <w:p>
      <w:pPr>
        <w:pStyle w:val="Defstart"/>
      </w:pPr>
      <w:r>
        <w:tab/>
        <w:t>unless, in the opinion of the Water Corporation, the accommodation is not held out or made available for the purpose of trade or business;</w:t>
      </w:r>
    </w:p>
    <w:p>
      <w:pPr>
        <w:pStyle w:val="Defstart"/>
      </w:pPr>
      <w:r>
        <w:tab/>
      </w:r>
      <w:r>
        <w:rPr>
          <w:rStyle w:val="CharDefText"/>
        </w:rPr>
        <w:t>Housing Authority</w:t>
      </w:r>
      <w:r>
        <w:t xml:space="preserve"> means the Housing Authority referred to in the </w:t>
      </w:r>
      <w:r>
        <w:rPr>
          <w:i/>
        </w:rPr>
        <w:t>Housing Act 1980</w:t>
      </w:r>
      <w:r>
        <w:t xml:space="preserve"> section 6(4);</w:t>
      </w:r>
    </w:p>
    <w:p>
      <w:pPr>
        <w:pStyle w:val="Defstart"/>
      </w:pPr>
      <w:r>
        <w:tab/>
      </w:r>
      <w:r>
        <w:rPr>
          <w:rStyle w:val="CharDefText"/>
        </w:rPr>
        <w:t>hydrant standpipe</w:t>
      </w:r>
      <w:r>
        <w:t xml:space="preserve"> means a standpipe that can be attached to a hydrant;</w:t>
      </w:r>
    </w:p>
    <w:p>
      <w:pPr>
        <w:pStyle w:val="Defstart"/>
      </w:pPr>
      <w:r>
        <w:rPr>
          <w:b/>
        </w:rPr>
        <w:tab/>
      </w:r>
      <w:r>
        <w:rPr>
          <w:rStyle w:val="CharDefText"/>
        </w:rPr>
        <w:t>irrigation district</w:t>
      </w:r>
      <w:r>
        <w:t xml:space="preserve"> means an irrigation district constituted under the </w:t>
      </w:r>
      <w:r>
        <w:rPr>
          <w:i/>
        </w:rPr>
        <w:t>Rights in Water and Irrigation Act 1914</w:t>
      </w:r>
      <w:r>
        <w:t xml:space="preserve"> Part IV;</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tab/>
      </w:r>
      <w:r>
        <w:rPr>
          <w:rStyle w:val="CharDefText"/>
        </w:rPr>
        <w:t>local government standpipe</w:t>
      </w:r>
      <w:r>
        <w:t xml:space="preserve"> means a standpipe access to which is controlled by a local government;</w:t>
      </w:r>
    </w:p>
    <w:p>
      <w:pPr>
        <w:pStyle w:val="Defstart"/>
      </w:pPr>
      <w:r>
        <w:tab/>
      </w:r>
      <w:r>
        <w:rPr>
          <w:rStyle w:val="CharDefText"/>
        </w:rPr>
        <w:t>long</w:t>
      </w:r>
      <w:r>
        <w:rPr>
          <w:rStyle w:val="CharDefText"/>
        </w:rPr>
        <w:noBreakHyphen/>
        <w:t>term residential caravan bay</w:t>
      </w:r>
      <w:r>
        <w:t xml:space="preserve"> means a caravan bay that is rented by a person as the person’s principal place of residence;</w:t>
      </w:r>
    </w:p>
    <w:p>
      <w:pPr>
        <w:pStyle w:val="Defstart"/>
      </w:pPr>
      <w:r>
        <w:tab/>
      </w:r>
      <w:r>
        <w:rPr>
          <w:rStyle w:val="CharDefText"/>
        </w:rPr>
        <w:t>lot</w:t>
      </w:r>
      <w:r>
        <w:t xml:space="preserve"> means — </w:t>
      </w:r>
    </w:p>
    <w:p>
      <w:pPr>
        <w:pStyle w:val="Defpara"/>
      </w:pPr>
      <w:r>
        <w:tab/>
        <w:t>(a)</w:t>
      </w:r>
      <w:r>
        <w:tab/>
        <w:t>a lot in a strata scheme or a lot in a survey</w:t>
      </w:r>
      <w:r>
        <w:noBreakHyphen/>
        <w:t xml:space="preserve">strata scheme, as those terms are defined in the </w:t>
      </w:r>
      <w:r>
        <w:rPr>
          <w:i/>
        </w:rPr>
        <w:t>Strata Titles Act 1985</w:t>
      </w:r>
      <w:r>
        <w:t xml:space="preserve"> section 3(1); or</w:t>
      </w:r>
    </w:p>
    <w:p>
      <w:pPr>
        <w:pStyle w:val="Defpara"/>
      </w:pPr>
      <w:r>
        <w:tab/>
        <w:t>(b)</w:t>
      </w:r>
      <w:r>
        <w:tab/>
        <w:t xml:space="preserve">a lot as defined in the </w:t>
      </w:r>
      <w:r>
        <w:rPr>
          <w:i/>
        </w:rPr>
        <w:t>Community Titles Act 2018</w:t>
      </w:r>
      <w:r>
        <w:t xml:space="preserve"> section 3(1);</w:t>
      </w:r>
    </w:p>
    <w:p>
      <w:pPr>
        <w:pStyle w:val="Defstart"/>
        <w:keepNext/>
      </w:pPr>
      <w:r>
        <w:lastRenderedPageBreak/>
        <w:tab/>
      </w:r>
      <w:r>
        <w:rPr>
          <w:rStyle w:val="CharDefText"/>
        </w:rPr>
        <w:t>major fixture</w:t>
      </w:r>
      <w:r>
        <w:t xml:space="preserve"> means — </w:t>
      </w:r>
    </w:p>
    <w:p>
      <w:pPr>
        <w:pStyle w:val="Defpara"/>
      </w:pPr>
      <w:r>
        <w:tab/>
        <w:t>(a)</w:t>
      </w:r>
      <w:r>
        <w:tab/>
        <w:t>a water closet; and</w:t>
      </w:r>
    </w:p>
    <w:p>
      <w:pPr>
        <w:pStyle w:val="Defpara"/>
      </w:pPr>
      <w:r>
        <w:tab/>
        <w:t>(b)</w:t>
      </w:r>
      <w:r>
        <w:tab/>
        <w:t>each urinal outlet contained within a floor mounted urinal; and</w:t>
      </w:r>
    </w:p>
    <w:p>
      <w:pPr>
        <w:pStyle w:val="Defpara"/>
      </w:pPr>
      <w:r>
        <w:tab/>
        <w:t>(c)</w:t>
      </w:r>
      <w:r>
        <w:tab/>
        <w:t>each stand of wall hung urinals contained within a separate ablution area; and</w:t>
      </w:r>
    </w:p>
    <w:p>
      <w:pPr>
        <w:pStyle w:val="Defpara"/>
      </w:pPr>
      <w:r>
        <w:tab/>
        <w:t>(d)</w:t>
      </w:r>
      <w:r>
        <w:tab/>
        <w:t>a bedpan washer;</w:t>
      </w:r>
    </w:p>
    <w:p>
      <w:pPr>
        <w:pStyle w:val="Defstart"/>
      </w:pPr>
      <w:r>
        <w:tab/>
      </w:r>
      <w:r>
        <w:rPr>
          <w:rStyle w:val="CharDefText"/>
        </w:rPr>
        <w:t>non</w:t>
      </w:r>
      <w:r>
        <w:rPr>
          <w:rStyle w:val="CharDefText"/>
        </w:rPr>
        <w:noBreakHyphen/>
        <w:t>commercial government property</w:t>
      </w:r>
      <w:r>
        <w:t xml:space="preserve"> means land held by a public authority other than — </w:t>
      </w:r>
    </w:p>
    <w:p>
      <w:pPr>
        <w:pStyle w:val="Defpara"/>
      </w:pPr>
      <w:r>
        <w:tab/>
        <w:t>(a)</w:t>
      </w:r>
      <w:r>
        <w:tab/>
        <w:t>land held by a government trading organisation; or</w:t>
      </w:r>
    </w:p>
    <w:p>
      <w:pPr>
        <w:pStyle w:val="Defpara"/>
      </w:pPr>
      <w:r>
        <w:tab/>
        <w:t>(b)</w:t>
      </w:r>
      <w:r>
        <w:tab/>
        <w:t>public land; or</w:t>
      </w:r>
    </w:p>
    <w:p>
      <w:pPr>
        <w:pStyle w:val="Defpara"/>
      </w:pPr>
      <w:r>
        <w:tab/>
        <w:t>(c)</w:t>
      </w:r>
      <w:r>
        <w:tab/>
        <w:t>vacant land;</w:t>
      </w:r>
    </w:p>
    <w:p>
      <w:pPr>
        <w:pStyle w:val="Defstart"/>
      </w:pPr>
      <w:r>
        <w:tab/>
      </w:r>
      <w:r>
        <w:rPr>
          <w:rStyle w:val="CharDefText"/>
        </w:rPr>
        <w:t>non</w:t>
      </w:r>
      <w:r>
        <w:rPr>
          <w:rStyle w:val="CharDefText"/>
        </w:rPr>
        <w:noBreakHyphen/>
        <w:t>profit private organisation</w:t>
      </w:r>
      <w:r>
        <w:t xml:space="preserve"> means a private organisation that is not operated for the purpose of profit or gain to individual members, shareholders or owners;</w:t>
      </w:r>
    </w:p>
    <w:p>
      <w:pPr>
        <w:pStyle w:val="Defstart"/>
      </w:pPr>
      <w:r>
        <w:tab/>
      </w:r>
      <w:r>
        <w:rPr>
          <w:rStyle w:val="CharDefText"/>
        </w:rPr>
        <w:t>nursing home</w:t>
      </w:r>
      <w:r>
        <w:t xml:space="preserve"> means a facility licensed by the Commonwealth to provide nursing home facilities;</w:t>
      </w:r>
    </w:p>
    <w:p>
      <w:pPr>
        <w:pStyle w:val="Defstart"/>
      </w:pPr>
      <w:r>
        <w:tab/>
      </w:r>
      <w:r>
        <w:rPr>
          <w:rStyle w:val="CharDefText"/>
        </w:rPr>
        <w:t>park home</w:t>
      </w:r>
      <w:r>
        <w:t xml:space="preserve"> means a park home as defined in the </w:t>
      </w:r>
      <w:r>
        <w:rPr>
          <w:i/>
        </w:rPr>
        <w:t>Caravan Parks and Camping Grounds Act 1995</w:t>
      </w:r>
      <w:r>
        <w:t xml:space="preserve"> section 5(1);</w:t>
      </w:r>
    </w:p>
    <w:p>
      <w:pPr>
        <w:pStyle w:val="Defstart"/>
      </w:pPr>
      <w:r>
        <w:tab/>
      </w:r>
      <w:r>
        <w:rPr>
          <w:rStyle w:val="CharDefText"/>
        </w:rPr>
        <w:t>public land</w:t>
      </w:r>
      <w:r>
        <w:t xml:space="preserve"> means land used wholly or primarily for the provision of public facilities (for example, a park or land on which there is located public recreation facilities or a block of toilets or change rooms);</w:t>
      </w:r>
    </w:p>
    <w:p>
      <w:pPr>
        <w:pStyle w:val="Defstart"/>
      </w:pPr>
      <w:r>
        <w:tab/>
      </w:r>
      <w:r>
        <w:rPr>
          <w:rStyle w:val="CharDefText"/>
        </w:rPr>
        <w:t>residential property</w:t>
      </w:r>
      <w:r>
        <w:t xml:space="preserve">, in relation to a water service charge, means land that — </w:t>
      </w:r>
    </w:p>
    <w:p>
      <w:pPr>
        <w:pStyle w:val="Defpara"/>
      </w:pPr>
      <w:r>
        <w:tab/>
        <w:t>(a)</w:t>
      </w:r>
      <w:r>
        <w:tab/>
        <w:t>is or could be classified as residential for the purposes of the Division under which the charge applies; and</w:t>
      </w:r>
    </w:p>
    <w:p>
      <w:pPr>
        <w:pStyle w:val="Defpara"/>
      </w:pPr>
      <w:r>
        <w:tab/>
        <w:t>(b)</w:t>
      </w:r>
      <w:r>
        <w:tab/>
        <w:t>is used as a dwelling;</w:t>
      </w:r>
    </w:p>
    <w:p>
      <w:pPr>
        <w:pStyle w:val="Defstart"/>
      </w:pPr>
      <w:r>
        <w:tab/>
      </w:r>
      <w:r>
        <w:rPr>
          <w:rStyle w:val="CharDefText"/>
        </w:rPr>
        <w:t>retirement village</w:t>
      </w:r>
      <w:r>
        <w:t xml:space="preserve"> means a number of units, the residents of which have a right to life tenancy under a lease arrangement and are predominantly — </w:t>
      </w:r>
    </w:p>
    <w:p>
      <w:pPr>
        <w:pStyle w:val="Defpara"/>
      </w:pPr>
      <w:r>
        <w:tab/>
        <w:t>(a)</w:t>
      </w:r>
      <w:r>
        <w:tab/>
        <w:t>over 55 years old and not in full</w:t>
      </w:r>
      <w:r>
        <w:noBreakHyphen/>
        <w:t>time employment; or</w:t>
      </w:r>
    </w:p>
    <w:p>
      <w:pPr>
        <w:pStyle w:val="Defpara"/>
      </w:pPr>
      <w:r>
        <w:lastRenderedPageBreak/>
        <w:tab/>
        <w:t>(b)</w:t>
      </w:r>
      <w:r>
        <w:tab/>
        <w:t>retired;</w:t>
      </w:r>
    </w:p>
    <w:p>
      <w:pPr>
        <w:pStyle w:val="Defstart"/>
        <w:keepNext/>
      </w:pPr>
      <w:r>
        <w:tab/>
      </w:r>
      <w:r>
        <w:rPr>
          <w:rStyle w:val="CharDefText"/>
        </w:rPr>
        <w:t>scheme plan</w:t>
      </w:r>
      <w:r>
        <w:t xml:space="preserve"> — </w:t>
      </w:r>
    </w:p>
    <w:p>
      <w:pPr>
        <w:pStyle w:val="Defpara"/>
      </w:pPr>
      <w:r>
        <w:tab/>
        <w:t>(a)</w:t>
      </w:r>
      <w:r>
        <w:tab/>
        <w:t xml:space="preserve">for a strata titles scheme — has the meaning given in the </w:t>
      </w:r>
      <w:r>
        <w:rPr>
          <w:i/>
        </w:rPr>
        <w:t>Strata Titles Act 1985</w:t>
      </w:r>
      <w:r>
        <w:t xml:space="preserve"> section 3(1); or</w:t>
      </w:r>
    </w:p>
    <w:p>
      <w:pPr>
        <w:pStyle w:val="Defpara"/>
      </w:pPr>
      <w:r>
        <w:tab/>
        <w:t>(b)</w:t>
      </w:r>
      <w:r>
        <w:tab/>
        <w:t xml:space="preserve">for a community titles scheme — has the meaning given in the </w:t>
      </w:r>
      <w:r>
        <w:rPr>
          <w:i/>
        </w:rPr>
        <w:t>Community Titles Act 2018</w:t>
      </w:r>
      <w:r>
        <w:t xml:space="preserve"> section 3(1);</w:t>
      </w:r>
    </w:p>
    <w:p>
      <w:pPr>
        <w:pStyle w:val="Defstart"/>
      </w:pPr>
      <w:r>
        <w:tab/>
      </w:r>
      <w:r>
        <w:rPr>
          <w:rStyle w:val="CharDefText"/>
        </w:rPr>
        <w:t>semi</w:t>
      </w:r>
      <w:r>
        <w:rPr>
          <w:rStyle w:val="CharDefText"/>
        </w:rPr>
        <w:noBreakHyphen/>
        <w:t>rural residential property</w:t>
      </w:r>
      <w:r>
        <w:t xml:space="preserve">, in relation to a water service charge, means land that — </w:t>
      </w:r>
    </w:p>
    <w:p>
      <w:pPr>
        <w:pStyle w:val="Defpara"/>
      </w:pPr>
      <w:r>
        <w:tab/>
        <w:t>(a)</w:t>
      </w:r>
      <w:r>
        <w:tab/>
        <w:t>is classified as semi</w:t>
      </w:r>
      <w:r>
        <w:noBreakHyphen/>
        <w:t>rural residential for the purposes of the Division under which the charge applies; and</w:t>
      </w:r>
    </w:p>
    <w:p>
      <w:pPr>
        <w:pStyle w:val="Defpara"/>
      </w:pPr>
      <w:r>
        <w:tab/>
        <w:t>(b)</w:t>
      </w:r>
      <w:r>
        <w:tab/>
        <w:t>is used as a dwelling;</w:t>
      </w:r>
    </w:p>
    <w:p>
      <w:pPr>
        <w:pStyle w:val="Defstart"/>
      </w:pPr>
      <w:r>
        <w:tab/>
      </w:r>
      <w:r>
        <w:rPr>
          <w:rStyle w:val="CharDefText"/>
        </w:rPr>
        <w:t>sewerage area</w:t>
      </w:r>
      <w:r>
        <w:t xml:space="preserve"> means an area designated as a sewerage area under regulation 38;</w:t>
      </w:r>
    </w:p>
    <w:p>
      <w:pPr>
        <w:pStyle w:val="Defstart"/>
      </w:pPr>
      <w:r>
        <w:tab/>
      </w:r>
      <w:r>
        <w:rPr>
          <w:rStyle w:val="CharDefText"/>
        </w:rPr>
        <w:t>sewerage charge</w:t>
      </w:r>
      <w:r>
        <w:t xml:space="preserve"> means a water service charge set out in Schedule 4;</w:t>
      </w:r>
    </w:p>
    <w:p>
      <w:pPr>
        <w:pStyle w:val="Defstart"/>
      </w:pPr>
      <w:r>
        <w:tab/>
      </w:r>
      <w:r>
        <w:rPr>
          <w:rStyle w:val="CharDefText"/>
        </w:rPr>
        <w:t>special meter reading</w:t>
      </w:r>
      <w:r>
        <w:t xml:space="preserve"> means a meter reading that is not a routine meter reading;</w:t>
      </w:r>
    </w:p>
    <w:p>
      <w:pPr>
        <w:pStyle w:val="Defstart"/>
      </w:pPr>
      <w:r>
        <w:tab/>
      </w:r>
      <w:r>
        <w:rPr>
          <w:rStyle w:val="CharDefText"/>
        </w:rPr>
        <w:t>strata</w:t>
      </w:r>
      <w:r>
        <w:rPr>
          <w:rStyle w:val="CharDefText"/>
        </w:rPr>
        <w:noBreakHyphen/>
        <w:t>titled caravan bay</w:t>
      </w:r>
      <w:r>
        <w:t xml:space="preserve"> means a caravan bay that is a lot and a residential property;</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Defstart"/>
      </w:pPr>
      <w:r>
        <w:tab/>
      </w:r>
      <w:r>
        <w:rPr>
          <w:rStyle w:val="CharDefText"/>
        </w:rPr>
        <w:t>water supply charge</w:t>
      </w:r>
      <w:r>
        <w:t xml:space="preserve"> means a water service charge set out in Schedule 3.</w:t>
      </w:r>
    </w:p>
    <w:p>
      <w:pPr>
        <w:pStyle w:val="Subsection"/>
      </w:pPr>
      <w:r>
        <w:tab/>
        <w:t>(2)</w:t>
      </w:r>
      <w:r>
        <w:tab/>
        <w:t>If land is provided to a person for residential use as part of the provision of relief or assistance to sick, aged, disadvantaged, unemployed or young persons by a non</w:t>
      </w:r>
      <w:r>
        <w:noBreakHyphen/>
        <w:t>profit private organisation, then the use of that land by that person and any of his or her family for residential purposes is for charitable purposes.</w:t>
      </w:r>
    </w:p>
    <w:p>
      <w:pPr>
        <w:pStyle w:val="Subsection"/>
      </w:pPr>
      <w:r>
        <w:tab/>
        <w:t>(3)</w:t>
      </w:r>
      <w:r>
        <w:tab/>
        <w:t xml:space="preserve">In the definition of </w:t>
      </w:r>
      <w:r>
        <w:rPr>
          <w:b/>
          <w:i/>
        </w:rPr>
        <w:t>residential property</w:t>
      </w:r>
      <w:r>
        <w:t xml:space="preserve">, the reference to land that could be classified as residential is a reference to land that </w:t>
      </w:r>
      <w:r>
        <w:lastRenderedPageBreak/>
        <w:t>meets the criteria for classification as residential land but is classified according to a more specific classification.</w:t>
      </w:r>
    </w:p>
    <w:p>
      <w:pPr>
        <w:pStyle w:val="Subsection"/>
        <w:keepNext/>
      </w:pPr>
      <w:r>
        <w:tab/>
        <w:t>(4)</w:t>
      </w:r>
      <w:r>
        <w:tab/>
        <w:t xml:space="preserve">In this Part, a reference to land vested in a person or body includes a reference to land the care, control and management of which has been placed with the person or body under the </w:t>
      </w:r>
      <w:r>
        <w:rPr>
          <w:i/>
        </w:rPr>
        <w:t>Land Administration Act 1997</w:t>
      </w:r>
      <w:r>
        <w:t>.</w:t>
      </w:r>
    </w:p>
    <w:p>
      <w:pPr>
        <w:pStyle w:val="Footnotesection"/>
      </w:pPr>
      <w:r>
        <w:tab/>
        <w:t>[Regulation 16 amended: Gazette 13 Dec 2016 p. 5690; 14 Jun 2019 p. 1930; 31 Dec 2019 p. 4665; SL 2021/79 r. 10; SL 2022/82 r. 4; SL 2023/66 r. 5.]</w:t>
      </w:r>
    </w:p>
    <w:p>
      <w:pPr>
        <w:pStyle w:val="Heading5"/>
      </w:pPr>
      <w:bookmarkStart w:id="42" w:name="_Toc170209114"/>
      <w:r>
        <w:rPr>
          <w:rStyle w:val="CharSectno"/>
        </w:rPr>
        <w:t>17</w:t>
      </w:r>
      <w:r>
        <w:t>.</w:t>
      </w:r>
      <w:r>
        <w:tab/>
        <w:t>Concessional land</w:t>
      </w:r>
      <w:bookmarkEnd w:id="42"/>
    </w:p>
    <w:p>
      <w:pPr>
        <w:pStyle w:val="Subsection"/>
      </w:pPr>
      <w:r>
        <w:tab/>
        <w:t>(1)</w:t>
      </w:r>
      <w:r>
        <w:tab/>
        <w:t xml:space="preserve">For the purposes of this Part, the following land is concessional land — </w:t>
      </w:r>
    </w:p>
    <w:p>
      <w:pPr>
        <w:pStyle w:val="Indenta"/>
      </w:pPr>
      <w:r>
        <w:tab/>
        <w:t>(a)</w:t>
      </w:r>
      <w:r>
        <w:tab/>
        <w:t>land held by the State;</w:t>
      </w:r>
    </w:p>
    <w:p>
      <w:pPr>
        <w:pStyle w:val="Indenta"/>
      </w:pPr>
      <w:r>
        <w:tab/>
        <w:t>(b)</w:t>
      </w:r>
      <w:r>
        <w:tab/>
        <w:t>land held by a government trading organisation;</w:t>
      </w:r>
    </w:p>
    <w:p>
      <w:pPr>
        <w:pStyle w:val="Indenta"/>
      </w:pPr>
      <w:r>
        <w:tab/>
        <w:t>(c)</w:t>
      </w:r>
      <w:r>
        <w:tab/>
        <w:t xml:space="preserve">land vested in, held by or used or occupied by, a local government, other than — </w:t>
      </w:r>
    </w:p>
    <w:p>
      <w:pPr>
        <w:pStyle w:val="Indenti"/>
      </w:pPr>
      <w:r>
        <w:tab/>
        <w:t>(i)</w:t>
      </w:r>
      <w:r>
        <w:tab/>
        <w:t>alienated land held by the local government as a tenant or otherwise used or occupied by the local government with the authority of the owner of the land; or</w:t>
      </w:r>
    </w:p>
    <w:p>
      <w:pPr>
        <w:pStyle w:val="Indenti"/>
      </w:pPr>
      <w:r>
        <w:tab/>
        <w:t>(ii)</w:t>
      </w:r>
      <w:r>
        <w:tab/>
        <w:t>land used for business purposes; or</w:t>
      </w:r>
    </w:p>
    <w:p>
      <w:pPr>
        <w:pStyle w:val="Indenti"/>
      </w:pPr>
      <w:r>
        <w:tab/>
        <w:t>(iii)</w:t>
      </w:r>
      <w:r>
        <w:tab/>
        <w:t>land held or occupied by a tenant of the local government;</w:t>
      </w:r>
    </w:p>
    <w:p>
      <w:pPr>
        <w:pStyle w:val="Indenta"/>
      </w:pPr>
      <w:r>
        <w:tab/>
        <w:t>(d)</w:t>
      </w:r>
      <w:r>
        <w:tab/>
        <w:t>land belonging to or leased by a religious body and used or held exclusively for public worship, as a dwelling for a priest, minister, monk, nun or similar person, or for monastic purposes;</w:t>
      </w:r>
    </w:p>
    <w:p>
      <w:pPr>
        <w:pStyle w:val="Indenta"/>
      </w:pPr>
      <w:r>
        <w:tab/>
        <w:t>(e)</w:t>
      </w:r>
      <w:r>
        <w:tab/>
        <w:t>land used or held exclusively as a public hospital, public or private school, public library, public museum or public art gallery or for a similar purpose;</w:t>
      </w:r>
    </w:p>
    <w:p>
      <w:pPr>
        <w:pStyle w:val="Indenta"/>
      </w:pPr>
      <w:r>
        <w:tab/>
        <w:t>(f)</w:t>
      </w:r>
      <w:r>
        <w:tab/>
        <w:t>land used or held exclusively for charitable purposes;</w:t>
      </w:r>
    </w:p>
    <w:p>
      <w:pPr>
        <w:pStyle w:val="Indenta"/>
        <w:keepNext/>
      </w:pPr>
      <w:r>
        <w:lastRenderedPageBreak/>
        <w:tab/>
        <w:t>(g)</w:t>
      </w:r>
      <w:r>
        <w:tab/>
        <w:t xml:space="preserve">land vested in any of the following — </w:t>
      </w:r>
    </w:p>
    <w:p>
      <w:pPr>
        <w:pStyle w:val="Indenti"/>
      </w:pPr>
      <w:r>
        <w:tab/>
        <w:t>(i)</w:t>
      </w:r>
      <w:r>
        <w:tab/>
        <w:t xml:space="preserve">a board under the </w:t>
      </w:r>
      <w:r>
        <w:rPr>
          <w:i/>
        </w:rPr>
        <w:t>Parks and Reserves Act 1895</w:t>
      </w:r>
      <w:r>
        <w:t>;</w:t>
      </w:r>
    </w:p>
    <w:p>
      <w:pPr>
        <w:pStyle w:val="Indenti"/>
      </w:pPr>
      <w:r>
        <w:tab/>
        <w:t>(ii)</w:t>
      </w:r>
      <w:r>
        <w:tab/>
        <w:t xml:space="preserve">the Authority under the </w:t>
      </w:r>
      <w:r>
        <w:rPr>
          <w:i/>
        </w:rPr>
        <w:t>Botanic Gardens and Parks Authority Act 1998</w:t>
      </w:r>
      <w:r>
        <w:t>;</w:t>
      </w:r>
    </w:p>
    <w:p>
      <w:pPr>
        <w:pStyle w:val="Indenti"/>
      </w:pPr>
      <w:r>
        <w:tab/>
        <w:t>(iii)</w:t>
      </w:r>
      <w:r>
        <w:tab/>
        <w:t xml:space="preserve">the Authority under the </w:t>
      </w:r>
      <w:r>
        <w:rPr>
          <w:i/>
        </w:rPr>
        <w:t>Zoological Parks Authority Act 2001</w:t>
      </w:r>
      <w:r>
        <w:t>;</w:t>
      </w:r>
    </w:p>
    <w:p>
      <w:pPr>
        <w:pStyle w:val="Indenti"/>
      </w:pPr>
      <w:r>
        <w:tab/>
        <w:t>(iv)</w:t>
      </w:r>
      <w:r>
        <w:tab/>
        <w:t>the Royal Agricultural Society of Western Australia Inc.;</w:t>
      </w:r>
    </w:p>
    <w:p>
      <w:pPr>
        <w:pStyle w:val="Indenti"/>
      </w:pPr>
      <w:r>
        <w:tab/>
        <w:t>(v)</w:t>
      </w:r>
      <w:r>
        <w:tab/>
        <w:t xml:space="preserve">an agricultural society registered under the </w:t>
      </w:r>
      <w:r>
        <w:rPr>
          <w:i/>
        </w:rPr>
        <w:t>Royal Agricultural Society Act 1926</w:t>
      </w:r>
      <w:r>
        <w:t>;</w:t>
      </w:r>
    </w:p>
    <w:p>
      <w:pPr>
        <w:pStyle w:val="Indenta"/>
      </w:pPr>
      <w:r>
        <w:tab/>
        <w:t>(h)</w:t>
      </w:r>
      <w:r>
        <w:tab/>
        <w:t xml:space="preserve">land used, occupied or held exclusively for the purposes of a society, club, association or other body that — </w:t>
      </w:r>
    </w:p>
    <w:p>
      <w:pPr>
        <w:pStyle w:val="Indenti"/>
      </w:pPr>
      <w:r>
        <w:tab/>
        <w:t>(i)</w:t>
      </w:r>
      <w:r>
        <w:tab/>
        <w:t>conducts sporting, hobby or like activities as its sole or principal activities; and</w:t>
      </w:r>
    </w:p>
    <w:p>
      <w:pPr>
        <w:pStyle w:val="Indenti"/>
      </w:pPr>
      <w:r>
        <w:tab/>
        <w:t>(ii)</w:t>
      </w:r>
      <w:r>
        <w:tab/>
        <w:t>in the opinion of the Water Corporation, is not operated for the purpose of profit or gain to individual members, shareholders or owners; and</w:t>
      </w:r>
    </w:p>
    <w:p>
      <w:pPr>
        <w:pStyle w:val="Indenti"/>
      </w:pPr>
      <w:r>
        <w:tab/>
        <w:t>(iii)</w:t>
      </w:r>
      <w:r>
        <w:tab/>
        <w:t>is not listed in subregulation (2);</w:t>
      </w:r>
    </w:p>
    <w:p>
      <w:pPr>
        <w:pStyle w:val="Indenta"/>
      </w:pPr>
      <w:r>
        <w:tab/>
        <w:t>(i)</w:t>
      </w:r>
      <w:r>
        <w:tab/>
        <w:t>land used on occasion for horse or greyhound racing if the land is used principally by societies, clubs, associations and other bodies described in paragraph (h);</w:t>
      </w:r>
    </w:p>
    <w:p>
      <w:pPr>
        <w:pStyle w:val="Indenta"/>
        <w:keepNext/>
      </w:pPr>
      <w:r>
        <w:tab/>
        <w:t>(j)</w:t>
      </w:r>
      <w:r>
        <w:tab/>
        <w:t>land used, occupied or held exclusively for the purposes of a club or association listed in subregulation (2) if —</w:t>
      </w:r>
    </w:p>
    <w:p>
      <w:pPr>
        <w:pStyle w:val="Indenti"/>
      </w:pPr>
      <w:r>
        <w:tab/>
        <w:t>(i)</w:t>
      </w:r>
      <w:r>
        <w:tab/>
        <w:t>the land is used principally for horse or greyhound racing; and</w:t>
      </w:r>
    </w:p>
    <w:p>
      <w:pPr>
        <w:pStyle w:val="Indenti"/>
      </w:pPr>
      <w:r>
        <w:tab/>
        <w:t>(ii)</w:t>
      </w:r>
      <w:r>
        <w:tab/>
        <w:t>no off</w:t>
      </w:r>
      <w:r>
        <w:noBreakHyphen/>
        <w:t xml:space="preserve">course betting facilities are provided by Racing and Wagering Western Australia (established by the </w:t>
      </w:r>
      <w:r>
        <w:rPr>
          <w:i/>
        </w:rPr>
        <w:t>Racing and Wagering Western Australia Act 2003</w:t>
      </w:r>
      <w:r>
        <w:t>) for any of the race meetings conducted on the land;</w:t>
      </w:r>
    </w:p>
    <w:p>
      <w:pPr>
        <w:pStyle w:val="Indenta"/>
      </w:pPr>
      <w:r>
        <w:tab/>
        <w:t>(k)</w:t>
      </w:r>
      <w:r>
        <w:tab/>
        <w:t>land used or held as a cemetery;</w:t>
      </w:r>
    </w:p>
    <w:p>
      <w:pPr>
        <w:pStyle w:val="Indenta"/>
      </w:pPr>
      <w:r>
        <w:lastRenderedPageBreak/>
        <w:tab/>
        <w:t>(l)</w:t>
      </w:r>
      <w:r>
        <w:tab/>
        <w:t>land that the Water Corporation declares, under this paragraph, to be concessional land for the purposes of this Part.</w:t>
      </w:r>
    </w:p>
    <w:p>
      <w:pPr>
        <w:pStyle w:val="Subsection"/>
        <w:keepNext/>
      </w:pPr>
      <w:r>
        <w:tab/>
        <w:t>(2)</w:t>
      </w:r>
      <w:r>
        <w:tab/>
        <w:t xml:space="preserve">For the purposes of subregulation (1)(h) and (j), the following bodies are listed — </w:t>
      </w:r>
    </w:p>
    <w:p>
      <w:pPr>
        <w:pStyle w:val="Indenta"/>
      </w:pPr>
      <w:r>
        <w:tab/>
        <w:t>(a)</w:t>
      </w:r>
      <w:r>
        <w:tab/>
        <w:t>The Western Australian Turf Club and any club or association formed for the conduct or promotion of galloping horse races in Western Australia;</w:t>
      </w:r>
    </w:p>
    <w:p>
      <w:pPr>
        <w:pStyle w:val="Indenta"/>
      </w:pPr>
      <w:r>
        <w:tab/>
        <w:t>(b)</w:t>
      </w:r>
      <w:r>
        <w:tab/>
        <w:t xml:space="preserve">the Western Australian Trotting Association constituted by the </w:t>
      </w:r>
      <w:r>
        <w:rPr>
          <w:i/>
        </w:rPr>
        <w:t>Western Australian Trotting Association Act 1946</w:t>
      </w:r>
      <w:r>
        <w:t xml:space="preserve"> and any trotting club or association formed for the conduct or promotion of trotting or pacing horse races in Western Australia;</w:t>
      </w:r>
    </w:p>
    <w:p>
      <w:pPr>
        <w:pStyle w:val="Indenta"/>
      </w:pPr>
      <w:r>
        <w:tab/>
        <w:t>(c)</w:t>
      </w:r>
      <w:r>
        <w:tab/>
        <w:t xml:space="preserve">the Western Australian Greyhound Racing Association established by the </w:t>
      </w:r>
      <w:r>
        <w:rPr>
          <w:i/>
        </w:rPr>
        <w:t>Western Australian Greyhound Racing Association Act 1981</w:t>
      </w:r>
      <w:r>
        <w:t xml:space="preserve"> and any greyhound club or association formed for the conduct or promotion of greyhound racing in Western Australia.</w:t>
      </w:r>
    </w:p>
    <w:p>
      <w:pPr>
        <w:pStyle w:val="Subsection"/>
      </w:pPr>
      <w:r>
        <w:tab/>
        <w:t>(3)</w:t>
      </w:r>
      <w:r>
        <w:tab/>
        <w:t>Despite subregulation (1), land described in subregulation (1)(d), (e), (f), (g), (h), (i), (j) or (k) is not concessional land to the extent to which it is leased or otherwise occupied for a purpose not related to a purpose described in the paragraph.</w:t>
      </w:r>
    </w:p>
    <w:p>
      <w:pPr>
        <w:pStyle w:val="Subsection"/>
      </w:pPr>
      <w:r>
        <w:tab/>
        <w:t>(4)</w:t>
      </w:r>
      <w:r>
        <w:tab/>
        <w:t>Land does not cease to be used, occupied or held exclusively for a purpose mentioned in subregulation (1) merely because it is used for fundraising for, or as a meeting place for, a religious or charitable purpose, or as a polling place for any parliamentary or other election.</w:t>
      </w:r>
    </w:p>
    <w:p>
      <w:pPr>
        <w:pStyle w:val="Heading3"/>
      </w:pPr>
      <w:bookmarkStart w:id="43" w:name="_Toc170136747"/>
      <w:bookmarkStart w:id="44" w:name="_Toc170138759"/>
      <w:bookmarkStart w:id="45" w:name="_Toc170203620"/>
      <w:bookmarkStart w:id="46" w:name="_Toc170209115"/>
      <w:r>
        <w:rPr>
          <w:rStyle w:val="CharDivNo"/>
        </w:rPr>
        <w:t>Division 2</w:t>
      </w:r>
      <w:r>
        <w:t> — </w:t>
      </w:r>
      <w:r>
        <w:rPr>
          <w:rStyle w:val="CharDivText"/>
        </w:rPr>
        <w:t>Provisions of general application</w:t>
      </w:r>
      <w:bookmarkEnd w:id="43"/>
      <w:bookmarkEnd w:id="44"/>
      <w:bookmarkEnd w:id="45"/>
      <w:bookmarkEnd w:id="46"/>
    </w:p>
    <w:p>
      <w:pPr>
        <w:pStyle w:val="Heading5"/>
      </w:pPr>
      <w:bookmarkStart w:id="47" w:name="_Toc170209116"/>
      <w:r>
        <w:rPr>
          <w:rStyle w:val="CharSectno"/>
        </w:rPr>
        <w:t>18</w:t>
      </w:r>
      <w:r>
        <w:t>.</w:t>
      </w:r>
      <w:r>
        <w:tab/>
        <w:t>Application of this Division</w:t>
      </w:r>
      <w:bookmarkEnd w:id="47"/>
    </w:p>
    <w:p>
      <w:pPr>
        <w:pStyle w:val="Subsection"/>
      </w:pPr>
      <w:r>
        <w:tab/>
      </w:r>
      <w:r>
        <w:tab/>
        <w:t>This Division applies to water service charges applicable under Divisions 3, 4, 5 and 6.</w:t>
      </w:r>
    </w:p>
    <w:p>
      <w:pPr>
        <w:pStyle w:val="Heading5"/>
      </w:pPr>
      <w:bookmarkStart w:id="48" w:name="_Toc170209117"/>
      <w:r>
        <w:rPr>
          <w:rStyle w:val="CharSectno"/>
        </w:rPr>
        <w:lastRenderedPageBreak/>
        <w:t>19</w:t>
      </w:r>
      <w:r>
        <w:t>.</w:t>
      </w:r>
      <w:r>
        <w:tab/>
        <w:t>Payment of charges</w:t>
      </w:r>
      <w:bookmarkEnd w:id="48"/>
    </w:p>
    <w:p>
      <w:pPr>
        <w:pStyle w:val="Subsection"/>
      </w:pPr>
      <w:r>
        <w:tab/>
        <w:t>(1)</w:t>
      </w:r>
      <w:r>
        <w:tab/>
        <w:t xml:space="preserve">In this regulation — </w:t>
      </w:r>
    </w:p>
    <w:p>
      <w:pPr>
        <w:pStyle w:val="Defstart"/>
      </w:pPr>
      <w:r>
        <w:tab/>
      </w:r>
      <w:r>
        <w:rPr>
          <w:rStyle w:val="CharDefText"/>
        </w:rPr>
        <w:t>trade waste charge</w:t>
      </w:r>
      <w:r>
        <w:t xml:space="preserve"> means a water service charge set out in Schedule 4 item 7, 8, 9 or 32 or Schedule 7 item 11, 12 or 13.</w:t>
      </w:r>
    </w:p>
    <w:p>
      <w:pPr>
        <w:pStyle w:val="Subsection"/>
      </w:pPr>
      <w:r>
        <w:tab/>
        <w:t>(2)</w:t>
      </w:r>
      <w:r>
        <w:tab/>
        <w:t>A water service charge, or a portion of a water service charge, that is payable is due for payment to the Water Corporation on the day specified in an invoice for the charge or the portion.</w:t>
      </w:r>
    </w:p>
    <w:p>
      <w:pPr>
        <w:pStyle w:val="Subsection"/>
      </w:pPr>
      <w:r>
        <w:tab/>
        <w:t>(3)</w:t>
      </w:r>
      <w:r>
        <w:tab/>
        <w:t xml:space="preserve">The day specified must be — </w:t>
      </w:r>
    </w:p>
    <w:p>
      <w:pPr>
        <w:pStyle w:val="Indenta"/>
      </w:pPr>
      <w:r>
        <w:tab/>
        <w:t>(a)</w:t>
      </w:r>
      <w:r>
        <w:tab/>
        <w:t>for a trade waste charge — at least 28 days after the day on which the invoice is issued; or</w:t>
      </w:r>
    </w:p>
    <w:p>
      <w:pPr>
        <w:pStyle w:val="Indenta"/>
      </w:pPr>
      <w:r>
        <w:tab/>
        <w:t>(b)</w:t>
      </w:r>
      <w:r>
        <w:tab/>
        <w:t>for all other charges — at least 14 days after the day on which the invoice is issued.</w:t>
      </w:r>
    </w:p>
    <w:p>
      <w:pPr>
        <w:pStyle w:val="Subsection"/>
      </w:pPr>
      <w:r>
        <w:tab/>
        <w:t>(4)</w:t>
      </w:r>
      <w:r>
        <w:tab/>
        <w:t>A water service charge, other than a quality/quantity charge, may be due for payment, in whole or in part, in advance, but not before the beginning of the year for which the charge applies.</w:t>
      </w:r>
    </w:p>
    <w:p>
      <w:pPr>
        <w:pStyle w:val="Subsection"/>
        <w:keepNext/>
      </w:pPr>
      <w:r>
        <w:tab/>
        <w:t>(5)</w:t>
      </w:r>
      <w:r>
        <w:tab/>
        <w:t xml:space="preserve">This regulation — </w:t>
      </w:r>
    </w:p>
    <w:p>
      <w:pPr>
        <w:pStyle w:val="Indenta"/>
      </w:pPr>
      <w:r>
        <w:tab/>
        <w:t>(a)</w:t>
      </w:r>
      <w:r>
        <w:tab/>
        <w:t>is subject to a special payment arrangement under regulation 21; and</w:t>
      </w:r>
    </w:p>
    <w:p>
      <w:pPr>
        <w:pStyle w:val="Indenta"/>
      </w:pPr>
      <w:r>
        <w:tab/>
        <w:t>(b)</w:t>
      </w:r>
      <w:r>
        <w:tab/>
        <w:t>does not apply to a charge set out in Schedule 7 other than in item 11, 12 or 13.</w:t>
      </w:r>
    </w:p>
    <w:p>
      <w:pPr>
        <w:pStyle w:val="Footnotesection"/>
      </w:pPr>
      <w:r>
        <w:tab/>
        <w:t>[Regulation 19 amended: SL 2022/82 r. 5; SL 2023/66 r. 6.]</w:t>
      </w:r>
    </w:p>
    <w:p>
      <w:pPr>
        <w:pStyle w:val="Heading5"/>
      </w:pPr>
      <w:bookmarkStart w:id="49" w:name="_Toc170209118"/>
      <w:r>
        <w:rPr>
          <w:rStyle w:val="CharSectno"/>
        </w:rPr>
        <w:t>20</w:t>
      </w:r>
      <w:r>
        <w:t>.</w:t>
      </w:r>
      <w:r>
        <w:tab/>
        <w:t>Permitted surcharge for using credit card or debit card</w:t>
      </w:r>
      <w:bookmarkEnd w:id="49"/>
    </w:p>
    <w:p>
      <w:pPr>
        <w:pStyle w:val="Subsection"/>
      </w:pPr>
      <w:r>
        <w:tab/>
        <w:t>(1)</w:t>
      </w:r>
      <w:r>
        <w:tab/>
        <w:t xml:space="preserve">In this regulation — </w:t>
      </w:r>
    </w:p>
    <w:p>
      <w:pPr>
        <w:pStyle w:val="Defstart"/>
      </w:pPr>
      <w:r>
        <w:tab/>
      </w:r>
      <w:r>
        <w:rPr>
          <w:rStyle w:val="CharDefText"/>
        </w:rPr>
        <w:t>permitted surcharge</w:t>
      </w:r>
      <w:r>
        <w:t xml:space="preserve"> has the meaning given in RBA Standard No. 3 of 2016;</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 xml:space="preserve">Payment Systems </w:t>
      </w:r>
      <w:r>
        <w:rPr>
          <w:i/>
        </w:rPr>
        <w:lastRenderedPageBreak/>
        <w:t>(Regulation) Act 1998</w:t>
      </w:r>
      <w:r>
        <w:t xml:space="preserve"> (Commonwealth) section 18, as in force from time to time.</w:t>
      </w:r>
    </w:p>
    <w:p>
      <w:pPr>
        <w:pStyle w:val="Subsection"/>
      </w:pPr>
      <w:r>
        <w:tab/>
        <w:t>(2)</w:t>
      </w:r>
      <w:r>
        <w:tab/>
        <w:t>An invoice for a statutory water service charge, or a portion of a statutory water service charge, may include a permitted surcharge for payments made using a credit card or debit card.</w:t>
      </w:r>
    </w:p>
    <w:p>
      <w:pPr>
        <w:pStyle w:val="Subsection"/>
      </w:pPr>
      <w:r>
        <w:tab/>
        <w:t>(3)</w:t>
      </w:r>
      <w:r>
        <w:tab/>
        <w:t>The permitted surcharge is payable if the amount in the invoice is paid, in whole or in part, using a credit card or debit card.</w:t>
      </w:r>
    </w:p>
    <w:p>
      <w:pPr>
        <w:pStyle w:val="Footnotesection"/>
      </w:pPr>
      <w:r>
        <w:tab/>
        <w:t>[Regulation 20 inserted: Gazette 22 Jun 2018 p. 2213.]</w:t>
      </w:r>
    </w:p>
    <w:p>
      <w:pPr>
        <w:pStyle w:val="Heading5"/>
      </w:pPr>
      <w:bookmarkStart w:id="50" w:name="_Toc170209119"/>
      <w:r>
        <w:rPr>
          <w:rStyle w:val="CharSectno"/>
        </w:rPr>
        <w:t>21</w:t>
      </w:r>
      <w:r>
        <w:t>.</w:t>
      </w:r>
      <w:r>
        <w:tab/>
        <w:t>Special payment arrangements</w:t>
      </w:r>
      <w:bookmarkEnd w:id="50"/>
    </w:p>
    <w:p>
      <w:pPr>
        <w:pStyle w:val="Ednotesubsection"/>
      </w:pPr>
      <w:r>
        <w:tab/>
        <w:t>[(1)</w:t>
      </w:r>
      <w:r>
        <w:tab/>
        <w:t>deleted]</w:t>
      </w:r>
    </w:p>
    <w:p>
      <w:pPr>
        <w:pStyle w:val="Subsection"/>
      </w:pPr>
      <w:r>
        <w:tab/>
        <w:t>(2)</w:t>
      </w:r>
      <w:r>
        <w:tab/>
        <w:t>The Water Corporation may enter into a special payment arrangement with a person for the payment of water service charges payable under this Part.</w:t>
      </w:r>
    </w:p>
    <w:p>
      <w:pPr>
        <w:pStyle w:val="Subsection"/>
      </w:pPr>
      <w:r>
        <w:tab/>
        <w:t>(3)</w:t>
      </w:r>
      <w:r>
        <w:tab/>
        <w:t>A special payment arrangement is on the terms and conditions, including as to the payment of additional charges and interest, that the Water Corporation considers appropriate, having regard to the person’s circumstances.</w:t>
      </w:r>
    </w:p>
    <w:p>
      <w:pPr>
        <w:pStyle w:val="Subsection"/>
      </w:pPr>
      <w:r>
        <w:tab/>
        <w:t>(4)</w:t>
      </w:r>
      <w:r>
        <w:tab/>
        <w:t xml:space="preserve">However — </w:t>
      </w:r>
    </w:p>
    <w:p>
      <w:pPr>
        <w:pStyle w:val="Indenta"/>
      </w:pPr>
      <w:r>
        <w:tab/>
        <w:t>(a)</w:t>
      </w:r>
      <w:r>
        <w:tab/>
        <w:t>the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cannot exceed the rate in regulation 29.</w:t>
      </w:r>
    </w:p>
    <w:p>
      <w:pPr>
        <w:pStyle w:val="Footnotesection"/>
      </w:pPr>
      <w:r>
        <w:tab/>
        <w:t>[Regulation 21 amended: SL 2023/66 r. 7.]</w:t>
      </w:r>
    </w:p>
    <w:p>
      <w:pPr>
        <w:pStyle w:val="Heading5"/>
      </w:pPr>
      <w:bookmarkStart w:id="51" w:name="_Toc170209120"/>
      <w:r>
        <w:rPr>
          <w:rStyle w:val="CharSectno"/>
        </w:rPr>
        <w:t>22</w:t>
      </w:r>
      <w:r>
        <w:t>.</w:t>
      </w:r>
      <w:r>
        <w:tab/>
        <w:t>Estimating quantity of water or wastewater supplied, discharged or drained</w:t>
      </w:r>
      <w:bookmarkEnd w:id="51"/>
    </w:p>
    <w:p>
      <w:pPr>
        <w:pStyle w:val="Subsection"/>
        <w:keepNext/>
      </w:pPr>
      <w:r>
        <w:tab/>
        <w:t>(1)</w:t>
      </w:r>
      <w:r>
        <w:tab/>
        <w:t xml:space="preserve">Subregulation (2) applies to the extent to which the quantity of water or wastewater supplied to or discharged or drained from </w:t>
      </w:r>
      <w:r>
        <w:lastRenderedPageBreak/>
        <w:t xml:space="preserve">land is not accurately measured by a meter because of one of the following circumstances or a similar circumstance — </w:t>
      </w:r>
    </w:p>
    <w:p>
      <w:pPr>
        <w:pStyle w:val="Indenta"/>
      </w:pPr>
      <w:r>
        <w:tab/>
        <w:t>(a)</w:t>
      </w:r>
      <w:r>
        <w:tab/>
        <w:t>the meter is not functioning properly;</w:t>
      </w:r>
    </w:p>
    <w:p>
      <w:pPr>
        <w:pStyle w:val="Indenta"/>
      </w:pPr>
      <w:r>
        <w:tab/>
        <w:t>(b)</w:t>
      </w:r>
      <w:r>
        <w:tab/>
        <w:t>the meter has been removed, for whatever reason;</w:t>
      </w:r>
    </w:p>
    <w:p>
      <w:pPr>
        <w:pStyle w:val="Indenta"/>
      </w:pPr>
      <w:r>
        <w:tab/>
        <w:t>(c)</w:t>
      </w:r>
      <w:r>
        <w:tab/>
        <w:t>the meter cannot be read because a physical obstruction, adverse weather or other unforeseen circumstance prevents access to the meter.</w:t>
      </w:r>
    </w:p>
    <w:p>
      <w:pPr>
        <w:pStyle w:val="Subsection"/>
      </w:pPr>
      <w:r>
        <w:tab/>
        <w:t>(2)</w:t>
      </w:r>
      <w:r>
        <w:tab/>
        <w:t xml:space="preserve">For the purposes of calculating a water service charge for the supply of water to land or the discharge or drainage of water or wastewater from land, the Water Corporation may estimate the quantity of water or wastewater supplied, discharged or drained in accordance with one or more of the following paragraphs — </w:t>
      </w:r>
    </w:p>
    <w:p>
      <w:pPr>
        <w:pStyle w:val="Indenta"/>
      </w:pPr>
      <w:r>
        <w:tab/>
        <w:t>(a)</w:t>
      </w:r>
      <w:r>
        <w:tab/>
        <w:t>by adjusting the quantity registered by the meter to take account of an error found on testing the meter;</w:t>
      </w:r>
    </w:p>
    <w:p>
      <w:pPr>
        <w:pStyle w:val="Indenta"/>
      </w:pPr>
      <w:r>
        <w:tab/>
        <w:t>(b)</w:t>
      </w:r>
      <w:r>
        <w:tab/>
        <w:t>by deducting from the volume of water supplied to the land, or a particular part of the land, an allowance for the volume of water supplied that was not discharged;</w:t>
      </w:r>
    </w:p>
    <w:p>
      <w:pPr>
        <w:pStyle w:val="Indenta"/>
      </w:pPr>
      <w:r>
        <w:tab/>
        <w:t>(c)</w:t>
      </w:r>
      <w:r>
        <w:tab/>
        <w:t>in the case of water supplied for irrigation — by reference to the rate of flow and the period of supply;</w:t>
      </w:r>
    </w:p>
    <w:p>
      <w:pPr>
        <w:pStyle w:val="Indenta"/>
      </w:pPr>
      <w:r>
        <w:tab/>
        <w:t>(d)</w:t>
      </w:r>
      <w:r>
        <w:tab/>
        <w:t>by reference to historical data relating to the quantity of water supplied to the land;</w:t>
      </w:r>
    </w:p>
    <w:p>
      <w:pPr>
        <w:pStyle w:val="Indenta"/>
      </w:pPr>
      <w:r>
        <w:tab/>
        <w:t>(e)</w:t>
      </w:r>
      <w:r>
        <w:tab/>
        <w:t>by reference to historical data relating to the discharge of wastewater from the land;</w:t>
      </w:r>
    </w:p>
    <w:p>
      <w:pPr>
        <w:pStyle w:val="Indenta"/>
      </w:pPr>
      <w:r>
        <w:tab/>
        <w:t>(f)</w:t>
      </w:r>
      <w:r>
        <w:tab/>
        <w:t>by reference to typical quantities of water or wastewater supplied to, or discharged or drained from, land of that type.</w:t>
      </w:r>
    </w:p>
    <w:p>
      <w:pPr>
        <w:pStyle w:val="Subsection"/>
      </w:pPr>
      <w:r>
        <w:tab/>
        <w:t>(3)</w:t>
      </w:r>
      <w:r>
        <w:tab/>
        <w:t>Subregulations (1) and (2) also apply to a supply of water made other than in respect of land, to the extent to which they are relevant.</w:t>
      </w:r>
    </w:p>
    <w:p>
      <w:pPr>
        <w:pStyle w:val="Subsection"/>
      </w:pPr>
      <w:r>
        <w:tab/>
        <w:t>(4)</w:t>
      </w:r>
      <w:r>
        <w:tab/>
        <w:t xml:space="preserve">If water supplied for irrigation is not supplied through a meter then, for the purposes of calculating a water service charge for the supply of the water, the Water Corporation may estimate the </w:t>
      </w:r>
      <w:r>
        <w:lastRenderedPageBreak/>
        <w:t>quantity of water supplied by reference to the rate of flow and the period of supply.</w:t>
      </w:r>
    </w:p>
    <w:p>
      <w:pPr>
        <w:pStyle w:val="Subsection"/>
      </w:pPr>
      <w:r>
        <w:tab/>
        <w:t>(5)</w:t>
      </w:r>
      <w:r>
        <w:tab/>
        <w:t>This regulation does not apply in relation to the calculation of water service charges for the discharge of trade waste.</w:t>
      </w:r>
    </w:p>
    <w:p>
      <w:pPr>
        <w:pStyle w:val="Heading5"/>
      </w:pPr>
      <w:bookmarkStart w:id="52" w:name="_Toc170209121"/>
      <w:r>
        <w:rPr>
          <w:rStyle w:val="CharSectno"/>
        </w:rPr>
        <w:t>23</w:t>
      </w:r>
      <w:r>
        <w:t>.</w:t>
      </w:r>
      <w:r>
        <w:tab/>
        <w:t>Determining quality and quantity of trade waste discharged</w:t>
      </w:r>
      <w:bookmarkEnd w:id="52"/>
    </w:p>
    <w:p>
      <w:pPr>
        <w:pStyle w:val="Subsection"/>
        <w:keepNext/>
      </w:pPr>
      <w:r>
        <w:tab/>
        <w:t>(1)</w:t>
      </w:r>
      <w:r>
        <w:tab/>
        <w:t xml:space="preserve">In this regulation — </w:t>
      </w:r>
    </w:p>
    <w:p>
      <w:pPr>
        <w:pStyle w:val="Defstart"/>
      </w:pPr>
      <w:r>
        <w:tab/>
      </w:r>
      <w:r>
        <w:rPr>
          <w:rStyle w:val="CharDefText"/>
        </w:rPr>
        <w:t>approved meter</w:t>
      </w:r>
      <w:r>
        <w:t xml:space="preserve"> means a meter approved by the Water Corporation.</w:t>
      </w:r>
    </w:p>
    <w:p>
      <w:pPr>
        <w:pStyle w:val="Subsection"/>
      </w:pPr>
      <w:r>
        <w:tab/>
        <w:t>(2)</w:t>
      </w:r>
      <w:r>
        <w:tab/>
        <w:t>Subregulation (3) applies to the extent to which the quantity of trade waste discharged from land into a sewer of the Water Corporation is not accurately measured by an approved meter.</w:t>
      </w:r>
    </w:p>
    <w:p>
      <w:pPr>
        <w:pStyle w:val="Subsection"/>
      </w:pPr>
      <w:r>
        <w:tab/>
        <w:t>(3)</w:t>
      </w:r>
      <w:r>
        <w:tab/>
        <w:t xml:space="preserve">For the purposes of calculating a water service charge for the discharge of trade waste from land into a sewer of the Water Corporation, the Water Corporation may determine the quantity of trade waste discharged in accordance with one or more of the following paragraphs — </w:t>
      </w:r>
    </w:p>
    <w:p>
      <w:pPr>
        <w:pStyle w:val="Indenta"/>
      </w:pPr>
      <w:r>
        <w:tab/>
        <w:t>(a)</w:t>
      </w:r>
      <w:r>
        <w:tab/>
        <w:t>if the quantity of wastewater discharged from the land, or a particular part of the land, into the sewer is accurately measured by an approved meter — by deducting from that quantity an allowance for wastewater discharged that was not trade waste;</w:t>
      </w:r>
    </w:p>
    <w:p>
      <w:pPr>
        <w:pStyle w:val="Indenta"/>
        <w:keepLines/>
      </w:pPr>
      <w:r>
        <w:tab/>
        <w:t>(b)</w:t>
      </w:r>
      <w:r>
        <w:tab/>
        <w:t>by deducting from the quantity of water supplied to the land, or a particular part of the land, an allowance for the quantity of water supplied that was not discharged and an allowance for wastewater discharged that was not trade waste;</w:t>
      </w:r>
    </w:p>
    <w:p>
      <w:pPr>
        <w:pStyle w:val="Indenta"/>
      </w:pPr>
      <w:r>
        <w:tab/>
        <w:t>(c)</w:t>
      </w:r>
      <w:r>
        <w:tab/>
        <w:t>by reference to a waste discharge profile determined by the Water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keepNext/>
      </w:pPr>
      <w:r>
        <w:lastRenderedPageBreak/>
        <w:tab/>
        <w:t>(e)</w:t>
      </w:r>
      <w:r>
        <w:tab/>
        <w:t xml:space="preserve">by reference to information given to the Water Corporation in relation to — </w:t>
      </w:r>
    </w:p>
    <w:p>
      <w:pPr>
        <w:pStyle w:val="Indenti"/>
      </w:pPr>
      <w:r>
        <w:tab/>
        <w:t>(i)</w:t>
      </w:r>
      <w:r>
        <w:tab/>
        <w:t xml:space="preserve">the discharge of industrial waste under a permit under the </w:t>
      </w:r>
      <w:r>
        <w:rPr>
          <w:i/>
        </w:rPr>
        <w:t>Country Towns Sewerage By</w:t>
      </w:r>
      <w:r>
        <w:rPr>
          <w:i/>
        </w:rPr>
        <w:noBreakHyphen/>
        <w:t>laws 1952</w:t>
      </w:r>
      <w:r>
        <w:rPr>
          <w:vertAlign w:val="superscript"/>
        </w:rPr>
        <w:t> 1</w:t>
      </w:r>
      <w:r>
        <w:t xml:space="preserve"> or the </w:t>
      </w:r>
      <w:r>
        <w:rPr>
          <w:i/>
        </w:rPr>
        <w:t>Metropolitan Water Supply, Sewerage and Drainage By</w:t>
      </w:r>
      <w:r>
        <w:rPr>
          <w:i/>
        </w:rPr>
        <w:noBreakHyphen/>
        <w:t>laws 1981</w:t>
      </w:r>
      <w:r>
        <w:t>; or</w:t>
      </w:r>
    </w:p>
    <w:p>
      <w:pPr>
        <w:pStyle w:val="Indenti"/>
      </w:pPr>
      <w:r>
        <w:tab/>
        <w:t>(ii)</w:t>
      </w:r>
      <w:r>
        <w:tab/>
        <w:t xml:space="preserve">the discharge of trade waste under an approval of the Water Corporation (referred to in the </w:t>
      </w:r>
      <w:r>
        <w:rPr>
          <w:i/>
        </w:rPr>
        <w:t>Water Services Act 2012</w:t>
      </w:r>
      <w:r>
        <w:t xml:space="preserve"> Part 5 Division 6).</w:t>
      </w:r>
    </w:p>
    <w:p>
      <w:pPr>
        <w:pStyle w:val="Subsection"/>
      </w:pPr>
      <w:r>
        <w:tab/>
        <w:t>(4)</w:t>
      </w:r>
      <w:r>
        <w:tab/>
        <w:t>Subregulation (5) applies to the extent to which the quality of trade waste discharged from land into a sewer of the Water Corporation is not accurately measured.</w:t>
      </w:r>
    </w:p>
    <w:p>
      <w:pPr>
        <w:pStyle w:val="Subsection"/>
      </w:pPr>
      <w:r>
        <w:tab/>
        <w:t>(5)</w:t>
      </w:r>
      <w:r>
        <w:tab/>
        <w:t xml:space="preserve">For the purposes of calculating a water service charge for the discharge of trade waste from land into a sewer of the Water Corporation, the Water Corporation may determine the quality of trade waste discharged in accordance with one or more of the following paragraphs — </w:t>
      </w:r>
    </w:p>
    <w:p>
      <w:pPr>
        <w:pStyle w:val="Indenta"/>
      </w:pPr>
      <w:r>
        <w:tab/>
        <w:t>(a)</w:t>
      </w:r>
      <w:r>
        <w:tab/>
        <w:t>by reference to a waste discharge profile determined by the Water Corporation to be applicable to the type of trade, industry, business or calling from which the trade waste is discharged;</w:t>
      </w:r>
    </w:p>
    <w:p>
      <w:pPr>
        <w:pStyle w:val="Indenta"/>
      </w:pPr>
      <w:r>
        <w:tab/>
        <w:t>(b)</w:t>
      </w:r>
      <w:r>
        <w:tab/>
        <w:t>by reference to historical data relating to the discharge of wastewater or trade waste from the land;</w:t>
      </w:r>
    </w:p>
    <w:p>
      <w:pPr>
        <w:pStyle w:val="Indenta"/>
        <w:keepNext/>
      </w:pPr>
      <w:r>
        <w:tab/>
        <w:t>(c)</w:t>
      </w:r>
      <w:r>
        <w:tab/>
        <w:t xml:space="preserve">by reference to information given to the Water Corporation in relation to — </w:t>
      </w:r>
    </w:p>
    <w:p>
      <w:pPr>
        <w:pStyle w:val="Indenti"/>
      </w:pPr>
      <w:r>
        <w:tab/>
        <w:t>(i)</w:t>
      </w:r>
      <w:r>
        <w:tab/>
        <w:t xml:space="preserve">the discharge of industrial waste under a permit under the </w:t>
      </w:r>
      <w:r>
        <w:rPr>
          <w:i/>
        </w:rPr>
        <w:t>Country Towns Sewerage By</w:t>
      </w:r>
      <w:r>
        <w:rPr>
          <w:i/>
        </w:rPr>
        <w:noBreakHyphen/>
        <w:t>laws 1952</w:t>
      </w:r>
      <w:r>
        <w:rPr>
          <w:vertAlign w:val="superscript"/>
        </w:rPr>
        <w:t> 1</w:t>
      </w:r>
      <w:r>
        <w:t xml:space="preserve"> or the </w:t>
      </w:r>
      <w:r>
        <w:rPr>
          <w:i/>
        </w:rPr>
        <w:t>Metropolitan Water Supply, Sewerage and Drainage By</w:t>
      </w:r>
      <w:r>
        <w:rPr>
          <w:i/>
        </w:rPr>
        <w:noBreakHyphen/>
        <w:t>laws 1981</w:t>
      </w:r>
      <w:r>
        <w:t>; or</w:t>
      </w:r>
    </w:p>
    <w:p>
      <w:pPr>
        <w:pStyle w:val="Indenti"/>
      </w:pPr>
      <w:r>
        <w:lastRenderedPageBreak/>
        <w:tab/>
        <w:t>(ii)</w:t>
      </w:r>
      <w:r>
        <w:tab/>
        <w:t xml:space="preserve">the discharge of trade waste under an approval of the Water Corporation (referred to in the </w:t>
      </w:r>
      <w:r>
        <w:rPr>
          <w:i/>
        </w:rPr>
        <w:t>Water Services Act 2012</w:t>
      </w:r>
      <w:r>
        <w:t xml:space="preserve"> Part 5 Division 6).</w:t>
      </w:r>
    </w:p>
    <w:p>
      <w:pPr>
        <w:pStyle w:val="Heading5"/>
      </w:pPr>
      <w:bookmarkStart w:id="53" w:name="_Toc170209122"/>
      <w:r>
        <w:rPr>
          <w:rStyle w:val="CharSectno"/>
        </w:rPr>
        <w:t>24</w:t>
      </w:r>
      <w:r>
        <w:t>.</w:t>
      </w:r>
      <w:r>
        <w:tab/>
        <w:t>Vacant land: minimum charges before revaluation</w:t>
      </w:r>
      <w:bookmarkEnd w:id="53"/>
    </w:p>
    <w:p>
      <w:pPr>
        <w:pStyle w:val="Subsection"/>
        <w:keepNext/>
      </w:pPr>
      <w:r>
        <w:tab/>
        <w:t>(1)</w:t>
      </w:r>
      <w:r>
        <w:tab/>
        <w:t xml:space="preserve">If — </w:t>
      </w:r>
    </w:p>
    <w:p>
      <w:pPr>
        <w:pStyle w:val="Indenta"/>
        <w:keepNext/>
      </w:pPr>
      <w:r>
        <w:tab/>
        <w:t>(a)</w:t>
      </w:r>
      <w:r>
        <w:tab/>
        <w:t>land becomes vacant; and</w:t>
      </w:r>
    </w:p>
    <w:p>
      <w:pPr>
        <w:pStyle w:val="Indenta"/>
      </w:pPr>
      <w:r>
        <w:tab/>
        <w:t>(b)</w:t>
      </w:r>
      <w:r>
        <w:tab/>
        <w:t>the Water Corporation is satisfied that the land is intended for residential purposes; and</w:t>
      </w:r>
    </w:p>
    <w:p>
      <w:pPr>
        <w:pStyle w:val="Indenta"/>
      </w:pPr>
      <w:r>
        <w:tab/>
        <w:t>(c)</w:t>
      </w:r>
      <w:r>
        <w:tab/>
        <w:t>the area of land does not exceed 1 200 m</w:t>
      </w:r>
      <w:r>
        <w:rPr>
          <w:vertAlign w:val="superscript"/>
        </w:rPr>
        <w:t>2</w:t>
      </w:r>
      <w:r>
        <w:t>,</w:t>
      </w:r>
    </w:p>
    <w:p>
      <w:pPr>
        <w:pStyle w:val="Subsection"/>
      </w:pPr>
      <w:r>
        <w:tab/>
      </w:r>
      <w:r>
        <w:tab/>
        <w:t>the water service charges applicable under Divisions 3, 4 and 5 are, until the commencement of the next financial year, the minimum charges for vacant land.</w:t>
      </w:r>
    </w:p>
    <w:p>
      <w:pPr>
        <w:pStyle w:val="Subsection"/>
      </w:pPr>
      <w:r>
        <w:tab/>
        <w:t>(2)</w:t>
      </w:r>
      <w:r>
        <w:tab/>
        <w:t xml:space="preserve">The minimum charges for vacant land are — </w:t>
      </w:r>
    </w:p>
    <w:p>
      <w:pPr>
        <w:pStyle w:val="Indenta"/>
      </w:pPr>
      <w:r>
        <w:tab/>
        <w:t>(a)</w:t>
      </w:r>
      <w:r>
        <w:tab/>
        <w:t>for a water supply service — the charge set out in Schedule 3 item 13;</w:t>
      </w:r>
    </w:p>
    <w:p>
      <w:pPr>
        <w:pStyle w:val="Indenta"/>
      </w:pPr>
      <w:r>
        <w:tab/>
        <w:t>(b)</w:t>
      </w:r>
      <w:r>
        <w:tab/>
        <w:t>for a sewerage service — the applicable charge set out in Schedule 4 item 3 or 12(6);</w:t>
      </w:r>
    </w:p>
    <w:p>
      <w:pPr>
        <w:pStyle w:val="Indenta"/>
      </w:pPr>
      <w:r>
        <w:tab/>
        <w:t>(c)</w:t>
      </w:r>
      <w:r>
        <w:tab/>
        <w:t>for a drainage service — the charge set out in Schedule 5 item 5.</w:t>
      </w:r>
    </w:p>
    <w:p>
      <w:pPr>
        <w:pStyle w:val="Footnotesection"/>
      </w:pPr>
      <w:r>
        <w:tab/>
        <w:t>[Regulation 24 amended: SL 2022/82 r. 6.]</w:t>
      </w:r>
    </w:p>
    <w:p>
      <w:pPr>
        <w:pStyle w:val="Heading5"/>
      </w:pPr>
      <w:bookmarkStart w:id="54" w:name="_Toc170209123"/>
      <w:r>
        <w:rPr>
          <w:rStyle w:val="CharSectno"/>
        </w:rPr>
        <w:t>25</w:t>
      </w:r>
      <w:r>
        <w:t>.</w:t>
      </w:r>
      <w:r>
        <w:tab/>
        <w:t>Classification of land</w:t>
      </w:r>
      <w:bookmarkEnd w:id="54"/>
    </w:p>
    <w:p>
      <w:pPr>
        <w:pStyle w:val="Subsection"/>
      </w:pPr>
      <w:r>
        <w:tab/>
        <w:t>(1)</w:t>
      </w:r>
      <w:r>
        <w:tab/>
        <w:t>The classification of land for a financial year is that of the land immediately before the beginning of the year unless the Water Corporation re</w:t>
      </w:r>
      <w:r>
        <w:noBreakHyphen/>
        <w:t>classifies the land during the year or classifies the land for the first time.</w:t>
      </w:r>
    </w:p>
    <w:p>
      <w:pPr>
        <w:pStyle w:val="Subsection"/>
      </w:pPr>
      <w:r>
        <w:tab/>
        <w:t>(2)</w:t>
      </w:r>
      <w:r>
        <w:tab/>
        <w:t xml:space="preserve">In the case of the 2014/15 financial year, the classification of land immediately before the beginning of the year is the classification under the </w:t>
      </w:r>
      <w:r>
        <w:rPr>
          <w:i/>
        </w:rPr>
        <w:t>Water Agencies (Charges) By</w:t>
      </w:r>
      <w:r>
        <w:rPr>
          <w:i/>
        </w:rPr>
        <w:noBreakHyphen/>
        <w:t>laws 1987</w:t>
      </w:r>
      <w:r>
        <w:rPr>
          <w:vertAlign w:val="superscript"/>
        </w:rPr>
        <w:t> 2</w:t>
      </w:r>
      <w:r>
        <w:t>.</w:t>
      </w:r>
    </w:p>
    <w:p>
      <w:pPr>
        <w:pStyle w:val="Subsection"/>
      </w:pPr>
      <w:r>
        <w:lastRenderedPageBreak/>
        <w:tab/>
        <w:t>(3)</w:t>
      </w:r>
      <w:r>
        <w:tab/>
        <w:t>This regulation does not apply in relation to the residential or non</w:t>
      </w:r>
      <w:r>
        <w:noBreakHyphen/>
        <w:t>residential class of a town or area as set out in Schedule 10 or 11.</w:t>
      </w:r>
    </w:p>
    <w:p>
      <w:pPr>
        <w:pStyle w:val="Heading5"/>
        <w:spacing w:before="240"/>
      </w:pPr>
      <w:bookmarkStart w:id="55" w:name="_Toc170209124"/>
      <w:r>
        <w:rPr>
          <w:rStyle w:val="CharSectno"/>
        </w:rPr>
        <w:t>26</w:t>
      </w:r>
      <w:r>
        <w:t>.</w:t>
      </w:r>
      <w:r>
        <w:tab/>
        <w:t>Classification of land: holiday accommodation</w:t>
      </w:r>
      <w:bookmarkEnd w:id="55"/>
    </w:p>
    <w:p>
      <w:pPr>
        <w:pStyle w:val="Subsection"/>
        <w:keepNext/>
      </w:pPr>
      <w:r>
        <w:tab/>
      </w:r>
      <w:r>
        <w:tab/>
        <w:t xml:space="preserve">If land is classified at any time during a financial year on the basis that it is used </w:t>
      </w:r>
      <w:r>
        <w:rPr>
          <w:snapToGrid w:val="0"/>
        </w:rPr>
        <w:t xml:space="preserve">in whole or in part </w:t>
      </w:r>
      <w:r>
        <w:t xml:space="preserve">for the purpose of providing holiday accommodation, the land is to be classified for the remainder of the year on that basis unless — </w:t>
      </w:r>
    </w:p>
    <w:p>
      <w:pPr>
        <w:pStyle w:val="Indenta"/>
        <w:rPr>
          <w:snapToGrid w:val="0"/>
        </w:rPr>
      </w:pPr>
      <w:r>
        <w:rPr>
          <w:snapToGrid w:val="0"/>
        </w:rPr>
        <w:tab/>
        <w:t>(a)</w:t>
      </w:r>
      <w:r>
        <w:rPr>
          <w:snapToGrid w:val="0"/>
        </w:rPr>
        <w:tab/>
        <w:t>the ownership or occupation of the land changes; and</w:t>
      </w:r>
    </w:p>
    <w:p>
      <w:pPr>
        <w:pStyle w:val="Indenta"/>
        <w:rPr>
          <w:snapToGrid w:val="0"/>
        </w:rPr>
      </w:pPr>
      <w:r>
        <w:rPr>
          <w:snapToGrid w:val="0"/>
        </w:rPr>
        <w:tab/>
        <w:t>(b)</w:t>
      </w:r>
      <w:r>
        <w:rPr>
          <w:snapToGrid w:val="0"/>
        </w:rPr>
        <w:tab/>
        <w:t>the Water Corporation is satisfied that the land has ceased to be land used in whole or in part for the purpose of providing holiday accommodation.</w:t>
      </w:r>
    </w:p>
    <w:p>
      <w:pPr>
        <w:pStyle w:val="Heading5"/>
        <w:spacing w:before="240"/>
      </w:pPr>
      <w:bookmarkStart w:id="56" w:name="_Toc170209125"/>
      <w:r>
        <w:rPr>
          <w:rStyle w:val="CharSectno"/>
        </w:rPr>
        <w:t>27</w:t>
      </w:r>
      <w:r>
        <w:t>.</w:t>
      </w:r>
      <w:r>
        <w:tab/>
        <w:t>Commercial caravan parks</w:t>
      </w:r>
      <w:bookmarkEnd w:id="56"/>
    </w:p>
    <w:p>
      <w:pPr>
        <w:pStyle w:val="Subsection"/>
        <w:keepNext/>
        <w:keepLines/>
      </w:pPr>
      <w:r>
        <w:tab/>
        <w:t>(1)</w:t>
      </w:r>
      <w:r>
        <w:tab/>
        <w:t>Subject to subregulation (2), the water service charges for water supplied to, or wastewater discharged from, a commercial caravan park are calculated in the same manner as for other land classified as non</w:t>
      </w:r>
      <w:r>
        <w:noBreakHyphen/>
        <w:t>residential.</w:t>
      </w:r>
    </w:p>
    <w:p>
      <w:pPr>
        <w:pStyle w:val="Subsection"/>
      </w:pPr>
      <w:r>
        <w:tab/>
        <w:t>(2)</w:t>
      </w:r>
      <w:r>
        <w:tab/>
        <w:t>The operator of a commercial caravan park may nominate one or more caravan bays as long</w:t>
      </w:r>
      <w:r>
        <w:noBreakHyphen/>
        <w:t xml:space="preserve">term residential caravan bays, in which case — </w:t>
      </w:r>
    </w:p>
    <w:p>
      <w:pPr>
        <w:pStyle w:val="Indenta"/>
      </w:pPr>
      <w:r>
        <w:tab/>
        <w:t>(a)</w:t>
      </w:r>
      <w:r>
        <w:tab/>
        <w:t>the nominated caravan bays are long</w:t>
      </w:r>
      <w:r>
        <w:noBreakHyphen/>
        <w:t>term residential caravan bays for the purposes of Schedules 3 and 4; and</w:t>
      </w:r>
    </w:p>
    <w:p>
      <w:pPr>
        <w:pStyle w:val="Indenta"/>
      </w:pPr>
      <w:r>
        <w:tab/>
        <w:t>(b)</w:t>
      </w:r>
      <w:r>
        <w:tab/>
        <w:t xml:space="preserve">the water supply charges set out in Schedule 3 Division 1 apply to the caravan park as a whole, except that the amount payable is to be reduced by multiplying it by the following proportion — </w:t>
      </w:r>
    </w:p>
    <w:p>
      <w:pPr>
        <w:pStyle w:val="Indenta"/>
      </w:pPr>
      <w:r>
        <w:tab/>
      </w:r>
      <w:r>
        <w:tab/>
      </w:r>
      <w:r>
        <w:rPr>
          <w:noProof/>
          <w:position w:val="-24"/>
        </w:rPr>
        <w:drawing>
          <wp:inline distT="0" distB="0" distL="0" distR="0">
            <wp:extent cx="228600" cy="44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8600" cy="444500"/>
                    </a:xfrm>
                    <a:prstGeom prst="rect">
                      <a:avLst/>
                    </a:prstGeom>
                    <a:noFill/>
                    <a:ln>
                      <a:noFill/>
                    </a:ln>
                  </pic:spPr>
                </pic:pic>
              </a:graphicData>
            </a:graphic>
          </wp:inline>
        </w:drawing>
      </w:r>
    </w:p>
    <w:p>
      <w:pPr>
        <w:pStyle w:val="Indenta"/>
      </w:pPr>
      <w:r>
        <w:tab/>
      </w:r>
      <w:r>
        <w:tab/>
        <w:t xml:space="preserve">where — </w:t>
      </w:r>
    </w:p>
    <w:p>
      <w:pPr>
        <w:pStyle w:val="MiscellaneousBody"/>
        <w:tabs>
          <w:tab w:val="left" w:pos="1616"/>
        </w:tabs>
        <w:ind w:left="2126" w:hanging="1559"/>
      </w:pPr>
      <w:r>
        <w:rPr>
          <w:b/>
        </w:rPr>
        <w:lastRenderedPageBreak/>
        <w:tab/>
      </w:r>
      <w:r>
        <w:t>N</w:t>
      </w:r>
      <w:r>
        <w:tab/>
        <w:t>is the number of long</w:t>
      </w:r>
      <w:r>
        <w:noBreakHyphen/>
        <w:t>term residential caravan bays in the caravan park;</w:t>
      </w:r>
    </w:p>
    <w:p>
      <w:pPr>
        <w:pStyle w:val="MiscellaneousBody"/>
        <w:tabs>
          <w:tab w:val="left" w:pos="1616"/>
        </w:tabs>
        <w:ind w:left="2126" w:hanging="1559"/>
      </w:pPr>
      <w:r>
        <w:rPr>
          <w:b/>
        </w:rPr>
        <w:tab/>
      </w:r>
      <w:r>
        <w:t>T</w:t>
      </w:r>
      <w:r>
        <w:tab/>
        <w:t>is the total number of caravan bays in the caravan park;</w:t>
      </w:r>
    </w:p>
    <w:p>
      <w:pPr>
        <w:pStyle w:val="Indenta"/>
      </w:pPr>
      <w:r>
        <w:tab/>
      </w:r>
      <w:r>
        <w:tab/>
        <w:t>and</w:t>
      </w:r>
    </w:p>
    <w:p>
      <w:pPr>
        <w:pStyle w:val="Indenta"/>
      </w:pPr>
      <w:r>
        <w:tab/>
        <w:t>(c)</w:t>
      </w:r>
      <w:r>
        <w:tab/>
        <w:t xml:space="preserve">the water supply charges set out in Schedule 3 Division 2 apply to the caravan park as a whole, except that the residential rate applies to the first V kL of water supplied, where — </w:t>
      </w:r>
    </w:p>
    <w:p>
      <w:pPr>
        <w:pStyle w:val="MiscellaneousBody"/>
        <w:tabs>
          <w:tab w:val="left" w:pos="1616"/>
        </w:tabs>
        <w:ind w:left="2126" w:hanging="1559"/>
      </w:pPr>
      <w:r>
        <w:rPr>
          <w:b/>
        </w:rPr>
        <w:tab/>
      </w:r>
      <w:r>
        <w:t>V</w:t>
      </w:r>
      <w:r>
        <w:tab/>
        <w:t>is 150 kL × the number of long</w:t>
      </w:r>
      <w:r>
        <w:noBreakHyphen/>
        <w:t>term residential caravan bays in the caravan park.</w:t>
      </w:r>
    </w:p>
    <w:p>
      <w:pPr>
        <w:pStyle w:val="PermNoteHeading"/>
      </w:pPr>
      <w:r>
        <w:tab/>
        <w:t>Note for this subregulation:</w:t>
      </w:r>
    </w:p>
    <w:p>
      <w:pPr>
        <w:pStyle w:val="PermNoteText"/>
      </w:pPr>
      <w:r>
        <w:tab/>
      </w:r>
      <w:r>
        <w:tab/>
        <w:t xml:space="preserve">See Schedule 4 </w:t>
      </w:r>
      <w:r>
        <w:rPr>
          <w:rFonts w:cs="Arial"/>
          <w:szCs w:val="18"/>
        </w:rPr>
        <w:t>items 16 and 23</w:t>
      </w:r>
      <w:r>
        <w:t xml:space="preserve"> for sewerage charges for caravan parks with long</w:t>
      </w:r>
      <w:r>
        <w:noBreakHyphen/>
        <w:t>term residential caravan bays.</w:t>
      </w:r>
    </w:p>
    <w:p>
      <w:pPr>
        <w:pStyle w:val="Subsection"/>
      </w:pPr>
      <w:r>
        <w:tab/>
        <w:t>(3)</w:t>
      </w:r>
      <w:r>
        <w:tab/>
        <w:t xml:space="preserve">In subregulation (2)(c) — </w:t>
      </w:r>
    </w:p>
    <w:p>
      <w:pPr>
        <w:pStyle w:val="Defstart"/>
      </w:pPr>
      <w:r>
        <w:tab/>
      </w:r>
      <w:r>
        <w:rPr>
          <w:rStyle w:val="CharDefText"/>
        </w:rPr>
        <w:t>residential rate</w:t>
      </w:r>
      <w:r>
        <w:t xml:space="preserve"> means the rate for the supply of up to 150 kL of water to a residential property according to the location of the caravan park.</w:t>
      </w:r>
    </w:p>
    <w:p>
      <w:pPr>
        <w:pStyle w:val="Subsection"/>
      </w:pPr>
      <w:r>
        <w:tab/>
        <w:t>(4)</w:t>
      </w:r>
      <w:r>
        <w:tab/>
        <w:t>Water service charges that apply because of subregulation (2)(a) are in addition to the water service charges that apply to the caravan park as a whole.</w:t>
      </w:r>
    </w:p>
    <w:p>
      <w:pPr>
        <w:pStyle w:val="Footnotesection"/>
      </w:pPr>
      <w:r>
        <w:tab/>
        <w:t>[Regulation 27 amended: SL 2022/82 r. 7.]</w:t>
      </w:r>
    </w:p>
    <w:p>
      <w:pPr>
        <w:pStyle w:val="Heading5"/>
      </w:pPr>
      <w:bookmarkStart w:id="57" w:name="_Toc170209126"/>
      <w:r>
        <w:rPr>
          <w:rStyle w:val="CharSectno"/>
        </w:rPr>
        <w:t>28</w:t>
      </w:r>
      <w:r>
        <w:t>.</w:t>
      </w:r>
      <w:r>
        <w:tab/>
        <w:t>Maximum increases for various GRV based charges</w:t>
      </w:r>
      <w:bookmarkEnd w:id="57"/>
    </w:p>
    <w:p>
      <w:pPr>
        <w:pStyle w:val="Subsection"/>
      </w:pPr>
      <w:r>
        <w:tab/>
        <w:t>(1)</w:t>
      </w:r>
      <w:r>
        <w:tab/>
        <w:t>If, for a financial year, a water service charge calculated in respect of land under Schedule 4 item 2, 3 or 12 or Schedule 5 item 6 is more than 12.5% greater than the charge payable in respect of the land for the same service under the same circumstances in the previous financial year, the charge payable for the financial year cannot be more than 12.5% more than the charge payable for the previous financial year.</w:t>
      </w:r>
    </w:p>
    <w:p>
      <w:pPr>
        <w:pStyle w:val="Subsection"/>
      </w:pPr>
      <w:r>
        <w:lastRenderedPageBreak/>
        <w:tab/>
        <w:t>(2)</w:t>
      </w:r>
      <w:r>
        <w:tab/>
        <w:t>If, for a financial year, a water service charge calculated in respect of land under Schedule 5 item 4 or 5 is more than $25.00 greater than the charge payable in respect of the land for the same service under the same circumstances in the previous financial year, the charge payable for the financial year cannot be more than $25.00 more than the charge payable for the previous financial year.</w:t>
      </w:r>
    </w:p>
    <w:p>
      <w:pPr>
        <w:pStyle w:val="Subsection"/>
      </w:pPr>
      <w:r>
        <w:tab/>
        <w:t>(3)</w:t>
      </w:r>
      <w:r>
        <w:tab/>
        <w:t xml:space="preserve">If, because of a change of circumstances in a financial year, a water service charge set out in Schedule 4 item 2, 3 or 12 or Schedule 5 item 4, 5 or 6 commences to apply in respect of land, the charge payable for the remainder of the year is to be calculated as follows — </w:t>
      </w:r>
    </w:p>
    <w:p>
      <w:pPr>
        <w:pStyle w:val="Indenta"/>
      </w:pPr>
      <w:r>
        <w:tab/>
        <w:t>(a)</w:t>
      </w:r>
      <w:r>
        <w:tab/>
        <w:t>the charge is to be calculated for the whole of the year on the basis of the new circumstances;</w:t>
      </w:r>
    </w:p>
    <w:p>
      <w:pPr>
        <w:pStyle w:val="Indenta"/>
      </w:pPr>
      <w:r>
        <w:tab/>
        <w:t>(b)</w:t>
      </w:r>
      <w:r>
        <w:tab/>
        <w:t>the Water Corporation is to estimate a notional charge for the previous financial year in respect of the land, that is, the charge that would have been payable for that year if the new circumstances had applied to the land for the whole of that year;</w:t>
      </w:r>
    </w:p>
    <w:p>
      <w:pPr>
        <w:pStyle w:val="Indenta"/>
      </w:pPr>
      <w:r>
        <w:tab/>
        <w:t>(c)</w:t>
      </w:r>
      <w:r>
        <w:tab/>
        <w:t>the charge calculated in accordance with paragraph (a) is to be limited in accordance with subregulation (1) or (2) (where relevant), using the notional charge estimated in accordance with paragraph (b);</w:t>
      </w:r>
    </w:p>
    <w:p>
      <w:pPr>
        <w:pStyle w:val="Indenta"/>
      </w:pPr>
      <w:r>
        <w:tab/>
        <w:t>(d)</w:t>
      </w:r>
      <w:r>
        <w:tab/>
        <w:t>the charge calculated in accordance with paragraph (a), as limited in accordance with paragraph (c) (where relevant), is to be reduced pro rata.</w:t>
      </w:r>
    </w:p>
    <w:p>
      <w:pPr>
        <w:pStyle w:val="Subsection"/>
      </w:pPr>
      <w:r>
        <w:tab/>
        <w:t>(4)</w:t>
      </w:r>
      <w:r>
        <w:tab/>
        <w:t xml:space="preserve">If, in a financial year, there is a change of circumstances in relation to which subregulation (3) applies and a subsequent change of circumstances in relation to which the subregulation applies, the reference in the subregulation to the remainder of the year is, for the purposes of the first mentioned application of the subregulation, to be read as a reference to that part of the year commencing on the day on which the change of </w:t>
      </w:r>
      <w:r>
        <w:lastRenderedPageBreak/>
        <w:t>circumstances occurs and ending on the day before the day on which the subsequent change of circumstances occurs.</w:t>
      </w:r>
    </w:p>
    <w:p>
      <w:pPr>
        <w:pStyle w:val="Footnotesection"/>
      </w:pPr>
      <w:r>
        <w:tab/>
        <w:t>[Regulation 28 amended: Gazette 30 Jun 2015 p. 2364; 27 Jun 2016 p. 2538; 15 Sep 2017 p. 4796; 22 Jun 2018 p. 2213; 14 Jun 2019 p. 1930; SL 2021/80 r. 6; SL 2022/82 r. 8.]</w:t>
      </w:r>
    </w:p>
    <w:p>
      <w:pPr>
        <w:pStyle w:val="Ednotesection"/>
      </w:pPr>
      <w:r>
        <w:t>[</w:t>
      </w:r>
      <w:r>
        <w:rPr>
          <w:b/>
        </w:rPr>
        <w:t>28A.</w:t>
      </w:r>
      <w:r>
        <w:tab/>
        <w:t>Deleted: SL 2021/80 r. 7.]</w:t>
      </w:r>
    </w:p>
    <w:p>
      <w:pPr>
        <w:pStyle w:val="Heading5"/>
      </w:pPr>
      <w:bookmarkStart w:id="58" w:name="_Toc170209127"/>
      <w:r>
        <w:rPr>
          <w:rStyle w:val="CharSectno"/>
        </w:rPr>
        <w:t>29</w:t>
      </w:r>
      <w:r>
        <w:t>.</w:t>
      </w:r>
      <w:r>
        <w:tab/>
        <w:t>Interest accruing on overdue amounts</w:t>
      </w:r>
      <w:bookmarkEnd w:id="58"/>
    </w:p>
    <w:p>
      <w:pPr>
        <w:pStyle w:val="Subsection"/>
      </w:pPr>
      <w:r>
        <w:tab/>
      </w:r>
      <w:r>
        <w:tab/>
        <w:t xml:space="preserve">If an amount payable under this Part is overdue, interest accrues daily on any part of that amount unpaid after the day on which the amount was due, at the rate set out in the </w:t>
      </w:r>
      <w:r>
        <w:rPr>
          <w:i/>
        </w:rPr>
        <w:t>Water Services Regulations 2013</w:t>
      </w:r>
      <w:r>
        <w:t xml:space="preserve"> regulation 82.</w:t>
      </w:r>
    </w:p>
    <w:p>
      <w:pPr>
        <w:pStyle w:val="Footnotesection"/>
      </w:pPr>
      <w:r>
        <w:tab/>
        <w:t>[Regulation 29 amended: Gazette 27 Jun 2016 p. 2538; 13 Dec 2016 p. 5690.]</w:t>
      </w:r>
    </w:p>
    <w:p>
      <w:pPr>
        <w:pStyle w:val="Heading3"/>
      </w:pPr>
      <w:bookmarkStart w:id="59" w:name="_Toc170136760"/>
      <w:bookmarkStart w:id="60" w:name="_Toc170138772"/>
      <w:bookmarkStart w:id="61" w:name="_Toc170203633"/>
      <w:bookmarkStart w:id="62" w:name="_Toc170209128"/>
      <w:r>
        <w:rPr>
          <w:rStyle w:val="CharDivNo"/>
        </w:rPr>
        <w:t>Division 3</w:t>
      </w:r>
      <w:r>
        <w:t> — </w:t>
      </w:r>
      <w:r>
        <w:rPr>
          <w:rStyle w:val="CharDivText"/>
        </w:rPr>
        <w:t>Water supply charges</w:t>
      </w:r>
      <w:bookmarkEnd w:id="59"/>
      <w:bookmarkEnd w:id="60"/>
      <w:bookmarkEnd w:id="61"/>
      <w:bookmarkEnd w:id="62"/>
    </w:p>
    <w:p>
      <w:pPr>
        <w:pStyle w:val="Heading5"/>
      </w:pPr>
      <w:bookmarkStart w:id="63" w:name="_Toc170209129"/>
      <w:r>
        <w:rPr>
          <w:rStyle w:val="CharSectno"/>
        </w:rPr>
        <w:t>30</w:t>
      </w:r>
      <w:r>
        <w:t>.</w:t>
      </w:r>
      <w:r>
        <w:tab/>
        <w:t>Land connected to water supply works</w:t>
      </w:r>
      <w:bookmarkEnd w:id="63"/>
    </w:p>
    <w:p>
      <w:pPr>
        <w:pStyle w:val="Subsection"/>
      </w:pPr>
      <w:r>
        <w:tab/>
      </w:r>
      <w:r>
        <w:tab/>
        <w:t>In this Division, a reference to land connected to water supply works of the Water Corporation is a reference to land on which there is a water supply outlet that is connected to water supply works of the Water Corporation.</w:t>
      </w:r>
    </w:p>
    <w:p>
      <w:pPr>
        <w:pStyle w:val="Heading5"/>
        <w:keepNext w:val="0"/>
      </w:pPr>
      <w:bookmarkStart w:id="64" w:name="_Toc170209130"/>
      <w:r>
        <w:rPr>
          <w:rStyle w:val="CharSectno"/>
        </w:rPr>
        <w:t>31</w:t>
      </w:r>
      <w:r>
        <w:t>.</w:t>
      </w:r>
      <w:r>
        <w:tab/>
        <w:t>Water supply charges</w:t>
      </w:r>
      <w:bookmarkEnd w:id="64"/>
    </w:p>
    <w:p>
      <w:pPr>
        <w:pStyle w:val="Subsection"/>
        <w:keepLines/>
      </w:pPr>
      <w:r>
        <w:tab/>
        <w:t>(1)</w:t>
      </w:r>
      <w:r>
        <w:tab/>
        <w:t>The water service charges set out in Schedule 3, other than in Division 1 Subdivision 3 and Division 2 Subdivision 3, apply, in accordance with the Schedule, in respect of land in respect of which a water supply service is provided by the Water Corporation.</w:t>
      </w:r>
    </w:p>
    <w:p>
      <w:pPr>
        <w:pStyle w:val="Subsection"/>
      </w:pPr>
      <w:r>
        <w:tab/>
        <w:t>(2)</w:t>
      </w:r>
      <w:r>
        <w:tab/>
        <w:t xml:space="preserve">If the Water Corporation is satisfied that it is practicable for water supply works of the Water Corporation to be connected to a water supply outlet on land then, for the purposes of </w:t>
      </w:r>
      <w:r>
        <w:lastRenderedPageBreak/>
        <w:t>subregulation (1), a water supply service is to be taken to be provided in respect of the land by the Water Corporation, despite those works not being connected to a water supply outlet on the land.</w:t>
      </w:r>
    </w:p>
    <w:p>
      <w:pPr>
        <w:pStyle w:val="Subsection"/>
      </w:pPr>
      <w:r>
        <w:tab/>
        <w:t>(3)</w:t>
      </w:r>
      <w:r>
        <w:tab/>
        <w:t>A water service charge set out in Schedule 3 Division 1 Subdivision 3 or Division 2 Subdivision 3 applies, in accordance with the Schedule, in respect of the service described.</w:t>
      </w:r>
    </w:p>
    <w:p>
      <w:pPr>
        <w:pStyle w:val="Subsection"/>
      </w:pPr>
      <w:r>
        <w:tab/>
        <w:t>(4)</w:t>
      </w:r>
      <w:r>
        <w:tab/>
        <w:t xml:space="preserve">If the service referred to in subregulation (3) — </w:t>
      </w:r>
    </w:p>
    <w:p>
      <w:pPr>
        <w:pStyle w:val="Indenta"/>
      </w:pPr>
      <w:r>
        <w:tab/>
        <w:t>(a)</w:t>
      </w:r>
      <w:r>
        <w:tab/>
        <w:t>is provided in respect of land — the charge applies in respect of the land; or</w:t>
      </w:r>
    </w:p>
    <w:p>
      <w:pPr>
        <w:pStyle w:val="Indenta"/>
      </w:pPr>
      <w:r>
        <w:tab/>
        <w:t>(b)</w:t>
      </w:r>
      <w:r>
        <w:tab/>
        <w:t>is not provided in respect of land — the recipient of the service is liable for the charge.</w:t>
      </w:r>
    </w:p>
    <w:p>
      <w:pPr>
        <w:pStyle w:val="Subsection"/>
        <w:keepNext/>
      </w:pPr>
      <w:r>
        <w:tab/>
        <w:t>(5)</w:t>
      </w:r>
      <w:r>
        <w:tab/>
        <w:t xml:space="preserve">A water supply charge is not payable if land in respect of which it applies — </w:t>
      </w:r>
    </w:p>
    <w:p>
      <w:pPr>
        <w:pStyle w:val="Indenta"/>
      </w:pPr>
      <w:r>
        <w:tab/>
        <w:t>(a)</w:t>
      </w:r>
      <w:r>
        <w:tab/>
        <w:t>is not connected to water supply works of the Water Corporation; and</w:t>
      </w:r>
    </w:p>
    <w:p>
      <w:pPr>
        <w:pStyle w:val="Indenta"/>
      </w:pPr>
      <w:r>
        <w:tab/>
        <w:t>(b)</w:t>
      </w:r>
      <w:r>
        <w:tab/>
        <w:t>is land that is not classified capital infrastructure but is reasonably capable of being supplied by the Water Corporation with water from works provided in relation to land that is so classified.</w:t>
      </w:r>
    </w:p>
    <w:p>
      <w:pPr>
        <w:pStyle w:val="Footnotesection"/>
      </w:pPr>
      <w:r>
        <w:tab/>
        <w:t>[Regulation 31 amended: SL 2022/82 r. 9.]</w:t>
      </w:r>
    </w:p>
    <w:p>
      <w:pPr>
        <w:pStyle w:val="Heading5"/>
        <w:spacing w:before="180"/>
      </w:pPr>
      <w:bookmarkStart w:id="65" w:name="_Toc170209131"/>
      <w:r>
        <w:rPr>
          <w:rStyle w:val="CharSectno"/>
        </w:rPr>
        <w:t>32</w:t>
      </w:r>
      <w:r>
        <w:t>.</w:t>
      </w:r>
      <w:r>
        <w:tab/>
        <w:t>Classification of land</w:t>
      </w:r>
      <w:bookmarkEnd w:id="65"/>
    </w:p>
    <w:p>
      <w:pPr>
        <w:pStyle w:val="Subsection"/>
      </w:pPr>
      <w:r>
        <w:tab/>
        <w:t>(1)</w:t>
      </w:r>
      <w:r>
        <w:tab/>
        <w:t xml:space="preserve">For the purposes of this Division, land may be classified by the Water Corporation as follows — </w:t>
      </w:r>
    </w:p>
    <w:p>
      <w:pPr>
        <w:pStyle w:val="Indenta"/>
      </w:pPr>
      <w:r>
        <w:tab/>
        <w:t>(a)</w:t>
      </w:r>
      <w:r>
        <w:tab/>
        <w:t xml:space="preserve">residential — if the Water Corporation is satisfied that the land — </w:t>
      </w:r>
    </w:p>
    <w:p>
      <w:pPr>
        <w:pStyle w:val="Indenti"/>
      </w:pPr>
      <w:r>
        <w:tab/>
        <w:t>(i)</w:t>
      </w:r>
      <w:r>
        <w:tab/>
        <w:t>is used, or is capable of being used, wholly or primarily for the purpose of providing residential accommodation to the owner or occupier of the land; and</w:t>
      </w:r>
    </w:p>
    <w:p>
      <w:pPr>
        <w:pStyle w:val="Indenti"/>
      </w:pPr>
      <w:r>
        <w:lastRenderedPageBreak/>
        <w:tab/>
        <w:t>(ii)</w:t>
      </w:r>
      <w:r>
        <w:tab/>
        <w:t>is not used in whole or in part for the purpose of providing holiday accommodation;</w:t>
      </w:r>
    </w:p>
    <w:p>
      <w:pPr>
        <w:pStyle w:val="Indenta"/>
      </w:pPr>
      <w:r>
        <w:tab/>
        <w:t>(b)</w:t>
      </w:r>
      <w:r>
        <w:tab/>
        <w:t xml:space="preserve">commercial residential — if the Water Corporation is satisfied that — </w:t>
      </w:r>
    </w:p>
    <w:p>
      <w:pPr>
        <w:pStyle w:val="Indenti"/>
      </w:pPr>
      <w:r>
        <w:tab/>
        <w:t>(i)</w:t>
      </w:r>
      <w:r>
        <w:tab/>
        <w:t>the land is used as described in paragraph (a); and</w:t>
      </w:r>
    </w:p>
    <w:p>
      <w:pPr>
        <w:pStyle w:val="Indenti"/>
        <w:spacing w:before="60"/>
      </w:pPr>
      <w:r>
        <w:tab/>
        <w:t>(ii)</w:t>
      </w:r>
      <w:r>
        <w:tab/>
        <w:t>the land is also used for the purpose of a shop, workshop, office, bakery, surgery or another similar business purpose;</w:t>
      </w:r>
    </w:p>
    <w:p>
      <w:pPr>
        <w:pStyle w:val="Indenta"/>
      </w:pPr>
      <w:r>
        <w:tab/>
        <w:t>(c)</w:t>
      </w:r>
      <w:r>
        <w:tab/>
        <w:t>semi</w:t>
      </w:r>
      <w:r>
        <w:noBreakHyphen/>
        <w:t xml:space="preserve">rural residential — if the land is in the metropolitan area and the Water Corporation is satisfied that — </w:t>
      </w:r>
    </w:p>
    <w:p>
      <w:pPr>
        <w:pStyle w:val="Indenti"/>
      </w:pPr>
      <w:r>
        <w:tab/>
        <w:t>(i)</w:t>
      </w:r>
      <w:r>
        <w:tab/>
        <w:t>the land is used as described in paragraph (a); and</w:t>
      </w:r>
    </w:p>
    <w:p>
      <w:pPr>
        <w:pStyle w:val="Indenti"/>
      </w:pPr>
      <w:r>
        <w:tab/>
        <w:t>(ii)</w:t>
      </w:r>
      <w:r>
        <w:tab/>
        <w:t>the land is also used for the purpose of primary production, which includes use for the purpose of a farm, market garden, kennel, plant nursery, orchard, stable, vineyard or another similar purpose; and</w:t>
      </w:r>
    </w:p>
    <w:p>
      <w:pPr>
        <w:pStyle w:val="Indenti"/>
      </w:pPr>
      <w:r>
        <w:tab/>
        <w:t>(iii)</w:t>
      </w:r>
      <w:r>
        <w:tab/>
        <w:t>water supplied to the land by the Water Corporation is used wholly or primarily for the purposes of the use referred to in subparagraph (i);</w:t>
      </w:r>
    </w:p>
    <w:p>
      <w:pPr>
        <w:pStyle w:val="Indenta"/>
      </w:pPr>
      <w:r>
        <w:tab/>
        <w:t>(d)</w:t>
      </w:r>
      <w:r>
        <w:tab/>
        <w:t>non</w:t>
      </w:r>
      <w:r>
        <w:noBreakHyphen/>
        <w:t xml:space="preserve">residential — if the Water Corporation is satisfied that the land — </w:t>
      </w:r>
    </w:p>
    <w:p>
      <w:pPr>
        <w:pStyle w:val="Indenti"/>
      </w:pPr>
      <w:r>
        <w:tab/>
        <w:t>(i)</w:t>
      </w:r>
      <w:r>
        <w:tab/>
        <w:t>is used, or is capable of being used, for business or professional purposes, holiday accommodation, manufacturing, processing or other commercial processes; and</w:t>
      </w:r>
    </w:p>
    <w:p>
      <w:pPr>
        <w:pStyle w:val="Indenti"/>
      </w:pPr>
      <w:r>
        <w:tab/>
        <w:t>(ii)</w:t>
      </w:r>
      <w:r>
        <w:tab/>
        <w:t>cannot be classified as residential;</w:t>
      </w:r>
    </w:p>
    <w:p>
      <w:pPr>
        <w:pStyle w:val="Indenta"/>
      </w:pPr>
      <w:r>
        <w:tab/>
        <w:t>(e)</w:t>
      </w:r>
      <w:r>
        <w:tab/>
        <w:t>farmland — if the Water Corporation is satisfied that the land is farmland and supplies water to the land;</w:t>
      </w:r>
    </w:p>
    <w:p>
      <w:pPr>
        <w:pStyle w:val="Indenta"/>
      </w:pPr>
      <w:r>
        <w:lastRenderedPageBreak/>
        <w:tab/>
        <w:t>(f)</w:t>
      </w:r>
      <w:r>
        <w:tab/>
        <w:t>mining — if the land is in the non</w:t>
      </w:r>
      <w:r>
        <w:noBreakHyphen/>
        <w:t>metropolitan area and the Water Corporation is satisfied that it is used for the purposes of mining;</w:t>
      </w:r>
    </w:p>
    <w:p>
      <w:pPr>
        <w:pStyle w:val="Indenta"/>
      </w:pPr>
      <w:r>
        <w:tab/>
        <w:t>(g)</w:t>
      </w:r>
      <w:r>
        <w:tab/>
        <w:t>institutional public — if the land is in the non</w:t>
      </w:r>
      <w:r>
        <w:noBreakHyphen/>
        <w:t>metropolitan area and the Water Corporation is satisfied that it is used by a club or association, or for some other public purpose, approved by the Water Corporation;</w:t>
      </w:r>
    </w:p>
    <w:p>
      <w:pPr>
        <w:pStyle w:val="Indenta"/>
        <w:keepNext/>
      </w:pPr>
      <w:r>
        <w:tab/>
        <w:t>(h)</w:t>
      </w:r>
      <w:r>
        <w:tab/>
        <w:t>charitable purposes — if the Water Corporation is satisfied that the land is used for charitable purposes;</w:t>
      </w:r>
    </w:p>
    <w:p>
      <w:pPr>
        <w:pStyle w:val="Indenta"/>
      </w:pPr>
      <w:r>
        <w:tab/>
        <w:t>(i)</w:t>
      </w:r>
      <w:r>
        <w:tab/>
        <w:t>community residential — if the Water Corporation is satisfied that the land is occupied as a communal property on which several families dwell at the same time and is managed by the persons dwelling on the land or a committee of them;</w:t>
      </w:r>
    </w:p>
    <w:p>
      <w:pPr>
        <w:pStyle w:val="Indenta"/>
      </w:pPr>
      <w:r>
        <w:tab/>
        <w:t>(j)</w:t>
      </w:r>
      <w:r>
        <w:tab/>
        <w:t>local government — if the land is in the non</w:t>
      </w:r>
      <w:r>
        <w:noBreakHyphen/>
        <w:t>metropolitan area and the Water Corporation is satisfied that it is used by a local government for business, professional, commercial or office purposes;</w:t>
      </w:r>
    </w:p>
    <w:p>
      <w:pPr>
        <w:pStyle w:val="Indenta"/>
      </w:pPr>
      <w:r>
        <w:tab/>
        <w:t>(k)</w:t>
      </w:r>
      <w:r>
        <w:tab/>
        <w:t>aged home — if the land is in the metropolitan area and the Water Corporation is satisfied that it is used as an aged home;</w:t>
      </w:r>
    </w:p>
    <w:p>
      <w:pPr>
        <w:pStyle w:val="Indenta"/>
      </w:pPr>
      <w:r>
        <w:tab/>
        <w:t>(l)</w:t>
      </w:r>
      <w:r>
        <w:tab/>
        <w:t xml:space="preserve">vacant land — if the Water Corporation is satisfied that — </w:t>
      </w:r>
    </w:p>
    <w:p>
      <w:pPr>
        <w:pStyle w:val="Indenti"/>
      </w:pPr>
      <w:r>
        <w:tab/>
        <w:t>(i)</w:t>
      </w:r>
      <w:r>
        <w:tab/>
        <w:t>there is no building on the land; or</w:t>
      </w:r>
    </w:p>
    <w:p>
      <w:pPr>
        <w:pStyle w:val="Indenti"/>
      </w:pPr>
      <w:r>
        <w:tab/>
        <w:t>(ii)</w:t>
      </w:r>
      <w:r>
        <w:tab/>
        <w:t>if there is, there is no other appropriate classification for the land under this regulation.</w:t>
      </w:r>
    </w:p>
    <w:p>
      <w:pPr>
        <w:pStyle w:val="Subsection"/>
      </w:pPr>
      <w:r>
        <w:tab/>
        <w:t>(2)</w:t>
      </w:r>
      <w:r>
        <w:tab/>
        <w:t>Subject to subregulations (3), (4) and (5), if land can be given more than one classification under subregulation (1), the more specific classification applies to the land to the exclusion of any other.</w:t>
      </w:r>
    </w:p>
    <w:p>
      <w:pPr>
        <w:pStyle w:val="Subsection"/>
      </w:pPr>
      <w:r>
        <w:lastRenderedPageBreak/>
        <w:tab/>
        <w:t>(3)</w:t>
      </w:r>
      <w:r>
        <w:tab/>
        <w:t>If land satisfies the criteria set out in subregulation (1)(a) and (h), the Water Corporation may classify the land as residential for the purposes of Schedule 3 Division 2.</w:t>
      </w:r>
    </w:p>
    <w:p>
      <w:pPr>
        <w:pStyle w:val="Subsection"/>
      </w:pPr>
      <w:r>
        <w:tab/>
        <w:t>(4)</w:t>
      </w:r>
      <w:r>
        <w:tab/>
        <w:t xml:space="preserve">For the purposes of this Division, land may be classified by the Water Corporation as capital infrastructure, irrespective of any other classification under this regulation (other than under subregulation (5)), if — </w:t>
      </w:r>
    </w:p>
    <w:p>
      <w:pPr>
        <w:pStyle w:val="Indenta"/>
      </w:pPr>
      <w:r>
        <w:tab/>
        <w:t>(a)</w:t>
      </w:r>
      <w:r>
        <w:tab/>
        <w:t>the land is in the locality of Nilgen; and</w:t>
      </w:r>
    </w:p>
    <w:p>
      <w:pPr>
        <w:pStyle w:val="Indenta"/>
      </w:pPr>
      <w:r>
        <w:tab/>
        <w:t>(b)</w:t>
      </w:r>
      <w:r>
        <w:tab/>
        <w:t>the Water Corporation provides or is to provide water service works to supply water to the land.</w:t>
      </w:r>
    </w:p>
    <w:p>
      <w:pPr>
        <w:pStyle w:val="Subsection"/>
      </w:pPr>
      <w:r>
        <w:tab/>
        <w:t>(5)</w:t>
      </w:r>
      <w:r>
        <w:tab/>
        <w:t>For the purposes of this Division, concessional land may be classified as community purpose, irrespective of any other classification under this regulation, if the Water Corporation is satisfied that the land is primarily used for non</w:t>
      </w:r>
      <w:r>
        <w:noBreakHyphen/>
        <w:t>commercial purposes that benefit the community.</w:t>
      </w:r>
    </w:p>
    <w:p>
      <w:pPr>
        <w:pStyle w:val="Footnotesection"/>
      </w:pPr>
      <w:r>
        <w:tab/>
        <w:t>[Regulation 32 amended: Gazette 14 Jun 2019 p. 1930; SL 2022/82 r. 10.]</w:t>
      </w:r>
    </w:p>
    <w:p>
      <w:pPr>
        <w:pStyle w:val="Heading5"/>
        <w:keepLines w:val="0"/>
        <w:widowControl w:val="0"/>
      </w:pPr>
      <w:bookmarkStart w:id="66" w:name="_Toc170209132"/>
      <w:r>
        <w:rPr>
          <w:rStyle w:val="CharSectno"/>
        </w:rPr>
        <w:t>33</w:t>
      </w:r>
      <w:r>
        <w:t>.</w:t>
      </w:r>
      <w:r>
        <w:tab/>
        <w:t>Change of occupancy during year</w:t>
      </w:r>
      <w:bookmarkEnd w:id="66"/>
    </w:p>
    <w:p>
      <w:pPr>
        <w:pStyle w:val="Subsection"/>
        <w:keepNext/>
      </w:pPr>
      <w:r>
        <w:tab/>
        <w:t>(1)</w:t>
      </w:r>
      <w:r>
        <w:tab/>
        <w:t xml:space="preserve">If — </w:t>
      </w:r>
    </w:p>
    <w:p>
      <w:pPr>
        <w:pStyle w:val="Indenta"/>
      </w:pPr>
      <w:r>
        <w:tab/>
        <w:t>(a)</w:t>
      </w:r>
      <w:r>
        <w:tab/>
        <w:t>there is a change in the occupation of a land to which a water service charge set out in Schedule 3 item 25 or 29 applies; and</w:t>
      </w:r>
    </w:p>
    <w:p>
      <w:pPr>
        <w:pStyle w:val="Indenta"/>
      </w:pPr>
      <w:r>
        <w:tab/>
        <w:t>(b)</w:t>
      </w:r>
      <w:r>
        <w:tab/>
        <w:t>within 10 days before or after the change in occupation the new occupier obtains a special meter reading from the Water Corporation,</w:t>
      </w:r>
    </w:p>
    <w:p>
      <w:pPr>
        <w:pStyle w:val="Subsection"/>
      </w:pPr>
      <w:r>
        <w:tab/>
      </w:r>
      <w:r>
        <w:tab/>
        <w:t xml:space="preserve">the charge payable for the supply of water to the land from the day on which the meter was read until the end of the current consumption year is worked out as if the volumetric ranges in the item were reduced by multiplying each boundary volume for the first 2 volumetric ranges by the following fraction — </w:t>
      </w:r>
    </w:p>
    <w:p>
      <w:pPr>
        <w:pStyle w:val="Subsection"/>
        <w:keepNext/>
      </w:pPr>
      <w:r>
        <w:lastRenderedPageBreak/>
        <w:tab/>
      </w:r>
      <w:r>
        <w:tab/>
      </w:r>
      <w:r>
        <w:rPr>
          <w:noProof/>
          <w:position w:val="-24"/>
        </w:rPr>
        <w:drawing>
          <wp:inline distT="0" distB="0" distL="0" distR="0">
            <wp:extent cx="228600" cy="44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8600" cy="44450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34"/>
        </w:tabs>
        <w:ind w:left="1560" w:hanging="1560"/>
      </w:pPr>
      <w:r>
        <w:rPr>
          <w:b/>
        </w:rPr>
        <w:tab/>
      </w:r>
      <w:r>
        <w:t>N</w:t>
      </w:r>
      <w:r>
        <w:tab/>
        <w:t>is the number of whole or part months before the end of the current consumption year.</w:t>
      </w:r>
    </w:p>
    <w:p>
      <w:pPr>
        <w:pStyle w:val="Subsection"/>
        <w:keepLines/>
      </w:pPr>
      <w:r>
        <w:tab/>
        <w:t>(2)</w:t>
      </w:r>
      <w:r>
        <w:tab/>
        <w:t>If there is a subsequent change in occupation before the end of the current consumption year, the references in subregulation (1) to the end of the current consumption year are to be read as references to the subsequent change of occupation.</w:t>
      </w:r>
    </w:p>
    <w:p>
      <w:pPr>
        <w:pStyle w:val="Footnotesection"/>
      </w:pPr>
      <w:r>
        <w:tab/>
        <w:t>[Regulation 33 amended: Gazette 27 Jun 2016 p. 2539; SL 2022/82 r. 11.]</w:t>
      </w:r>
    </w:p>
    <w:p>
      <w:pPr>
        <w:pStyle w:val="Heading5"/>
        <w:keepNext w:val="0"/>
        <w:keepLines w:val="0"/>
        <w:spacing w:before="160"/>
      </w:pPr>
      <w:bookmarkStart w:id="67" w:name="_Toc170209133"/>
      <w:r>
        <w:rPr>
          <w:rStyle w:val="CharSectno"/>
        </w:rPr>
        <w:t>34</w:t>
      </w:r>
      <w:r>
        <w:t>.</w:t>
      </w:r>
      <w:r>
        <w:tab/>
        <w:t>Concessions: consumption charges</w:t>
      </w:r>
      <w:bookmarkEnd w:id="67"/>
    </w:p>
    <w:p>
      <w:pPr>
        <w:pStyle w:val="Subsection"/>
      </w:pPr>
      <w:r>
        <w:tab/>
        <w:t>(1)</w:t>
      </w:r>
      <w:r>
        <w:tab/>
        <w:t xml:space="preserve">A person who is liable to pay a water supply charge set out in Schedule 3 item 25, 29 or 31 for water supplied to land in a charge period is entitled to a discount of 50% of the charge if — </w:t>
      </w:r>
    </w:p>
    <w:p>
      <w:pPr>
        <w:pStyle w:val="Indenta"/>
        <w:rPr>
          <w:snapToGrid w:val="0"/>
        </w:rPr>
      </w:pPr>
      <w:r>
        <w:rPr>
          <w:snapToGrid w:val="0"/>
        </w:rPr>
        <w:tab/>
        <w:t>(a)</w:t>
      </w:r>
      <w:r>
        <w:rPr>
          <w:snapToGrid w:val="0"/>
        </w:rPr>
        <w:tab/>
        <w:t>the person satisfies the Water Corporation that he or she was an eligible pensioner at any time during the charge period; and</w:t>
      </w:r>
    </w:p>
    <w:p>
      <w:pPr>
        <w:pStyle w:val="Indenta"/>
        <w:rPr>
          <w:snapToGrid w:val="0"/>
        </w:rPr>
      </w:pPr>
      <w:r>
        <w:rPr>
          <w:snapToGrid w:val="0"/>
        </w:rPr>
        <w:tab/>
        <w:t>(b)</w:t>
      </w:r>
      <w:r>
        <w:rPr>
          <w:snapToGrid w:val="0"/>
        </w:rPr>
        <w:tab/>
        <w:t>the land was occupied by the person during the whole of the charge period, whether or not the land was also occupied by any other person; and</w:t>
      </w:r>
    </w:p>
    <w:p>
      <w:pPr>
        <w:pStyle w:val="Indenta"/>
        <w:rPr>
          <w:snapToGrid w:val="0"/>
        </w:rPr>
      </w:pPr>
      <w:r>
        <w:tab/>
        <w:t>(c)</w:t>
      </w:r>
      <w:r>
        <w:tab/>
        <w:t>no water supply charges set out in Schedule 3 Division 2 for which the person was liable are in arrears</w:t>
      </w:r>
      <w:r>
        <w:rPr>
          <w:snapToGrid w:val="0"/>
        </w:rPr>
        <w:t>; and</w:t>
      </w:r>
    </w:p>
    <w:p>
      <w:pPr>
        <w:pStyle w:val="Indenta"/>
        <w:rPr>
          <w:snapToGrid w:val="0"/>
        </w:rPr>
      </w:pPr>
      <w:r>
        <w:rPr>
          <w:snapToGrid w:val="0"/>
        </w:rPr>
        <w:tab/>
        <w:t>(d)</w:t>
      </w:r>
      <w:r>
        <w:rPr>
          <w:snapToGrid w:val="0"/>
        </w:rPr>
        <w:tab/>
        <w:t>the person has not been allowed a concession under this regulation in respect of water supplied to any other land in the charge period.</w:t>
      </w:r>
    </w:p>
    <w:p>
      <w:pPr>
        <w:pStyle w:val="Subsection"/>
      </w:pPr>
      <w:r>
        <w:tab/>
        <w:t>(2)</w:t>
      </w:r>
      <w:r>
        <w:tab/>
        <w:t xml:space="preserve">However, if the person commences or ceases to occupy the land during the charge period — </w:t>
      </w:r>
    </w:p>
    <w:p>
      <w:pPr>
        <w:pStyle w:val="Indenta"/>
      </w:pPr>
      <w:r>
        <w:tab/>
        <w:t>(a)</w:t>
      </w:r>
      <w:r>
        <w:tab/>
        <w:t xml:space="preserve">subregulation (1)(b) does not apply to any part of the period before the person commenced to occupy the land, </w:t>
      </w:r>
      <w:r>
        <w:lastRenderedPageBreak/>
        <w:t>or after the person ceased to occupy the land, whichever is relevant; and</w:t>
      </w:r>
    </w:p>
    <w:p>
      <w:pPr>
        <w:pStyle w:val="Indenta"/>
      </w:pPr>
      <w:r>
        <w:tab/>
        <w:t>(b)</w:t>
      </w:r>
      <w:r>
        <w:tab/>
        <w:t xml:space="preserve">if the </w:t>
      </w:r>
      <w:r>
        <w:rPr>
          <w:snapToGrid w:val="0"/>
        </w:rPr>
        <w:t xml:space="preserve">person has been allowed a concession under this regulation in respect of water supplied to any other land in the charge period — </w:t>
      </w:r>
      <w:r>
        <w:t xml:space="preserve">subregulation (1)(d) is to be taken to have been satisfied if the </w:t>
      </w:r>
      <w:r>
        <w:rPr>
          <w:snapToGrid w:val="0"/>
        </w:rPr>
        <w:t>portions of the periods to which the respective concessions relate do not, to any extent, coincide</w:t>
      </w:r>
      <w:r>
        <w:t>.</w:t>
      </w:r>
    </w:p>
    <w:p>
      <w:pPr>
        <w:pStyle w:val="Subsection"/>
      </w:pPr>
      <w:r>
        <w:tab/>
        <w:t>(3)</w:t>
      </w:r>
      <w:r>
        <w:tab/>
        <w:t xml:space="preserve">Despite subregulation (1), the discount for charges payable for water supplied to land during the current consumption year cannot exceed 50% of the charge — </w:t>
      </w:r>
    </w:p>
    <w:p>
      <w:pPr>
        <w:pStyle w:val="Indenta"/>
      </w:pPr>
      <w:r>
        <w:tab/>
        <w:t>(a)</w:t>
      </w:r>
      <w:r>
        <w:tab/>
        <w:t>for land in the metropolitan area — for the first 150 kL of water supplied to the land in the consumption year;</w:t>
      </w:r>
    </w:p>
    <w:p>
      <w:pPr>
        <w:pStyle w:val="Indenta"/>
      </w:pPr>
      <w:r>
        <w:tab/>
        <w:t>(b)</w:t>
      </w:r>
      <w:r>
        <w:tab/>
        <w:t>for land in the town of Cue, Laverton, Leonora, Meekatharra, Menzies, Mount Magnet, Mullewa, Sandstone, Wiluna or Yalgoo — for the first 600 kL of water supplied to the land in the consumption year;</w:t>
      </w:r>
    </w:p>
    <w:p>
      <w:pPr>
        <w:pStyle w:val="Indenta"/>
      </w:pPr>
      <w:r>
        <w:tab/>
        <w:t>(c)</w:t>
      </w:r>
      <w:r>
        <w:tab/>
        <w:t>for land south of 26° South Latitude, other than land covered by paragraph (a) or (b) — for the first 400 kL of water supplied to the land in the consumption year;</w:t>
      </w:r>
    </w:p>
    <w:p>
      <w:pPr>
        <w:pStyle w:val="Indenta"/>
      </w:pPr>
      <w:r>
        <w:tab/>
        <w:t>(d)</w:t>
      </w:r>
      <w:r>
        <w:tab/>
        <w:t>for land north of 26° South Latitude — for the first 600 kL of water supplied to the land in the consumption year.</w:t>
      </w:r>
    </w:p>
    <w:p>
      <w:pPr>
        <w:pStyle w:val="Subsection"/>
      </w:pPr>
      <w:r>
        <w:tab/>
        <w:t>(4)</w:t>
      </w:r>
      <w:r>
        <w:tab/>
        <w:t>In relation to land in the non</w:t>
      </w:r>
      <w:r>
        <w:noBreakHyphen/>
        <w:t>metropolitan area, the Water Corporation may, having regard to the circumstances of a particular person, disregard the requirement in subregulation (1)(b) in relation to the person.</w:t>
      </w:r>
    </w:p>
    <w:p>
      <w:pPr>
        <w:pStyle w:val="Subsection"/>
      </w:pPr>
      <w:r>
        <w:tab/>
        <w:t>(5)</w:t>
      </w:r>
      <w:r>
        <w:tab/>
        <w:t>This regulation does not apply to a person entitled to a rebate under regulation 35.</w:t>
      </w:r>
    </w:p>
    <w:p>
      <w:pPr>
        <w:pStyle w:val="Footnotesection"/>
      </w:pPr>
      <w:r>
        <w:tab/>
        <w:t>[Regulation 34 amended: SL 2020/95 r. 7.]</w:t>
      </w:r>
    </w:p>
    <w:p>
      <w:pPr>
        <w:pStyle w:val="Heading5"/>
        <w:spacing w:before="180"/>
      </w:pPr>
      <w:bookmarkStart w:id="68" w:name="_Toc170209134"/>
      <w:r>
        <w:rPr>
          <w:rStyle w:val="CharSectno"/>
        </w:rPr>
        <w:lastRenderedPageBreak/>
        <w:t>35</w:t>
      </w:r>
      <w:r>
        <w:t>.</w:t>
      </w:r>
      <w:r>
        <w:tab/>
        <w:t>Concessions: certain occupiers of multi</w:t>
      </w:r>
      <w:r>
        <w:noBreakHyphen/>
        <w:t>unit developments</w:t>
      </w:r>
      <w:bookmarkEnd w:id="68"/>
    </w:p>
    <w:p>
      <w:pPr>
        <w:pStyle w:val="Subsection"/>
        <w:keepNext/>
        <w:spacing w:before="120"/>
      </w:pPr>
      <w:r>
        <w:tab/>
        <w:t>(1)</w:t>
      </w:r>
      <w:r>
        <w:tab/>
        <w:t>A person who is liable to pay a water supply charge set out in Schedule 3 Division 2 for water supplied in a charge period to a residential unit in a multi</w:t>
      </w:r>
      <w:r>
        <w:noBreakHyphen/>
        <w:t xml:space="preserve">unit development is entitled to the rebate on the charge set out in subregulation (2) if — </w:t>
      </w:r>
    </w:p>
    <w:p>
      <w:pPr>
        <w:pStyle w:val="Indenta"/>
      </w:pPr>
      <w:r>
        <w:tab/>
        <w:t>(a)</w:t>
      </w:r>
      <w:r>
        <w:tab/>
        <w:t xml:space="preserve">the person is — </w:t>
      </w:r>
    </w:p>
    <w:p>
      <w:pPr>
        <w:pStyle w:val="Indenti"/>
      </w:pPr>
      <w:r>
        <w:tab/>
        <w:t>(i)</w:t>
      </w:r>
      <w:r>
        <w:tab/>
        <w:t xml:space="preserve">an eligible pensioner who is a registered person, as defined in the </w:t>
      </w:r>
      <w:r>
        <w:rPr>
          <w:i/>
        </w:rPr>
        <w:t>Rates and Charges (Rebates and Deferments) Act 1992</w:t>
      </w:r>
      <w:r>
        <w:t xml:space="preserve"> section 3(1), and who was registered immediately before the charge period; or</w:t>
      </w:r>
    </w:p>
    <w:p>
      <w:pPr>
        <w:pStyle w:val="Indenti"/>
      </w:pPr>
      <w:r>
        <w:tab/>
        <w:t>(ii)</w:t>
      </w:r>
      <w:r>
        <w:tab/>
        <w:t>a concession card holder who is registered with the Water Corporation for the purposes of this regulation on the basis that the person is a tenant in the multi</w:t>
      </w:r>
      <w:r>
        <w:noBreakHyphen/>
        <w:t>unit development and who was registered immediately before the charge period;</w:t>
      </w:r>
    </w:p>
    <w:p>
      <w:pPr>
        <w:pStyle w:val="Indenta"/>
      </w:pPr>
      <w:r>
        <w:tab/>
      </w:r>
      <w:r>
        <w:tab/>
        <w:t>and</w:t>
      </w:r>
    </w:p>
    <w:p>
      <w:pPr>
        <w:pStyle w:val="Indenta"/>
      </w:pPr>
      <w:r>
        <w:tab/>
        <w:t>(b)</w:t>
      </w:r>
      <w:r>
        <w:tab/>
        <w:t>in respect of the water supply to the multi</w:t>
      </w:r>
      <w:r>
        <w:noBreakHyphen/>
        <w:t>unit development, the units are not individually metered; and</w:t>
      </w:r>
    </w:p>
    <w:p>
      <w:pPr>
        <w:pStyle w:val="Indenta"/>
        <w:rPr>
          <w:snapToGrid w:val="0"/>
        </w:rPr>
      </w:pPr>
      <w:r>
        <w:rPr>
          <w:snapToGrid w:val="0"/>
        </w:rPr>
        <w:tab/>
        <w:t>(c)</w:t>
      </w:r>
      <w:r>
        <w:rPr>
          <w:snapToGrid w:val="0"/>
        </w:rPr>
        <w:tab/>
        <w:t>the unit was occupied by the person during the whole of the charge period, whether or not the land was also occupied by any other person.</w:t>
      </w:r>
    </w:p>
    <w:p>
      <w:pPr>
        <w:pStyle w:val="Subsection"/>
        <w:rPr>
          <w:snapToGrid w:val="0"/>
        </w:rPr>
      </w:pPr>
      <w:r>
        <w:tab/>
        <w:t>(2)</w:t>
      </w:r>
      <w:r>
        <w:tab/>
        <w:t xml:space="preserve">The rebate is 50% of the charge for the average unit consumption for </w:t>
      </w:r>
      <w:r>
        <w:rPr>
          <w:snapToGrid w:val="0"/>
        </w:rPr>
        <w:t>the charge period.</w:t>
      </w:r>
    </w:p>
    <w:p>
      <w:pPr>
        <w:pStyle w:val="Subsection"/>
      </w:pPr>
      <w:r>
        <w:rPr>
          <w:snapToGrid w:val="0"/>
        </w:rPr>
        <w:tab/>
        <w:t>(3)</w:t>
      </w:r>
      <w:r>
        <w:rPr>
          <w:snapToGrid w:val="0"/>
        </w:rPr>
        <w:tab/>
      </w:r>
      <w:r>
        <w:t>Despite subregulation (2)</w:t>
      </w:r>
      <w:r>
        <w:rPr>
          <w:snapToGrid w:val="0"/>
        </w:rPr>
        <w:t xml:space="preserve">, </w:t>
      </w:r>
      <w:r>
        <w:t>the discount for charges payable for water supplied to a multi</w:t>
      </w:r>
      <w:r>
        <w:noBreakHyphen/>
        <w:t>unit development during the current consumption year cannot exceed 50% of the charge</w:t>
      </w:r>
      <w:r>
        <w:rPr>
          <w:snapToGrid w:val="0"/>
        </w:rPr>
        <w:t xml:space="preserve"> — </w:t>
      </w:r>
    </w:p>
    <w:p>
      <w:pPr>
        <w:pStyle w:val="Indenta"/>
      </w:pPr>
      <w:r>
        <w:tab/>
        <w:t>(a)</w:t>
      </w:r>
      <w:r>
        <w:tab/>
        <w:t>for a unit in the metropolitan area — for the first 150 kL of water supplied to the multi</w:t>
      </w:r>
      <w:r>
        <w:noBreakHyphen/>
        <w:t>unit development in the consumption year;</w:t>
      </w:r>
    </w:p>
    <w:p>
      <w:pPr>
        <w:pStyle w:val="Indenta"/>
      </w:pPr>
      <w:r>
        <w:tab/>
        <w:t>(b)</w:t>
      </w:r>
      <w:r>
        <w:tab/>
        <w:t xml:space="preserve">for a unit in the town of Cue, Laverton, Leonora, Meekatharra, Menzies, Mount Magnet, Mullewa, Sandstone, Wiluna or Yalgoo — for the first 600 kL of </w:t>
      </w:r>
      <w:r>
        <w:lastRenderedPageBreak/>
        <w:t>water supplied to the multi</w:t>
      </w:r>
      <w:r>
        <w:noBreakHyphen/>
        <w:t>unit development in the consumption year;</w:t>
      </w:r>
    </w:p>
    <w:p>
      <w:pPr>
        <w:pStyle w:val="Indenta"/>
      </w:pPr>
      <w:r>
        <w:tab/>
        <w:t>(c)</w:t>
      </w:r>
      <w:r>
        <w:tab/>
        <w:t>for a unit south of 26° South Latitude, other than land covered by paragraph (a) or (b) — for the first 400 kL of water supplied to the multi</w:t>
      </w:r>
      <w:r>
        <w:noBreakHyphen/>
        <w:t>unit development in the consumption year;</w:t>
      </w:r>
    </w:p>
    <w:p>
      <w:pPr>
        <w:pStyle w:val="Indenta"/>
      </w:pPr>
      <w:r>
        <w:tab/>
        <w:t>(d)</w:t>
      </w:r>
      <w:r>
        <w:tab/>
        <w:t>for a unit north of 26° South Latitude — for the first 600 kL of water supplied to the multi</w:t>
      </w:r>
      <w:r>
        <w:noBreakHyphen/>
        <w:t>unit development in the consumption year.</w:t>
      </w:r>
    </w:p>
    <w:p>
      <w:pPr>
        <w:pStyle w:val="Subsection"/>
      </w:pPr>
      <w:r>
        <w:tab/>
        <w:t>(4)</w:t>
      </w:r>
      <w:r>
        <w:tab/>
        <w:t>In subregulation (1), a reference to a multi</w:t>
      </w:r>
      <w:r>
        <w:noBreakHyphen/>
        <w:t>unit residential development includes a reference to a caravan park.</w:t>
      </w:r>
    </w:p>
    <w:p>
      <w:pPr>
        <w:pStyle w:val="Subsection"/>
      </w:pPr>
      <w:r>
        <w:tab/>
        <w:t>(5)</w:t>
      </w:r>
      <w:r>
        <w:tab/>
        <w:t xml:space="preserve">In subregulation (2), the average unit consumption for a </w:t>
      </w:r>
      <w:r>
        <w:rPr>
          <w:snapToGrid w:val="0"/>
        </w:rPr>
        <w:t>charge period</w:t>
      </w:r>
      <w:r>
        <w:t xml:space="preserve"> is the total volume of water supplied to the multi</w:t>
      </w:r>
      <w:r>
        <w:noBreakHyphen/>
        <w:t xml:space="preserve">unit development in the </w:t>
      </w:r>
      <w:r>
        <w:rPr>
          <w:snapToGrid w:val="0"/>
        </w:rPr>
        <w:t>charge period</w:t>
      </w:r>
      <w:r>
        <w:t xml:space="preserve"> divided by the number of units in the development.</w:t>
      </w:r>
    </w:p>
    <w:p>
      <w:pPr>
        <w:pStyle w:val="Subsection"/>
        <w:keepLines/>
      </w:pPr>
      <w:r>
        <w:tab/>
        <w:t>(6)</w:t>
      </w:r>
      <w:r>
        <w:tab/>
        <w:t>The Water Corporation may, having regard to the circumstances of a particular person, disregard the requirement in subregulation (1)(a) that the person have been a registered person or registered with the Water Corporation before the charge period.</w:t>
      </w:r>
    </w:p>
    <w:p>
      <w:pPr>
        <w:pStyle w:val="Subsection"/>
      </w:pPr>
      <w:r>
        <w:tab/>
        <w:t>(7)</w:t>
      </w:r>
      <w:r>
        <w:tab/>
        <w:t xml:space="preserve">A rebate must be — </w:t>
      </w:r>
    </w:p>
    <w:p>
      <w:pPr>
        <w:pStyle w:val="Indenta"/>
      </w:pPr>
      <w:r>
        <w:tab/>
        <w:t>(a)</w:t>
      </w:r>
      <w:r>
        <w:tab/>
        <w:t>paid to the person entitled to it; or</w:t>
      </w:r>
    </w:p>
    <w:p>
      <w:pPr>
        <w:pStyle w:val="Indenta"/>
      </w:pPr>
      <w:r>
        <w:tab/>
        <w:t>(b)</w:t>
      </w:r>
      <w:r>
        <w:tab/>
        <w:t>credited against any other liability the person may have to pay water service charges to the Water Corporation.</w:t>
      </w:r>
    </w:p>
    <w:p>
      <w:pPr>
        <w:pStyle w:val="Subsection"/>
      </w:pPr>
      <w:r>
        <w:tab/>
        <w:t>(8)</w:t>
      </w:r>
      <w:r>
        <w:tab/>
        <w:t xml:space="preserve">A person registered with the Water Corporation for the purposes of this regulation must, within 21 days, advise the Water Corporation in writing of the person — </w:t>
      </w:r>
    </w:p>
    <w:p>
      <w:pPr>
        <w:pStyle w:val="Indenta"/>
      </w:pPr>
      <w:r>
        <w:tab/>
        <w:t>(a)</w:t>
      </w:r>
      <w:r>
        <w:tab/>
        <w:t>ceasing to be an eligible pensioner; or</w:t>
      </w:r>
    </w:p>
    <w:p>
      <w:pPr>
        <w:pStyle w:val="Indenta"/>
      </w:pPr>
      <w:r>
        <w:tab/>
        <w:t>(b)</w:t>
      </w:r>
      <w:r>
        <w:tab/>
        <w:t>ceasing to occupy the unit the subject of the registration with the Water Corporation.</w:t>
      </w:r>
    </w:p>
    <w:p>
      <w:pPr>
        <w:pStyle w:val="Heading5"/>
      </w:pPr>
      <w:bookmarkStart w:id="69" w:name="_Toc170209135"/>
      <w:r>
        <w:rPr>
          <w:rStyle w:val="CharSectno"/>
        </w:rPr>
        <w:lastRenderedPageBreak/>
        <w:t>36</w:t>
      </w:r>
      <w:r>
        <w:t>.</w:t>
      </w:r>
      <w:r>
        <w:tab/>
        <w:t>Concessions: certain retirement village residents</w:t>
      </w:r>
      <w:bookmarkEnd w:id="69"/>
    </w:p>
    <w:p>
      <w:pPr>
        <w:pStyle w:val="Subsection"/>
        <w:keepNext/>
      </w:pPr>
      <w:r>
        <w:tab/>
        <w:t>(1)</w:t>
      </w:r>
      <w:r>
        <w:tab/>
        <w:t xml:space="preserve">If a person was, immediately before 1 July 2005, liable to pay the charge set out in the </w:t>
      </w:r>
      <w:r>
        <w:rPr>
          <w:i/>
        </w:rPr>
        <w:t>Water Agencies (Charges) By</w:t>
      </w:r>
      <w:r>
        <w:rPr>
          <w:i/>
        </w:rPr>
        <w:noBreakHyphen/>
        <w:t>laws 1987</w:t>
      </w:r>
      <w:r>
        <w:rPr>
          <w:vertAlign w:val="superscript"/>
        </w:rPr>
        <w:t> 2</w:t>
      </w:r>
      <w:r>
        <w:t xml:space="preserve"> Schedule 1 item 1 in respect of a unit in a retirement village and the person is liable on or after 1 July 2014 to pay the charge set out in Schedule 3 item 3 in respect of the unit, the person is entitled to a discount on the charge of the lesser of — </w:t>
      </w:r>
    </w:p>
    <w:p>
      <w:pPr>
        <w:pStyle w:val="Indenta"/>
      </w:pPr>
      <w:r>
        <w:tab/>
        <w:t>(a)</w:t>
      </w:r>
      <w:r>
        <w:tab/>
        <w:t>25% of the charge; and</w:t>
      </w:r>
    </w:p>
    <w:p>
      <w:pPr>
        <w:pStyle w:val="Indenta"/>
      </w:pPr>
      <w:r>
        <w:tab/>
        <w:t>(b)</w:t>
      </w:r>
      <w:r>
        <w:tab/>
        <w:t>$18.14.</w:t>
      </w:r>
    </w:p>
    <w:p>
      <w:pPr>
        <w:pStyle w:val="Subsection"/>
        <w:keepNext/>
      </w:pPr>
      <w:r>
        <w:tab/>
        <w:t>(2)</w:t>
      </w:r>
      <w:r>
        <w:tab/>
        <w:t xml:space="preserve">Subregulation (1) does not apply if a person registers an entitlement as to land under the </w:t>
      </w:r>
      <w:r>
        <w:rPr>
          <w:i/>
        </w:rPr>
        <w:t>Rates and Charges (Rebates and Deferments) Act 1992</w:t>
      </w:r>
      <w:r>
        <w:t xml:space="preserve"> in respect of the unit.</w:t>
      </w:r>
    </w:p>
    <w:p>
      <w:pPr>
        <w:pStyle w:val="Footnotesection"/>
      </w:pPr>
      <w:r>
        <w:tab/>
        <w:t>[Regulation 36 amended: Gazette 30 Jun 2015 p. 2364; 27 Jun 2016 p. 2539; 23 Jun 2017 p. 3324.]</w:t>
      </w:r>
    </w:p>
    <w:p>
      <w:pPr>
        <w:pStyle w:val="Heading5"/>
      </w:pPr>
      <w:bookmarkStart w:id="70" w:name="_Toc170209136"/>
      <w:r>
        <w:rPr>
          <w:rStyle w:val="CharSectno"/>
        </w:rPr>
        <w:t>36A</w:t>
      </w:r>
      <w:r>
        <w:t>.</w:t>
      </w:r>
      <w:r>
        <w:tab/>
        <w:t>Water supplied through commercial standpipes within areas over which a water deficiency declaration applies</w:t>
      </w:r>
      <w:bookmarkEnd w:id="70"/>
    </w:p>
    <w:p>
      <w:pPr>
        <w:pStyle w:val="Subsection"/>
      </w:pPr>
      <w:r>
        <w:tab/>
        <w:t>(1)</w:t>
      </w:r>
      <w:r>
        <w:tab/>
        <w:t xml:space="preserve">In this regulation — </w:t>
      </w:r>
    </w:p>
    <w:p>
      <w:pPr>
        <w:pStyle w:val="Defstart"/>
        <w:rPr>
          <w:snapToGrid/>
        </w:rPr>
      </w:pPr>
      <w:r>
        <w:tab/>
      </w:r>
      <w:r>
        <w:rPr>
          <w:rStyle w:val="CharDefText"/>
        </w:rPr>
        <w:t>commercial standpipe</w:t>
      </w:r>
      <w:r>
        <w:rPr>
          <w:snapToGrid/>
        </w:rPr>
        <w:t xml:space="preserve"> means a standpipe, access to which is controlled by a local government or by the Water Corporation, that is — </w:t>
      </w:r>
    </w:p>
    <w:p>
      <w:pPr>
        <w:pStyle w:val="Defpara"/>
      </w:pPr>
      <w:r>
        <w:tab/>
        <w:t>(a)</w:t>
      </w:r>
      <w:r>
        <w:tab/>
        <w:t>of a meter size greater than 25 mm; and</w:t>
      </w:r>
    </w:p>
    <w:p>
      <w:pPr>
        <w:pStyle w:val="Defpara"/>
        <w:rPr>
          <w:sz w:val="20"/>
        </w:rPr>
      </w:pPr>
      <w:r>
        <w:tab/>
        <w:t>(b)</w:t>
      </w:r>
      <w:r>
        <w:tab/>
        <w:t>available for public use;</w:t>
      </w:r>
    </w:p>
    <w:p>
      <w:pPr>
        <w:pStyle w:val="Defstart"/>
        <w:rPr>
          <w:rStyle w:val="DraftersNotes"/>
          <w:b w:val="0"/>
          <w:i w:val="0"/>
          <w:sz w:val="24"/>
        </w:rPr>
      </w:pPr>
      <w:r>
        <w:tab/>
      </w:r>
      <w:r>
        <w:rPr>
          <w:rStyle w:val="CharDefText"/>
        </w:rPr>
        <w:t>water deficiency declaration</w:t>
      </w:r>
      <w:r>
        <w:t xml:space="preserve"> means a declaration made by the Minister notified to the Water Corporation that, in the Minister’s opinion, as a consequence of low rainfall, there is a deficiency between the demand for water within an area that is specified or described in the declaration and the water available within that area.</w:t>
      </w:r>
    </w:p>
    <w:p>
      <w:pPr>
        <w:pStyle w:val="Subsection"/>
        <w:keepNext/>
      </w:pPr>
      <w:r>
        <w:lastRenderedPageBreak/>
        <w:tab/>
        <w:t>(2)</w:t>
      </w:r>
      <w:r>
        <w:tab/>
        <w:t xml:space="preserve">If water is supplied to a person through a commercial standpipe that is located within an area specified or described in a water deficiency declaration — </w:t>
      </w:r>
    </w:p>
    <w:p>
      <w:pPr>
        <w:pStyle w:val="Indenta"/>
      </w:pPr>
      <w:r>
        <w:tab/>
        <w:t>(a)</w:t>
      </w:r>
      <w:r>
        <w:tab/>
        <w:t>if the person is liable to pay a service charge pursuant to Schedule 3 item 11(1) — the person is liable to pay a service charge under Schedule 3 item 20 instead; and</w:t>
      </w:r>
    </w:p>
    <w:p>
      <w:pPr>
        <w:pStyle w:val="Indenta"/>
      </w:pPr>
      <w:r>
        <w:tab/>
        <w:t>(b)</w:t>
      </w:r>
      <w:r>
        <w:tab/>
        <w:t>if the person is liable to pay a consumption charge pursuant to Schedule 3 item 30(1)(d) — the person is liable to pay a consumption charge under Schedule 3 item 35 instead.</w:t>
      </w:r>
    </w:p>
    <w:p>
      <w:pPr>
        <w:pStyle w:val="Subsection"/>
      </w:pPr>
      <w:r>
        <w:tab/>
        <w:t>(3)</w:t>
      </w:r>
      <w:r>
        <w:tab/>
        <w:t>Subregulation (2) ceases to apply if the Minister notifies the Water Corporation that the water deficiency declaration is revoked.</w:t>
      </w:r>
    </w:p>
    <w:p>
      <w:pPr>
        <w:pStyle w:val="Subsection"/>
      </w:pPr>
      <w:r>
        <w:tab/>
        <w:t>(4)</w:t>
      </w:r>
      <w:r>
        <w:tab/>
        <w:t>If, part of the way through a financial year, a water deficiency declaration is made or revoked so that there is a change in the service charges payable by a person referred to in subregulation (2), the charges for the year are to be calculated on a pro rata basis.</w:t>
      </w:r>
    </w:p>
    <w:p>
      <w:pPr>
        <w:pStyle w:val="Footnotesection"/>
      </w:pPr>
      <w:r>
        <w:tab/>
        <w:t>[Regulation 36A inserted: SL 2020/95 r. 8; amended: SL 2022/82 r. 12.]</w:t>
      </w:r>
    </w:p>
    <w:p>
      <w:pPr>
        <w:pStyle w:val="Heading3"/>
        <w:keepNext w:val="0"/>
        <w:widowControl w:val="0"/>
      </w:pPr>
      <w:bookmarkStart w:id="71" w:name="_Toc170136769"/>
      <w:bookmarkStart w:id="72" w:name="_Toc170138781"/>
      <w:bookmarkStart w:id="73" w:name="_Toc170203642"/>
      <w:bookmarkStart w:id="74" w:name="_Toc170209137"/>
      <w:r>
        <w:rPr>
          <w:rStyle w:val="CharDivNo"/>
        </w:rPr>
        <w:t>Division 4</w:t>
      </w:r>
      <w:r>
        <w:t> — </w:t>
      </w:r>
      <w:r>
        <w:rPr>
          <w:rStyle w:val="CharDivText"/>
        </w:rPr>
        <w:t>Sewerage charges</w:t>
      </w:r>
      <w:bookmarkEnd w:id="71"/>
      <w:bookmarkEnd w:id="72"/>
      <w:bookmarkEnd w:id="73"/>
      <w:bookmarkEnd w:id="74"/>
    </w:p>
    <w:p>
      <w:pPr>
        <w:pStyle w:val="Heading5"/>
      </w:pPr>
      <w:bookmarkStart w:id="75" w:name="_Toc170209138"/>
      <w:r>
        <w:rPr>
          <w:rStyle w:val="CharSectno"/>
        </w:rPr>
        <w:t>37</w:t>
      </w:r>
      <w:r>
        <w:t>.</w:t>
      </w:r>
      <w:r>
        <w:tab/>
        <w:t>Land connected to sewerage works</w:t>
      </w:r>
      <w:bookmarkEnd w:id="75"/>
    </w:p>
    <w:p>
      <w:pPr>
        <w:pStyle w:val="Subsection"/>
      </w:pPr>
      <w:r>
        <w:tab/>
      </w:r>
      <w:r>
        <w:tab/>
        <w:t>In this Division, a reference to land connected to sewerage works of the Water Corporation is a reference to land on which there is a wastewater inlet that is connected to sewerage works of the Water Corporation.</w:t>
      </w:r>
    </w:p>
    <w:p>
      <w:pPr>
        <w:pStyle w:val="Heading5"/>
      </w:pPr>
      <w:bookmarkStart w:id="76" w:name="_Toc170209139"/>
      <w:r>
        <w:rPr>
          <w:rStyle w:val="CharSectno"/>
        </w:rPr>
        <w:t>38</w:t>
      </w:r>
      <w:r>
        <w:t>.</w:t>
      </w:r>
      <w:r>
        <w:tab/>
        <w:t>Sewerage areas</w:t>
      </w:r>
      <w:bookmarkEnd w:id="76"/>
    </w:p>
    <w:p>
      <w:pPr>
        <w:pStyle w:val="Subsection"/>
      </w:pPr>
      <w:r>
        <w:tab/>
        <w:t>(1)</w:t>
      </w:r>
      <w:r>
        <w:tab/>
        <w:t>The Water Corporation may designate an area as a sewerage area.</w:t>
      </w:r>
    </w:p>
    <w:p>
      <w:pPr>
        <w:pStyle w:val="Subsection"/>
      </w:pPr>
      <w:r>
        <w:lastRenderedPageBreak/>
        <w:tab/>
        <w:t>(2)</w:t>
      </w:r>
      <w:r>
        <w:tab/>
        <w:t>An area cannot be designated as a sewerage area unless it is within the operating area of the Water Corporation’s licence for sewerage services.</w:t>
      </w:r>
    </w:p>
    <w:p>
      <w:pPr>
        <w:pStyle w:val="Subsection"/>
      </w:pPr>
      <w:r>
        <w:tab/>
        <w:t>(3)</w:t>
      </w:r>
      <w:r>
        <w:tab/>
        <w:t>The Water Corporation may amend or revoke a designation.</w:t>
      </w:r>
    </w:p>
    <w:p>
      <w:pPr>
        <w:pStyle w:val="Subsection"/>
      </w:pPr>
      <w:r>
        <w:tab/>
        <w:t>(4)</w:t>
      </w:r>
      <w:r>
        <w:tab/>
        <w:t>The Water Corporation must publish, and keep up</w:t>
      </w:r>
      <w:r>
        <w:noBreakHyphen/>
        <w:t>to</w:t>
      </w:r>
      <w:r>
        <w:noBreakHyphen/>
        <w:t>date, each designation on a website of the Water Corporation.</w:t>
      </w:r>
    </w:p>
    <w:p>
      <w:pPr>
        <w:pStyle w:val="Subsection"/>
      </w:pPr>
      <w:r>
        <w:tab/>
        <w:t>(5)</w:t>
      </w:r>
      <w:r>
        <w:tab/>
        <w:t xml:space="preserve">A sewerage area under the </w:t>
      </w:r>
      <w:r>
        <w:rPr>
          <w:i/>
        </w:rPr>
        <w:t>Country Towns Sewerage Act 1948</w:t>
      </w:r>
      <w:r>
        <w:rPr>
          <w:vertAlign w:val="superscript"/>
        </w:rPr>
        <w:t> 3</w:t>
      </w:r>
      <w:r>
        <w:t xml:space="preserve"> section 4 in effect immediately before the day on which the </w:t>
      </w:r>
      <w:r>
        <w:rPr>
          <w:i/>
        </w:rPr>
        <w:t>Water Services Legislation Amendment and Repeal Act 2012</w:t>
      </w:r>
      <w:r>
        <w:t xml:space="preserve"> section 200(a) came into operation is to be taken to have been designated as a sewerage area under subregulation (1) and the designation may be revoked, but not amended, under subregulation (3).</w:t>
      </w:r>
    </w:p>
    <w:p>
      <w:pPr>
        <w:pStyle w:val="Subsection"/>
      </w:pPr>
      <w:r>
        <w:tab/>
        <w:t>(6)</w:t>
      </w:r>
      <w:r>
        <w:tab/>
        <w:t>Subregulation (4) does not apply in relation to a sewerage area taken to have been designated as a sewerage area under subregulation (5) until 1 July 2015.</w:t>
      </w:r>
    </w:p>
    <w:p>
      <w:pPr>
        <w:pStyle w:val="Subsection"/>
      </w:pPr>
      <w:r>
        <w:tab/>
        <w:t>(7)</w:t>
      </w:r>
      <w:r>
        <w:tab/>
        <w:t xml:space="preserve">To comply with subregulation (4) in relation to sewerage areas taken to have been designated as sewerage areas under subregulation (5) the Water Corporation may publish copies of Orders in Council made under the </w:t>
      </w:r>
      <w:r>
        <w:rPr>
          <w:i/>
        </w:rPr>
        <w:t>Country Towns Sewerage Act 1948</w:t>
      </w:r>
      <w:r>
        <w:rPr>
          <w:vertAlign w:val="superscript"/>
        </w:rPr>
        <w:t> 3</w:t>
      </w:r>
      <w:r>
        <w:t xml:space="preserve"> section 4.</w:t>
      </w:r>
    </w:p>
    <w:p>
      <w:pPr>
        <w:pStyle w:val="Heading5"/>
        <w:spacing w:before="180"/>
      </w:pPr>
      <w:bookmarkStart w:id="77" w:name="_Toc170209140"/>
      <w:r>
        <w:rPr>
          <w:rStyle w:val="CharSectno"/>
        </w:rPr>
        <w:t>39</w:t>
      </w:r>
      <w:r>
        <w:t>.</w:t>
      </w:r>
      <w:r>
        <w:tab/>
        <w:t>Sewerage charges</w:t>
      </w:r>
      <w:bookmarkEnd w:id="77"/>
    </w:p>
    <w:p>
      <w:pPr>
        <w:pStyle w:val="Subsection"/>
        <w:spacing w:before="120"/>
      </w:pPr>
      <w:r>
        <w:tab/>
        <w:t>(1)</w:t>
      </w:r>
      <w:r>
        <w:tab/>
        <w:t>The water service charges set out in Schedule 4, other than in Division 3, apply, in accordance with the Schedule, in respect of land in respect of which a sewerage service is provided by the Water Corporation.</w:t>
      </w:r>
    </w:p>
    <w:p>
      <w:pPr>
        <w:pStyle w:val="Subsection"/>
        <w:spacing w:before="120"/>
      </w:pPr>
      <w:r>
        <w:tab/>
        <w:t>(2)</w:t>
      </w:r>
      <w:r>
        <w:tab/>
        <w:t xml:space="preserve">If the Water Corporation is satisfied that it is practicable for sewerage works of the Water Corporation to be connected to a wastewater inlet on land then, for the purposes of subregulation (1), a sewerage service is to be taken to be provided in respect of the land by the Water Corporation, </w:t>
      </w:r>
      <w:r>
        <w:lastRenderedPageBreak/>
        <w:t>despite those works not being connected to a wastewater inlet on the land.</w:t>
      </w:r>
    </w:p>
    <w:p>
      <w:pPr>
        <w:pStyle w:val="Subsection"/>
      </w:pPr>
      <w:r>
        <w:tab/>
        <w:t>(3)</w:t>
      </w:r>
      <w:r>
        <w:tab/>
        <w:t>A water service charge set out in Schedule 4 Division 3 applies, in accordance with the Schedule, in respect of the discharge described and the holder of the approval under which the discharge takes place is liable for the charge.</w:t>
      </w:r>
    </w:p>
    <w:p>
      <w:pPr>
        <w:pStyle w:val="Ednotesubsection"/>
      </w:pPr>
      <w:r>
        <w:tab/>
        <w:t>[(4)</w:t>
      </w:r>
      <w:r>
        <w:tab/>
        <w:t>deleted]</w:t>
      </w:r>
    </w:p>
    <w:p>
      <w:pPr>
        <w:pStyle w:val="Footnotesection"/>
      </w:pPr>
      <w:r>
        <w:tab/>
        <w:t>[Regulation 39 amended: SL 2022/82 r. 13.]</w:t>
      </w:r>
    </w:p>
    <w:p>
      <w:pPr>
        <w:pStyle w:val="Heading5"/>
      </w:pPr>
      <w:bookmarkStart w:id="78" w:name="_Toc170209141"/>
      <w:r>
        <w:rPr>
          <w:rStyle w:val="CharSectno"/>
        </w:rPr>
        <w:t>40</w:t>
      </w:r>
      <w:r>
        <w:t>.</w:t>
      </w:r>
      <w:r>
        <w:tab/>
        <w:t>Classification of land</w:t>
      </w:r>
      <w:bookmarkEnd w:id="78"/>
    </w:p>
    <w:p>
      <w:pPr>
        <w:pStyle w:val="Subsection"/>
        <w:keepNext/>
      </w:pPr>
      <w:r>
        <w:tab/>
        <w:t>(1)</w:t>
      </w:r>
      <w:r>
        <w:tab/>
        <w:t xml:space="preserve">For the purposes of this Division, land that is not concessional land may be classified by the Water Corporation as follows — </w:t>
      </w:r>
    </w:p>
    <w:p>
      <w:pPr>
        <w:pStyle w:val="Indenta"/>
        <w:keepNext/>
      </w:pPr>
      <w:r>
        <w:tab/>
        <w:t>(a)</w:t>
      </w:r>
      <w:r>
        <w:tab/>
        <w:t xml:space="preserve">residential — if the Water Corporation is satisfied that the land — </w:t>
      </w:r>
    </w:p>
    <w:p>
      <w:pPr>
        <w:pStyle w:val="Indenti"/>
      </w:pPr>
      <w:r>
        <w:tab/>
        <w:t>(i)</w:t>
      </w:r>
      <w:r>
        <w:tab/>
        <w:t>is used, or is capable of being used, wholly or primarily for the purpose of providing residential accommodation to the owner or occupier of the land; and</w:t>
      </w:r>
    </w:p>
    <w:p>
      <w:pPr>
        <w:pStyle w:val="Indenti"/>
      </w:pPr>
      <w:r>
        <w:tab/>
        <w:t>(ii)</w:t>
      </w:r>
      <w:r>
        <w:tab/>
        <w:t>is not used in whole or in part for the purpose of providing holiday accommodation;</w:t>
      </w:r>
    </w:p>
    <w:p>
      <w:pPr>
        <w:pStyle w:val="Indenta"/>
      </w:pPr>
      <w:r>
        <w:tab/>
        <w:t>(b)</w:t>
      </w:r>
      <w:r>
        <w:tab/>
        <w:t>semi</w:t>
      </w:r>
      <w:r>
        <w:noBreakHyphen/>
        <w:t xml:space="preserve">rural residential — if the land is in the metropolitan area and the Water Corporation is satisfied that — </w:t>
      </w:r>
    </w:p>
    <w:p>
      <w:pPr>
        <w:pStyle w:val="Indenti"/>
      </w:pPr>
      <w:r>
        <w:tab/>
        <w:t>(i)</w:t>
      </w:r>
      <w:r>
        <w:tab/>
        <w:t>the land is used as described in paragraph (a); and</w:t>
      </w:r>
    </w:p>
    <w:p>
      <w:pPr>
        <w:pStyle w:val="Indenti"/>
      </w:pPr>
      <w:r>
        <w:tab/>
        <w:t>(ii)</w:t>
      </w:r>
      <w:r>
        <w:tab/>
        <w:t>the land is also used for the purpose of primary production, which includes use for the purpose of a farm, market garden, kennel, plant nursery, orchard, stable, vineyard or another similar purpose; and</w:t>
      </w:r>
    </w:p>
    <w:p>
      <w:pPr>
        <w:pStyle w:val="Indenti"/>
      </w:pPr>
      <w:r>
        <w:tab/>
        <w:t>(iii)</w:t>
      </w:r>
      <w:r>
        <w:tab/>
        <w:t xml:space="preserve">water supplied to the land by the Water Corporation is used wholly or primarily for the </w:t>
      </w:r>
      <w:r>
        <w:lastRenderedPageBreak/>
        <w:t>purposes of the use referred to in subparagraph (i);</w:t>
      </w:r>
    </w:p>
    <w:p>
      <w:pPr>
        <w:pStyle w:val="Indenta"/>
      </w:pPr>
      <w:r>
        <w:tab/>
        <w:t>(c)</w:t>
      </w:r>
      <w:r>
        <w:tab/>
        <w:t>non</w:t>
      </w:r>
      <w:r>
        <w:noBreakHyphen/>
        <w:t xml:space="preserve">residential — if the Water Corporation is satisfied that the land — </w:t>
      </w:r>
    </w:p>
    <w:p>
      <w:pPr>
        <w:pStyle w:val="Indenti"/>
      </w:pPr>
      <w:r>
        <w:tab/>
        <w:t>(i)</w:t>
      </w:r>
      <w:r>
        <w:tab/>
        <w:t>is used, or is capable of being used, for business or professional purposes, holiday accommodation, manufacturing, processing or other commercial processes; and</w:t>
      </w:r>
    </w:p>
    <w:p>
      <w:pPr>
        <w:pStyle w:val="Indenti"/>
      </w:pPr>
      <w:r>
        <w:tab/>
        <w:t>(ii)</w:t>
      </w:r>
      <w:r>
        <w:tab/>
        <w:t>cannot be classified as residential;</w:t>
      </w:r>
    </w:p>
    <w:p>
      <w:pPr>
        <w:pStyle w:val="Indenta"/>
      </w:pPr>
      <w:r>
        <w:tab/>
        <w:t>(d)</w:t>
      </w:r>
      <w:r>
        <w:tab/>
        <w:t xml:space="preserve">vacant land — if the Water Corporation is satisfied that — </w:t>
      </w:r>
    </w:p>
    <w:p>
      <w:pPr>
        <w:pStyle w:val="Indenti"/>
      </w:pPr>
      <w:r>
        <w:tab/>
        <w:t>(i)</w:t>
      </w:r>
      <w:r>
        <w:tab/>
        <w:t>there is no building on the land; or</w:t>
      </w:r>
    </w:p>
    <w:p>
      <w:pPr>
        <w:pStyle w:val="Indenti"/>
      </w:pPr>
      <w:r>
        <w:tab/>
        <w:t>(ii)</w:t>
      </w:r>
      <w:r>
        <w:tab/>
        <w:t>if there is, there is no other appropriate classification for the land under this regulation.</w:t>
      </w:r>
    </w:p>
    <w:p>
      <w:pPr>
        <w:pStyle w:val="Subsection"/>
      </w:pPr>
      <w:r>
        <w:tab/>
        <w:t>(2)</w:t>
      </w:r>
      <w:r>
        <w:tab/>
        <w:t xml:space="preserve">For the purposes of this Division, concessional land may be classified by the Water Corporation as follows — </w:t>
      </w:r>
    </w:p>
    <w:p>
      <w:pPr>
        <w:pStyle w:val="Indenta"/>
      </w:pPr>
      <w:r>
        <w:tab/>
        <w:t>(a)</w:t>
      </w:r>
      <w:r>
        <w:tab/>
        <w:t>charitable purposes — if the Water Corporation is satisfied that the land is used for charitable purposes;</w:t>
      </w:r>
    </w:p>
    <w:p>
      <w:pPr>
        <w:pStyle w:val="Indenta"/>
      </w:pPr>
      <w:r>
        <w:tab/>
        <w:t>(b)</w:t>
      </w:r>
      <w:r>
        <w:tab/>
        <w:t>institutional public — if the Water Corporation is satisfied that the land is used by a club or association, or for some other public purpose, approved by the Water Corporation;</w:t>
      </w:r>
    </w:p>
    <w:p>
      <w:pPr>
        <w:pStyle w:val="Indenta"/>
        <w:keepLines/>
      </w:pPr>
      <w:r>
        <w:tab/>
        <w:t>(c)</w:t>
      </w:r>
      <w:r>
        <w:tab/>
        <w:t>community residential — if the Water Corporation is satisfied that the land is occupied as a communal property on which several families dwell at the same time and is managed by the persons dwelling on the land or a committee of them;</w:t>
      </w:r>
    </w:p>
    <w:p>
      <w:pPr>
        <w:pStyle w:val="Indenta"/>
      </w:pPr>
      <w:r>
        <w:tab/>
        <w:t>(d)</w:t>
      </w:r>
      <w:r>
        <w:tab/>
        <w:t>local government — if the land is in the non</w:t>
      </w:r>
      <w:r>
        <w:noBreakHyphen/>
        <w:t>metropolitan area and the Water Corporation is satisfied that it is used by the local government for business, professional, commercial or office purposes;</w:t>
      </w:r>
    </w:p>
    <w:p>
      <w:pPr>
        <w:pStyle w:val="Indenta"/>
        <w:keepNext/>
      </w:pPr>
      <w:r>
        <w:lastRenderedPageBreak/>
        <w:tab/>
        <w:t>(e)</w:t>
      </w:r>
      <w:r>
        <w:tab/>
        <w:t>aged home — if the Water Corporation is satisfied that the land is used as an aged home;</w:t>
      </w:r>
    </w:p>
    <w:p>
      <w:pPr>
        <w:pStyle w:val="Indenta"/>
      </w:pPr>
      <w:r>
        <w:tab/>
        <w:t>(f)</w:t>
      </w:r>
      <w:r>
        <w:tab/>
        <w:t>community purpose — if the Water Corporation is satisfied that the land cannot be classified under another paragraph of this subregulation.</w:t>
      </w:r>
    </w:p>
    <w:p>
      <w:pPr>
        <w:pStyle w:val="Subsection"/>
      </w:pPr>
      <w:r>
        <w:tab/>
        <w:t>(3)</w:t>
      </w:r>
      <w:r>
        <w:tab/>
        <w:t>If land can be given more than one classification under subregulation (1) or (2), the more specific classification within the subregulation applies to the land to the exclusion of any other.</w:t>
      </w:r>
    </w:p>
    <w:p>
      <w:pPr>
        <w:pStyle w:val="Footnotesection"/>
      </w:pPr>
      <w:r>
        <w:tab/>
        <w:t>[Regulation 40 amended: SL 2022/82 r. 14.]</w:t>
      </w:r>
    </w:p>
    <w:p>
      <w:pPr>
        <w:pStyle w:val="Heading5"/>
      </w:pPr>
      <w:bookmarkStart w:id="79" w:name="_Toc170209142"/>
      <w:r>
        <w:rPr>
          <w:rStyle w:val="CharSectno"/>
        </w:rPr>
        <w:t>41</w:t>
      </w:r>
      <w:r>
        <w:t>.</w:t>
      </w:r>
      <w:r>
        <w:tab/>
        <w:t>Minimum charges: Schedule 4 Division 2</w:t>
      </w:r>
      <w:bookmarkEnd w:id="79"/>
    </w:p>
    <w:p>
      <w:pPr>
        <w:pStyle w:val="Subsection"/>
        <w:keepNext/>
      </w:pPr>
      <w:r>
        <w:tab/>
        <w:t>(1)</w:t>
      </w:r>
      <w:r>
        <w:tab/>
        <w:t xml:space="preserve">The minimum charge, under Schedule 4 Division 2, in respect of land that has a metered supply of water is the greater of — </w:t>
      </w:r>
    </w:p>
    <w:p>
      <w:pPr>
        <w:pStyle w:val="Indenta"/>
      </w:pPr>
      <w:r>
        <w:tab/>
        <w:t>(a)</w:t>
      </w:r>
      <w:r>
        <w:tab/>
        <w:t>the service charge for the land calculated in accordance with Schedule 4 item 19 or 27 (whichever is relevant); and</w:t>
      </w:r>
    </w:p>
    <w:p>
      <w:pPr>
        <w:pStyle w:val="Indenta"/>
      </w:pPr>
      <w:r>
        <w:tab/>
        <w:t>(b)</w:t>
      </w:r>
      <w:r>
        <w:tab/>
        <w:t>the charge according to the number of major fixtures for the land, that is, “</w:t>
      </w:r>
      <w:r>
        <w:rPr>
          <w:b/>
        </w:rPr>
        <w:t>P</w:t>
      </w:r>
      <w:r>
        <w:t>” in Schedule 4 item 19 or “</w:t>
      </w:r>
      <w:r>
        <w:rPr>
          <w:b/>
        </w:rPr>
        <w:t>C</w:t>
      </w:r>
      <w:r>
        <w:t>” in Schedule 4 item 27 (whichever is relevant).</w:t>
      </w:r>
    </w:p>
    <w:p>
      <w:pPr>
        <w:pStyle w:val="Subsection"/>
      </w:pPr>
      <w:r>
        <w:tab/>
        <w:t>(2)</w:t>
      </w:r>
      <w:r>
        <w:tab/>
        <w:t>The minimum charge, under Schedule 4 Division 2, in respect of land that has a supply of water that is not metered is the applicable charge under that Division calculated on the basis of a discharge charge of zero.</w:t>
      </w:r>
    </w:p>
    <w:p>
      <w:pPr>
        <w:pStyle w:val="Subsection"/>
      </w:pPr>
      <w:r>
        <w:tab/>
        <w:t>(3)</w:t>
      </w:r>
      <w:r>
        <w:tab/>
        <w:t>The minimum charge, under Schedule 4 Division 2, in respect of land in respect of which a sewerage service is taken to be provided under regulation 39(2) is the applicable charge under that Division calculated on the basis of a discharge charge of zero.</w:t>
      </w:r>
    </w:p>
    <w:p>
      <w:pPr>
        <w:pStyle w:val="Footnotesection"/>
      </w:pPr>
      <w:r>
        <w:tab/>
        <w:t>[Regulation 41 amended: SL 2022/82 r. 15.]</w:t>
      </w:r>
    </w:p>
    <w:p>
      <w:pPr>
        <w:pStyle w:val="Heading5"/>
      </w:pPr>
      <w:bookmarkStart w:id="80" w:name="_Toc170209143"/>
      <w:r>
        <w:rPr>
          <w:rStyle w:val="CharSectno"/>
        </w:rPr>
        <w:lastRenderedPageBreak/>
        <w:t>42</w:t>
      </w:r>
      <w:r>
        <w:t>.</w:t>
      </w:r>
      <w:r>
        <w:tab/>
        <w:t>Estimating charge, or volume discharged, for previous year: Schedule 4 Division 2</w:t>
      </w:r>
      <w:bookmarkEnd w:id="80"/>
    </w:p>
    <w:p>
      <w:pPr>
        <w:pStyle w:val="Subsection"/>
      </w:pPr>
      <w:r>
        <w:tab/>
        <w:t>(1)</w:t>
      </w:r>
      <w:r>
        <w:tab/>
        <w:t xml:space="preserve">In this regulation — </w:t>
      </w:r>
    </w:p>
    <w:p>
      <w:pPr>
        <w:pStyle w:val="Defstart"/>
      </w:pPr>
      <w:r>
        <w:tab/>
      </w:r>
      <w:r>
        <w:rPr>
          <w:rStyle w:val="CharDefText"/>
        </w:rPr>
        <w:t>combined charge</w:t>
      </w:r>
      <w:r>
        <w:t xml:space="preserve"> means a water service charge set out in Schedule 4 Division 2.</w:t>
      </w:r>
    </w:p>
    <w:p>
      <w:pPr>
        <w:pStyle w:val="Subsection"/>
      </w:pPr>
      <w:r>
        <w:tab/>
        <w:t>(2)</w:t>
      </w:r>
      <w:r>
        <w:tab/>
        <w:t>If, in calculating a combined charge in respect of land, the Water Corporation is required to take into account a charge payable for the previous financial year in respect of the land but no such charge was payable, the Water Corporation must estimate a notional charge for the previous financial year for the land, that is, the charge that would have been payable for the year if the circumstances currently prevailing had applied to the land for the whole of the year.</w:t>
      </w:r>
    </w:p>
    <w:p>
      <w:pPr>
        <w:pStyle w:val="Subsection"/>
      </w:pPr>
      <w:r>
        <w:tab/>
        <w:t>(3)</w:t>
      </w:r>
      <w:r>
        <w:tab/>
        <w:t>If, in calculating a combined charge in respect of land, the Water Corporation is required to take into account a discharge volume for a discharge year for the land, other than the current discharge year, but no such volume can be determined because water was not supplied by the Water Corporation to the land for the whole of the year, the Water Corporation must estimate a notional discharge volume for the year for the land, that is, the volume that would most likely have been discharged for the year if the circumstances currently prevailing had applied to the land for the whole of the year.</w:t>
      </w:r>
    </w:p>
    <w:p>
      <w:pPr>
        <w:pStyle w:val="Subsection"/>
      </w:pPr>
      <w:r>
        <w:tab/>
        <w:t>(4)</w:t>
      </w:r>
      <w:r>
        <w:tab/>
        <w:t xml:space="preserve">If — </w:t>
      </w:r>
    </w:p>
    <w:p>
      <w:pPr>
        <w:pStyle w:val="Indenta"/>
      </w:pPr>
      <w:r>
        <w:tab/>
        <w:t>(a)</w:t>
      </w:r>
      <w:r>
        <w:tab/>
        <w:t>because of a change of circumstances during a financial year there is a change in the amount of a combined charge that applies to land; and</w:t>
      </w:r>
    </w:p>
    <w:p>
      <w:pPr>
        <w:pStyle w:val="Indenta"/>
      </w:pPr>
      <w:r>
        <w:tab/>
        <w:t>(b)</w:t>
      </w:r>
      <w:r>
        <w:tab/>
        <w:t>the Water Corporation, in calculating the charge in respect of the land, is required to take into account a charge payable for the previous financial year for the land,</w:t>
      </w:r>
    </w:p>
    <w:p>
      <w:pPr>
        <w:pStyle w:val="Subsection"/>
      </w:pPr>
      <w:r>
        <w:tab/>
      </w:r>
      <w:r>
        <w:tab/>
        <w:t xml:space="preserve">the Water Corporation is to estimate a notional charge for the previous financial year for the land, that is, the charge that </w:t>
      </w:r>
      <w:r>
        <w:lastRenderedPageBreak/>
        <w:t>would have been payable for the year if the circumstances currently prevailing had applied to the land for the whole of the year.</w:t>
      </w:r>
    </w:p>
    <w:p>
      <w:pPr>
        <w:pStyle w:val="Heading5"/>
      </w:pPr>
      <w:bookmarkStart w:id="81" w:name="_Toc170209144"/>
      <w:r>
        <w:rPr>
          <w:rStyle w:val="CharSectno"/>
        </w:rPr>
        <w:t>43</w:t>
      </w:r>
      <w:r>
        <w:t>.</w:t>
      </w:r>
      <w:r>
        <w:tab/>
        <w:t>Determining number of major fixtures: Schedule 4 Division 2</w:t>
      </w:r>
      <w:bookmarkEnd w:id="81"/>
    </w:p>
    <w:p>
      <w:pPr>
        <w:pStyle w:val="Subsection"/>
      </w:pPr>
      <w:r>
        <w:tab/>
        <w:t>(1)</w:t>
      </w:r>
      <w:r>
        <w:tab/>
        <w:t>For the purposes of Schedule 4 Division 2, the number of major fixtures for land in respect of which a sewerage service is provided by the Water Corporation is to be determined in accordance with this regulation.</w:t>
      </w:r>
    </w:p>
    <w:p>
      <w:pPr>
        <w:pStyle w:val="Subsection"/>
      </w:pPr>
      <w:r>
        <w:tab/>
        <w:t>(2)</w:t>
      </w:r>
      <w:r>
        <w:tab/>
        <w:t>If the land does not have the benefit of any major fixtures that are shared with other land, the number of major fixtures for the land is the number on the land.</w:t>
      </w:r>
    </w:p>
    <w:p>
      <w:pPr>
        <w:pStyle w:val="Subsection"/>
      </w:pPr>
      <w:r>
        <w:tab/>
        <w:t>(3)</w:t>
      </w:r>
      <w:r>
        <w:tab/>
        <w:t xml:space="preserve">If the land has the benefit of one or more major fixtures that are shared with other land, the number of major fixtures for the land is — </w:t>
      </w:r>
    </w:p>
    <w:p>
      <w:pPr>
        <w:pStyle w:val="Indenta"/>
      </w:pPr>
      <w:r>
        <w:tab/>
        <w:t>(a)</w:t>
      </w:r>
      <w:r>
        <w:tab/>
        <w:t>the number of major fixtures on the land that are not shared with other land (if any); plus</w:t>
      </w:r>
    </w:p>
    <w:p>
      <w:pPr>
        <w:pStyle w:val="Indenta"/>
      </w:pPr>
      <w:r>
        <w:tab/>
        <w:t>(b)</w:t>
      </w:r>
      <w:r>
        <w:tab/>
        <w:t>the number of major fixtures shared with other land divided by the number of properties sharing those fixtures, rounded down to the nearest whole number.</w:t>
      </w:r>
    </w:p>
    <w:p>
      <w:pPr>
        <w:pStyle w:val="Subsection"/>
      </w:pPr>
      <w:r>
        <w:tab/>
        <w:t>(4)</w:t>
      </w:r>
      <w:r>
        <w:tab/>
        <w:t>The minimum number of major fixtures for the land is, or is to be taken to be, one, whether or not there are any major fixtures on the land or the land has the benefit of any major fixtures shared with other land.</w:t>
      </w:r>
    </w:p>
    <w:p>
      <w:pPr>
        <w:pStyle w:val="Heading5"/>
      </w:pPr>
      <w:bookmarkStart w:id="82" w:name="_Toc170209145"/>
      <w:r>
        <w:rPr>
          <w:rStyle w:val="CharSectno"/>
        </w:rPr>
        <w:t>44</w:t>
      </w:r>
      <w:r>
        <w:t>.</w:t>
      </w:r>
      <w:r>
        <w:tab/>
        <w:t>Concessions: certain retirement village residents</w:t>
      </w:r>
      <w:bookmarkEnd w:id="82"/>
    </w:p>
    <w:p>
      <w:pPr>
        <w:pStyle w:val="Subsection"/>
      </w:pPr>
      <w:r>
        <w:tab/>
        <w:t>(1)</w:t>
      </w:r>
      <w:r>
        <w:tab/>
        <w:t xml:space="preserve">If a person was, immediately before 1 July 2005, liable to pay the charge set out in the </w:t>
      </w:r>
      <w:r>
        <w:rPr>
          <w:i/>
        </w:rPr>
        <w:t>Water Agencies (Charges) By</w:t>
      </w:r>
      <w:r>
        <w:rPr>
          <w:i/>
        </w:rPr>
        <w:noBreakHyphen/>
        <w:t>laws 1987</w:t>
      </w:r>
      <w:r>
        <w:rPr>
          <w:vertAlign w:val="superscript"/>
        </w:rPr>
        <w:t> 2</w:t>
      </w:r>
      <w:r>
        <w:t xml:space="preserve"> Schedule 3 item 8 or 10(a) in respect of a unit in a retirement village and the person is liable on or after 1 July 2014 to pay the charge set out in Schedule 4 item 2 or 12 in respect of the unit, the person is entitled to a discount on the charge of the lesser of — </w:t>
      </w:r>
    </w:p>
    <w:p>
      <w:pPr>
        <w:pStyle w:val="Indenta"/>
      </w:pPr>
      <w:r>
        <w:lastRenderedPageBreak/>
        <w:tab/>
        <w:t>(a)</w:t>
      </w:r>
      <w:r>
        <w:tab/>
        <w:t>25% of the charge; and</w:t>
      </w:r>
    </w:p>
    <w:p>
      <w:pPr>
        <w:pStyle w:val="Indenta"/>
      </w:pPr>
      <w:r>
        <w:tab/>
        <w:t>(b)</w:t>
      </w:r>
      <w:r>
        <w:tab/>
        <w:t>$72.69.</w:t>
      </w:r>
    </w:p>
    <w:p>
      <w:pPr>
        <w:pStyle w:val="Subsection"/>
      </w:pPr>
      <w:r>
        <w:tab/>
        <w:t>(2)</w:t>
      </w:r>
      <w:r>
        <w:tab/>
        <w:t xml:space="preserve">Subregulation (1) does not apply if a person registers an entitlement as to land under the </w:t>
      </w:r>
      <w:r>
        <w:rPr>
          <w:i/>
        </w:rPr>
        <w:t>Rates and Charges (Rebates and Deferments) Act 1992</w:t>
      </w:r>
      <w:r>
        <w:t xml:space="preserve"> in respect of the unit.</w:t>
      </w:r>
    </w:p>
    <w:p>
      <w:pPr>
        <w:pStyle w:val="Footnotesection"/>
      </w:pPr>
      <w:r>
        <w:tab/>
        <w:t>[Regulation 44 amended: Gazette 30 Jun 2015 p. 2364; 27 Jun 2016 p. 2539; 23 Jun 2017 p. 3325; SL 2022/82 r. 16.]</w:t>
      </w:r>
    </w:p>
    <w:p>
      <w:pPr>
        <w:pStyle w:val="Heading3"/>
        <w:spacing w:before="180"/>
      </w:pPr>
      <w:bookmarkStart w:id="83" w:name="_Toc170136778"/>
      <w:bookmarkStart w:id="84" w:name="_Toc170138790"/>
      <w:bookmarkStart w:id="85" w:name="_Toc170203651"/>
      <w:bookmarkStart w:id="86" w:name="_Toc170209146"/>
      <w:r>
        <w:rPr>
          <w:rStyle w:val="CharDivNo"/>
        </w:rPr>
        <w:t>Division 5</w:t>
      </w:r>
      <w:r>
        <w:t> — </w:t>
      </w:r>
      <w:r>
        <w:rPr>
          <w:rStyle w:val="CharDivText"/>
        </w:rPr>
        <w:t>Drainage charges</w:t>
      </w:r>
      <w:bookmarkEnd w:id="83"/>
      <w:bookmarkEnd w:id="84"/>
      <w:bookmarkEnd w:id="85"/>
      <w:bookmarkEnd w:id="86"/>
    </w:p>
    <w:p>
      <w:pPr>
        <w:pStyle w:val="Heading5"/>
        <w:spacing w:before="180"/>
      </w:pPr>
      <w:bookmarkStart w:id="87" w:name="_Toc170209147"/>
      <w:r>
        <w:rPr>
          <w:rStyle w:val="CharSectno"/>
        </w:rPr>
        <w:t>45</w:t>
      </w:r>
      <w:r>
        <w:t>.</w:t>
      </w:r>
      <w:r>
        <w:tab/>
        <w:t>Drainage areas</w:t>
      </w:r>
      <w:bookmarkEnd w:id="87"/>
    </w:p>
    <w:p>
      <w:pPr>
        <w:pStyle w:val="Subsection"/>
        <w:spacing w:before="140"/>
      </w:pPr>
      <w:r>
        <w:tab/>
        <w:t>(1)</w:t>
      </w:r>
      <w:r>
        <w:tab/>
        <w:t xml:space="preserve">The Minister may, by instrument published in the </w:t>
      </w:r>
      <w:r>
        <w:rPr>
          <w:i/>
        </w:rPr>
        <w:t>Gazette</w:t>
      </w:r>
      <w:r>
        <w:t>, designate an area as a drainage area if satisfied that the area benefits or will benefit from, or contributes or will contribute to, the need for the drainage provided or to be provided by a drainage asset of the Water Corporation.</w:t>
      </w:r>
    </w:p>
    <w:p>
      <w:pPr>
        <w:pStyle w:val="Subsection"/>
        <w:spacing w:before="140"/>
      </w:pPr>
      <w:r>
        <w:tab/>
        <w:t>(2)</w:t>
      </w:r>
      <w:r>
        <w:tab/>
        <w:t>An area cannot be designated as a drainage area unless it is within the operating area of the Water Corporation’s licence for drainage services.</w:t>
      </w:r>
    </w:p>
    <w:p>
      <w:pPr>
        <w:pStyle w:val="Subsection"/>
        <w:spacing w:before="140"/>
      </w:pPr>
      <w:r>
        <w:tab/>
        <w:t>(3)</w:t>
      </w:r>
      <w:r>
        <w:tab/>
        <w:t xml:space="preserve">The Minister may, by instrument published in the </w:t>
      </w:r>
      <w:r>
        <w:rPr>
          <w:i/>
        </w:rPr>
        <w:t>Gazette</w:t>
      </w:r>
      <w:r>
        <w:t>, revoke the designation of an area as a drainage area if satisfied that the area no longer benefits from or contributes to the need for the drainage provided by a drainage asset of the Water Corporation.</w:t>
      </w:r>
    </w:p>
    <w:p>
      <w:pPr>
        <w:pStyle w:val="Subsection"/>
        <w:spacing w:before="140"/>
      </w:pPr>
      <w:r>
        <w:tab/>
        <w:t>(4)</w:t>
      </w:r>
      <w:r>
        <w:tab/>
        <w:t>A designation under subregulation (1) may create a new drainage area or extend an existing drainage area, and a revocation under subregulation (3) may revoke the designation of the whole of or a part of an existing drainage area.</w:t>
      </w:r>
    </w:p>
    <w:p>
      <w:pPr>
        <w:pStyle w:val="Subsection"/>
      </w:pPr>
      <w:r>
        <w:tab/>
        <w:t>(5)</w:t>
      </w:r>
      <w:r>
        <w:tab/>
        <w:t>A designation that extends an existing drainage area, and a revocation of a part of an existing drainage area, maybe by way of amendment to the current designation of the drainage area.</w:t>
      </w:r>
    </w:p>
    <w:p>
      <w:pPr>
        <w:pStyle w:val="Subsection"/>
      </w:pPr>
      <w:r>
        <w:tab/>
        <w:t>(6)</w:t>
      </w:r>
      <w:r>
        <w:tab/>
        <w:t>The Water Corporation must publish, and keep up</w:t>
      </w:r>
      <w:r>
        <w:noBreakHyphen/>
        <w:t>to</w:t>
      </w:r>
      <w:r>
        <w:noBreakHyphen/>
        <w:t>date, each designation on a website of the Water Corporation.</w:t>
      </w:r>
    </w:p>
    <w:p>
      <w:pPr>
        <w:pStyle w:val="Subsection"/>
      </w:pPr>
      <w:r>
        <w:lastRenderedPageBreak/>
        <w:tab/>
        <w:t>(7)</w:t>
      </w:r>
      <w:r>
        <w:tab/>
        <w:t xml:space="preserve">A drainage area under the </w:t>
      </w:r>
      <w:r>
        <w:rPr>
          <w:i/>
        </w:rPr>
        <w:t>Metropolitan Water Authority Act 1982</w:t>
      </w:r>
      <w:r>
        <w:rPr>
          <w:vertAlign w:val="superscript"/>
        </w:rPr>
        <w:t> 4</w:t>
      </w:r>
      <w:r>
        <w:t xml:space="preserve"> section 104 in effect immediately before the day on which the </w:t>
      </w:r>
      <w:r>
        <w:rPr>
          <w:i/>
        </w:rPr>
        <w:t>Water Services Legislation Amendment and Repeal Act 2012</w:t>
      </w:r>
      <w:r>
        <w:t xml:space="preserve"> section 20 came into operation is to be taken to have been designated as a drainage area under subregulation (1), and the designation may be revoked, in whole, under subregulation (3).</w:t>
      </w:r>
    </w:p>
    <w:p>
      <w:pPr>
        <w:pStyle w:val="Subsection"/>
      </w:pPr>
      <w:r>
        <w:tab/>
        <w:t>(8)</w:t>
      </w:r>
      <w:r>
        <w:tab/>
        <w:t>Subregulation (6) does not apply in relation to a drainage area taken to have been designated as a drainage area under subregulation (7) until 1 July 2015.</w:t>
      </w:r>
    </w:p>
    <w:p>
      <w:pPr>
        <w:pStyle w:val="Subsection"/>
      </w:pPr>
      <w:r>
        <w:tab/>
        <w:t>(9)</w:t>
      </w:r>
      <w:r>
        <w:tab/>
        <w:t xml:space="preserve">To comply with subregulation (6) in relation to drainage areas taken to have been designated as drainage areas under subregulation (7) the Water Corporation may publish copies of declarations made under the </w:t>
      </w:r>
      <w:r>
        <w:rPr>
          <w:i/>
        </w:rPr>
        <w:t>Metropolitan Water Authority Act 1982</w:t>
      </w:r>
      <w:r>
        <w:rPr>
          <w:vertAlign w:val="superscript"/>
        </w:rPr>
        <w:t> 4</w:t>
      </w:r>
      <w:r>
        <w:t xml:space="preserve"> section 104 as in effect before the day on which the </w:t>
      </w:r>
      <w:r>
        <w:rPr>
          <w:i/>
        </w:rPr>
        <w:t>Water Services Legislation Amendment and Repeal Act 2012</w:t>
      </w:r>
      <w:r>
        <w:t xml:space="preserve"> section 20 came into operation.</w:t>
      </w:r>
    </w:p>
    <w:p>
      <w:pPr>
        <w:pStyle w:val="Heading5"/>
      </w:pPr>
      <w:bookmarkStart w:id="88" w:name="_Toc170209148"/>
      <w:r>
        <w:rPr>
          <w:rStyle w:val="CharSectno"/>
        </w:rPr>
        <w:t>46</w:t>
      </w:r>
      <w:r>
        <w:t>.</w:t>
      </w:r>
      <w:r>
        <w:tab/>
        <w:t>Drainage areas: notice of and objections to proposed designation</w:t>
      </w:r>
      <w:bookmarkEnd w:id="88"/>
    </w:p>
    <w:p>
      <w:pPr>
        <w:pStyle w:val="Subsection"/>
      </w:pPr>
      <w:r>
        <w:tab/>
        <w:t>(1)</w:t>
      </w:r>
      <w:r>
        <w:tab/>
        <w:t xml:space="preserve">Before the Minister designates an area as a drainage area, the Minister must — </w:t>
      </w:r>
    </w:p>
    <w:p>
      <w:pPr>
        <w:pStyle w:val="Indenta"/>
      </w:pPr>
      <w:r>
        <w:tab/>
        <w:t>(a)</w:t>
      </w:r>
      <w:r>
        <w:tab/>
        <w:t>give 2 months’ notice of the proposed designation; and</w:t>
      </w:r>
    </w:p>
    <w:p>
      <w:pPr>
        <w:pStyle w:val="Indenta"/>
      </w:pPr>
      <w:r>
        <w:tab/>
        <w:t>(b)</w:t>
      </w:r>
      <w:r>
        <w:tab/>
        <w:t>take into account any objections made under subregulation (3).</w:t>
      </w:r>
    </w:p>
    <w:p>
      <w:pPr>
        <w:pStyle w:val="Subsection"/>
        <w:keepNext/>
      </w:pPr>
      <w:r>
        <w:tab/>
        <w:t>(2)</w:t>
      </w:r>
      <w:r>
        <w:tab/>
        <w:t xml:space="preserve">Notice of a proposal to designate an area as a drainage area must — </w:t>
      </w:r>
    </w:p>
    <w:p>
      <w:pPr>
        <w:pStyle w:val="Indenta"/>
      </w:pPr>
      <w:r>
        <w:tab/>
        <w:t>(a)</w:t>
      </w:r>
      <w:r>
        <w:tab/>
        <w:t xml:space="preserve">be published in the </w:t>
      </w:r>
      <w:r>
        <w:rPr>
          <w:i/>
        </w:rPr>
        <w:t>Gazette</w:t>
      </w:r>
      <w:r>
        <w:t xml:space="preserve"> and on the Department’s website; and </w:t>
      </w:r>
    </w:p>
    <w:p>
      <w:pPr>
        <w:pStyle w:val="Indenta"/>
        <w:keepNext/>
      </w:pPr>
      <w:r>
        <w:tab/>
        <w:t>(b)</w:t>
      </w:r>
      <w:r>
        <w:tab/>
        <w:t xml:space="preserve">include — </w:t>
      </w:r>
    </w:p>
    <w:p>
      <w:pPr>
        <w:pStyle w:val="Indenti"/>
      </w:pPr>
      <w:r>
        <w:tab/>
        <w:t>(i)</w:t>
      </w:r>
      <w:r>
        <w:tab/>
        <w:t>the date on or after which the Minister proposes to make the designation; and</w:t>
      </w:r>
    </w:p>
    <w:p>
      <w:pPr>
        <w:pStyle w:val="Indenti"/>
      </w:pPr>
      <w:r>
        <w:lastRenderedPageBreak/>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keepLines/>
      </w:pPr>
      <w:r>
        <w:tab/>
        <w:t>(3)</w:t>
      </w:r>
      <w:r>
        <w:tab/>
        <w:t xml:space="preserve">A person with a material interest in a proposal to designate an area as a drainage area may object to the proposal in writing to the Minister within one month after the day on which notice of the proposal is published in the </w:t>
      </w:r>
      <w:r>
        <w:rPr>
          <w:i/>
        </w:rPr>
        <w:t>Gazette</w:t>
      </w:r>
      <w:r>
        <w:t>.</w:t>
      </w:r>
    </w:p>
    <w:p>
      <w:pPr>
        <w:pStyle w:val="Footnotesection"/>
      </w:pPr>
      <w:r>
        <w:tab/>
        <w:t>[Regulation 46 amended: Gazette 13 Dec 2016 p. 5691.]</w:t>
      </w:r>
    </w:p>
    <w:p>
      <w:pPr>
        <w:pStyle w:val="Heading5"/>
      </w:pPr>
      <w:bookmarkStart w:id="89" w:name="_Toc170209149"/>
      <w:r>
        <w:rPr>
          <w:rStyle w:val="CharSectno"/>
        </w:rPr>
        <w:t>47</w:t>
      </w:r>
      <w:r>
        <w:t>.</w:t>
      </w:r>
      <w:r>
        <w:tab/>
        <w:t>Drainage charges</w:t>
      </w:r>
      <w:bookmarkEnd w:id="89"/>
    </w:p>
    <w:p>
      <w:pPr>
        <w:pStyle w:val="Subsection"/>
        <w:rPr>
          <w:snapToGrid w:val="0"/>
        </w:rPr>
      </w:pPr>
      <w:r>
        <w:rPr>
          <w:snapToGrid w:val="0"/>
        </w:rPr>
        <w:tab/>
        <w:t>(1)</w:t>
      </w:r>
      <w:r>
        <w:rPr>
          <w:snapToGrid w:val="0"/>
        </w:rPr>
        <w:tab/>
      </w:r>
      <w:r>
        <w:t>The water service charges set out in Schedule 5 apply, in accordance with the Schedule, in respect of l</w:t>
      </w:r>
      <w:r>
        <w:rPr>
          <w:snapToGrid w:val="0"/>
        </w:rPr>
        <w:t>and in a drainage area.</w:t>
      </w:r>
    </w:p>
    <w:p>
      <w:pPr>
        <w:pStyle w:val="Ednotesubsection"/>
      </w:pPr>
      <w:r>
        <w:tab/>
        <w:t>[(2)</w:t>
      </w:r>
      <w:r>
        <w:tab/>
        <w:t>deleted]</w:t>
      </w:r>
    </w:p>
    <w:p>
      <w:pPr>
        <w:pStyle w:val="Subsection"/>
      </w:pPr>
      <w:r>
        <w:tab/>
        <w:t>(3)</w:t>
      </w:r>
      <w:r>
        <w:tab/>
        <w:t>A</w:t>
      </w:r>
      <w:r>
        <w:rPr>
          <w:snapToGrid w:val="0"/>
        </w:rPr>
        <w:t xml:space="preserve"> drainage charge is not payable</w:t>
      </w:r>
      <w:r>
        <w:t xml:space="preserve"> if land </w:t>
      </w:r>
      <w:r>
        <w:rPr>
          <w:snapToGrid w:val="0"/>
        </w:rPr>
        <w:t xml:space="preserve">in respect of which it applies </w:t>
      </w:r>
      <w:r>
        <w:t xml:space="preserve">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t>(4)</w:t>
      </w:r>
      <w:r>
        <w:tab/>
        <w:t xml:space="preserve">In subregulation (3) — </w:t>
      </w:r>
    </w:p>
    <w:p>
      <w:pPr>
        <w:pStyle w:val="Defstart"/>
      </w:pPr>
      <w:r>
        <w:rPr>
          <w:b/>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keepNext/>
      </w:pPr>
      <w:r>
        <w:lastRenderedPageBreak/>
        <w:tab/>
        <w:t>(b)</w:t>
      </w:r>
      <w:r>
        <w:tab/>
        <w:t xml:space="preserve">the Swan Valley Planning Scheme in force under the </w:t>
      </w:r>
      <w:r>
        <w:rPr>
          <w:i/>
        </w:rPr>
        <w:t>Swan Valley Planning Act 2020</w:t>
      </w:r>
      <w:r>
        <w:t>.</w:t>
      </w:r>
    </w:p>
    <w:p>
      <w:pPr>
        <w:pStyle w:val="Footnotesection"/>
      </w:pPr>
      <w:r>
        <w:tab/>
        <w:t>[Regulation 47 amended: SL 2021/128 r. 4; SL 2022/82 r. 17.]</w:t>
      </w:r>
    </w:p>
    <w:p>
      <w:pPr>
        <w:pStyle w:val="Heading5"/>
      </w:pPr>
      <w:bookmarkStart w:id="90" w:name="_Toc170209150"/>
      <w:r>
        <w:rPr>
          <w:rStyle w:val="CharSectno"/>
        </w:rPr>
        <w:t>48</w:t>
      </w:r>
      <w:r>
        <w:t>.</w:t>
      </w:r>
      <w:r>
        <w:tab/>
        <w:t>Classification of land</w:t>
      </w:r>
      <w:bookmarkEnd w:id="90"/>
    </w:p>
    <w:p>
      <w:pPr>
        <w:pStyle w:val="Subsection"/>
        <w:keepNext/>
      </w:pPr>
      <w:r>
        <w:tab/>
      </w:r>
      <w:r>
        <w:tab/>
        <w:t xml:space="preserve">For the purposes of this Division, land may be classified by the Water Corporation as follows — </w:t>
      </w:r>
    </w:p>
    <w:p>
      <w:pPr>
        <w:pStyle w:val="Indenta"/>
      </w:pPr>
      <w:r>
        <w:tab/>
        <w:t>(a)</w:t>
      </w:r>
      <w:r>
        <w:tab/>
        <w:t xml:space="preserve">residential — if the Water Corporation is satisfied that the land — </w:t>
      </w:r>
    </w:p>
    <w:p>
      <w:pPr>
        <w:pStyle w:val="Indenti"/>
      </w:pPr>
      <w:r>
        <w:tab/>
        <w:t>(i)</w:t>
      </w:r>
      <w:r>
        <w:tab/>
        <w:t>is used, or is capable of being used, wholly or primarily for the purpose of providing residential accommodation to the owner or occupier of the land; and</w:t>
      </w:r>
    </w:p>
    <w:p>
      <w:pPr>
        <w:pStyle w:val="Indenti"/>
      </w:pPr>
      <w:r>
        <w:tab/>
        <w:t>(ii)</w:t>
      </w:r>
      <w:r>
        <w:tab/>
        <w:t>is not used in whole or in part for the purpose of providing holiday accommodation;</w:t>
      </w:r>
    </w:p>
    <w:p>
      <w:pPr>
        <w:pStyle w:val="Indenta"/>
      </w:pPr>
      <w:r>
        <w:tab/>
        <w:t>(b)</w:t>
      </w:r>
      <w:r>
        <w:tab/>
        <w:t>semi</w:t>
      </w:r>
      <w:r>
        <w:noBreakHyphen/>
        <w:t xml:space="preserve">rural residential — if the land is in the metropolitan area and the Water Corporation is satisfied that — </w:t>
      </w:r>
    </w:p>
    <w:p>
      <w:pPr>
        <w:pStyle w:val="Indenti"/>
      </w:pPr>
      <w:r>
        <w:tab/>
        <w:t>(i)</w:t>
      </w:r>
      <w:r>
        <w:tab/>
        <w:t>the land is used as described in paragraph (a); and</w:t>
      </w:r>
    </w:p>
    <w:p>
      <w:pPr>
        <w:pStyle w:val="Indenti"/>
      </w:pPr>
      <w:r>
        <w:tab/>
        <w:t>(ii)</w:t>
      </w:r>
      <w:r>
        <w:tab/>
        <w:t>the land is also used for the purpose of primary production, which includes use for the purpose of a farm, market garden, kennel, plant nursery, orchard, stable, vineyard or another similar purpose; and</w:t>
      </w:r>
    </w:p>
    <w:p>
      <w:pPr>
        <w:pStyle w:val="Indenti"/>
      </w:pPr>
      <w:r>
        <w:tab/>
        <w:t>(iii)</w:t>
      </w:r>
      <w:r>
        <w:tab/>
        <w:t>water supplied to the land by the Water Corporation is used wholly or primarily for the purposes of the use referred to in subparagraph (i);</w:t>
      </w:r>
    </w:p>
    <w:p>
      <w:pPr>
        <w:pStyle w:val="Indenta"/>
      </w:pPr>
      <w:r>
        <w:tab/>
        <w:t>(c)</w:t>
      </w:r>
      <w:r>
        <w:tab/>
        <w:t>non</w:t>
      </w:r>
      <w:r>
        <w:noBreakHyphen/>
        <w:t xml:space="preserve">residential — if the Water Corporation is satisfied that the land — </w:t>
      </w:r>
    </w:p>
    <w:p>
      <w:pPr>
        <w:pStyle w:val="Indenti"/>
      </w:pPr>
      <w:r>
        <w:tab/>
        <w:t>(i)</w:t>
      </w:r>
      <w:r>
        <w:tab/>
        <w:t xml:space="preserve">is used, or is capable of being used, for business or professional purposes, holiday </w:t>
      </w:r>
      <w:r>
        <w:lastRenderedPageBreak/>
        <w:t>accommodation, manufacturing, processing or other commercial processes; and</w:t>
      </w:r>
    </w:p>
    <w:p>
      <w:pPr>
        <w:pStyle w:val="Indenti"/>
      </w:pPr>
      <w:r>
        <w:tab/>
        <w:t>(ii)</w:t>
      </w:r>
      <w:r>
        <w:tab/>
        <w:t>may not be classified as residential;</w:t>
      </w:r>
    </w:p>
    <w:p>
      <w:pPr>
        <w:pStyle w:val="Indenta"/>
      </w:pPr>
      <w:r>
        <w:tab/>
        <w:t>(d)</w:t>
      </w:r>
      <w:r>
        <w:tab/>
        <w:t xml:space="preserve">vacant land — if the Water Corporation is satisfied that — </w:t>
      </w:r>
    </w:p>
    <w:p>
      <w:pPr>
        <w:pStyle w:val="Indenti"/>
      </w:pPr>
      <w:r>
        <w:tab/>
        <w:t>(i)</w:t>
      </w:r>
      <w:r>
        <w:tab/>
        <w:t>there is no building on the land; or</w:t>
      </w:r>
    </w:p>
    <w:p>
      <w:pPr>
        <w:pStyle w:val="Indenti"/>
      </w:pPr>
      <w:r>
        <w:tab/>
        <w:t>(ii)</w:t>
      </w:r>
      <w:r>
        <w:tab/>
        <w:t>if there is, there is no other appropriate classification for the land under this regulation.</w:t>
      </w:r>
    </w:p>
    <w:p>
      <w:pPr>
        <w:pStyle w:val="Footnotesection"/>
      </w:pPr>
      <w:r>
        <w:tab/>
        <w:t>[Regulation 48 amended: SL 2022/82 r. 18.]</w:t>
      </w:r>
    </w:p>
    <w:p>
      <w:pPr>
        <w:pStyle w:val="Heading5"/>
      </w:pPr>
      <w:bookmarkStart w:id="91" w:name="_Toc170209151"/>
      <w:r>
        <w:rPr>
          <w:rStyle w:val="CharSectno"/>
        </w:rPr>
        <w:t>49</w:t>
      </w:r>
      <w:r>
        <w:t>.</w:t>
      </w:r>
      <w:r>
        <w:tab/>
        <w:t>Concessions: certain retirement village residents</w:t>
      </w:r>
      <w:bookmarkEnd w:id="91"/>
    </w:p>
    <w:p>
      <w:pPr>
        <w:pStyle w:val="Subsection"/>
      </w:pPr>
      <w:r>
        <w:tab/>
        <w:t>(1)</w:t>
      </w:r>
      <w:r>
        <w:tab/>
        <w:t xml:space="preserve">If a person was, immediately before 1 July 2005, liable to pay the charge set out in the </w:t>
      </w:r>
      <w:r>
        <w:rPr>
          <w:i/>
        </w:rPr>
        <w:t>Water Agencies (Charges) By</w:t>
      </w:r>
      <w:r>
        <w:rPr>
          <w:i/>
        </w:rPr>
        <w:noBreakHyphen/>
        <w:t>laws 1987</w:t>
      </w:r>
      <w:r>
        <w:rPr>
          <w:vertAlign w:val="superscript"/>
        </w:rPr>
        <w:t> 2</w:t>
      </w:r>
      <w:r>
        <w:t xml:space="preserve"> Schedule 4 item 3 in respect of a unit in a retirement village and the person is liable on or after 1 July 2014 to pay the charge set out in Schedule 5 item 4 in respect of the unit, the person is entitled to a discount on the charge of the lesser of — </w:t>
      </w:r>
    </w:p>
    <w:p>
      <w:pPr>
        <w:pStyle w:val="Indenta"/>
      </w:pPr>
      <w:r>
        <w:tab/>
        <w:t>(a)</w:t>
      </w:r>
      <w:r>
        <w:tab/>
        <w:t>25% of the charge; and</w:t>
      </w:r>
    </w:p>
    <w:p>
      <w:pPr>
        <w:pStyle w:val="Indenta"/>
      </w:pPr>
      <w:r>
        <w:tab/>
        <w:t>(b)</w:t>
      </w:r>
      <w:r>
        <w:tab/>
        <w:t>$9.17.</w:t>
      </w:r>
    </w:p>
    <w:p>
      <w:pPr>
        <w:pStyle w:val="Subsection"/>
      </w:pPr>
      <w:r>
        <w:tab/>
        <w:t>(2)</w:t>
      </w:r>
      <w:r>
        <w:tab/>
        <w:t xml:space="preserve">Subregulation (1) does not apply if a person registers an entitlement as to land under the </w:t>
      </w:r>
      <w:r>
        <w:rPr>
          <w:i/>
        </w:rPr>
        <w:t>Rates and Charges (Rebates and Deferments) Act 1992</w:t>
      </w:r>
      <w:r>
        <w:t xml:space="preserve"> in respect of the unit.</w:t>
      </w:r>
    </w:p>
    <w:p>
      <w:pPr>
        <w:pStyle w:val="Footnotesection"/>
      </w:pPr>
      <w:r>
        <w:tab/>
        <w:t>[Regulation 49 amended: Gazette 30 Jun 2015 p. 2365; 27 Jun 2016 p. 2539; 23 Jun 2017 p. 3325.]</w:t>
      </w:r>
    </w:p>
    <w:p>
      <w:pPr>
        <w:pStyle w:val="Heading3"/>
        <w:spacing w:before="200"/>
      </w:pPr>
      <w:bookmarkStart w:id="92" w:name="_Toc170136784"/>
      <w:bookmarkStart w:id="93" w:name="_Toc170138796"/>
      <w:bookmarkStart w:id="94" w:name="_Toc170203657"/>
      <w:bookmarkStart w:id="95" w:name="_Toc170209152"/>
      <w:r>
        <w:rPr>
          <w:rStyle w:val="CharDivNo"/>
        </w:rPr>
        <w:t>Division 6</w:t>
      </w:r>
      <w:r>
        <w:t> — </w:t>
      </w:r>
      <w:r>
        <w:rPr>
          <w:rStyle w:val="CharDivText"/>
        </w:rPr>
        <w:t>Irrigation charges</w:t>
      </w:r>
      <w:bookmarkEnd w:id="92"/>
      <w:bookmarkEnd w:id="93"/>
      <w:bookmarkEnd w:id="94"/>
      <w:bookmarkEnd w:id="95"/>
    </w:p>
    <w:p>
      <w:pPr>
        <w:pStyle w:val="Heading5"/>
      </w:pPr>
      <w:bookmarkStart w:id="96" w:name="_Toc170209153"/>
      <w:r>
        <w:rPr>
          <w:rStyle w:val="CharSectno"/>
        </w:rPr>
        <w:t>50</w:t>
      </w:r>
      <w:r>
        <w:t>.</w:t>
      </w:r>
      <w:r>
        <w:tab/>
        <w:t>Charges for water supplied from certain irrigation works</w:t>
      </w:r>
      <w:bookmarkEnd w:id="96"/>
    </w:p>
    <w:p>
      <w:pPr>
        <w:pStyle w:val="Subsection"/>
      </w:pPr>
      <w:r>
        <w:tab/>
        <w:t>(1)</w:t>
      </w:r>
      <w:r>
        <w:tab/>
        <w:t>The water service charges set out in Schedule 6 apply in respect of land that is supplied with water from irrigation works of the Water Corporation in the Ord Irrigation District.</w:t>
      </w:r>
    </w:p>
    <w:p>
      <w:pPr>
        <w:pStyle w:val="Subsection"/>
        <w:keepNext/>
      </w:pPr>
      <w:r>
        <w:lastRenderedPageBreak/>
        <w:tab/>
        <w:t>(2)</w:t>
      </w:r>
      <w:r>
        <w:tab/>
        <w:t xml:space="preserve">For the purposes of this regulation — </w:t>
      </w:r>
    </w:p>
    <w:p>
      <w:pPr>
        <w:pStyle w:val="Indenta"/>
      </w:pPr>
      <w:r>
        <w:tab/>
        <w:t>(a)</w:t>
      </w:r>
      <w:r>
        <w:tab/>
        <w:t>the supply of water from irrigation works includes authorising a person to take water from the works; and</w:t>
      </w:r>
    </w:p>
    <w:p>
      <w:pPr>
        <w:pStyle w:val="Indenta"/>
      </w:pPr>
      <w:r>
        <w:tab/>
        <w:t>(b)</w:t>
      </w:r>
      <w:r>
        <w:tab/>
        <w:t>the Ord River is to be taken to be irrigation works of the Water Corporation to the extent to which the river is used by the Water Corporation to, in effect, deliver water to persons who are to be supplied with water by the Water Corporation.</w:t>
      </w:r>
    </w:p>
    <w:p>
      <w:pPr>
        <w:pStyle w:val="Subsection"/>
      </w:pPr>
      <w:r>
        <w:tab/>
        <w:t>(3)</w:t>
      </w:r>
      <w:r>
        <w:tab/>
        <w:t>The water service charge set out in Schedule 6 item 2 is not payable if land in respect of which the charge applies is concessional land.</w:t>
      </w:r>
    </w:p>
    <w:p>
      <w:pPr>
        <w:pStyle w:val="Heading3"/>
        <w:spacing w:before="200"/>
      </w:pPr>
      <w:bookmarkStart w:id="97" w:name="_Toc170136786"/>
      <w:bookmarkStart w:id="98" w:name="_Toc170138798"/>
      <w:bookmarkStart w:id="99" w:name="_Toc170203659"/>
      <w:bookmarkStart w:id="100" w:name="_Toc170209154"/>
      <w:r>
        <w:rPr>
          <w:rStyle w:val="CharDivNo"/>
        </w:rPr>
        <w:t>Division 7</w:t>
      </w:r>
      <w:r>
        <w:t> — </w:t>
      </w:r>
      <w:r>
        <w:rPr>
          <w:rStyle w:val="CharDivText"/>
        </w:rPr>
        <w:t>Miscellaneous charges</w:t>
      </w:r>
      <w:bookmarkEnd w:id="97"/>
      <w:bookmarkEnd w:id="98"/>
      <w:bookmarkEnd w:id="99"/>
      <w:bookmarkEnd w:id="100"/>
    </w:p>
    <w:p>
      <w:pPr>
        <w:pStyle w:val="Heading5"/>
        <w:keepLines w:val="0"/>
        <w:spacing w:before="180"/>
      </w:pPr>
      <w:bookmarkStart w:id="101" w:name="_Toc170209155"/>
      <w:r>
        <w:rPr>
          <w:rStyle w:val="CharSectno"/>
        </w:rPr>
        <w:t>51</w:t>
      </w:r>
      <w:r>
        <w:t>.</w:t>
      </w:r>
      <w:r>
        <w:tab/>
        <w:t>Miscellaneous charges</w:t>
      </w:r>
      <w:bookmarkEnd w:id="101"/>
    </w:p>
    <w:p>
      <w:pPr>
        <w:pStyle w:val="Subsection"/>
        <w:spacing w:before="120"/>
      </w:pPr>
      <w:r>
        <w:tab/>
        <w:t>(1)</w:t>
      </w:r>
      <w:r>
        <w:tab/>
        <w:t>Schedule 7 sets out charges for certain things done, or goods and services provided, by the Water Corporation as part of or incidental to the provision of a water service.</w:t>
      </w:r>
    </w:p>
    <w:p>
      <w:pPr>
        <w:pStyle w:val="Subsection"/>
        <w:keepNext/>
      </w:pPr>
      <w:r>
        <w:tab/>
        <w:t>(2)</w:t>
      </w:r>
      <w:r>
        <w:tab/>
        <w:t xml:space="preserve">The Water Corporation may — </w:t>
      </w:r>
    </w:p>
    <w:p>
      <w:pPr>
        <w:pStyle w:val="Indenta"/>
      </w:pPr>
      <w:r>
        <w:tab/>
        <w:t>(a)</w:t>
      </w:r>
      <w:r>
        <w:tab/>
        <w:t>require payment of a charge, set out in Schedule 7, in advance; and</w:t>
      </w:r>
    </w:p>
    <w:p>
      <w:pPr>
        <w:pStyle w:val="Indenta"/>
      </w:pPr>
      <w:r>
        <w:tab/>
        <w:t>(b)</w:t>
      </w:r>
      <w:r>
        <w:tab/>
        <w:t>reduce or waive a charge in a particular case, or generally, if it considers that to be appropriate.</w:t>
      </w:r>
    </w:p>
    <w:p>
      <w:pPr>
        <w:pStyle w:val="Heading2"/>
      </w:pPr>
      <w:bookmarkStart w:id="102" w:name="_Toc170136788"/>
      <w:bookmarkStart w:id="103" w:name="_Toc170138800"/>
      <w:bookmarkStart w:id="104" w:name="_Toc170203661"/>
      <w:bookmarkStart w:id="105" w:name="_Toc170209156"/>
      <w:r>
        <w:rPr>
          <w:rStyle w:val="CharPartNo"/>
        </w:rPr>
        <w:lastRenderedPageBreak/>
        <w:t>Part 6</w:t>
      </w:r>
      <w:r>
        <w:t> — </w:t>
      </w:r>
      <w:r>
        <w:rPr>
          <w:rStyle w:val="CharPartText"/>
        </w:rPr>
        <w:t>Repeal of regulations and transitional provisions</w:t>
      </w:r>
      <w:bookmarkEnd w:id="102"/>
      <w:bookmarkEnd w:id="103"/>
      <w:bookmarkEnd w:id="104"/>
      <w:bookmarkEnd w:id="105"/>
    </w:p>
    <w:p>
      <w:pPr>
        <w:pStyle w:val="Heading3"/>
      </w:pPr>
      <w:bookmarkStart w:id="106" w:name="_Toc170136789"/>
      <w:bookmarkStart w:id="107" w:name="_Toc170138801"/>
      <w:bookmarkStart w:id="108" w:name="_Toc170203662"/>
      <w:bookmarkStart w:id="109" w:name="_Toc170209157"/>
      <w:r>
        <w:rPr>
          <w:rStyle w:val="CharDivNo"/>
        </w:rPr>
        <w:t>Division 1</w:t>
      </w:r>
      <w:r>
        <w:t> — </w:t>
      </w:r>
      <w:r>
        <w:rPr>
          <w:rStyle w:val="CharDivText"/>
          <w:i/>
        </w:rPr>
        <w:t>Water Services (Water Corporations Charges) Regulations 2013</w:t>
      </w:r>
      <w:r>
        <w:rPr>
          <w:rStyle w:val="CharDivText"/>
        </w:rPr>
        <w:t xml:space="preserve"> repealed</w:t>
      </w:r>
      <w:bookmarkEnd w:id="106"/>
      <w:bookmarkEnd w:id="107"/>
      <w:bookmarkEnd w:id="108"/>
      <w:bookmarkEnd w:id="109"/>
    </w:p>
    <w:p>
      <w:pPr>
        <w:pStyle w:val="Heading5"/>
        <w:rPr>
          <w:b w:val="0"/>
        </w:rPr>
      </w:pPr>
      <w:bookmarkStart w:id="110" w:name="_Toc170209158"/>
      <w:r>
        <w:rPr>
          <w:rStyle w:val="CharSectno"/>
        </w:rPr>
        <w:t>52</w:t>
      </w:r>
      <w:r>
        <w:t>.</w:t>
      </w:r>
      <w:r>
        <w:tab/>
      </w:r>
      <w:r>
        <w:rPr>
          <w:i/>
        </w:rPr>
        <w:t>Water Services (Water Corporations Charges) Regulations 2013</w:t>
      </w:r>
      <w:r>
        <w:t xml:space="preserve"> repealed</w:t>
      </w:r>
      <w:bookmarkEnd w:id="110"/>
    </w:p>
    <w:p>
      <w:pPr>
        <w:pStyle w:val="Subsection"/>
      </w:pPr>
      <w:r>
        <w:tab/>
      </w:r>
      <w:r>
        <w:tab/>
        <w:t xml:space="preserve">The </w:t>
      </w:r>
      <w:r>
        <w:rPr>
          <w:i/>
        </w:rPr>
        <w:t>Water Services (Water Corporations Charges) Regulations 2013</w:t>
      </w:r>
      <w:r>
        <w:t xml:space="preserve"> are repealed.</w:t>
      </w:r>
    </w:p>
    <w:p>
      <w:pPr>
        <w:pStyle w:val="Heading3"/>
      </w:pPr>
      <w:bookmarkStart w:id="111" w:name="_Toc170136791"/>
      <w:bookmarkStart w:id="112" w:name="_Toc170138803"/>
      <w:bookmarkStart w:id="113" w:name="_Toc170203664"/>
      <w:bookmarkStart w:id="114" w:name="_Toc170209159"/>
      <w:r>
        <w:rPr>
          <w:rStyle w:val="CharDivNo"/>
        </w:rPr>
        <w:t>Division 2</w:t>
      </w:r>
      <w:r>
        <w:t> — </w:t>
      </w:r>
      <w:r>
        <w:rPr>
          <w:rStyle w:val="CharDivText"/>
        </w:rPr>
        <w:t xml:space="preserve">Transitional provisions: </w:t>
      </w:r>
      <w:r>
        <w:rPr>
          <w:rStyle w:val="CharDivText"/>
          <w:i/>
        </w:rPr>
        <w:t>Water Services (Water Corporations Charges) Regulations 2014</w:t>
      </w:r>
      <w:bookmarkEnd w:id="111"/>
      <w:bookmarkEnd w:id="112"/>
      <w:bookmarkEnd w:id="113"/>
      <w:bookmarkEnd w:id="114"/>
    </w:p>
    <w:p>
      <w:pPr>
        <w:pStyle w:val="Footnoteheading"/>
      </w:pPr>
      <w:r>
        <w:tab/>
        <w:t>[Heading amended: Gazette 15 Oct 2014 p. 3943.]</w:t>
      </w:r>
    </w:p>
    <w:p>
      <w:pPr>
        <w:pStyle w:val="Heading4"/>
      </w:pPr>
      <w:bookmarkStart w:id="115" w:name="_Toc170136792"/>
      <w:bookmarkStart w:id="116" w:name="_Toc170138804"/>
      <w:bookmarkStart w:id="117" w:name="_Toc170203665"/>
      <w:bookmarkStart w:id="118" w:name="_Toc170209160"/>
      <w:r>
        <w:t>Subdivision 1 — General provisions</w:t>
      </w:r>
      <w:bookmarkEnd w:id="115"/>
      <w:bookmarkEnd w:id="116"/>
      <w:bookmarkEnd w:id="117"/>
      <w:bookmarkEnd w:id="118"/>
    </w:p>
    <w:p>
      <w:pPr>
        <w:pStyle w:val="Heading5"/>
        <w:rPr>
          <w:b w:val="0"/>
        </w:rPr>
      </w:pPr>
      <w:bookmarkStart w:id="119" w:name="_Toc170209161"/>
      <w:r>
        <w:rPr>
          <w:rStyle w:val="CharSectno"/>
        </w:rPr>
        <w:t>53</w:t>
      </w:r>
      <w:r>
        <w:t>.</w:t>
      </w:r>
      <w:r>
        <w:tab/>
        <w:t xml:space="preserve">Application of the </w:t>
      </w:r>
      <w:r>
        <w:rPr>
          <w:i/>
        </w:rPr>
        <w:t>Interpretation Act 1984</w:t>
      </w:r>
      <w:bookmarkEnd w:id="119"/>
      <w:r>
        <w:rPr>
          <w:i/>
        </w:rPr>
        <w:t xml:space="preserve"> </w:t>
      </w:r>
    </w:p>
    <w:p>
      <w:pPr>
        <w:pStyle w:val="Subsection"/>
      </w:pPr>
      <w:r>
        <w:tab/>
      </w:r>
      <w:r>
        <w:tab/>
        <w:t xml:space="preserve">This Division does not limit the operation of the </w:t>
      </w:r>
      <w:r>
        <w:rPr>
          <w:i/>
        </w:rPr>
        <w:t>Interpretation Act 1984</w:t>
      </w:r>
      <w:r>
        <w:t>.</w:t>
      </w:r>
    </w:p>
    <w:p>
      <w:pPr>
        <w:pStyle w:val="Heading5"/>
      </w:pPr>
      <w:bookmarkStart w:id="120" w:name="_Toc170209162"/>
      <w:r>
        <w:rPr>
          <w:rStyle w:val="CharSectno"/>
        </w:rPr>
        <w:t>54</w:t>
      </w:r>
      <w:r>
        <w:t>.</w:t>
      </w:r>
      <w:r>
        <w:tab/>
        <w:t>Liability to water service charges</w:t>
      </w:r>
      <w:bookmarkEnd w:id="120"/>
    </w:p>
    <w:p>
      <w:pPr>
        <w:pStyle w:val="Subsection"/>
      </w:pPr>
      <w:r>
        <w:tab/>
      </w:r>
      <w:r>
        <w:tab/>
        <w:t xml:space="preserve">These regulations are to be read and construed so that a person’s liability to water service charges under these regulations is, to the extent not inconsistent with these regulations, as nearly as possible the same as if these regulations had not been enacted and the </w:t>
      </w:r>
      <w:r>
        <w:rPr>
          <w:i/>
        </w:rPr>
        <w:t>Water Agencies (Charges) By</w:t>
      </w:r>
      <w:r>
        <w:rPr>
          <w:i/>
        </w:rPr>
        <w:noBreakHyphen/>
        <w:t>laws 1987</w:t>
      </w:r>
      <w:r>
        <w:rPr>
          <w:vertAlign w:val="superscript"/>
        </w:rPr>
        <w:t> 2</w:t>
      </w:r>
      <w:r>
        <w:t xml:space="preserve"> had instead been amended to provide for water service charges in the terms in which they are provided for by these regulations.</w:t>
      </w:r>
    </w:p>
    <w:p>
      <w:pPr>
        <w:pStyle w:val="Heading5"/>
      </w:pPr>
      <w:bookmarkStart w:id="121" w:name="_Toc170209163"/>
      <w:r>
        <w:rPr>
          <w:rStyle w:val="CharSectno"/>
        </w:rPr>
        <w:t>55</w:t>
      </w:r>
      <w:r>
        <w:t>.</w:t>
      </w:r>
      <w:r>
        <w:tab/>
        <w:t>Continuing effect of things done before 1 July 2014</w:t>
      </w:r>
      <w:bookmarkEnd w:id="121"/>
    </w:p>
    <w:p>
      <w:pPr>
        <w:pStyle w:val="Subsection"/>
      </w:pPr>
      <w:r>
        <w:tab/>
        <w:t>(1)</w:t>
      </w:r>
      <w:r>
        <w:tab/>
        <w:t xml:space="preserve">This regulation applies to an act, matter or thing done or omitted to be done under or for the purposes of a provision of the </w:t>
      </w:r>
      <w:r>
        <w:rPr>
          <w:i/>
        </w:rPr>
        <w:t>Water Agencies (Charges) By</w:t>
      </w:r>
      <w:r>
        <w:rPr>
          <w:i/>
        </w:rPr>
        <w:noBreakHyphen/>
        <w:t>laws 1987</w:t>
      </w:r>
      <w:r>
        <w:rPr>
          <w:vertAlign w:val="superscript"/>
        </w:rPr>
        <w:t> 2</w:t>
      </w:r>
      <w:r>
        <w:t xml:space="preserve"> (the </w:t>
      </w:r>
      <w:r>
        <w:rPr>
          <w:rStyle w:val="CharDefText"/>
        </w:rPr>
        <w:t>old provision</w:t>
      </w:r>
      <w:r>
        <w:t xml:space="preserve">) before </w:t>
      </w:r>
      <w:r>
        <w:lastRenderedPageBreak/>
        <w:t>1 July 2014 by a person, to the extent to which that act, matter or thing has any force or significance on and after 1 July 2014.</w:t>
      </w:r>
    </w:p>
    <w:p>
      <w:pPr>
        <w:pStyle w:val="Subsection"/>
      </w:pPr>
      <w:r>
        <w:tab/>
        <w:t>(2)</w:t>
      </w:r>
      <w:r>
        <w:tab/>
        <w:t>The act, matter or thing is, if there is a provision of these regulations that corresponds to the old provision in relation to that act, matter or thing, to be taken, on and after 1 July 2014, to have been done or omitted by the person under or for the purposes of the corresponding provision of these regulations.</w:t>
      </w:r>
    </w:p>
    <w:p>
      <w:pPr>
        <w:pStyle w:val="Heading5"/>
      </w:pPr>
      <w:bookmarkStart w:id="122" w:name="_Toc170209164"/>
      <w:r>
        <w:rPr>
          <w:rStyle w:val="CharSectno"/>
        </w:rPr>
        <w:t>56</w:t>
      </w:r>
      <w:r>
        <w:t>.</w:t>
      </w:r>
      <w:r>
        <w:tab/>
        <w:t>Relationship between Subdivision 1 and Subdivision 2</w:t>
      </w:r>
      <w:bookmarkEnd w:id="122"/>
    </w:p>
    <w:p>
      <w:pPr>
        <w:pStyle w:val="Subsection"/>
      </w:pPr>
      <w:r>
        <w:tab/>
      </w:r>
      <w:r>
        <w:tab/>
        <w:t>The generality of the provisions in this Subdivision is not limited by the specificity of the provisions in Subdivision 2.</w:t>
      </w:r>
    </w:p>
    <w:p>
      <w:pPr>
        <w:pStyle w:val="Heading4"/>
      </w:pPr>
      <w:bookmarkStart w:id="123" w:name="_Toc170136797"/>
      <w:bookmarkStart w:id="124" w:name="_Toc170138809"/>
      <w:bookmarkStart w:id="125" w:name="_Toc170203670"/>
      <w:bookmarkStart w:id="126" w:name="_Toc170209165"/>
      <w:r>
        <w:t>Subdivision 2 — Specific provisions</w:t>
      </w:r>
      <w:bookmarkEnd w:id="123"/>
      <w:bookmarkEnd w:id="124"/>
      <w:bookmarkEnd w:id="125"/>
      <w:bookmarkEnd w:id="126"/>
    </w:p>
    <w:p>
      <w:pPr>
        <w:pStyle w:val="Heading5"/>
      </w:pPr>
      <w:bookmarkStart w:id="127" w:name="_Toc170209166"/>
      <w:r>
        <w:rPr>
          <w:rStyle w:val="CharSectno"/>
        </w:rPr>
        <w:t>57</w:t>
      </w:r>
      <w:r>
        <w:t>.</w:t>
      </w:r>
      <w:r>
        <w:tab/>
        <w:t>Commencement of these regulations during charge period</w:t>
      </w:r>
      <w:bookmarkEnd w:id="127"/>
    </w:p>
    <w:p>
      <w:pPr>
        <w:pStyle w:val="Subsection"/>
      </w:pPr>
      <w:r>
        <w:tab/>
        <w:t>(1)</w:t>
      </w:r>
      <w:r>
        <w:tab/>
        <w:t xml:space="preserve">This regulation applies in relation to — </w:t>
      </w:r>
    </w:p>
    <w:p>
      <w:pPr>
        <w:pStyle w:val="Indenta"/>
        <w:rPr>
          <w:szCs w:val="24"/>
        </w:rPr>
      </w:pPr>
      <w:r>
        <w:tab/>
        <w:t>(a)</w:t>
      </w:r>
      <w:r>
        <w:tab/>
        <w:t>a water service charge set out in Schedule 1 Division 2, Schedule 2 Division 2, Schedule 3 Division 2 or Schedule 4 Division 2 or </w:t>
      </w:r>
      <w:r>
        <w:rPr>
          <w:szCs w:val="24"/>
        </w:rPr>
        <w:t>3; and</w:t>
      </w:r>
    </w:p>
    <w:p>
      <w:pPr>
        <w:pStyle w:val="Indenta"/>
      </w:pPr>
      <w:r>
        <w:tab/>
        <w:t>(b)</w:t>
      </w:r>
      <w:r>
        <w:tab/>
        <w:t>a charge period that commences before 1 July 2014 and ends on or after 1 July 2014.</w:t>
      </w:r>
    </w:p>
    <w:p>
      <w:pPr>
        <w:pStyle w:val="Subsection"/>
      </w:pPr>
      <w:r>
        <w:tab/>
        <w:t>(2)</w:t>
      </w:r>
      <w:r>
        <w:tab/>
        <w:t xml:space="preserve">The amount of the charge payable under the Division for the part of the charge period that commences on 1 July 2014 is to be worked out as if the rate or amount of the charge were the rate or amount for the corresponding charge under the </w:t>
      </w:r>
      <w:r>
        <w:rPr>
          <w:i/>
        </w:rPr>
        <w:t>Water Agencies (Charges) By</w:t>
      </w:r>
      <w:r>
        <w:rPr>
          <w:i/>
        </w:rPr>
        <w:noBreakHyphen/>
        <w:t>laws 1987</w:t>
      </w:r>
      <w:r>
        <w:rPr>
          <w:vertAlign w:val="superscript"/>
        </w:rPr>
        <w:t xml:space="preserve"> 2 </w:t>
      </w:r>
      <w:r>
        <w:t>as in effect immediately before 1 July 2014.</w:t>
      </w:r>
    </w:p>
    <w:p>
      <w:pPr>
        <w:pStyle w:val="Heading5"/>
      </w:pPr>
      <w:bookmarkStart w:id="128" w:name="_Toc170209167"/>
      <w:r>
        <w:rPr>
          <w:rStyle w:val="CharSectno"/>
        </w:rPr>
        <w:t>58</w:t>
      </w:r>
      <w:r>
        <w:t>.</w:t>
      </w:r>
      <w:r>
        <w:tab/>
        <w:t>Special payment arrangements</w:t>
      </w:r>
      <w:bookmarkEnd w:id="128"/>
    </w:p>
    <w:p>
      <w:pPr>
        <w:pStyle w:val="Subsection"/>
      </w:pPr>
      <w:r>
        <w:tab/>
      </w:r>
      <w:r>
        <w:tab/>
        <w:t xml:space="preserve">A special payment arrangement for the payment of charges entered into under the </w:t>
      </w:r>
      <w:r>
        <w:rPr>
          <w:i/>
        </w:rPr>
        <w:t>Water Agencies (Charges) By</w:t>
      </w:r>
      <w:r>
        <w:rPr>
          <w:i/>
        </w:rPr>
        <w:noBreakHyphen/>
        <w:t>laws 1987</w:t>
      </w:r>
      <w:r>
        <w:rPr>
          <w:vertAlign w:val="superscript"/>
        </w:rPr>
        <w:t> 2</w:t>
      </w:r>
      <w:r>
        <w:t xml:space="preserve"> by</w:t>
      </w:r>
      <w:r>
        <w:noBreakHyphen/>
        <w:t xml:space="preserve">law 8, has effect — </w:t>
      </w:r>
    </w:p>
    <w:p>
      <w:pPr>
        <w:pStyle w:val="Indenta"/>
      </w:pPr>
      <w:r>
        <w:tab/>
        <w:t>(a)</w:t>
      </w:r>
      <w:r>
        <w:tab/>
        <w:t>for the purposes of these regulations as if entered into under regulation 21; and</w:t>
      </w:r>
    </w:p>
    <w:p>
      <w:pPr>
        <w:pStyle w:val="Indenta"/>
      </w:pPr>
      <w:r>
        <w:lastRenderedPageBreak/>
        <w:tab/>
        <w:t>(b)</w:t>
      </w:r>
      <w:r>
        <w:tab/>
        <w:t>in relation to the corresponding charge or charges under these regulations.</w:t>
      </w:r>
    </w:p>
    <w:p>
      <w:pPr>
        <w:pStyle w:val="Heading5"/>
      </w:pPr>
      <w:bookmarkStart w:id="129" w:name="_Toc170209168"/>
      <w:r>
        <w:rPr>
          <w:rStyle w:val="CharSectno"/>
        </w:rPr>
        <w:t>59</w:t>
      </w:r>
      <w:r>
        <w:t>.</w:t>
      </w:r>
      <w:r>
        <w:tab/>
        <w:t>Commercial caravan parks</w:t>
      </w:r>
      <w:bookmarkEnd w:id="129"/>
    </w:p>
    <w:p>
      <w:pPr>
        <w:pStyle w:val="Subsection"/>
      </w:pPr>
      <w:r>
        <w:tab/>
      </w:r>
      <w:r>
        <w:tab/>
        <w:t>The nomination by the operator of a commercial caravan park of caravan bays as long</w:t>
      </w:r>
      <w:r>
        <w:noBreakHyphen/>
        <w:t xml:space="preserve">term residential caravan bays, under the </w:t>
      </w:r>
      <w:r>
        <w:rPr>
          <w:i/>
        </w:rPr>
        <w:t>Water Agencies (Charges) By</w:t>
      </w:r>
      <w:r>
        <w:rPr>
          <w:i/>
        </w:rPr>
        <w:noBreakHyphen/>
        <w:t>laws 1987</w:t>
      </w:r>
      <w:r>
        <w:rPr>
          <w:vertAlign w:val="superscript"/>
        </w:rPr>
        <w:t> 2</w:t>
      </w:r>
      <w:r>
        <w:t xml:space="preserve"> by</w:t>
      </w:r>
      <w:r>
        <w:noBreakHyphen/>
        <w:t>law 17A, has effect for the purposes of these regulations as if made under regulation 27.</w:t>
      </w:r>
    </w:p>
    <w:p>
      <w:pPr>
        <w:pStyle w:val="Heading5"/>
      </w:pPr>
      <w:bookmarkStart w:id="130" w:name="_Toc170209169"/>
      <w:r>
        <w:rPr>
          <w:rStyle w:val="CharSectno"/>
        </w:rPr>
        <w:t>60</w:t>
      </w:r>
      <w:r>
        <w:t>.</w:t>
      </w:r>
      <w:r>
        <w:tab/>
        <w:t>Certain charges and discharge volumes before 1 July 2014</w:t>
      </w:r>
      <w:bookmarkEnd w:id="130"/>
    </w:p>
    <w:p>
      <w:pPr>
        <w:pStyle w:val="Subsection"/>
      </w:pPr>
      <w:r>
        <w:tab/>
        <w:t>(1)</w:t>
      </w:r>
      <w:r>
        <w:tab/>
        <w:t xml:space="preserve">For the purposes of the application of these regulations in the 2014/15 financial year, a reference to a charge payable for the previous financial year under a provision of these regulations is a reference to the charge payable under the corresponding provision of the </w:t>
      </w:r>
      <w:r>
        <w:rPr>
          <w:i/>
        </w:rPr>
        <w:t>Water Agencies (Charges) By</w:t>
      </w:r>
      <w:r>
        <w:rPr>
          <w:i/>
        </w:rPr>
        <w:noBreakHyphen/>
        <w:t>laws 1987</w:t>
      </w:r>
      <w:r>
        <w:rPr>
          <w:vertAlign w:val="superscript"/>
        </w:rPr>
        <w:t xml:space="preserve"> 2 </w:t>
      </w:r>
      <w:r>
        <w:t>as in effect for the 2013/14 financial year.</w:t>
      </w:r>
    </w:p>
    <w:p>
      <w:pPr>
        <w:pStyle w:val="Subsection"/>
      </w:pPr>
      <w:r>
        <w:tab/>
        <w:t>(2)</w:t>
      </w:r>
      <w:r>
        <w:tab/>
        <w:t xml:space="preserve">If the Water Corporation is required to estimate a notional charge for the 2013/14 financial year under regulation 28 or 42, the Water Corporation is to do so in accordance with the </w:t>
      </w:r>
      <w:r>
        <w:rPr>
          <w:i/>
        </w:rPr>
        <w:t>Water Agencies (Charges) By</w:t>
      </w:r>
      <w:r>
        <w:rPr>
          <w:i/>
        </w:rPr>
        <w:noBreakHyphen/>
        <w:t>laws 1987</w:t>
      </w:r>
      <w:r>
        <w:rPr>
          <w:vertAlign w:val="superscript"/>
        </w:rPr>
        <w:t> 2</w:t>
      </w:r>
      <w:r>
        <w:t xml:space="preserve"> as in effect for that year.</w:t>
      </w:r>
    </w:p>
    <w:p>
      <w:pPr>
        <w:pStyle w:val="Subsection"/>
      </w:pPr>
      <w:r>
        <w:tab/>
        <w:t>(3)</w:t>
      </w:r>
      <w:r>
        <w:tab/>
        <w:t xml:space="preserve">For the purposes of the application of Schedule 4 Division 2 in the 2014/15 and 2015/16 financial years and the determination of a discharge volume for a discharge year that commenced before 1 July 2014, the discharge factors applicable under the </w:t>
      </w:r>
      <w:r>
        <w:rPr>
          <w:i/>
        </w:rPr>
        <w:t>Water Agencies (Charges) By</w:t>
      </w:r>
      <w:r>
        <w:rPr>
          <w:i/>
        </w:rPr>
        <w:noBreakHyphen/>
        <w:t>laws 1987</w:t>
      </w:r>
      <w:r>
        <w:rPr>
          <w:vertAlign w:val="superscript"/>
        </w:rPr>
        <w:t> 2</w:t>
      </w:r>
      <w:r>
        <w:t>, as in effect at the relevant time, are to be used.</w:t>
      </w:r>
    </w:p>
    <w:p>
      <w:pPr>
        <w:pStyle w:val="Heading5"/>
      </w:pPr>
      <w:bookmarkStart w:id="131" w:name="_Toc170209170"/>
      <w:r>
        <w:rPr>
          <w:rStyle w:val="CharSectno"/>
        </w:rPr>
        <w:t>61</w:t>
      </w:r>
      <w:r>
        <w:t>.</w:t>
      </w:r>
      <w:r>
        <w:tab/>
        <w:t>Concessions: r. 34 and 35</w:t>
      </w:r>
      <w:bookmarkEnd w:id="131"/>
    </w:p>
    <w:p>
      <w:pPr>
        <w:pStyle w:val="Subsection"/>
      </w:pPr>
      <w:r>
        <w:tab/>
        <w:t>(1)</w:t>
      </w:r>
      <w:r>
        <w:tab/>
        <w:t xml:space="preserve">The reference in regulation 34(1)(c) to water service charges set out in Schedule 3 Division 2 being in arrears includes a reference to charges under the corresponding provisions of the </w:t>
      </w:r>
      <w:r>
        <w:rPr>
          <w:i/>
        </w:rPr>
        <w:t>Water Agencies (Charges) By</w:t>
      </w:r>
      <w:r>
        <w:rPr>
          <w:i/>
        </w:rPr>
        <w:noBreakHyphen/>
        <w:t>laws 1987</w:t>
      </w:r>
      <w:r>
        <w:rPr>
          <w:vertAlign w:val="superscript"/>
        </w:rPr>
        <w:t> 2</w:t>
      </w:r>
      <w:r>
        <w:t xml:space="preserve"> being in arrears.</w:t>
      </w:r>
    </w:p>
    <w:p>
      <w:pPr>
        <w:pStyle w:val="Subsection"/>
      </w:pPr>
      <w:r>
        <w:lastRenderedPageBreak/>
        <w:tab/>
        <w:t>(2)</w:t>
      </w:r>
      <w:r>
        <w:tab/>
        <w:t xml:space="preserve">The reference in regulation 34(2)(b) to a concession under the regulations includes a reference to a concession under the corresponding provision of the </w:t>
      </w:r>
      <w:r>
        <w:rPr>
          <w:i/>
        </w:rPr>
        <w:t>Water Agencies (Charges) By</w:t>
      </w:r>
      <w:r>
        <w:rPr>
          <w:i/>
        </w:rPr>
        <w:noBreakHyphen/>
        <w:t>laws 1987</w:t>
      </w:r>
      <w:r>
        <w:rPr>
          <w:vertAlign w:val="superscript"/>
        </w:rPr>
        <w:t> 2</w:t>
      </w:r>
      <w:r>
        <w:t>.</w:t>
      </w:r>
    </w:p>
    <w:p>
      <w:pPr>
        <w:pStyle w:val="Subsection"/>
      </w:pPr>
      <w:r>
        <w:tab/>
        <w:t>(3)</w:t>
      </w:r>
      <w:r>
        <w:tab/>
        <w:t xml:space="preserve">A person who was, immediately before 1 July 2014, registered with the Water Corporation for the purposes of the </w:t>
      </w:r>
      <w:r>
        <w:rPr>
          <w:i/>
        </w:rPr>
        <w:t>Water Agencies (Charges) By</w:t>
      </w:r>
      <w:r>
        <w:rPr>
          <w:i/>
        </w:rPr>
        <w:noBreakHyphen/>
        <w:t>laws 1987</w:t>
      </w:r>
      <w:r>
        <w:rPr>
          <w:vertAlign w:val="superscript"/>
        </w:rPr>
        <w:t> 2</w:t>
      </w:r>
      <w:r>
        <w:t xml:space="preserve"> by</w:t>
      </w:r>
      <w:r>
        <w:noBreakHyphen/>
        <w:t>law 18B becomes, on 1 July 2014, a person registered with the Water Corporation for the purposes of regulation 35.</w:t>
      </w:r>
    </w:p>
    <w:p>
      <w:pPr>
        <w:pStyle w:val="Heading3"/>
      </w:pPr>
      <w:bookmarkStart w:id="132" w:name="_Toc170136803"/>
      <w:bookmarkStart w:id="133" w:name="_Toc170138815"/>
      <w:bookmarkStart w:id="134" w:name="_Toc170203676"/>
      <w:bookmarkStart w:id="135" w:name="_Toc170209171"/>
      <w:r>
        <w:rPr>
          <w:rStyle w:val="CharDivNo"/>
        </w:rPr>
        <w:t>Division 3</w:t>
      </w:r>
      <w:r>
        <w:t> — </w:t>
      </w:r>
      <w:r>
        <w:rPr>
          <w:rStyle w:val="CharDivText"/>
        </w:rPr>
        <w:t xml:space="preserve">Transitional provisions: </w:t>
      </w:r>
      <w:r>
        <w:rPr>
          <w:rStyle w:val="CharDivText"/>
          <w:i/>
        </w:rPr>
        <w:t>Water Services (Water Corporations Charges) Amendment Regulations (No. 2) 2014</w:t>
      </w:r>
      <w:bookmarkEnd w:id="132"/>
      <w:bookmarkEnd w:id="133"/>
      <w:bookmarkEnd w:id="134"/>
      <w:bookmarkEnd w:id="135"/>
    </w:p>
    <w:p>
      <w:pPr>
        <w:pStyle w:val="Footnoteheading"/>
      </w:pPr>
      <w:r>
        <w:tab/>
        <w:t>[Heading inserted: Gazette 15 Oct 2014 p. 3944.]</w:t>
      </w:r>
    </w:p>
    <w:p>
      <w:pPr>
        <w:pStyle w:val="Heading5"/>
      </w:pPr>
      <w:bookmarkStart w:id="136" w:name="_Toc170209172"/>
      <w:r>
        <w:rPr>
          <w:rStyle w:val="CharSectno"/>
        </w:rPr>
        <w:t>62</w:t>
      </w:r>
      <w:r>
        <w:t>.</w:t>
      </w:r>
      <w:r>
        <w:tab/>
        <w:t>Application of r. 5</w:t>
      </w:r>
      <w:bookmarkEnd w:id="136"/>
    </w:p>
    <w:p>
      <w:pPr>
        <w:pStyle w:val="Subsection"/>
      </w:pPr>
      <w:r>
        <w:tab/>
      </w:r>
      <w:r>
        <w:tab/>
        <w:t xml:space="preserve">Regulation 5 does not apply in relation to the amendments effected by the </w:t>
      </w:r>
      <w:r>
        <w:rPr>
          <w:i/>
        </w:rPr>
        <w:t>Water Services (Water Corporations Charges) Amendment Regulations (No. 2) 2014</w:t>
      </w:r>
      <w:r>
        <w:t>.</w:t>
      </w:r>
    </w:p>
    <w:p>
      <w:pPr>
        <w:pStyle w:val="Footnotesection"/>
      </w:pPr>
      <w:r>
        <w:tab/>
        <w:t>[Regulation 62 inserted: Gazette 15 Oct 2014 p. 3944.]</w:t>
      </w:r>
    </w:p>
    <w:p>
      <w:pPr>
        <w:pStyle w:val="Heading5"/>
      </w:pPr>
      <w:bookmarkStart w:id="137" w:name="_Toc170209173"/>
      <w:r>
        <w:rPr>
          <w:rStyle w:val="CharSectno"/>
        </w:rPr>
        <w:t>63</w:t>
      </w:r>
      <w:r>
        <w:t>.</w:t>
      </w:r>
      <w:r>
        <w:tab/>
        <w:t>Reduction, waiver or refund of certain charges</w:t>
      </w:r>
      <w:bookmarkEnd w:id="137"/>
    </w:p>
    <w:p>
      <w:pPr>
        <w:pStyle w:val="Subsection"/>
      </w:pPr>
      <w:r>
        <w:tab/>
        <w:t>(1)</w:t>
      </w:r>
      <w:r>
        <w:tab/>
        <w:t>This regulation applies in relation to a water service charge paid or payable, under regulation 7 or 12, for water supply services provided in respect of land, or water supplied to land, during the period commencing on 1 July 2014 and ending on 31 October 2014.</w:t>
      </w:r>
    </w:p>
    <w:p>
      <w:pPr>
        <w:pStyle w:val="Subsection"/>
      </w:pPr>
      <w:r>
        <w:tab/>
        <w:t>(2)</w:t>
      </w:r>
      <w:r>
        <w:tab/>
        <w:t>The Bunbury Water Corporation or the Busselton Water Corporation (whichever is relevant) may reduce, waive or refund an amount of a charge.</w:t>
      </w:r>
    </w:p>
    <w:p>
      <w:pPr>
        <w:pStyle w:val="Subsection"/>
      </w:pPr>
      <w:r>
        <w:tab/>
        <w:t>(3)</w:t>
      </w:r>
      <w:r>
        <w:tab/>
        <w:t xml:space="preserve">The amount of a reduction, waiver or refund is limited to the amount necessary to place a person in the same position that they would have been in had the amendments in the </w:t>
      </w:r>
      <w:r>
        <w:rPr>
          <w:i/>
        </w:rPr>
        <w:t xml:space="preserve">Water </w:t>
      </w:r>
      <w:r>
        <w:rPr>
          <w:i/>
        </w:rPr>
        <w:lastRenderedPageBreak/>
        <w:t>Services (Water Corporations Charges) Amendment Regulations (No. 2) 2014</w:t>
      </w:r>
      <w:r>
        <w:t xml:space="preserve"> come into operation on 1 July 2014.</w:t>
      </w:r>
    </w:p>
    <w:p>
      <w:pPr>
        <w:pStyle w:val="Subsection"/>
      </w:pPr>
      <w:r>
        <w:tab/>
        <w:t>(4)</w:t>
      </w:r>
      <w:r>
        <w:tab/>
        <w:t>A refund may be provided in the form of a credit against future water service charges.</w:t>
      </w:r>
    </w:p>
    <w:p>
      <w:pPr>
        <w:pStyle w:val="Footnotesection"/>
      </w:pPr>
      <w:r>
        <w:tab/>
        <w:t>[Regulation 63 inserted: Gazette 15 Oct 2014 p. 3944.]</w:t>
      </w:r>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8" w:name="_Toc169797169"/>
      <w:bookmarkStart w:id="139" w:name="_Toc169797324"/>
      <w:bookmarkStart w:id="140" w:name="_Toc169797479"/>
      <w:bookmarkStart w:id="141" w:name="_Toc170138818"/>
      <w:bookmarkStart w:id="142" w:name="_Toc170203679"/>
      <w:bookmarkStart w:id="143" w:name="_Toc170209174"/>
      <w:bookmarkStart w:id="144" w:name="_Toc170136806"/>
      <w:r>
        <w:rPr>
          <w:rStyle w:val="CharSchNo"/>
        </w:rPr>
        <w:lastRenderedPageBreak/>
        <w:t>Schedule 1</w:t>
      </w:r>
      <w:r>
        <w:t> — </w:t>
      </w:r>
      <w:r>
        <w:rPr>
          <w:rStyle w:val="CharSchText"/>
        </w:rPr>
        <w:t>Charges for Bunbury Water Corporation</w:t>
      </w:r>
      <w:bookmarkEnd w:id="138"/>
      <w:bookmarkEnd w:id="139"/>
      <w:bookmarkEnd w:id="140"/>
      <w:bookmarkEnd w:id="141"/>
      <w:bookmarkEnd w:id="142"/>
      <w:bookmarkEnd w:id="143"/>
    </w:p>
    <w:p>
      <w:pPr>
        <w:pStyle w:val="yShoulderClause"/>
      </w:pPr>
      <w:r>
        <w:t>[r. 7]</w:t>
      </w:r>
      <w:bookmarkStart w:id="145" w:name="_Toc169797170"/>
      <w:bookmarkStart w:id="146" w:name="_Toc169797325"/>
      <w:bookmarkStart w:id="147" w:name="_Toc169797480"/>
    </w:p>
    <w:p>
      <w:pPr>
        <w:pStyle w:val="yFootnoteheading"/>
      </w:pPr>
      <w:r>
        <w:tab/>
        <w:t>[Heading inserted: SL 2024/117 r. 9.]</w:t>
      </w:r>
    </w:p>
    <w:p>
      <w:pPr>
        <w:pStyle w:val="yHeading3"/>
      </w:pPr>
      <w:bookmarkStart w:id="148" w:name="_Toc170138819"/>
      <w:bookmarkStart w:id="149" w:name="_Toc170203680"/>
      <w:bookmarkStart w:id="150" w:name="_Toc170209175"/>
      <w:r>
        <w:rPr>
          <w:rStyle w:val="CharSDivNo"/>
        </w:rPr>
        <w:t>Division 1</w:t>
      </w:r>
      <w:r>
        <w:t> — </w:t>
      </w:r>
      <w:r>
        <w:rPr>
          <w:rStyle w:val="CharSDivText"/>
        </w:rPr>
        <w:t>Service charges</w:t>
      </w:r>
      <w:bookmarkEnd w:id="145"/>
      <w:bookmarkEnd w:id="146"/>
      <w:bookmarkEnd w:id="147"/>
      <w:bookmarkEnd w:id="148"/>
      <w:bookmarkEnd w:id="149"/>
      <w:bookmarkEnd w:id="150"/>
    </w:p>
    <w:p>
      <w:pPr>
        <w:pStyle w:val="yFootnoteheading"/>
      </w:pPr>
      <w:r>
        <w:tab/>
        <w:t>[Heading inserted: SL 2024/117 r. 9.]</w:t>
      </w:r>
    </w:p>
    <w:p>
      <w:pPr>
        <w:pStyle w:val="yHeading5"/>
      </w:pPr>
      <w:bookmarkStart w:id="151" w:name="_Toc169797171"/>
      <w:bookmarkStart w:id="152" w:name="_Toc169797481"/>
      <w:bookmarkStart w:id="153" w:name="_Toc170209176"/>
      <w:r>
        <w:t>1.</w:t>
      </w:r>
      <w:r>
        <w:tab/>
        <w:t>Service charges for 2024/25 and subsequent years</w:t>
      </w:r>
      <w:bookmarkEnd w:id="151"/>
      <w:bookmarkEnd w:id="152"/>
      <w:bookmarkEnd w:id="153"/>
    </w:p>
    <w:p>
      <w:pPr>
        <w:pStyle w:val="ySubsection"/>
      </w:pPr>
      <w:r>
        <w:tab/>
      </w:r>
      <w:r>
        <w:tab/>
        <w:t>The charges set out in this Division apply for water supply services provided in the 2024/25 financial year and each subsequent year.</w:t>
      </w:r>
    </w:p>
    <w:p>
      <w:pPr>
        <w:pStyle w:val="yHeading5"/>
      </w:pPr>
      <w:bookmarkStart w:id="154" w:name="_Toc169797172"/>
      <w:bookmarkStart w:id="155" w:name="_Toc169797482"/>
      <w:bookmarkStart w:id="156" w:name="_Toc170209177"/>
      <w:r>
        <w:t>2.</w:t>
      </w:r>
      <w:r>
        <w:tab/>
        <w:t>Residential lots</w:t>
      </w:r>
      <w:bookmarkEnd w:id="154"/>
      <w:bookmarkEnd w:id="155"/>
      <w:bookmarkEnd w:id="156"/>
    </w:p>
    <w:p>
      <w:pPr>
        <w:pStyle w:val="ySubsection"/>
        <w:tabs>
          <w:tab w:val="right" w:leader="dot" w:pos="6804"/>
        </w:tabs>
      </w:pPr>
      <w:r>
        <w:tab/>
      </w:r>
      <w:r>
        <w:tab/>
        <w:t>For a residential lot, the charge is,</w:t>
      </w:r>
      <w:r>
        <w:br/>
        <w:t xml:space="preserve">for each dwelling on the lot </w:t>
      </w:r>
      <w:r>
        <w:tab/>
        <w:t>$276.00</w:t>
      </w:r>
    </w:p>
    <w:p>
      <w:pPr>
        <w:pStyle w:val="yHeading5"/>
      </w:pPr>
      <w:bookmarkStart w:id="157" w:name="_Toc169797173"/>
      <w:bookmarkStart w:id="158" w:name="_Toc169797483"/>
      <w:bookmarkStart w:id="159" w:name="_Toc170209178"/>
      <w:r>
        <w:t>3.</w:t>
      </w:r>
      <w:r>
        <w:tab/>
        <w:t>Non</w:t>
      </w:r>
      <w:r>
        <w:noBreakHyphen/>
        <w:t>residential lots</w:t>
      </w:r>
      <w:bookmarkEnd w:id="157"/>
      <w:bookmarkEnd w:id="158"/>
      <w:bookmarkEnd w:id="159"/>
    </w:p>
    <w:p>
      <w:pPr>
        <w:pStyle w:val="ySubsection"/>
      </w:pPr>
      <w:r>
        <w:tab/>
      </w:r>
      <w:r>
        <w:tab/>
        <w:t>For a non</w:t>
      </w:r>
      <w:r>
        <w:noBreakHyphen/>
        <w:t>residential lot, the charge, according to the size of the meter, is —</w:t>
      </w:r>
    </w:p>
    <w:p>
      <w:pPr>
        <w:pStyle w:val="yMiscellaneousBodyLeft1cm"/>
      </w:pPr>
      <w:r>
        <w:tab/>
        <w:t xml:space="preserve">20 mm </w:t>
      </w:r>
      <w:r>
        <w:tab/>
        <w:t>$307.00</w:t>
      </w:r>
    </w:p>
    <w:p>
      <w:pPr>
        <w:pStyle w:val="yMiscellaneousBodyLeft1cm"/>
      </w:pPr>
      <w:r>
        <w:tab/>
        <w:t xml:space="preserve">25 mm </w:t>
      </w:r>
      <w:r>
        <w:tab/>
        <w:t>$478.95</w:t>
      </w:r>
    </w:p>
    <w:p>
      <w:pPr>
        <w:pStyle w:val="yMiscellaneousBodyLeft1cm"/>
      </w:pPr>
      <w:r>
        <w:tab/>
        <w:t xml:space="preserve">40 mm </w:t>
      </w:r>
      <w:r>
        <w:tab/>
        <w:t>$1 228.25</w:t>
      </w:r>
    </w:p>
    <w:p>
      <w:pPr>
        <w:pStyle w:val="yMiscellaneousBodyLeft1cm"/>
      </w:pPr>
      <w:r>
        <w:tab/>
        <w:t xml:space="preserve">50 mm </w:t>
      </w:r>
      <w:r>
        <w:tab/>
        <w:t>$1 919.20</w:t>
      </w:r>
    </w:p>
    <w:p>
      <w:pPr>
        <w:pStyle w:val="yMiscellaneousBodyLeft1cm"/>
      </w:pPr>
      <w:r>
        <w:tab/>
        <w:t xml:space="preserve">80 mm </w:t>
      </w:r>
      <w:r>
        <w:tab/>
        <w:t>$4 913.05</w:t>
      </w:r>
    </w:p>
    <w:p>
      <w:pPr>
        <w:pStyle w:val="yMiscellaneousBodyLeft1cm"/>
      </w:pPr>
      <w:r>
        <w:tab/>
        <w:t xml:space="preserve">100 mm </w:t>
      </w:r>
      <w:r>
        <w:tab/>
        <w:t>$7 676.70</w:t>
      </w:r>
    </w:p>
    <w:p>
      <w:pPr>
        <w:pStyle w:val="yMiscellaneousBodyLeft1cm"/>
      </w:pPr>
      <w:r>
        <w:tab/>
        <w:t xml:space="preserve">150 mm </w:t>
      </w:r>
      <w:r>
        <w:tab/>
        <w:t>$17 272.60</w:t>
      </w:r>
    </w:p>
    <w:p>
      <w:pPr>
        <w:pStyle w:val="yHeading5"/>
      </w:pPr>
      <w:bookmarkStart w:id="160" w:name="_Toc169797174"/>
      <w:bookmarkStart w:id="161" w:name="_Toc169797484"/>
      <w:bookmarkStart w:id="162" w:name="_Toc170209179"/>
      <w:r>
        <w:t>4.</w:t>
      </w:r>
      <w:r>
        <w:tab/>
        <w:t>Fire service connections</w:t>
      </w:r>
      <w:bookmarkEnd w:id="160"/>
      <w:bookmarkEnd w:id="161"/>
      <w:bookmarkEnd w:id="162"/>
    </w:p>
    <w:p>
      <w:pPr>
        <w:pStyle w:val="ySubsection"/>
      </w:pPr>
      <w:r>
        <w:tab/>
      </w:r>
      <w:r>
        <w:tab/>
        <w:t>For a fire service connection, the charge, according to the size of the meter, is —</w:t>
      </w:r>
    </w:p>
    <w:p>
      <w:pPr>
        <w:pStyle w:val="yMiscellaneousBodyLeft1cm"/>
      </w:pPr>
      <w:r>
        <w:tab/>
        <w:t xml:space="preserve">25 mm </w:t>
      </w:r>
      <w:r>
        <w:tab/>
        <w:t>$174.60</w:t>
      </w:r>
    </w:p>
    <w:p>
      <w:pPr>
        <w:pStyle w:val="yMiscellaneousBodyLeft1cm"/>
      </w:pPr>
      <w:r>
        <w:tab/>
        <w:t xml:space="preserve">40 mm </w:t>
      </w:r>
      <w:r>
        <w:tab/>
        <w:t>$279.40</w:t>
      </w:r>
    </w:p>
    <w:p>
      <w:pPr>
        <w:pStyle w:val="yMiscellaneousBodyLeft1cm"/>
      </w:pPr>
      <w:r>
        <w:lastRenderedPageBreak/>
        <w:tab/>
        <w:t xml:space="preserve">50 mm </w:t>
      </w:r>
      <w:r>
        <w:tab/>
        <w:t>$349.20</w:t>
      </w:r>
    </w:p>
    <w:p>
      <w:pPr>
        <w:pStyle w:val="yMiscellaneousBodyLeft1cm"/>
      </w:pPr>
      <w:r>
        <w:tab/>
        <w:t xml:space="preserve">100 mm </w:t>
      </w:r>
      <w:r>
        <w:tab/>
        <w:t>$698.60</w:t>
      </w:r>
    </w:p>
    <w:p>
      <w:pPr>
        <w:pStyle w:val="yMiscellaneousBodyLeft1cm"/>
      </w:pPr>
      <w:r>
        <w:tab/>
        <w:t xml:space="preserve">150 mm </w:t>
      </w:r>
      <w:r>
        <w:tab/>
        <w:t>$1 047.85</w:t>
      </w:r>
    </w:p>
    <w:p>
      <w:pPr>
        <w:pStyle w:val="yMiscellaneousBodyLeft1cm"/>
      </w:pPr>
      <w:r>
        <w:tab/>
        <w:t xml:space="preserve">200 mm </w:t>
      </w:r>
      <w:r>
        <w:tab/>
        <w:t>$1 397.20</w:t>
      </w:r>
    </w:p>
    <w:p>
      <w:pPr>
        <w:pStyle w:val="yFootnotesection"/>
      </w:pPr>
      <w:r>
        <w:tab/>
        <w:t>[Division 1 inserted: SL 2024/117 r. 9.]</w:t>
      </w:r>
    </w:p>
    <w:p>
      <w:pPr>
        <w:pStyle w:val="yHeading3"/>
      </w:pPr>
      <w:bookmarkStart w:id="163" w:name="_Toc169797175"/>
      <w:bookmarkStart w:id="164" w:name="_Toc169797330"/>
      <w:bookmarkStart w:id="165" w:name="_Toc169797485"/>
      <w:bookmarkStart w:id="166" w:name="_Toc170138824"/>
      <w:bookmarkStart w:id="167" w:name="_Toc170203685"/>
      <w:bookmarkStart w:id="168" w:name="_Toc170209180"/>
      <w:r>
        <w:rPr>
          <w:rStyle w:val="CharSDivNo"/>
        </w:rPr>
        <w:t>Division 2</w:t>
      </w:r>
      <w:r>
        <w:t> — </w:t>
      </w:r>
      <w:r>
        <w:rPr>
          <w:rStyle w:val="CharSDivText"/>
        </w:rPr>
        <w:t>Consumption charges</w:t>
      </w:r>
      <w:bookmarkEnd w:id="163"/>
      <w:bookmarkEnd w:id="164"/>
      <w:bookmarkEnd w:id="165"/>
      <w:bookmarkEnd w:id="166"/>
      <w:bookmarkEnd w:id="167"/>
      <w:bookmarkEnd w:id="168"/>
    </w:p>
    <w:p>
      <w:pPr>
        <w:pStyle w:val="yFootnoteheading"/>
      </w:pPr>
      <w:bookmarkStart w:id="169" w:name="_Toc169797176"/>
      <w:bookmarkStart w:id="170" w:name="_Toc169797486"/>
      <w:r>
        <w:tab/>
        <w:t>[Heading inserted: SL 2024/117 r. 9.]</w:t>
      </w:r>
    </w:p>
    <w:p>
      <w:pPr>
        <w:pStyle w:val="yHeading5"/>
      </w:pPr>
      <w:bookmarkStart w:id="171" w:name="_Toc170209181"/>
      <w:r>
        <w:t>5.</w:t>
      </w:r>
      <w:r>
        <w:tab/>
        <w:t>Consumption charges for 2024/25 and subsequent years</w:t>
      </w:r>
      <w:bookmarkEnd w:id="169"/>
      <w:bookmarkEnd w:id="170"/>
      <w:bookmarkEnd w:id="171"/>
    </w:p>
    <w:p>
      <w:pPr>
        <w:pStyle w:val="ySubsection"/>
      </w:pPr>
      <w:r>
        <w:tab/>
      </w:r>
      <w:r>
        <w:tab/>
        <w:t>The charges set out in this Division apply for water supplied in the 2024/25 financial year and each subsequent year.</w:t>
      </w:r>
    </w:p>
    <w:p>
      <w:pPr>
        <w:pStyle w:val="yHeading5"/>
      </w:pPr>
      <w:bookmarkStart w:id="172" w:name="_Toc169797177"/>
      <w:bookmarkStart w:id="173" w:name="_Toc169797487"/>
      <w:bookmarkStart w:id="174" w:name="_Toc170209182"/>
      <w:r>
        <w:t>6.</w:t>
      </w:r>
      <w:r>
        <w:tab/>
        <w:t>Residential lots</w:t>
      </w:r>
      <w:bookmarkEnd w:id="172"/>
      <w:bookmarkEnd w:id="173"/>
      <w:bookmarkEnd w:id="174"/>
    </w:p>
    <w:p>
      <w:pPr>
        <w:pStyle w:val="ySubsection"/>
      </w:pPr>
      <w:r>
        <w:tab/>
        <w:t>(1)</w:t>
      </w:r>
      <w:r>
        <w:tab/>
        <w:t xml:space="preserve">For each kilolitre of water supplied to a residential lot, the charge is — </w:t>
      </w:r>
    </w:p>
    <w:p>
      <w:pPr>
        <w:pStyle w:val="yMiscellaneousBodyLeft1cm"/>
      </w:pPr>
      <w:r>
        <w:tab/>
        <w:t xml:space="preserve">up to 150 kL </w:t>
      </w:r>
      <w:r>
        <w:tab/>
        <w:t>$1.15</w:t>
      </w:r>
    </w:p>
    <w:p>
      <w:pPr>
        <w:pStyle w:val="yMiscellaneousBodyLeft1cm"/>
      </w:pPr>
      <w:r>
        <w:tab/>
        <w:t xml:space="preserve">over 150 but not over 350 kL </w:t>
      </w:r>
      <w:r>
        <w:tab/>
        <w:t>$2.12</w:t>
      </w:r>
    </w:p>
    <w:p>
      <w:pPr>
        <w:pStyle w:val="yMiscellaneousBodyLeft1cm"/>
      </w:pPr>
      <w:r>
        <w:tab/>
        <w:t xml:space="preserve">over 350 but not over 500 kL </w:t>
      </w:r>
      <w:r>
        <w:tab/>
        <w:t>$3.03</w:t>
      </w:r>
    </w:p>
    <w:p>
      <w:pPr>
        <w:pStyle w:val="yMiscellaneousBodyLeft1cm"/>
      </w:pPr>
      <w:r>
        <w:tab/>
        <w:t xml:space="preserve">over 500 kL </w:t>
      </w:r>
      <w:r>
        <w:tab/>
        <w:t>$3.76</w:t>
      </w:r>
    </w:p>
    <w:p>
      <w:pPr>
        <w:pStyle w:val="ySubsection"/>
      </w:pPr>
      <w:r>
        <w:tab/>
        <w:t>(2)</w:t>
      </w:r>
      <w:r>
        <w:tab/>
        <w:t>The volumetric ranges in this item have effect by reference to the volume of water supplied in the current consumption year.</w:t>
      </w:r>
    </w:p>
    <w:p>
      <w:pPr>
        <w:pStyle w:val="yHeading5"/>
      </w:pPr>
      <w:bookmarkStart w:id="175" w:name="_Toc169797178"/>
      <w:bookmarkStart w:id="176" w:name="_Toc169797488"/>
      <w:bookmarkStart w:id="177" w:name="_Toc170209183"/>
      <w:r>
        <w:t>7.</w:t>
      </w:r>
      <w:r>
        <w:tab/>
        <w:t>Non</w:t>
      </w:r>
      <w:r>
        <w:noBreakHyphen/>
        <w:t>residential lots</w:t>
      </w:r>
      <w:bookmarkEnd w:id="175"/>
      <w:bookmarkEnd w:id="176"/>
      <w:bookmarkEnd w:id="177"/>
    </w:p>
    <w:p>
      <w:pPr>
        <w:pStyle w:val="ySubsection"/>
        <w:tabs>
          <w:tab w:val="right" w:leader="dot" w:pos="6804"/>
        </w:tabs>
      </w:pPr>
      <w:r>
        <w:tab/>
      </w:r>
      <w:r>
        <w:tab/>
        <w:t xml:space="preserve">For each kilolitre of water supplied to a </w:t>
      </w:r>
      <w:r>
        <w:br/>
        <w:t>non</w:t>
      </w:r>
      <w:r>
        <w:noBreakHyphen/>
        <w:t>residential lot, the charge is</w:t>
      </w:r>
      <w:r>
        <w:tab/>
        <w:t>$3.36</w:t>
      </w:r>
    </w:p>
    <w:p>
      <w:pPr>
        <w:pStyle w:val="yFootnotesection"/>
      </w:pPr>
      <w:r>
        <w:tab/>
        <w:t>[Division 2 inserted: SL 2024/117 r. 9.]</w:t>
      </w:r>
    </w:p>
    <w:p>
      <w:pPr>
        <w:pStyle w:val="yScheduleHeading"/>
      </w:pPr>
      <w:bookmarkStart w:id="178" w:name="_Toc169797179"/>
      <w:bookmarkStart w:id="179" w:name="_Toc169797334"/>
      <w:bookmarkStart w:id="180" w:name="_Toc169797489"/>
      <w:bookmarkStart w:id="181" w:name="_Toc170138828"/>
      <w:bookmarkStart w:id="182" w:name="_Toc170203689"/>
      <w:bookmarkStart w:id="183" w:name="_Toc170209184"/>
      <w:r>
        <w:rPr>
          <w:rStyle w:val="CharSchNo"/>
        </w:rPr>
        <w:lastRenderedPageBreak/>
        <w:t>Schedule 2</w:t>
      </w:r>
      <w:r>
        <w:t> — </w:t>
      </w:r>
      <w:r>
        <w:rPr>
          <w:rStyle w:val="CharSchText"/>
        </w:rPr>
        <w:t>Charges for Busselton Water Corporation</w:t>
      </w:r>
      <w:bookmarkEnd w:id="178"/>
      <w:bookmarkEnd w:id="179"/>
      <w:bookmarkEnd w:id="180"/>
      <w:bookmarkEnd w:id="181"/>
      <w:bookmarkEnd w:id="182"/>
      <w:bookmarkEnd w:id="183"/>
    </w:p>
    <w:p>
      <w:pPr>
        <w:pStyle w:val="yShoulderClause"/>
      </w:pPr>
      <w:r>
        <w:t>[r. 12]</w:t>
      </w:r>
    </w:p>
    <w:p>
      <w:pPr>
        <w:pStyle w:val="yFootnoteheading"/>
      </w:pPr>
      <w:r>
        <w:tab/>
        <w:t>[Heading inserted: SL 2024/117 r. 9.]</w:t>
      </w:r>
    </w:p>
    <w:p>
      <w:pPr>
        <w:pStyle w:val="yHeading3"/>
      </w:pPr>
      <w:bookmarkStart w:id="184" w:name="_Toc169797180"/>
      <w:bookmarkStart w:id="185" w:name="_Toc169797335"/>
      <w:bookmarkStart w:id="186" w:name="_Toc169797490"/>
      <w:bookmarkStart w:id="187" w:name="_Toc170138829"/>
      <w:bookmarkStart w:id="188" w:name="_Toc170203690"/>
      <w:bookmarkStart w:id="189" w:name="_Toc170209185"/>
      <w:r>
        <w:rPr>
          <w:rStyle w:val="CharSDivNo"/>
        </w:rPr>
        <w:t>Division 1</w:t>
      </w:r>
      <w:r>
        <w:t> — </w:t>
      </w:r>
      <w:r>
        <w:rPr>
          <w:rStyle w:val="CharSDivText"/>
        </w:rPr>
        <w:t>Service charges</w:t>
      </w:r>
      <w:bookmarkEnd w:id="184"/>
      <w:bookmarkEnd w:id="185"/>
      <w:bookmarkEnd w:id="186"/>
      <w:bookmarkEnd w:id="187"/>
      <w:bookmarkEnd w:id="188"/>
      <w:bookmarkEnd w:id="189"/>
    </w:p>
    <w:p>
      <w:pPr>
        <w:pStyle w:val="yFootnoteheading"/>
      </w:pPr>
      <w:r>
        <w:tab/>
        <w:t>[Heading inserted: SL 2024/117 r. 9.]</w:t>
      </w:r>
    </w:p>
    <w:p>
      <w:pPr>
        <w:pStyle w:val="yHeading5"/>
      </w:pPr>
      <w:bookmarkStart w:id="190" w:name="_Toc169797181"/>
      <w:bookmarkStart w:id="191" w:name="_Toc169797491"/>
      <w:bookmarkStart w:id="192" w:name="_Toc170209186"/>
      <w:r>
        <w:t>1.</w:t>
      </w:r>
      <w:r>
        <w:tab/>
        <w:t>Service charges for 2024/25 and subsequent years</w:t>
      </w:r>
      <w:bookmarkEnd w:id="190"/>
      <w:bookmarkEnd w:id="191"/>
      <w:bookmarkEnd w:id="192"/>
    </w:p>
    <w:p>
      <w:pPr>
        <w:pStyle w:val="ySubsection"/>
      </w:pPr>
      <w:r>
        <w:tab/>
      </w:r>
      <w:r>
        <w:tab/>
        <w:t>The charges set out in this Division apply for water supply services provided in the 2024/25 financial year and each subsequent year.</w:t>
      </w:r>
    </w:p>
    <w:p>
      <w:pPr>
        <w:pStyle w:val="yHeading5"/>
      </w:pPr>
      <w:bookmarkStart w:id="193" w:name="_Toc169797182"/>
      <w:bookmarkStart w:id="194" w:name="_Toc169797492"/>
      <w:bookmarkStart w:id="195" w:name="_Toc170209187"/>
      <w:r>
        <w:t>2.</w:t>
      </w:r>
      <w:r>
        <w:tab/>
        <w:t>Residential lots</w:t>
      </w:r>
      <w:bookmarkEnd w:id="193"/>
      <w:bookmarkEnd w:id="194"/>
      <w:bookmarkEnd w:id="195"/>
    </w:p>
    <w:p>
      <w:pPr>
        <w:pStyle w:val="ySubsection"/>
        <w:tabs>
          <w:tab w:val="right" w:leader="dot" w:pos="6804"/>
        </w:tabs>
      </w:pPr>
      <w:r>
        <w:tab/>
      </w:r>
      <w:r>
        <w:tab/>
        <w:t>For a residential lot, the charge is</w:t>
      </w:r>
      <w:r>
        <w:tab/>
        <w:t>$240.35</w:t>
      </w:r>
    </w:p>
    <w:p>
      <w:pPr>
        <w:pStyle w:val="yHeading5"/>
      </w:pPr>
      <w:bookmarkStart w:id="196" w:name="_Toc169797183"/>
      <w:bookmarkStart w:id="197" w:name="_Toc169797493"/>
      <w:bookmarkStart w:id="198" w:name="_Toc170209188"/>
      <w:r>
        <w:t>3.</w:t>
      </w:r>
      <w:r>
        <w:tab/>
        <w:t>Non</w:t>
      </w:r>
      <w:r>
        <w:noBreakHyphen/>
        <w:t>residential lots</w:t>
      </w:r>
      <w:bookmarkEnd w:id="196"/>
      <w:bookmarkEnd w:id="197"/>
      <w:bookmarkEnd w:id="198"/>
    </w:p>
    <w:p>
      <w:pPr>
        <w:pStyle w:val="ySubsection"/>
      </w:pPr>
      <w:r>
        <w:tab/>
      </w:r>
      <w:r>
        <w:tab/>
        <w:t>For a non</w:t>
      </w:r>
      <w:r>
        <w:noBreakHyphen/>
        <w:t>residential lot, the charge, according to the size of the meter, is —</w:t>
      </w:r>
    </w:p>
    <w:p>
      <w:pPr>
        <w:pStyle w:val="yMiscellaneousBodyLeft1cm"/>
      </w:pPr>
      <w:r>
        <w:tab/>
        <w:t xml:space="preserve">20 mm </w:t>
      </w:r>
      <w:r>
        <w:tab/>
        <w:t>$257.38</w:t>
      </w:r>
    </w:p>
    <w:p>
      <w:pPr>
        <w:pStyle w:val="yMiscellaneousBodyLeft1cm"/>
      </w:pPr>
      <w:r>
        <w:tab/>
        <w:t xml:space="preserve">25 mm </w:t>
      </w:r>
      <w:r>
        <w:tab/>
        <w:t>$402.12</w:t>
      </w:r>
    </w:p>
    <w:p>
      <w:pPr>
        <w:pStyle w:val="yMiscellaneousBodyLeft1cm"/>
      </w:pPr>
      <w:r>
        <w:tab/>
        <w:t xml:space="preserve">40 mm </w:t>
      </w:r>
      <w:r>
        <w:tab/>
        <w:t>$1 029.46</w:t>
      </w:r>
    </w:p>
    <w:p>
      <w:pPr>
        <w:pStyle w:val="yMiscellaneousBodyLeft1cm"/>
      </w:pPr>
      <w:r>
        <w:tab/>
        <w:t xml:space="preserve">50 mm </w:t>
      </w:r>
      <w:r>
        <w:tab/>
        <w:t>$1 608.52</w:t>
      </w:r>
    </w:p>
    <w:p>
      <w:pPr>
        <w:pStyle w:val="yMiscellaneousBodyLeft1cm"/>
      </w:pPr>
      <w:r>
        <w:tab/>
        <w:t xml:space="preserve">80 mm </w:t>
      </w:r>
      <w:r>
        <w:tab/>
        <w:t>$4 117.84</w:t>
      </w:r>
    </w:p>
    <w:p>
      <w:pPr>
        <w:pStyle w:val="yMiscellaneousBodyLeft1cm"/>
      </w:pPr>
      <w:r>
        <w:tab/>
        <w:t xml:space="preserve">100 mm </w:t>
      </w:r>
      <w:r>
        <w:tab/>
        <w:t>$6 434.10</w:t>
      </w:r>
    </w:p>
    <w:p>
      <w:pPr>
        <w:pStyle w:val="yMiscellaneousBodyLeft1cm"/>
      </w:pPr>
      <w:r>
        <w:tab/>
        <w:t xml:space="preserve">150 mm </w:t>
      </w:r>
      <w:r>
        <w:tab/>
        <w:t>$14 476.69</w:t>
      </w:r>
    </w:p>
    <w:p>
      <w:pPr>
        <w:pStyle w:val="yHeading5"/>
      </w:pPr>
      <w:bookmarkStart w:id="199" w:name="_Toc169797184"/>
      <w:bookmarkStart w:id="200" w:name="_Toc169797494"/>
      <w:bookmarkStart w:id="201" w:name="_Toc170209189"/>
      <w:r>
        <w:t>4.</w:t>
      </w:r>
      <w:r>
        <w:tab/>
        <w:t>Vacant land</w:t>
      </w:r>
      <w:bookmarkEnd w:id="199"/>
      <w:bookmarkEnd w:id="200"/>
      <w:bookmarkEnd w:id="201"/>
    </w:p>
    <w:p>
      <w:pPr>
        <w:pStyle w:val="ySubsection"/>
        <w:tabs>
          <w:tab w:val="right" w:leader="dot" w:pos="6804"/>
        </w:tabs>
      </w:pPr>
      <w:r>
        <w:tab/>
      </w:r>
      <w:r>
        <w:tab/>
        <w:t xml:space="preserve">For vacant land, the charge is </w:t>
      </w:r>
      <w:r>
        <w:tab/>
        <w:t>$248.19</w:t>
      </w:r>
    </w:p>
    <w:p>
      <w:pPr>
        <w:pStyle w:val="yHeading5"/>
      </w:pPr>
      <w:bookmarkStart w:id="202" w:name="_Toc169797185"/>
      <w:bookmarkStart w:id="203" w:name="_Toc169797495"/>
      <w:bookmarkStart w:id="204" w:name="_Toc170209190"/>
      <w:r>
        <w:t>5.</w:t>
      </w:r>
      <w:r>
        <w:tab/>
        <w:t>Fire service connections</w:t>
      </w:r>
      <w:bookmarkEnd w:id="202"/>
      <w:bookmarkEnd w:id="203"/>
      <w:bookmarkEnd w:id="204"/>
    </w:p>
    <w:p>
      <w:pPr>
        <w:pStyle w:val="ySubsection"/>
        <w:tabs>
          <w:tab w:val="right" w:leader="dot" w:pos="6804"/>
        </w:tabs>
      </w:pPr>
      <w:r>
        <w:tab/>
      </w:r>
      <w:r>
        <w:tab/>
        <w:t xml:space="preserve">For a fire service connection, the charge is </w:t>
      </w:r>
      <w:r>
        <w:tab/>
        <w:t>$257.38</w:t>
      </w:r>
    </w:p>
    <w:p>
      <w:pPr>
        <w:pStyle w:val="yFootnotesection"/>
      </w:pPr>
      <w:r>
        <w:tab/>
        <w:t>[Division 1 inserted: SL 2024/117 r. 9.]</w:t>
      </w:r>
    </w:p>
    <w:p>
      <w:pPr>
        <w:pStyle w:val="yHeading3"/>
      </w:pPr>
      <w:bookmarkStart w:id="205" w:name="_Toc169797186"/>
      <w:bookmarkStart w:id="206" w:name="_Toc169797341"/>
      <w:bookmarkStart w:id="207" w:name="_Toc169797496"/>
      <w:bookmarkStart w:id="208" w:name="_Toc170138835"/>
      <w:bookmarkStart w:id="209" w:name="_Toc170203696"/>
      <w:bookmarkStart w:id="210" w:name="_Toc170209191"/>
      <w:r>
        <w:rPr>
          <w:rStyle w:val="CharSDivNo"/>
        </w:rPr>
        <w:lastRenderedPageBreak/>
        <w:t>Division 2</w:t>
      </w:r>
      <w:r>
        <w:t> — </w:t>
      </w:r>
      <w:r>
        <w:rPr>
          <w:rStyle w:val="CharSDivText"/>
        </w:rPr>
        <w:t>Consumption charges</w:t>
      </w:r>
      <w:bookmarkEnd w:id="205"/>
      <w:bookmarkEnd w:id="206"/>
      <w:bookmarkEnd w:id="207"/>
      <w:bookmarkEnd w:id="208"/>
      <w:bookmarkEnd w:id="209"/>
      <w:bookmarkEnd w:id="210"/>
    </w:p>
    <w:p>
      <w:pPr>
        <w:pStyle w:val="yFootnoteheading"/>
      </w:pPr>
      <w:bookmarkStart w:id="211" w:name="_Toc169797187"/>
      <w:bookmarkStart w:id="212" w:name="_Toc169797497"/>
      <w:r>
        <w:tab/>
        <w:t>[Heading inserted: SL 2024/117 r. 9.]</w:t>
      </w:r>
    </w:p>
    <w:p>
      <w:pPr>
        <w:pStyle w:val="yHeading5"/>
      </w:pPr>
      <w:bookmarkStart w:id="213" w:name="_Toc170209192"/>
      <w:r>
        <w:t>6.</w:t>
      </w:r>
      <w:r>
        <w:tab/>
        <w:t>Consumption charges for 2024/25 and subsequent years</w:t>
      </w:r>
      <w:bookmarkEnd w:id="211"/>
      <w:bookmarkEnd w:id="212"/>
      <w:bookmarkEnd w:id="213"/>
    </w:p>
    <w:p>
      <w:pPr>
        <w:pStyle w:val="ySubsection"/>
      </w:pPr>
      <w:r>
        <w:tab/>
      </w:r>
      <w:r>
        <w:tab/>
        <w:t>The charges set out in this Division apply for water supplied in the 2024/25 financial year and each subsequent year.</w:t>
      </w:r>
    </w:p>
    <w:p>
      <w:pPr>
        <w:pStyle w:val="yHeading5"/>
      </w:pPr>
      <w:bookmarkStart w:id="214" w:name="_Toc169797188"/>
      <w:bookmarkStart w:id="215" w:name="_Toc169797498"/>
      <w:bookmarkStart w:id="216" w:name="_Toc170209193"/>
      <w:r>
        <w:t>7.</w:t>
      </w:r>
      <w:r>
        <w:tab/>
        <w:t>Residential lots</w:t>
      </w:r>
      <w:bookmarkEnd w:id="214"/>
      <w:bookmarkEnd w:id="215"/>
      <w:bookmarkEnd w:id="216"/>
    </w:p>
    <w:p>
      <w:pPr>
        <w:pStyle w:val="ySubsection"/>
      </w:pPr>
      <w:r>
        <w:tab/>
        <w:t>(1)</w:t>
      </w:r>
      <w:r>
        <w:tab/>
        <w:t>For each kilolitre of water supplied to a residential lot, the charge is —</w:t>
      </w:r>
    </w:p>
    <w:p>
      <w:pPr>
        <w:pStyle w:val="yMiscellaneousBodyLeft1cm"/>
      </w:pPr>
      <w:r>
        <w:tab/>
        <w:t xml:space="preserve">up to 150 kL </w:t>
      </w:r>
      <w:r>
        <w:tab/>
        <w:t>$1.20</w:t>
      </w:r>
    </w:p>
    <w:p>
      <w:pPr>
        <w:pStyle w:val="yMiscellaneousBodyLeft1cm"/>
      </w:pPr>
      <w:r>
        <w:tab/>
        <w:t xml:space="preserve">over 150 but not over 350 kL </w:t>
      </w:r>
      <w:r>
        <w:tab/>
        <w:t>$1.67</w:t>
      </w:r>
    </w:p>
    <w:p>
      <w:pPr>
        <w:pStyle w:val="yMiscellaneousBodyLeft1cm"/>
      </w:pPr>
      <w:r>
        <w:tab/>
        <w:t xml:space="preserve">over 350 but not over 500 kL </w:t>
      </w:r>
      <w:r>
        <w:tab/>
        <w:t>$1.91</w:t>
      </w:r>
    </w:p>
    <w:p>
      <w:pPr>
        <w:pStyle w:val="yMiscellaneousBodyLeft1cm"/>
      </w:pPr>
      <w:r>
        <w:tab/>
        <w:t xml:space="preserve">over 500 but not over 700 kL </w:t>
      </w:r>
      <w:r>
        <w:tab/>
        <w:t>$2.52</w:t>
      </w:r>
    </w:p>
    <w:p>
      <w:pPr>
        <w:pStyle w:val="yMiscellaneousBodyLeft1cm"/>
      </w:pPr>
      <w:r>
        <w:tab/>
        <w:t xml:space="preserve">over 700 but not over 1 000 kL </w:t>
      </w:r>
      <w:r>
        <w:tab/>
        <w:t>$3.53</w:t>
      </w:r>
    </w:p>
    <w:p>
      <w:pPr>
        <w:pStyle w:val="yMiscellaneousBodyLeft1cm"/>
      </w:pPr>
      <w:r>
        <w:tab/>
        <w:t xml:space="preserve">over 1 000 kL </w:t>
      </w:r>
      <w:r>
        <w:tab/>
        <w:t>$3.62</w:t>
      </w:r>
    </w:p>
    <w:p>
      <w:pPr>
        <w:pStyle w:val="ySubsection"/>
      </w:pPr>
      <w:r>
        <w:tab/>
        <w:t>(2)</w:t>
      </w:r>
      <w:r>
        <w:tab/>
        <w:t>The volumetric ranges in this item have effect by reference to the volume of water supplied in the current consumption year.</w:t>
      </w:r>
    </w:p>
    <w:p>
      <w:pPr>
        <w:pStyle w:val="yHeading5"/>
      </w:pPr>
      <w:bookmarkStart w:id="217" w:name="_Toc169797189"/>
      <w:bookmarkStart w:id="218" w:name="_Toc169797499"/>
      <w:bookmarkStart w:id="219" w:name="_Toc170209194"/>
      <w:r>
        <w:t>8.</w:t>
      </w:r>
      <w:r>
        <w:tab/>
        <w:t>Non</w:t>
      </w:r>
      <w:r>
        <w:noBreakHyphen/>
        <w:t>residential lots</w:t>
      </w:r>
      <w:bookmarkEnd w:id="217"/>
      <w:bookmarkEnd w:id="218"/>
      <w:bookmarkEnd w:id="219"/>
    </w:p>
    <w:p>
      <w:pPr>
        <w:pStyle w:val="ySubsection"/>
        <w:tabs>
          <w:tab w:val="right" w:leader="dot" w:pos="6804"/>
        </w:tabs>
      </w:pPr>
      <w:r>
        <w:tab/>
      </w:r>
      <w:r>
        <w:tab/>
        <w:t xml:space="preserve">For each kilolitre of water supplied to a </w:t>
      </w:r>
      <w:r>
        <w:br/>
        <w:t>non</w:t>
      </w:r>
      <w:r>
        <w:noBreakHyphen/>
        <w:t xml:space="preserve">residential lot, the charge is </w:t>
      </w:r>
      <w:r>
        <w:tab/>
        <w:t>$2.03</w:t>
      </w:r>
    </w:p>
    <w:p>
      <w:pPr>
        <w:pStyle w:val="yHeading5"/>
      </w:pPr>
      <w:bookmarkStart w:id="220" w:name="_Toc169797190"/>
      <w:bookmarkStart w:id="221" w:name="_Toc169797500"/>
      <w:bookmarkStart w:id="222" w:name="_Toc170209195"/>
      <w:r>
        <w:t>9.</w:t>
      </w:r>
      <w:r>
        <w:tab/>
        <w:t>Water supply service (fire)</w:t>
      </w:r>
      <w:bookmarkEnd w:id="220"/>
      <w:bookmarkEnd w:id="221"/>
      <w:bookmarkEnd w:id="222"/>
    </w:p>
    <w:p>
      <w:pPr>
        <w:pStyle w:val="ySubsection"/>
        <w:tabs>
          <w:tab w:val="right" w:leader="dot" w:pos="6804"/>
        </w:tabs>
      </w:pPr>
      <w:r>
        <w:tab/>
      </w:r>
      <w:r>
        <w:tab/>
        <w:t xml:space="preserve">For each kilolitre of water supplied through a </w:t>
      </w:r>
      <w:r>
        <w:br/>
        <w:t xml:space="preserve">fire service connection, the charge is </w:t>
      </w:r>
      <w:r>
        <w:tab/>
        <w:t>$2.49</w:t>
      </w:r>
    </w:p>
    <w:p>
      <w:pPr>
        <w:pStyle w:val="yFootnotesection"/>
      </w:pPr>
      <w:r>
        <w:tab/>
        <w:t>[Division 2 inserted: SL 2024/117 r. 9.]</w:t>
      </w:r>
    </w:p>
    <w:p>
      <w:pPr>
        <w:pStyle w:val="yScheduleHeading"/>
      </w:pPr>
      <w:bookmarkStart w:id="223" w:name="_Toc169797191"/>
      <w:bookmarkStart w:id="224" w:name="_Toc169797346"/>
      <w:bookmarkStart w:id="225" w:name="_Toc169797501"/>
      <w:bookmarkStart w:id="226" w:name="_Toc170138840"/>
      <w:bookmarkStart w:id="227" w:name="_Toc170203701"/>
      <w:bookmarkStart w:id="228" w:name="_Toc170209196"/>
      <w:r>
        <w:rPr>
          <w:rStyle w:val="CharSchNo"/>
        </w:rPr>
        <w:lastRenderedPageBreak/>
        <w:t>Schedule 3</w:t>
      </w:r>
      <w:r>
        <w:t> — </w:t>
      </w:r>
      <w:r>
        <w:rPr>
          <w:rStyle w:val="CharSchText"/>
        </w:rPr>
        <w:t>Water supply charges for Water Corporation</w:t>
      </w:r>
      <w:bookmarkEnd w:id="223"/>
      <w:bookmarkEnd w:id="224"/>
      <w:bookmarkEnd w:id="225"/>
      <w:bookmarkEnd w:id="226"/>
      <w:bookmarkEnd w:id="227"/>
      <w:bookmarkEnd w:id="228"/>
    </w:p>
    <w:p>
      <w:pPr>
        <w:pStyle w:val="yShoulderClause"/>
      </w:pPr>
      <w:r>
        <w:t>[r. 24, 27 and 31]</w:t>
      </w:r>
    </w:p>
    <w:p>
      <w:pPr>
        <w:pStyle w:val="yFootnoteheading"/>
      </w:pPr>
      <w:r>
        <w:tab/>
        <w:t>[Heading inserted: SL 2024/117 r. 9.]</w:t>
      </w:r>
    </w:p>
    <w:p>
      <w:pPr>
        <w:pStyle w:val="yHeading3"/>
      </w:pPr>
      <w:bookmarkStart w:id="229" w:name="_Toc169797192"/>
      <w:bookmarkStart w:id="230" w:name="_Toc169797347"/>
      <w:bookmarkStart w:id="231" w:name="_Toc169797502"/>
      <w:bookmarkStart w:id="232" w:name="_Toc170138841"/>
      <w:bookmarkStart w:id="233" w:name="_Toc170203702"/>
      <w:bookmarkStart w:id="234" w:name="_Toc170209197"/>
      <w:r>
        <w:rPr>
          <w:rStyle w:val="CharSDivNo"/>
        </w:rPr>
        <w:t>Division 1</w:t>
      </w:r>
      <w:r>
        <w:t> — </w:t>
      </w:r>
      <w:r>
        <w:rPr>
          <w:rStyle w:val="CharSDivText"/>
        </w:rPr>
        <w:t>Service charges</w:t>
      </w:r>
      <w:bookmarkEnd w:id="229"/>
      <w:bookmarkEnd w:id="230"/>
      <w:bookmarkEnd w:id="231"/>
      <w:bookmarkEnd w:id="232"/>
      <w:bookmarkEnd w:id="233"/>
      <w:bookmarkEnd w:id="234"/>
    </w:p>
    <w:p>
      <w:pPr>
        <w:pStyle w:val="yFootnoteheading"/>
      </w:pPr>
      <w:r>
        <w:tab/>
        <w:t>[Heading inserted: SL 2024/117 r. 9.]</w:t>
      </w:r>
    </w:p>
    <w:p>
      <w:pPr>
        <w:pStyle w:val="yHeading4"/>
      </w:pPr>
      <w:bookmarkStart w:id="235" w:name="_Toc169797193"/>
      <w:bookmarkStart w:id="236" w:name="_Toc169797348"/>
      <w:bookmarkStart w:id="237" w:name="_Toc169797503"/>
      <w:bookmarkStart w:id="238" w:name="_Toc170138842"/>
      <w:bookmarkStart w:id="239" w:name="_Toc170203703"/>
      <w:bookmarkStart w:id="240" w:name="_Toc170209198"/>
      <w:r>
        <w:t>Subdivision 1 — Preliminary</w:t>
      </w:r>
      <w:bookmarkEnd w:id="235"/>
      <w:bookmarkEnd w:id="236"/>
      <w:bookmarkEnd w:id="237"/>
      <w:bookmarkEnd w:id="238"/>
      <w:bookmarkEnd w:id="239"/>
      <w:bookmarkEnd w:id="240"/>
    </w:p>
    <w:p>
      <w:pPr>
        <w:pStyle w:val="yFootnoteheading"/>
      </w:pPr>
      <w:r>
        <w:tab/>
        <w:t>[Heading inserted: SL 2024/117 r. 9.]</w:t>
      </w:r>
    </w:p>
    <w:p>
      <w:pPr>
        <w:pStyle w:val="yHeading5"/>
      </w:pPr>
      <w:bookmarkStart w:id="241" w:name="_Toc169797194"/>
      <w:bookmarkStart w:id="242" w:name="_Toc169797504"/>
      <w:bookmarkStart w:id="243" w:name="_Toc170209199"/>
      <w:r>
        <w:t>1.</w:t>
      </w:r>
      <w:r>
        <w:tab/>
        <w:t>Service charges for 2024/25 and subsequent years</w:t>
      </w:r>
      <w:bookmarkEnd w:id="241"/>
      <w:bookmarkEnd w:id="242"/>
      <w:bookmarkEnd w:id="243"/>
    </w:p>
    <w:p>
      <w:pPr>
        <w:pStyle w:val="ySubsection"/>
      </w:pPr>
      <w:r>
        <w:tab/>
      </w:r>
      <w:r>
        <w:tab/>
        <w:t>The charges set out in this Division apply for water supply services provided in the 2024/25 financial year and each subsequent year.</w:t>
      </w:r>
    </w:p>
    <w:p>
      <w:pPr>
        <w:pStyle w:val="yHeading5"/>
      </w:pPr>
      <w:bookmarkStart w:id="244" w:name="_Toc169797195"/>
      <w:bookmarkStart w:id="245" w:name="_Toc169797505"/>
      <w:bookmarkStart w:id="246" w:name="_Toc170209200"/>
      <w:r>
        <w:t>2.</w:t>
      </w:r>
      <w:r>
        <w:tab/>
        <w:t>Table of meter</w:t>
      </w:r>
      <w:r>
        <w:noBreakHyphen/>
        <w:t>based charges</w:t>
      </w:r>
      <w:bookmarkEnd w:id="244"/>
      <w:bookmarkEnd w:id="245"/>
      <w:bookmarkEnd w:id="246"/>
    </w:p>
    <w:p>
      <w:pPr>
        <w:pStyle w:val="ySubsection"/>
      </w:pPr>
      <w:r>
        <w:tab/>
      </w:r>
      <w:r>
        <w:tab/>
        <w:t>For the purposes of this Division, meter</w:t>
      </w:r>
      <w:r>
        <w:noBreakHyphen/>
        <w:t>based charges are set out in the Table.</w:t>
      </w:r>
    </w:p>
    <w:p>
      <w:pPr>
        <w:pStyle w:val="yTHeadingNAm"/>
      </w:pPr>
      <w:r>
        <w:t>Table of meter</w:t>
      </w:r>
      <w:r>
        <w:noBreakHyphen/>
        <w:t>based charges</w:t>
      </w:r>
    </w:p>
    <w:tbl>
      <w:tblPr>
        <w:tblW w:w="0" w:type="auto"/>
        <w:tblInd w:w="1418" w:type="dxa"/>
        <w:tblLayout w:type="fixed"/>
        <w:tblLook w:val="0000" w:firstRow="0" w:lastRow="0" w:firstColumn="0" w:lastColumn="0" w:noHBand="0" w:noVBand="0"/>
      </w:tblPr>
      <w:tblGrid>
        <w:gridCol w:w="2292"/>
        <w:gridCol w:w="2292"/>
      </w:tblGrid>
      <w:tr>
        <w:trPr>
          <w:cantSplit/>
          <w:tblHeader/>
        </w:trPr>
        <w:tc>
          <w:tcPr>
            <w:tcW w:w="2292" w:type="dxa"/>
            <w:tcBorders>
              <w:top w:val="single" w:sz="4" w:space="0" w:color="auto"/>
              <w:bottom w:val="single" w:sz="4" w:space="0" w:color="auto"/>
            </w:tcBorders>
            <w:noWrap/>
          </w:tcPr>
          <w:p>
            <w:pPr>
              <w:pStyle w:val="yTableNAm"/>
              <w:jc w:val="center"/>
            </w:pPr>
            <w:r>
              <w:rPr>
                <w:b/>
              </w:rPr>
              <w:t>Meter size</w:t>
            </w:r>
            <w:r>
              <w:rPr>
                <w:b/>
              </w:rPr>
              <w:br/>
              <w:t>mm</w:t>
            </w:r>
          </w:p>
        </w:tc>
        <w:tc>
          <w:tcPr>
            <w:tcW w:w="2292" w:type="dxa"/>
            <w:tcBorders>
              <w:top w:val="single" w:sz="4" w:space="0" w:color="auto"/>
              <w:bottom w:val="single" w:sz="4" w:space="0" w:color="auto"/>
            </w:tcBorders>
            <w:noWrap/>
          </w:tcPr>
          <w:p>
            <w:pPr>
              <w:pStyle w:val="yTableNAm"/>
              <w:jc w:val="center"/>
            </w:pPr>
            <w:r>
              <w:rPr>
                <w:b/>
              </w:rPr>
              <w:t>Charge</w:t>
            </w:r>
            <w:r>
              <w:rPr>
                <w:b/>
              </w:rPr>
              <w:br/>
              <w:t>$</w:t>
            </w:r>
          </w:p>
        </w:tc>
      </w:tr>
      <w:tr>
        <w:trPr>
          <w:cantSplit/>
        </w:trPr>
        <w:tc>
          <w:tcPr>
            <w:tcW w:w="2292" w:type="dxa"/>
            <w:noWrap/>
          </w:tcPr>
          <w:p>
            <w:pPr>
              <w:pStyle w:val="yTableNAm"/>
              <w:jc w:val="center"/>
            </w:pPr>
            <w:r>
              <w:t>15, 20</w:t>
            </w:r>
          </w:p>
        </w:tc>
        <w:tc>
          <w:tcPr>
            <w:tcW w:w="2292" w:type="dxa"/>
            <w:noWrap/>
          </w:tcPr>
          <w:p>
            <w:pPr>
              <w:pStyle w:val="yTableNAm"/>
              <w:jc w:val="center"/>
            </w:pPr>
            <w:r>
              <w:t>307.80</w:t>
            </w:r>
          </w:p>
        </w:tc>
      </w:tr>
      <w:tr>
        <w:trPr>
          <w:cantSplit/>
        </w:trPr>
        <w:tc>
          <w:tcPr>
            <w:tcW w:w="2292" w:type="dxa"/>
            <w:noWrap/>
          </w:tcPr>
          <w:p>
            <w:pPr>
              <w:pStyle w:val="yTableNAm"/>
              <w:jc w:val="center"/>
            </w:pPr>
            <w:r>
              <w:t>25</w:t>
            </w:r>
          </w:p>
        </w:tc>
        <w:tc>
          <w:tcPr>
            <w:tcW w:w="2292" w:type="dxa"/>
            <w:noWrap/>
          </w:tcPr>
          <w:p>
            <w:pPr>
              <w:pStyle w:val="yTableNAm"/>
              <w:jc w:val="center"/>
            </w:pPr>
            <w:r>
              <w:t>480.98</w:t>
            </w:r>
          </w:p>
        </w:tc>
      </w:tr>
      <w:tr>
        <w:trPr>
          <w:cantSplit/>
        </w:trPr>
        <w:tc>
          <w:tcPr>
            <w:tcW w:w="2292" w:type="dxa"/>
            <w:noWrap/>
          </w:tcPr>
          <w:p>
            <w:pPr>
              <w:pStyle w:val="yTableNAm"/>
              <w:jc w:val="center"/>
            </w:pPr>
            <w:r>
              <w:t>30</w:t>
            </w:r>
          </w:p>
        </w:tc>
        <w:tc>
          <w:tcPr>
            <w:tcW w:w="2292" w:type="dxa"/>
            <w:noWrap/>
          </w:tcPr>
          <w:p>
            <w:pPr>
              <w:pStyle w:val="yTableNAm"/>
              <w:jc w:val="center"/>
            </w:pPr>
            <w:r>
              <w:t>692.55</w:t>
            </w:r>
          </w:p>
        </w:tc>
      </w:tr>
      <w:tr>
        <w:trPr>
          <w:cantSplit/>
        </w:trPr>
        <w:tc>
          <w:tcPr>
            <w:tcW w:w="2292" w:type="dxa"/>
            <w:noWrap/>
          </w:tcPr>
          <w:p>
            <w:pPr>
              <w:pStyle w:val="yTableNAm"/>
              <w:jc w:val="center"/>
            </w:pPr>
            <w:r>
              <w:t>35, 38, 40</w:t>
            </w:r>
          </w:p>
        </w:tc>
        <w:tc>
          <w:tcPr>
            <w:tcW w:w="2292" w:type="dxa"/>
            <w:noWrap/>
          </w:tcPr>
          <w:p>
            <w:pPr>
              <w:pStyle w:val="yTableNAm"/>
              <w:jc w:val="center"/>
            </w:pPr>
            <w:r>
              <w:t>1 231.28</w:t>
            </w:r>
          </w:p>
        </w:tc>
      </w:tr>
      <w:tr>
        <w:trPr>
          <w:cantSplit/>
        </w:trPr>
        <w:tc>
          <w:tcPr>
            <w:tcW w:w="2292" w:type="dxa"/>
            <w:noWrap/>
          </w:tcPr>
          <w:p>
            <w:pPr>
              <w:pStyle w:val="yTableNAm"/>
              <w:jc w:val="center"/>
            </w:pPr>
            <w:r>
              <w:t>50</w:t>
            </w:r>
          </w:p>
        </w:tc>
        <w:tc>
          <w:tcPr>
            <w:tcW w:w="2292" w:type="dxa"/>
            <w:noWrap/>
          </w:tcPr>
          <w:p>
            <w:pPr>
              <w:pStyle w:val="yTableNAm"/>
              <w:jc w:val="center"/>
            </w:pPr>
            <w:r>
              <w:t>1 923.84</w:t>
            </w:r>
          </w:p>
        </w:tc>
      </w:tr>
      <w:tr>
        <w:trPr>
          <w:cantSplit/>
        </w:trPr>
        <w:tc>
          <w:tcPr>
            <w:tcW w:w="2292" w:type="dxa"/>
            <w:noWrap/>
          </w:tcPr>
          <w:p>
            <w:pPr>
              <w:pStyle w:val="yTableNAm"/>
              <w:jc w:val="center"/>
            </w:pPr>
            <w:r>
              <w:t>70, 75, 80</w:t>
            </w:r>
          </w:p>
        </w:tc>
        <w:tc>
          <w:tcPr>
            <w:tcW w:w="2292" w:type="dxa"/>
            <w:noWrap/>
          </w:tcPr>
          <w:p>
            <w:pPr>
              <w:pStyle w:val="yTableNAm"/>
              <w:jc w:val="center"/>
            </w:pPr>
            <w:r>
              <w:t>4 925.05</w:t>
            </w:r>
          </w:p>
        </w:tc>
      </w:tr>
      <w:tr>
        <w:trPr>
          <w:cantSplit/>
        </w:trPr>
        <w:tc>
          <w:tcPr>
            <w:tcW w:w="2292" w:type="dxa"/>
            <w:noWrap/>
          </w:tcPr>
          <w:p>
            <w:pPr>
              <w:pStyle w:val="yTableNAm"/>
              <w:jc w:val="center"/>
            </w:pPr>
            <w:r>
              <w:t>100</w:t>
            </w:r>
          </w:p>
        </w:tc>
        <w:tc>
          <w:tcPr>
            <w:tcW w:w="2292" w:type="dxa"/>
            <w:noWrap/>
          </w:tcPr>
          <w:p>
            <w:pPr>
              <w:pStyle w:val="yTableNAm"/>
              <w:jc w:val="center"/>
            </w:pPr>
            <w:r>
              <w:t>7 695.38</w:t>
            </w:r>
          </w:p>
        </w:tc>
      </w:tr>
      <w:tr>
        <w:trPr>
          <w:cantSplit/>
        </w:trPr>
        <w:tc>
          <w:tcPr>
            <w:tcW w:w="2292" w:type="dxa"/>
            <w:noWrap/>
          </w:tcPr>
          <w:p>
            <w:pPr>
              <w:pStyle w:val="yTableNAm"/>
              <w:jc w:val="center"/>
            </w:pPr>
            <w:r>
              <w:t>140, 150</w:t>
            </w:r>
          </w:p>
        </w:tc>
        <w:tc>
          <w:tcPr>
            <w:tcW w:w="2292" w:type="dxa"/>
            <w:noWrap/>
          </w:tcPr>
          <w:p>
            <w:pPr>
              <w:pStyle w:val="yTableNAm"/>
              <w:jc w:val="center"/>
            </w:pPr>
            <w:r>
              <w:t>17 314.62</w:t>
            </w:r>
          </w:p>
        </w:tc>
      </w:tr>
      <w:tr>
        <w:trPr>
          <w:cantSplit/>
        </w:trPr>
        <w:tc>
          <w:tcPr>
            <w:tcW w:w="2292" w:type="dxa"/>
            <w:noWrap/>
          </w:tcPr>
          <w:p>
            <w:pPr>
              <w:pStyle w:val="yTableNAm"/>
              <w:jc w:val="center"/>
            </w:pPr>
            <w:r>
              <w:t>200</w:t>
            </w:r>
          </w:p>
        </w:tc>
        <w:tc>
          <w:tcPr>
            <w:tcW w:w="2292" w:type="dxa"/>
            <w:noWrap/>
          </w:tcPr>
          <w:p>
            <w:pPr>
              <w:pStyle w:val="yTableNAm"/>
              <w:jc w:val="center"/>
            </w:pPr>
            <w:r>
              <w:t>30 781.53</w:t>
            </w:r>
          </w:p>
        </w:tc>
      </w:tr>
      <w:tr>
        <w:trPr>
          <w:cantSplit/>
        </w:trPr>
        <w:tc>
          <w:tcPr>
            <w:tcW w:w="2292" w:type="dxa"/>
            <w:noWrap/>
          </w:tcPr>
          <w:p>
            <w:pPr>
              <w:pStyle w:val="yTableNAm"/>
              <w:jc w:val="center"/>
            </w:pPr>
            <w:r>
              <w:lastRenderedPageBreak/>
              <w:t>250</w:t>
            </w:r>
          </w:p>
        </w:tc>
        <w:tc>
          <w:tcPr>
            <w:tcW w:w="2292" w:type="dxa"/>
            <w:noWrap/>
          </w:tcPr>
          <w:p>
            <w:pPr>
              <w:pStyle w:val="yTableNAm"/>
              <w:jc w:val="center"/>
            </w:pPr>
            <w:r>
              <w:t>48 096.15</w:t>
            </w:r>
          </w:p>
        </w:tc>
      </w:tr>
      <w:tr>
        <w:trPr>
          <w:cantSplit/>
        </w:trPr>
        <w:tc>
          <w:tcPr>
            <w:tcW w:w="2292" w:type="dxa"/>
            <w:noWrap/>
          </w:tcPr>
          <w:p>
            <w:pPr>
              <w:pStyle w:val="yTableNAm"/>
              <w:jc w:val="center"/>
            </w:pPr>
            <w:r>
              <w:t>300</w:t>
            </w:r>
          </w:p>
        </w:tc>
        <w:tc>
          <w:tcPr>
            <w:tcW w:w="2292" w:type="dxa"/>
            <w:noWrap/>
          </w:tcPr>
          <w:p>
            <w:pPr>
              <w:pStyle w:val="yTableNAm"/>
              <w:jc w:val="center"/>
            </w:pPr>
            <w:r>
              <w:t>69 258.46</w:t>
            </w:r>
          </w:p>
        </w:tc>
      </w:tr>
      <w:tr>
        <w:trPr>
          <w:cantSplit/>
        </w:trPr>
        <w:tc>
          <w:tcPr>
            <w:tcW w:w="2292" w:type="dxa"/>
            <w:tcBorders>
              <w:bottom w:val="single" w:sz="4" w:space="0" w:color="auto"/>
            </w:tcBorders>
            <w:noWrap/>
          </w:tcPr>
          <w:p>
            <w:pPr>
              <w:pStyle w:val="yTableNAm"/>
              <w:jc w:val="center"/>
            </w:pPr>
            <w:r>
              <w:t>350</w:t>
            </w:r>
          </w:p>
        </w:tc>
        <w:tc>
          <w:tcPr>
            <w:tcW w:w="2292" w:type="dxa"/>
            <w:tcBorders>
              <w:bottom w:val="single" w:sz="4" w:space="0" w:color="auto"/>
            </w:tcBorders>
            <w:noWrap/>
          </w:tcPr>
          <w:p>
            <w:pPr>
              <w:pStyle w:val="yTableNAm"/>
              <w:jc w:val="center"/>
            </w:pPr>
            <w:r>
              <w:t>94 268.50</w:t>
            </w:r>
          </w:p>
        </w:tc>
      </w:tr>
    </w:tbl>
    <w:p>
      <w:pPr>
        <w:pStyle w:val="yHeading4"/>
      </w:pPr>
      <w:bookmarkStart w:id="247" w:name="_Toc169797196"/>
      <w:bookmarkStart w:id="248" w:name="_Toc169797351"/>
      <w:bookmarkStart w:id="249" w:name="_Toc169797506"/>
      <w:bookmarkStart w:id="250" w:name="_Toc170138845"/>
      <w:bookmarkStart w:id="251" w:name="_Toc170203706"/>
      <w:bookmarkStart w:id="252" w:name="_Toc170209201"/>
      <w:r>
        <w:t>Subdivision 2 — Service charges that apply for land</w:t>
      </w:r>
      <w:bookmarkEnd w:id="247"/>
      <w:bookmarkEnd w:id="248"/>
      <w:bookmarkEnd w:id="249"/>
      <w:bookmarkEnd w:id="250"/>
      <w:bookmarkEnd w:id="251"/>
      <w:bookmarkEnd w:id="252"/>
    </w:p>
    <w:p>
      <w:pPr>
        <w:pStyle w:val="yFootnoteheading"/>
      </w:pPr>
      <w:bookmarkStart w:id="253" w:name="_Toc169797197"/>
      <w:bookmarkStart w:id="254" w:name="_Toc169797507"/>
      <w:r>
        <w:tab/>
        <w:t>[Heading inserted: SL 2024/117 r. 9.]</w:t>
      </w:r>
    </w:p>
    <w:p>
      <w:pPr>
        <w:pStyle w:val="yHeading5"/>
      </w:pPr>
      <w:bookmarkStart w:id="255" w:name="_Toc170209202"/>
      <w:r>
        <w:t>3.</w:t>
      </w:r>
      <w:r>
        <w:tab/>
        <w:t>Residential</w:t>
      </w:r>
      <w:bookmarkEnd w:id="253"/>
      <w:bookmarkEnd w:id="254"/>
      <w:bookmarkEnd w:id="255"/>
    </w:p>
    <w:p>
      <w:pPr>
        <w:pStyle w:val="ySubsection"/>
        <w:tabs>
          <w:tab w:val="right" w:leader="dot" w:pos="6804"/>
        </w:tabs>
      </w:pPr>
      <w:r>
        <w:tab/>
      </w:r>
      <w:r>
        <w:tab/>
        <w:t xml:space="preserve">For a residential property not covered by </w:t>
      </w:r>
      <w:r>
        <w:br/>
        <w:t xml:space="preserve">item 4, 5, 8, 9 or 10, the charge, per </w:t>
      </w:r>
      <w:r>
        <w:br/>
        <w:t xml:space="preserve">dwelling on the land, is </w:t>
      </w:r>
      <w:r>
        <w:tab/>
        <w:t>$289.65</w:t>
      </w:r>
    </w:p>
    <w:p>
      <w:pPr>
        <w:pStyle w:val="yHeading5"/>
      </w:pPr>
      <w:bookmarkStart w:id="256" w:name="_Toc169797198"/>
      <w:bookmarkStart w:id="257" w:name="_Toc169797508"/>
      <w:bookmarkStart w:id="258" w:name="_Toc170209203"/>
      <w:r>
        <w:t>4.</w:t>
      </w:r>
      <w:r>
        <w:tab/>
        <w:t>Metropolitan concessional</w:t>
      </w:r>
      <w:bookmarkEnd w:id="256"/>
      <w:bookmarkEnd w:id="257"/>
      <w:bookmarkEnd w:id="258"/>
    </w:p>
    <w:p>
      <w:pPr>
        <w:pStyle w:val="ySubsection"/>
      </w:pPr>
      <w:r>
        <w:tab/>
        <w:t>(1)</w:t>
      </w:r>
      <w:r>
        <w:tab/>
        <w:t>For land in the metropolitan area that is classified as aged home, community purpose or charitable purposes, the charge, per water supply connection, is the discounted charge set out in the Table to this sub</w:t>
      </w:r>
      <w:r>
        <w:noBreakHyphen/>
        <w:t>item, according to the relevant meter size.</w:t>
      </w:r>
    </w:p>
    <w:p>
      <w:pPr>
        <w:pStyle w:val="yTHeadingNAm"/>
      </w:pPr>
      <w:r>
        <w:t>Table of charges and discounts</w:t>
      </w:r>
    </w:p>
    <w:tbl>
      <w:tblPr>
        <w:tblW w:w="5529" w:type="dxa"/>
        <w:tblInd w:w="1418" w:type="dxa"/>
        <w:tblLayout w:type="fixed"/>
        <w:tblLook w:val="0000" w:firstRow="0" w:lastRow="0" w:firstColumn="0" w:lastColumn="0" w:noHBand="0" w:noVBand="0"/>
      </w:tblPr>
      <w:tblGrid>
        <w:gridCol w:w="1560"/>
        <w:gridCol w:w="1275"/>
        <w:gridCol w:w="1276"/>
        <w:gridCol w:w="1418"/>
      </w:tblGrid>
      <w:tr>
        <w:trPr>
          <w:cantSplit/>
          <w:tblHeader/>
        </w:trPr>
        <w:tc>
          <w:tcPr>
            <w:tcW w:w="1560" w:type="dxa"/>
            <w:tcBorders>
              <w:top w:val="single" w:sz="4" w:space="0" w:color="auto"/>
              <w:bottom w:val="single" w:sz="4" w:space="0" w:color="auto"/>
            </w:tcBorders>
            <w:noWrap/>
            <w:vAlign w:val="center"/>
          </w:tcPr>
          <w:p>
            <w:pPr>
              <w:pStyle w:val="yTableNAm"/>
              <w:jc w:val="center"/>
            </w:pPr>
            <w:r>
              <w:rPr>
                <w:b/>
              </w:rPr>
              <w:t>Meter size</w:t>
            </w:r>
            <w:r>
              <w:rPr>
                <w:b/>
              </w:rPr>
              <w:br/>
            </w:r>
            <w:r>
              <w:rPr>
                <w:b/>
              </w:rPr>
              <w:br/>
              <w:t>mm</w:t>
            </w:r>
          </w:p>
        </w:tc>
        <w:tc>
          <w:tcPr>
            <w:tcW w:w="127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560" w:type="dxa"/>
            <w:tcBorders>
              <w:top w:val="single" w:sz="4" w:space="0" w:color="auto"/>
            </w:tcBorders>
            <w:noWrap/>
            <w:tcMar>
              <w:left w:w="28" w:type="dxa"/>
              <w:right w:w="28" w:type="dxa"/>
            </w:tcMar>
          </w:tcPr>
          <w:p>
            <w:pPr>
              <w:pStyle w:val="yTableNAm"/>
              <w:jc w:val="center"/>
            </w:pPr>
            <w:r>
              <w:t>15, 20</w:t>
            </w:r>
          </w:p>
        </w:tc>
        <w:tc>
          <w:tcPr>
            <w:tcW w:w="1275" w:type="dxa"/>
            <w:tcBorders>
              <w:top w:val="single" w:sz="4" w:space="0" w:color="auto"/>
            </w:tcBorders>
            <w:noWrap/>
          </w:tcPr>
          <w:p>
            <w:pPr>
              <w:pStyle w:val="yTableNAm"/>
              <w:jc w:val="center"/>
            </w:pPr>
            <w:r>
              <w:t>307.80</w:t>
            </w:r>
          </w:p>
        </w:tc>
        <w:tc>
          <w:tcPr>
            <w:tcW w:w="1276" w:type="dxa"/>
            <w:tcBorders>
              <w:top w:val="single" w:sz="4" w:space="0" w:color="auto"/>
            </w:tcBorders>
            <w:noWrap/>
          </w:tcPr>
          <w:p>
            <w:pPr>
              <w:pStyle w:val="yTableNAm"/>
              <w:jc w:val="center"/>
            </w:pPr>
            <w:r>
              <w:t>307.80</w:t>
            </w:r>
          </w:p>
        </w:tc>
        <w:tc>
          <w:tcPr>
            <w:tcW w:w="1418" w:type="dxa"/>
            <w:tcBorders>
              <w:top w:val="single" w:sz="4" w:space="0" w:color="auto"/>
            </w:tcBorders>
            <w:noWrap/>
            <w:vAlign w:val="bottom"/>
          </w:tcPr>
          <w:p>
            <w:pPr>
              <w:pStyle w:val="yTableNAm"/>
              <w:jc w:val="center"/>
            </w:pPr>
            <w:r>
              <w:t>0.00</w:t>
            </w:r>
          </w:p>
        </w:tc>
      </w:tr>
      <w:tr>
        <w:trPr>
          <w:cantSplit/>
        </w:trPr>
        <w:tc>
          <w:tcPr>
            <w:tcW w:w="1560" w:type="dxa"/>
            <w:noWrap/>
            <w:tcMar>
              <w:left w:w="62" w:type="dxa"/>
              <w:right w:w="62" w:type="dxa"/>
            </w:tcMar>
          </w:tcPr>
          <w:p>
            <w:pPr>
              <w:pStyle w:val="yTableNAm"/>
              <w:jc w:val="center"/>
            </w:pPr>
            <w:r>
              <w:t>25</w:t>
            </w:r>
          </w:p>
        </w:tc>
        <w:tc>
          <w:tcPr>
            <w:tcW w:w="1275" w:type="dxa"/>
            <w:noWrap/>
          </w:tcPr>
          <w:p>
            <w:pPr>
              <w:pStyle w:val="yTableNAm"/>
              <w:jc w:val="center"/>
            </w:pPr>
            <w:r>
              <w:t>480.98</w:t>
            </w:r>
          </w:p>
        </w:tc>
        <w:tc>
          <w:tcPr>
            <w:tcW w:w="1276" w:type="dxa"/>
            <w:noWrap/>
          </w:tcPr>
          <w:p>
            <w:pPr>
              <w:pStyle w:val="yTableNAm"/>
              <w:jc w:val="center"/>
            </w:pPr>
            <w:r>
              <w:t>480.98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w:t>
            </w:r>
          </w:p>
        </w:tc>
        <w:tc>
          <w:tcPr>
            <w:tcW w:w="1275" w:type="dxa"/>
            <w:noWrap/>
          </w:tcPr>
          <w:p>
            <w:pPr>
              <w:pStyle w:val="yTableNAm"/>
              <w:jc w:val="center"/>
            </w:pPr>
            <w:r>
              <w:t>692.55</w:t>
            </w:r>
          </w:p>
        </w:tc>
        <w:tc>
          <w:tcPr>
            <w:tcW w:w="1276" w:type="dxa"/>
            <w:noWrap/>
          </w:tcPr>
          <w:p>
            <w:pPr>
              <w:pStyle w:val="yTableNAm"/>
              <w:jc w:val="center"/>
            </w:pPr>
            <w:r>
              <w:t>692.55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35, 38, 40</w:t>
            </w:r>
          </w:p>
        </w:tc>
        <w:tc>
          <w:tcPr>
            <w:tcW w:w="1275" w:type="dxa"/>
            <w:noWrap/>
          </w:tcPr>
          <w:p>
            <w:pPr>
              <w:pStyle w:val="yTableNAm"/>
              <w:jc w:val="center"/>
            </w:pPr>
            <w:r>
              <w:t>1 231.28</w:t>
            </w:r>
          </w:p>
        </w:tc>
        <w:tc>
          <w:tcPr>
            <w:tcW w:w="1276" w:type="dxa"/>
            <w:noWrap/>
          </w:tcPr>
          <w:p>
            <w:pPr>
              <w:pStyle w:val="yTableNAm"/>
              <w:jc w:val="center"/>
            </w:pPr>
            <w:r>
              <w:t>1 231.28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50</w:t>
            </w:r>
          </w:p>
        </w:tc>
        <w:tc>
          <w:tcPr>
            <w:tcW w:w="1275" w:type="dxa"/>
            <w:noWrap/>
          </w:tcPr>
          <w:p>
            <w:pPr>
              <w:pStyle w:val="yTableNAm"/>
              <w:jc w:val="center"/>
            </w:pPr>
            <w:r>
              <w:t>1 923.84</w:t>
            </w:r>
          </w:p>
        </w:tc>
        <w:tc>
          <w:tcPr>
            <w:tcW w:w="1276" w:type="dxa"/>
            <w:noWrap/>
          </w:tcPr>
          <w:p>
            <w:pPr>
              <w:pStyle w:val="yTableNAm"/>
              <w:jc w:val="center"/>
            </w:pPr>
            <w:r>
              <w:t>1 923.84</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70, 75, 80</w:t>
            </w:r>
          </w:p>
        </w:tc>
        <w:tc>
          <w:tcPr>
            <w:tcW w:w="1275" w:type="dxa"/>
            <w:noWrap/>
          </w:tcPr>
          <w:p>
            <w:pPr>
              <w:pStyle w:val="yTableNAm"/>
              <w:jc w:val="center"/>
            </w:pPr>
            <w:r>
              <w:t>4 925.05</w:t>
            </w:r>
          </w:p>
        </w:tc>
        <w:tc>
          <w:tcPr>
            <w:tcW w:w="1276" w:type="dxa"/>
            <w:noWrap/>
          </w:tcPr>
          <w:p>
            <w:pPr>
              <w:pStyle w:val="yTableNAm"/>
              <w:jc w:val="center"/>
            </w:pPr>
            <w:r>
              <w:t>4 925.05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100</w:t>
            </w:r>
          </w:p>
        </w:tc>
        <w:tc>
          <w:tcPr>
            <w:tcW w:w="1275" w:type="dxa"/>
            <w:noWrap/>
          </w:tcPr>
          <w:p>
            <w:pPr>
              <w:pStyle w:val="yTableNAm"/>
              <w:jc w:val="center"/>
            </w:pPr>
            <w:r>
              <w:t>7 695.38</w:t>
            </w:r>
          </w:p>
        </w:tc>
        <w:tc>
          <w:tcPr>
            <w:tcW w:w="1276" w:type="dxa"/>
            <w:noWrap/>
          </w:tcPr>
          <w:p>
            <w:pPr>
              <w:pStyle w:val="yTableNAm"/>
              <w:jc w:val="center"/>
            </w:pPr>
            <w:r>
              <w:t>7 695.38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140, 150</w:t>
            </w:r>
          </w:p>
        </w:tc>
        <w:tc>
          <w:tcPr>
            <w:tcW w:w="1275" w:type="dxa"/>
            <w:noWrap/>
          </w:tcPr>
          <w:p>
            <w:pPr>
              <w:pStyle w:val="yTableNAm"/>
              <w:jc w:val="center"/>
            </w:pPr>
            <w:r>
              <w:t>17 314.62</w:t>
            </w:r>
          </w:p>
        </w:tc>
        <w:tc>
          <w:tcPr>
            <w:tcW w:w="1276" w:type="dxa"/>
            <w:noWrap/>
          </w:tcPr>
          <w:p>
            <w:pPr>
              <w:pStyle w:val="yTableNAm"/>
              <w:jc w:val="center"/>
            </w:pPr>
            <w:r>
              <w:t>17 314.62</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lastRenderedPageBreak/>
              <w:t>200</w:t>
            </w:r>
          </w:p>
        </w:tc>
        <w:tc>
          <w:tcPr>
            <w:tcW w:w="1275" w:type="dxa"/>
            <w:noWrap/>
          </w:tcPr>
          <w:p>
            <w:pPr>
              <w:pStyle w:val="yTableNAm"/>
              <w:jc w:val="center"/>
            </w:pPr>
            <w:r>
              <w:t>30 781.53</w:t>
            </w:r>
          </w:p>
        </w:tc>
        <w:tc>
          <w:tcPr>
            <w:tcW w:w="1276" w:type="dxa"/>
            <w:noWrap/>
          </w:tcPr>
          <w:p>
            <w:pPr>
              <w:pStyle w:val="yTableNAm"/>
              <w:jc w:val="center"/>
            </w:pPr>
            <w:r>
              <w:t>30 781.53</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250</w:t>
            </w:r>
          </w:p>
        </w:tc>
        <w:tc>
          <w:tcPr>
            <w:tcW w:w="1275" w:type="dxa"/>
            <w:noWrap/>
          </w:tcPr>
          <w:p>
            <w:pPr>
              <w:pStyle w:val="yTableNAm"/>
              <w:jc w:val="center"/>
            </w:pPr>
            <w:r>
              <w:t>48 096.15</w:t>
            </w:r>
          </w:p>
        </w:tc>
        <w:tc>
          <w:tcPr>
            <w:tcW w:w="1276" w:type="dxa"/>
            <w:noWrap/>
          </w:tcPr>
          <w:p>
            <w:pPr>
              <w:pStyle w:val="yTableNAm"/>
              <w:jc w:val="center"/>
            </w:pPr>
            <w:r>
              <w:t>48 096.15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300</w:t>
            </w:r>
          </w:p>
        </w:tc>
        <w:tc>
          <w:tcPr>
            <w:tcW w:w="1275" w:type="dxa"/>
            <w:noWrap/>
          </w:tcPr>
          <w:p>
            <w:pPr>
              <w:pStyle w:val="yTableNAm"/>
              <w:jc w:val="center"/>
            </w:pPr>
            <w:r>
              <w:t>69 258.46</w:t>
            </w:r>
          </w:p>
        </w:tc>
        <w:tc>
          <w:tcPr>
            <w:tcW w:w="1276" w:type="dxa"/>
            <w:noWrap/>
          </w:tcPr>
          <w:p>
            <w:pPr>
              <w:pStyle w:val="yTableNAm"/>
              <w:jc w:val="center"/>
            </w:pPr>
            <w:r>
              <w:t>69 258.46</w:t>
            </w:r>
          </w:p>
        </w:tc>
        <w:tc>
          <w:tcPr>
            <w:tcW w:w="1418" w:type="dxa"/>
            <w:noWrap/>
            <w:vAlign w:val="bottom"/>
          </w:tcPr>
          <w:p>
            <w:pPr>
              <w:pStyle w:val="yTableNAm"/>
              <w:jc w:val="center"/>
            </w:pPr>
            <w:r>
              <w:t>0.00</w:t>
            </w:r>
          </w:p>
        </w:tc>
      </w:tr>
      <w:tr>
        <w:trPr>
          <w:cantSplit/>
        </w:trPr>
        <w:tc>
          <w:tcPr>
            <w:tcW w:w="1560" w:type="dxa"/>
            <w:tcBorders>
              <w:bottom w:val="single" w:sz="4" w:space="0" w:color="auto"/>
            </w:tcBorders>
            <w:noWrap/>
            <w:tcMar>
              <w:left w:w="28" w:type="dxa"/>
              <w:right w:w="57" w:type="dxa"/>
            </w:tcMar>
          </w:tcPr>
          <w:p>
            <w:pPr>
              <w:pStyle w:val="yTableNAm"/>
              <w:jc w:val="center"/>
            </w:pPr>
            <w:r>
              <w:t>350</w:t>
            </w:r>
          </w:p>
        </w:tc>
        <w:tc>
          <w:tcPr>
            <w:tcW w:w="1275" w:type="dxa"/>
            <w:tcBorders>
              <w:bottom w:val="single" w:sz="4" w:space="0" w:color="auto"/>
            </w:tcBorders>
            <w:noWrap/>
          </w:tcPr>
          <w:p>
            <w:pPr>
              <w:pStyle w:val="yTableNAm"/>
              <w:jc w:val="center"/>
            </w:pPr>
            <w:r>
              <w:t>94 268.50</w:t>
            </w:r>
          </w:p>
        </w:tc>
        <w:tc>
          <w:tcPr>
            <w:tcW w:w="1276" w:type="dxa"/>
            <w:tcBorders>
              <w:bottom w:val="single" w:sz="4" w:space="0" w:color="auto"/>
            </w:tcBorders>
            <w:noWrap/>
          </w:tcPr>
          <w:p>
            <w:pPr>
              <w:pStyle w:val="yTableNAm"/>
              <w:jc w:val="center"/>
            </w:pPr>
            <w:r>
              <w:t>94 268.50</w:t>
            </w:r>
          </w:p>
        </w:tc>
        <w:tc>
          <w:tcPr>
            <w:tcW w:w="1418" w:type="dxa"/>
            <w:tcBorders>
              <w:bottom w:val="single" w:sz="4" w:space="0" w:color="auto"/>
            </w:tcBorders>
            <w:noWrap/>
            <w:vAlign w:val="bottom"/>
          </w:tcPr>
          <w:p>
            <w:pPr>
              <w:pStyle w:val="yTableNAm"/>
              <w:jc w:val="center"/>
            </w:pPr>
            <w:r>
              <w:t>0.00</w:t>
            </w:r>
          </w:p>
        </w:tc>
      </w:tr>
    </w:tbl>
    <w:p>
      <w:pPr>
        <w:pStyle w:val="ySubsection"/>
      </w:pPr>
      <w:r>
        <w:tab/>
        <w:t>(2)</w:t>
      </w:r>
      <w:r>
        <w:tab/>
        <w:t>Sub</w:t>
      </w:r>
      <w:r>
        <w:noBreakHyphen/>
        <w:t>item (1) does not apply to a connection covered by item 21.</w:t>
      </w:r>
    </w:p>
    <w:p>
      <w:pPr>
        <w:pStyle w:val="ySubsection"/>
      </w:pPr>
      <w:r>
        <w:tab/>
        <w:t>(3)</w:t>
      </w:r>
      <w:r>
        <w:tab/>
        <w:t>For concessional land in the metropolitan area which, although a water service is provided, is not connected to water supply works of the Water Corporation, the charge is the discounted charge set out in the Table to this sub</w:t>
      </w:r>
      <w:r>
        <w:noBreakHyphen/>
        <w:t>item.</w:t>
      </w:r>
    </w:p>
    <w:p>
      <w:pPr>
        <w:pStyle w:val="yTHeadingNAm"/>
      </w:pPr>
      <w:r>
        <w:t>Table of charge and discount</w:t>
      </w:r>
    </w:p>
    <w:tbl>
      <w:tblPr>
        <w:tblW w:w="3687" w:type="dxa"/>
        <w:jc w:val="center"/>
        <w:tblLayout w:type="fixed"/>
        <w:tblLook w:val="0000" w:firstRow="0" w:lastRow="0" w:firstColumn="0" w:lastColumn="0" w:noHBand="0" w:noVBand="0"/>
      </w:tblPr>
      <w:tblGrid>
        <w:gridCol w:w="1134"/>
        <w:gridCol w:w="1135"/>
        <w:gridCol w:w="1418"/>
      </w:tblGrid>
      <w:tr>
        <w:trPr>
          <w:cantSplit/>
          <w:tblHeader/>
          <w:jc w:val="center"/>
        </w:trPr>
        <w:tc>
          <w:tcPr>
            <w:tcW w:w="1134"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jc w:val="center"/>
        </w:trPr>
        <w:tc>
          <w:tcPr>
            <w:tcW w:w="1134" w:type="dxa"/>
            <w:tcBorders>
              <w:bottom w:val="single" w:sz="4" w:space="0" w:color="auto"/>
            </w:tcBorders>
            <w:noWrap/>
          </w:tcPr>
          <w:p>
            <w:pPr>
              <w:pStyle w:val="yTableNAm"/>
              <w:jc w:val="center"/>
            </w:pPr>
            <w:r>
              <w:t>307.80</w:t>
            </w:r>
          </w:p>
        </w:tc>
        <w:tc>
          <w:tcPr>
            <w:tcW w:w="1135" w:type="dxa"/>
            <w:tcBorders>
              <w:bottom w:val="single" w:sz="4" w:space="0" w:color="auto"/>
            </w:tcBorders>
            <w:noWrap/>
          </w:tcPr>
          <w:p>
            <w:pPr>
              <w:pStyle w:val="yTableNAm"/>
              <w:jc w:val="center"/>
            </w:pPr>
            <w:r>
              <w:t>307.80</w:t>
            </w:r>
          </w:p>
        </w:tc>
        <w:tc>
          <w:tcPr>
            <w:tcW w:w="1418" w:type="dxa"/>
            <w:tcBorders>
              <w:bottom w:val="single" w:sz="4" w:space="0" w:color="auto"/>
            </w:tcBorders>
            <w:noWrap/>
            <w:vAlign w:val="bottom"/>
          </w:tcPr>
          <w:p>
            <w:pPr>
              <w:pStyle w:val="yTableNAm"/>
              <w:jc w:val="center"/>
            </w:pPr>
            <w:r>
              <w:t>0.00</w:t>
            </w:r>
          </w:p>
        </w:tc>
      </w:tr>
    </w:tbl>
    <w:p>
      <w:pPr>
        <w:pStyle w:val="yHeading5"/>
      </w:pPr>
      <w:bookmarkStart w:id="259" w:name="_Toc169797199"/>
      <w:bookmarkStart w:id="260" w:name="_Toc169797509"/>
      <w:bookmarkStart w:id="261" w:name="_Toc170209204"/>
      <w:r>
        <w:t>5.</w:t>
      </w:r>
      <w:r>
        <w:tab/>
        <w:t>Strata</w:t>
      </w:r>
      <w:r>
        <w:noBreakHyphen/>
        <w:t>titled or long</w:t>
      </w:r>
      <w:r>
        <w:noBreakHyphen/>
        <w:t>term residential caravan bays and park homes</w:t>
      </w:r>
      <w:bookmarkEnd w:id="259"/>
      <w:bookmarkEnd w:id="260"/>
      <w:bookmarkEnd w:id="261"/>
    </w:p>
    <w:p>
      <w:pPr>
        <w:pStyle w:val="ySubsection"/>
        <w:tabs>
          <w:tab w:val="right" w:leader="dot" w:pos="6804"/>
        </w:tabs>
      </w:pPr>
      <w:r>
        <w:tab/>
      </w:r>
      <w:r>
        <w:tab/>
        <w:t>For a strata</w:t>
      </w:r>
      <w:r>
        <w:noBreakHyphen/>
        <w:t>titled caravan bay, a long</w:t>
      </w:r>
      <w:r>
        <w:noBreakHyphen/>
        <w:t xml:space="preserve">term </w:t>
      </w:r>
      <w:r>
        <w:br/>
        <w:t xml:space="preserve">residential caravan bay or a park home, </w:t>
      </w:r>
      <w:r>
        <w:br/>
        <w:t xml:space="preserve">the charge is </w:t>
      </w:r>
      <w:r>
        <w:tab/>
        <w:t>$209.51</w:t>
      </w:r>
    </w:p>
    <w:p>
      <w:pPr>
        <w:pStyle w:val="yHeading5"/>
      </w:pPr>
      <w:bookmarkStart w:id="262" w:name="_Toc169797200"/>
      <w:bookmarkStart w:id="263" w:name="_Toc169797510"/>
      <w:bookmarkStart w:id="264" w:name="_Toc170209205"/>
      <w:r>
        <w:t>6.</w:t>
      </w:r>
      <w:r>
        <w:tab/>
        <w:t>Storage units or parking bays in strata titles scheme or community titles scheme</w:t>
      </w:r>
      <w:bookmarkEnd w:id="262"/>
      <w:bookmarkEnd w:id="263"/>
      <w:bookmarkEnd w:id="264"/>
      <w:r>
        <w:t xml:space="preserve"> </w:t>
      </w:r>
    </w:p>
    <w:p>
      <w:pPr>
        <w:pStyle w:val="ySubsection"/>
        <w:tabs>
          <w:tab w:val="right" w:leader="dot" w:pos="6804"/>
        </w:tabs>
      </w:pPr>
      <w:r>
        <w:tab/>
      </w:r>
      <w:r>
        <w:tab/>
        <w:t xml:space="preserve">For a lot that is used for storage purposes or </w:t>
      </w:r>
      <w:r>
        <w:br/>
        <w:t>as a parking bay, in a strata titles scheme or a</w:t>
      </w:r>
      <w:r>
        <w:br/>
        <w:t xml:space="preserve">community titles scheme, the charge is </w:t>
      </w:r>
      <w:r>
        <w:tab/>
        <w:t>$108.34</w:t>
      </w:r>
    </w:p>
    <w:p>
      <w:pPr>
        <w:pStyle w:val="yHeading5"/>
      </w:pPr>
      <w:bookmarkStart w:id="265" w:name="_Toc169797201"/>
      <w:bookmarkStart w:id="266" w:name="_Toc169797511"/>
      <w:bookmarkStart w:id="267" w:name="_Toc170209206"/>
      <w:r>
        <w:t>7.</w:t>
      </w:r>
      <w:r>
        <w:tab/>
        <w:t>Non</w:t>
      </w:r>
      <w:r>
        <w:noBreakHyphen/>
        <w:t>residential lots in strata titles scheme or community titles scheme that share a service</w:t>
      </w:r>
      <w:bookmarkEnd w:id="265"/>
      <w:bookmarkEnd w:id="266"/>
      <w:bookmarkEnd w:id="267"/>
      <w:r>
        <w:t xml:space="preserve"> </w:t>
      </w:r>
    </w:p>
    <w:p>
      <w:pPr>
        <w:pStyle w:val="ySubsection"/>
      </w:pPr>
      <w:r>
        <w:tab/>
      </w:r>
      <w:r>
        <w:tab/>
        <w:t>For land that —</w:t>
      </w:r>
    </w:p>
    <w:p>
      <w:pPr>
        <w:pStyle w:val="yIndenta"/>
      </w:pPr>
      <w:r>
        <w:lastRenderedPageBreak/>
        <w:tab/>
        <w:t>(a)</w:t>
      </w:r>
      <w:r>
        <w:tab/>
        <w:t>is contained in a lot in a strata titles scheme or a lot in a community titles scheme; and</w:t>
      </w:r>
    </w:p>
    <w:p>
      <w:pPr>
        <w:pStyle w:val="yIndenta"/>
      </w:pPr>
      <w:r>
        <w:tab/>
        <w:t>(b)</w:t>
      </w:r>
      <w:r>
        <w:tab/>
        <w:t>is classified as non</w:t>
      </w:r>
      <w:r>
        <w:noBreakHyphen/>
        <w:t>residential; and</w:t>
      </w:r>
    </w:p>
    <w:p>
      <w:pPr>
        <w:pStyle w:val="yIndenta"/>
      </w:pPr>
      <w:r>
        <w:tab/>
        <w:t>(c)</w:t>
      </w:r>
      <w:r>
        <w:tab/>
        <w:t>is not covered by item 5 or 6; and</w:t>
      </w:r>
    </w:p>
    <w:p>
      <w:pPr>
        <w:pStyle w:val="yIndenta"/>
      </w:pPr>
      <w:r>
        <w:tab/>
        <w:t>(d)</w:t>
      </w:r>
      <w:r>
        <w:tab/>
        <w:t xml:space="preserve">shares a water supply connection with </w:t>
      </w:r>
      <w:r>
        <w:br/>
        <w:t>other such land,</w:t>
      </w:r>
    </w:p>
    <w:p>
      <w:pPr>
        <w:pStyle w:val="ySubsection"/>
        <w:tabs>
          <w:tab w:val="right" w:leader="dot" w:pos="6804"/>
        </w:tabs>
      </w:pPr>
      <w:r>
        <w:tab/>
      </w:r>
      <w:r>
        <w:tab/>
        <w:t xml:space="preserve">the charge is </w:t>
      </w:r>
      <w:r>
        <w:tab/>
        <w:t>$307.80</w:t>
      </w:r>
    </w:p>
    <w:p>
      <w:pPr>
        <w:pStyle w:val="yHeading5"/>
      </w:pPr>
      <w:bookmarkStart w:id="268" w:name="_Toc169797202"/>
      <w:bookmarkStart w:id="269" w:name="_Toc169797512"/>
      <w:bookmarkStart w:id="270" w:name="_Toc170209207"/>
      <w:r>
        <w:t>8.</w:t>
      </w:r>
      <w:r>
        <w:tab/>
        <w:t>Community residential</w:t>
      </w:r>
      <w:bookmarkEnd w:id="268"/>
      <w:bookmarkEnd w:id="269"/>
      <w:bookmarkEnd w:id="270"/>
    </w:p>
    <w:p>
      <w:pPr>
        <w:pStyle w:val="ySubsection"/>
      </w:pPr>
      <w:r>
        <w:tab/>
        <w:t>(1)</w:t>
      </w:r>
      <w:r>
        <w:tab/>
        <w:t>For land that is classified as community residential, the Water Corporation must determine the number of dwellings on the land.</w:t>
      </w:r>
    </w:p>
    <w:p>
      <w:pPr>
        <w:pStyle w:val="ySubsection"/>
      </w:pPr>
      <w:r>
        <w:tab/>
        <w:t>(2)</w:t>
      </w:r>
      <w:r>
        <w:tab/>
        <w:t xml:space="preserve">For land that is classified as community residential, the charge, according to the number of dwellings on the land, is the sum of the discounted charges for each dwelling, as set out in the Table, according to whether the Housing Authority agrees to be responsible for payment of the charge. </w:t>
      </w:r>
    </w:p>
    <w:p>
      <w:pPr>
        <w:pStyle w:val="yTHeadingNAm"/>
      </w:pPr>
      <w:r>
        <w:t>Table of charges and discounts</w:t>
      </w:r>
    </w:p>
    <w:tbl>
      <w:tblPr>
        <w:tblW w:w="5954" w:type="dxa"/>
        <w:tblInd w:w="1134" w:type="dxa"/>
        <w:tblLayout w:type="fixed"/>
        <w:tblLook w:val="0000" w:firstRow="0" w:lastRow="0" w:firstColumn="0" w:lastColumn="0" w:noHBand="0" w:noVBand="0"/>
      </w:tblPr>
      <w:tblGrid>
        <w:gridCol w:w="2126"/>
        <w:gridCol w:w="1170"/>
        <w:gridCol w:w="1170"/>
        <w:gridCol w:w="1488"/>
      </w:tblGrid>
      <w:tr>
        <w:trPr>
          <w:cantSplit/>
          <w:tblHeader/>
        </w:trPr>
        <w:tc>
          <w:tcPr>
            <w:tcW w:w="2126" w:type="dxa"/>
            <w:tcBorders>
              <w:top w:val="single" w:sz="4" w:space="0" w:color="auto"/>
              <w:bottom w:val="single" w:sz="4" w:space="0" w:color="auto"/>
            </w:tcBorders>
            <w:noWrap/>
          </w:tcPr>
          <w:p>
            <w:pPr>
              <w:pStyle w:val="yTableNAm"/>
            </w:pPr>
          </w:p>
        </w:tc>
        <w:tc>
          <w:tcPr>
            <w:tcW w:w="1170"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70"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8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2126" w:type="dxa"/>
            <w:tcBorders>
              <w:bottom w:val="single" w:sz="4" w:space="0" w:color="auto"/>
            </w:tcBorders>
            <w:noWrap/>
          </w:tcPr>
          <w:p>
            <w:pPr>
              <w:pStyle w:val="yTableNAm"/>
            </w:pPr>
            <w:r>
              <w:t>If Housing Authority responsible for payment of charge</w:t>
            </w:r>
          </w:p>
        </w:tc>
        <w:tc>
          <w:tcPr>
            <w:tcW w:w="1170" w:type="dxa"/>
            <w:tcBorders>
              <w:bottom w:val="single" w:sz="4" w:space="0" w:color="auto"/>
            </w:tcBorders>
            <w:noWrap/>
          </w:tcPr>
          <w:p>
            <w:pPr>
              <w:pStyle w:val="yTableNAm"/>
              <w:jc w:val="center"/>
            </w:pPr>
            <w:r>
              <w:t>289.65</w:t>
            </w:r>
          </w:p>
        </w:tc>
        <w:tc>
          <w:tcPr>
            <w:tcW w:w="1170" w:type="dxa"/>
            <w:tcBorders>
              <w:bottom w:val="single" w:sz="4" w:space="0" w:color="auto"/>
            </w:tcBorders>
            <w:noWrap/>
          </w:tcPr>
          <w:p>
            <w:pPr>
              <w:pStyle w:val="yTableNAm"/>
              <w:jc w:val="center"/>
            </w:pPr>
            <w:r>
              <w:t>108.86</w:t>
            </w:r>
          </w:p>
        </w:tc>
        <w:tc>
          <w:tcPr>
            <w:tcW w:w="1488" w:type="dxa"/>
            <w:tcBorders>
              <w:bottom w:val="single" w:sz="4" w:space="0" w:color="auto"/>
            </w:tcBorders>
            <w:noWrap/>
          </w:tcPr>
          <w:p>
            <w:pPr>
              <w:pStyle w:val="yTableNAm"/>
              <w:jc w:val="center"/>
            </w:pPr>
            <w:r>
              <w:t>180.79</w:t>
            </w:r>
          </w:p>
        </w:tc>
      </w:tr>
      <w:tr>
        <w:trPr>
          <w:cantSplit/>
        </w:trPr>
        <w:tc>
          <w:tcPr>
            <w:tcW w:w="2126" w:type="dxa"/>
            <w:tcBorders>
              <w:bottom w:val="single" w:sz="4" w:space="0" w:color="auto"/>
            </w:tcBorders>
            <w:noWrap/>
          </w:tcPr>
          <w:p>
            <w:pPr>
              <w:pStyle w:val="yTableNAm"/>
            </w:pPr>
            <w:r>
              <w:t>In any other case</w:t>
            </w:r>
          </w:p>
        </w:tc>
        <w:tc>
          <w:tcPr>
            <w:tcW w:w="1170" w:type="dxa"/>
            <w:tcBorders>
              <w:bottom w:val="single" w:sz="4" w:space="0" w:color="auto"/>
            </w:tcBorders>
            <w:noWrap/>
            <w:vAlign w:val="bottom"/>
          </w:tcPr>
          <w:p>
            <w:pPr>
              <w:pStyle w:val="yTableNAm"/>
              <w:jc w:val="center"/>
            </w:pPr>
            <w:r>
              <w:t>289.65</w:t>
            </w:r>
          </w:p>
        </w:tc>
        <w:tc>
          <w:tcPr>
            <w:tcW w:w="1170" w:type="dxa"/>
            <w:tcBorders>
              <w:bottom w:val="single" w:sz="4" w:space="0" w:color="auto"/>
            </w:tcBorders>
            <w:noWrap/>
            <w:vAlign w:val="bottom"/>
          </w:tcPr>
          <w:p>
            <w:pPr>
              <w:pStyle w:val="yTableNAm"/>
              <w:jc w:val="center"/>
            </w:pPr>
            <w:r>
              <w:t>289.65</w:t>
            </w:r>
          </w:p>
        </w:tc>
        <w:tc>
          <w:tcPr>
            <w:tcW w:w="1488" w:type="dxa"/>
            <w:tcBorders>
              <w:bottom w:val="single" w:sz="4" w:space="0" w:color="auto"/>
            </w:tcBorders>
            <w:noWrap/>
            <w:vAlign w:val="bottom"/>
          </w:tcPr>
          <w:p>
            <w:pPr>
              <w:pStyle w:val="yTableNAm"/>
              <w:jc w:val="center"/>
            </w:pPr>
            <w:r>
              <w:t>0.00</w:t>
            </w:r>
          </w:p>
        </w:tc>
      </w:tr>
    </w:tbl>
    <w:p>
      <w:pPr>
        <w:pStyle w:val="yHeading5"/>
      </w:pPr>
      <w:bookmarkStart w:id="271" w:name="_Toc169797203"/>
      <w:bookmarkStart w:id="272" w:name="_Toc169797513"/>
      <w:bookmarkStart w:id="273" w:name="_Toc170209208"/>
      <w:r>
        <w:t>9.</w:t>
      </w:r>
      <w:r>
        <w:tab/>
        <w:t>Semi</w:t>
      </w:r>
      <w:r>
        <w:noBreakHyphen/>
        <w:t>rural residential</w:t>
      </w:r>
      <w:bookmarkEnd w:id="271"/>
      <w:bookmarkEnd w:id="272"/>
      <w:bookmarkEnd w:id="273"/>
    </w:p>
    <w:p>
      <w:pPr>
        <w:pStyle w:val="ySubsection"/>
        <w:tabs>
          <w:tab w:val="right" w:leader="dot" w:pos="6804"/>
        </w:tabs>
      </w:pPr>
      <w:r>
        <w:tab/>
      </w:r>
      <w:r>
        <w:tab/>
        <w:t>For a semi</w:t>
      </w:r>
      <w:r>
        <w:noBreakHyphen/>
        <w:t xml:space="preserve">rural residential property not </w:t>
      </w:r>
      <w:r>
        <w:br/>
        <w:t xml:space="preserve">covered by item 4, the charge, per </w:t>
      </w:r>
      <w:r>
        <w:br/>
        <w:t xml:space="preserve">dwelling on the land, is </w:t>
      </w:r>
      <w:r>
        <w:tab/>
        <w:t>$289.65</w:t>
      </w:r>
    </w:p>
    <w:p>
      <w:pPr>
        <w:pStyle w:val="yHeading5"/>
      </w:pPr>
      <w:bookmarkStart w:id="274" w:name="_Toc169797204"/>
      <w:bookmarkStart w:id="275" w:name="_Toc169797514"/>
      <w:bookmarkStart w:id="276" w:name="_Toc170209209"/>
      <w:r>
        <w:t>10.</w:t>
      </w:r>
      <w:r>
        <w:tab/>
        <w:t>Non</w:t>
      </w:r>
      <w:r>
        <w:noBreakHyphen/>
        <w:t>metropolitan concessional</w:t>
      </w:r>
      <w:bookmarkEnd w:id="274"/>
      <w:bookmarkEnd w:id="275"/>
      <w:bookmarkEnd w:id="276"/>
    </w:p>
    <w:p>
      <w:pPr>
        <w:pStyle w:val="ySubsection"/>
      </w:pPr>
      <w:r>
        <w:tab/>
        <w:t>(1)</w:t>
      </w:r>
      <w:r>
        <w:tab/>
        <w:t>For land in the non</w:t>
      </w:r>
      <w:r>
        <w:noBreakHyphen/>
        <w:t xml:space="preserve">metropolitan area that is classified as aged home, charitable purposes or institutional public, the charge per water supply </w:t>
      </w:r>
      <w:r>
        <w:lastRenderedPageBreak/>
        <w:t>connection is the discounted charge set out in the Table to this sub</w:t>
      </w:r>
      <w:r>
        <w:noBreakHyphen/>
        <w:t>item, according to the relevant meter size.</w:t>
      </w:r>
    </w:p>
    <w:p>
      <w:pPr>
        <w:pStyle w:val="yTHeadingNAm"/>
      </w:pPr>
      <w:r>
        <w:t>Table of charges and discounts</w:t>
      </w:r>
    </w:p>
    <w:tbl>
      <w:tblPr>
        <w:tblW w:w="5529" w:type="dxa"/>
        <w:tblInd w:w="1418" w:type="dxa"/>
        <w:tblLayout w:type="fixed"/>
        <w:tblLook w:val="0000" w:firstRow="0" w:lastRow="0" w:firstColumn="0" w:lastColumn="0" w:noHBand="0" w:noVBand="0"/>
      </w:tblPr>
      <w:tblGrid>
        <w:gridCol w:w="1560"/>
        <w:gridCol w:w="1275"/>
        <w:gridCol w:w="1276"/>
        <w:gridCol w:w="1418"/>
      </w:tblGrid>
      <w:tr>
        <w:trPr>
          <w:cantSplit/>
          <w:tblHeader/>
        </w:trPr>
        <w:tc>
          <w:tcPr>
            <w:tcW w:w="1560" w:type="dxa"/>
            <w:tcBorders>
              <w:top w:val="single" w:sz="4" w:space="0" w:color="auto"/>
              <w:bottom w:val="single" w:sz="4" w:space="0" w:color="auto"/>
            </w:tcBorders>
            <w:noWrap/>
            <w:vAlign w:val="center"/>
          </w:tcPr>
          <w:p>
            <w:pPr>
              <w:pStyle w:val="yTableNAm"/>
              <w:jc w:val="center"/>
            </w:pPr>
            <w:r>
              <w:rPr>
                <w:b/>
              </w:rPr>
              <w:t>Meter size</w:t>
            </w:r>
            <w:r>
              <w:rPr>
                <w:b/>
              </w:rPr>
              <w:br/>
            </w:r>
            <w:r>
              <w:rPr>
                <w:b/>
              </w:rPr>
              <w:br/>
              <w:t>mm</w:t>
            </w:r>
          </w:p>
        </w:tc>
        <w:tc>
          <w:tcPr>
            <w:tcW w:w="127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560" w:type="dxa"/>
            <w:tcBorders>
              <w:top w:val="single" w:sz="4" w:space="0" w:color="auto"/>
            </w:tcBorders>
            <w:noWrap/>
            <w:tcMar>
              <w:left w:w="28" w:type="dxa"/>
              <w:right w:w="28" w:type="dxa"/>
            </w:tcMar>
          </w:tcPr>
          <w:p>
            <w:pPr>
              <w:pStyle w:val="yTableNAm"/>
              <w:jc w:val="center"/>
            </w:pPr>
            <w:r>
              <w:t>15, 20</w:t>
            </w:r>
          </w:p>
        </w:tc>
        <w:tc>
          <w:tcPr>
            <w:tcW w:w="1275" w:type="dxa"/>
            <w:tcBorders>
              <w:top w:val="single" w:sz="4" w:space="0" w:color="auto"/>
            </w:tcBorders>
            <w:noWrap/>
          </w:tcPr>
          <w:p>
            <w:pPr>
              <w:pStyle w:val="yTableNAm"/>
              <w:jc w:val="center"/>
            </w:pPr>
            <w:r>
              <w:t>307.80</w:t>
            </w:r>
          </w:p>
        </w:tc>
        <w:tc>
          <w:tcPr>
            <w:tcW w:w="1276" w:type="dxa"/>
            <w:tcBorders>
              <w:top w:val="single" w:sz="4" w:space="0" w:color="auto"/>
            </w:tcBorders>
            <w:noWrap/>
          </w:tcPr>
          <w:p>
            <w:pPr>
              <w:pStyle w:val="yTableNAm"/>
              <w:jc w:val="center"/>
            </w:pPr>
            <w:r>
              <w:t>307.80</w:t>
            </w:r>
          </w:p>
        </w:tc>
        <w:tc>
          <w:tcPr>
            <w:tcW w:w="1418" w:type="dxa"/>
            <w:tcBorders>
              <w:top w:val="single" w:sz="4" w:space="0" w:color="auto"/>
            </w:tcBorders>
            <w:noWrap/>
            <w:vAlign w:val="bottom"/>
          </w:tcPr>
          <w:p>
            <w:pPr>
              <w:pStyle w:val="yTableNAm"/>
              <w:jc w:val="center"/>
            </w:pPr>
            <w:r>
              <w:t>0.00</w:t>
            </w:r>
          </w:p>
        </w:tc>
      </w:tr>
      <w:tr>
        <w:trPr>
          <w:cantSplit/>
        </w:trPr>
        <w:tc>
          <w:tcPr>
            <w:tcW w:w="1560" w:type="dxa"/>
            <w:noWrap/>
            <w:tcMar>
              <w:left w:w="62" w:type="dxa"/>
              <w:right w:w="62" w:type="dxa"/>
            </w:tcMar>
          </w:tcPr>
          <w:p>
            <w:pPr>
              <w:pStyle w:val="yTableNAm"/>
              <w:jc w:val="center"/>
            </w:pPr>
            <w:r>
              <w:t>25</w:t>
            </w:r>
          </w:p>
        </w:tc>
        <w:tc>
          <w:tcPr>
            <w:tcW w:w="1275" w:type="dxa"/>
            <w:noWrap/>
          </w:tcPr>
          <w:p>
            <w:pPr>
              <w:pStyle w:val="yTableNAm"/>
              <w:jc w:val="center"/>
            </w:pPr>
            <w:r>
              <w:t>480.98</w:t>
            </w:r>
          </w:p>
        </w:tc>
        <w:tc>
          <w:tcPr>
            <w:tcW w:w="1276" w:type="dxa"/>
            <w:noWrap/>
          </w:tcPr>
          <w:p>
            <w:pPr>
              <w:pStyle w:val="yTableNAm"/>
              <w:jc w:val="center"/>
            </w:pPr>
            <w:r>
              <w:t>480.98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w:t>
            </w:r>
          </w:p>
        </w:tc>
        <w:tc>
          <w:tcPr>
            <w:tcW w:w="1275" w:type="dxa"/>
            <w:noWrap/>
          </w:tcPr>
          <w:p>
            <w:pPr>
              <w:pStyle w:val="yTableNAm"/>
              <w:jc w:val="center"/>
            </w:pPr>
            <w:r>
              <w:t>692.55</w:t>
            </w:r>
          </w:p>
        </w:tc>
        <w:tc>
          <w:tcPr>
            <w:tcW w:w="1276" w:type="dxa"/>
            <w:noWrap/>
          </w:tcPr>
          <w:p>
            <w:pPr>
              <w:pStyle w:val="yTableNAm"/>
              <w:jc w:val="center"/>
            </w:pPr>
            <w:r>
              <w:t>692.55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35, 38, 40</w:t>
            </w:r>
          </w:p>
        </w:tc>
        <w:tc>
          <w:tcPr>
            <w:tcW w:w="1275" w:type="dxa"/>
            <w:noWrap/>
          </w:tcPr>
          <w:p>
            <w:pPr>
              <w:pStyle w:val="yTableNAm"/>
              <w:jc w:val="center"/>
            </w:pPr>
            <w:r>
              <w:t>1 231.28</w:t>
            </w:r>
          </w:p>
        </w:tc>
        <w:tc>
          <w:tcPr>
            <w:tcW w:w="1276" w:type="dxa"/>
            <w:noWrap/>
          </w:tcPr>
          <w:p>
            <w:pPr>
              <w:pStyle w:val="yTableNAm"/>
              <w:jc w:val="center"/>
            </w:pPr>
            <w:r>
              <w:t>1 231.28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50</w:t>
            </w:r>
          </w:p>
        </w:tc>
        <w:tc>
          <w:tcPr>
            <w:tcW w:w="1275" w:type="dxa"/>
            <w:noWrap/>
          </w:tcPr>
          <w:p>
            <w:pPr>
              <w:pStyle w:val="yTableNAm"/>
              <w:jc w:val="center"/>
            </w:pPr>
            <w:r>
              <w:t>1 923.84</w:t>
            </w:r>
          </w:p>
        </w:tc>
        <w:tc>
          <w:tcPr>
            <w:tcW w:w="1276" w:type="dxa"/>
            <w:noWrap/>
          </w:tcPr>
          <w:p>
            <w:pPr>
              <w:pStyle w:val="yTableNAm"/>
              <w:jc w:val="center"/>
            </w:pPr>
            <w:r>
              <w:t>1 923.84</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70, 75, 80</w:t>
            </w:r>
          </w:p>
        </w:tc>
        <w:tc>
          <w:tcPr>
            <w:tcW w:w="1275" w:type="dxa"/>
            <w:noWrap/>
          </w:tcPr>
          <w:p>
            <w:pPr>
              <w:pStyle w:val="yTableNAm"/>
              <w:jc w:val="center"/>
            </w:pPr>
            <w:r>
              <w:t>4 925.05</w:t>
            </w:r>
          </w:p>
        </w:tc>
        <w:tc>
          <w:tcPr>
            <w:tcW w:w="1276" w:type="dxa"/>
            <w:noWrap/>
          </w:tcPr>
          <w:p>
            <w:pPr>
              <w:pStyle w:val="yTableNAm"/>
              <w:jc w:val="center"/>
            </w:pPr>
            <w:r>
              <w:t>4 925.05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100</w:t>
            </w:r>
          </w:p>
        </w:tc>
        <w:tc>
          <w:tcPr>
            <w:tcW w:w="1275" w:type="dxa"/>
            <w:noWrap/>
          </w:tcPr>
          <w:p>
            <w:pPr>
              <w:pStyle w:val="yTableNAm"/>
              <w:jc w:val="center"/>
            </w:pPr>
            <w:r>
              <w:t>7 695.38</w:t>
            </w:r>
          </w:p>
        </w:tc>
        <w:tc>
          <w:tcPr>
            <w:tcW w:w="1276" w:type="dxa"/>
            <w:noWrap/>
          </w:tcPr>
          <w:p>
            <w:pPr>
              <w:pStyle w:val="yTableNAm"/>
              <w:jc w:val="center"/>
            </w:pPr>
            <w:r>
              <w:t>7 695.38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140, 150</w:t>
            </w:r>
          </w:p>
        </w:tc>
        <w:tc>
          <w:tcPr>
            <w:tcW w:w="1275" w:type="dxa"/>
            <w:noWrap/>
          </w:tcPr>
          <w:p>
            <w:pPr>
              <w:pStyle w:val="yTableNAm"/>
              <w:jc w:val="center"/>
            </w:pPr>
            <w:r>
              <w:t>17 314.62</w:t>
            </w:r>
          </w:p>
        </w:tc>
        <w:tc>
          <w:tcPr>
            <w:tcW w:w="1276" w:type="dxa"/>
            <w:noWrap/>
          </w:tcPr>
          <w:p>
            <w:pPr>
              <w:pStyle w:val="yTableNAm"/>
              <w:jc w:val="center"/>
            </w:pPr>
            <w:r>
              <w:t>17 314.62</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200</w:t>
            </w:r>
          </w:p>
        </w:tc>
        <w:tc>
          <w:tcPr>
            <w:tcW w:w="1275" w:type="dxa"/>
            <w:noWrap/>
          </w:tcPr>
          <w:p>
            <w:pPr>
              <w:pStyle w:val="yTableNAm"/>
              <w:jc w:val="center"/>
            </w:pPr>
            <w:r>
              <w:t>30 781.53</w:t>
            </w:r>
          </w:p>
        </w:tc>
        <w:tc>
          <w:tcPr>
            <w:tcW w:w="1276" w:type="dxa"/>
            <w:noWrap/>
          </w:tcPr>
          <w:p>
            <w:pPr>
              <w:pStyle w:val="yTableNAm"/>
              <w:jc w:val="center"/>
            </w:pPr>
            <w:r>
              <w:t>30 781.53</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250</w:t>
            </w:r>
          </w:p>
        </w:tc>
        <w:tc>
          <w:tcPr>
            <w:tcW w:w="1275" w:type="dxa"/>
            <w:noWrap/>
          </w:tcPr>
          <w:p>
            <w:pPr>
              <w:pStyle w:val="yTableNAm"/>
              <w:jc w:val="center"/>
            </w:pPr>
            <w:r>
              <w:t>48 096.15</w:t>
            </w:r>
          </w:p>
        </w:tc>
        <w:tc>
          <w:tcPr>
            <w:tcW w:w="1276" w:type="dxa"/>
            <w:noWrap/>
          </w:tcPr>
          <w:p>
            <w:pPr>
              <w:pStyle w:val="yTableNAm"/>
              <w:jc w:val="center"/>
            </w:pPr>
            <w:r>
              <w:t>48 096.15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300</w:t>
            </w:r>
          </w:p>
        </w:tc>
        <w:tc>
          <w:tcPr>
            <w:tcW w:w="1275" w:type="dxa"/>
            <w:noWrap/>
          </w:tcPr>
          <w:p>
            <w:pPr>
              <w:pStyle w:val="yTableNAm"/>
              <w:jc w:val="center"/>
            </w:pPr>
            <w:r>
              <w:t>69 258.46</w:t>
            </w:r>
          </w:p>
        </w:tc>
        <w:tc>
          <w:tcPr>
            <w:tcW w:w="1276" w:type="dxa"/>
            <w:noWrap/>
          </w:tcPr>
          <w:p>
            <w:pPr>
              <w:pStyle w:val="yTableNAm"/>
              <w:jc w:val="center"/>
            </w:pPr>
            <w:r>
              <w:t>69 258.46</w:t>
            </w:r>
          </w:p>
        </w:tc>
        <w:tc>
          <w:tcPr>
            <w:tcW w:w="1418" w:type="dxa"/>
            <w:noWrap/>
            <w:vAlign w:val="bottom"/>
          </w:tcPr>
          <w:p>
            <w:pPr>
              <w:pStyle w:val="yTableNAm"/>
              <w:jc w:val="center"/>
            </w:pPr>
            <w:r>
              <w:t>0.00</w:t>
            </w:r>
          </w:p>
        </w:tc>
      </w:tr>
      <w:tr>
        <w:trPr>
          <w:cantSplit/>
        </w:trPr>
        <w:tc>
          <w:tcPr>
            <w:tcW w:w="1560" w:type="dxa"/>
            <w:tcBorders>
              <w:bottom w:val="single" w:sz="4" w:space="0" w:color="auto"/>
            </w:tcBorders>
            <w:noWrap/>
            <w:tcMar>
              <w:left w:w="28" w:type="dxa"/>
              <w:right w:w="57" w:type="dxa"/>
            </w:tcMar>
          </w:tcPr>
          <w:p>
            <w:pPr>
              <w:pStyle w:val="yTableNAm"/>
              <w:jc w:val="center"/>
            </w:pPr>
            <w:r>
              <w:t>350</w:t>
            </w:r>
          </w:p>
        </w:tc>
        <w:tc>
          <w:tcPr>
            <w:tcW w:w="1275" w:type="dxa"/>
            <w:tcBorders>
              <w:bottom w:val="single" w:sz="4" w:space="0" w:color="auto"/>
            </w:tcBorders>
            <w:noWrap/>
          </w:tcPr>
          <w:p>
            <w:pPr>
              <w:pStyle w:val="yTableNAm"/>
              <w:jc w:val="center"/>
            </w:pPr>
            <w:r>
              <w:t>94 268.50</w:t>
            </w:r>
          </w:p>
        </w:tc>
        <w:tc>
          <w:tcPr>
            <w:tcW w:w="1276" w:type="dxa"/>
            <w:tcBorders>
              <w:bottom w:val="single" w:sz="4" w:space="0" w:color="auto"/>
            </w:tcBorders>
            <w:noWrap/>
          </w:tcPr>
          <w:p>
            <w:pPr>
              <w:pStyle w:val="yTableNAm"/>
              <w:jc w:val="center"/>
            </w:pPr>
            <w:r>
              <w:t>94 268.50</w:t>
            </w:r>
          </w:p>
        </w:tc>
        <w:tc>
          <w:tcPr>
            <w:tcW w:w="1418" w:type="dxa"/>
            <w:tcBorders>
              <w:bottom w:val="single" w:sz="4" w:space="0" w:color="auto"/>
            </w:tcBorders>
            <w:noWrap/>
            <w:vAlign w:val="bottom"/>
          </w:tcPr>
          <w:p>
            <w:pPr>
              <w:pStyle w:val="yTableNAm"/>
              <w:jc w:val="center"/>
            </w:pPr>
            <w:r>
              <w:t>0.00</w:t>
            </w:r>
          </w:p>
        </w:tc>
      </w:tr>
    </w:tbl>
    <w:p>
      <w:pPr>
        <w:pStyle w:val="ySubsection"/>
      </w:pPr>
      <w:r>
        <w:tab/>
        <w:t>(2)</w:t>
      </w:r>
      <w:r>
        <w:tab/>
        <w:t>Sub</w:t>
      </w:r>
      <w:r>
        <w:noBreakHyphen/>
        <w:t>item (1) does not apply to a connection covered by item 21.</w:t>
      </w:r>
    </w:p>
    <w:p>
      <w:pPr>
        <w:pStyle w:val="ySubsection"/>
      </w:pPr>
      <w:r>
        <w:tab/>
        <w:t>(3)</w:t>
      </w:r>
      <w:r>
        <w:tab/>
        <w:t>For concessional land in the non</w:t>
      </w:r>
      <w:r>
        <w:noBreakHyphen/>
        <w:t>metropolitan area which, although a water service is provided, is not connected to water supply works of the Water Corporation, the charge is the discounted charge set out in the Table to this sub</w:t>
      </w:r>
      <w:r>
        <w:noBreakHyphen/>
        <w:t xml:space="preserve">item. </w:t>
      </w:r>
    </w:p>
    <w:p>
      <w:pPr>
        <w:pStyle w:val="yTHeadingNAm"/>
      </w:pPr>
      <w:r>
        <w:t>Table of charge and discount</w:t>
      </w:r>
    </w:p>
    <w:tbl>
      <w:tblPr>
        <w:tblW w:w="3687" w:type="dxa"/>
        <w:jc w:val="center"/>
        <w:tblLayout w:type="fixed"/>
        <w:tblLook w:val="0000" w:firstRow="0" w:lastRow="0" w:firstColumn="0" w:lastColumn="0" w:noHBand="0" w:noVBand="0"/>
      </w:tblPr>
      <w:tblGrid>
        <w:gridCol w:w="1135"/>
        <w:gridCol w:w="1135"/>
        <w:gridCol w:w="1417"/>
      </w:tblGrid>
      <w:tr>
        <w:trPr>
          <w:cantSplit/>
          <w:tblHeader/>
          <w:jc w:val="center"/>
        </w:trPr>
        <w:tc>
          <w:tcPr>
            <w:tcW w:w="113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jc w:val="center"/>
        </w:trPr>
        <w:tc>
          <w:tcPr>
            <w:tcW w:w="1135" w:type="dxa"/>
            <w:tcBorders>
              <w:bottom w:val="single" w:sz="4" w:space="0" w:color="auto"/>
            </w:tcBorders>
            <w:noWrap/>
          </w:tcPr>
          <w:p>
            <w:pPr>
              <w:pStyle w:val="yTableNAm"/>
              <w:jc w:val="center"/>
            </w:pPr>
            <w:r>
              <w:t>307.80</w:t>
            </w:r>
          </w:p>
        </w:tc>
        <w:tc>
          <w:tcPr>
            <w:tcW w:w="1135" w:type="dxa"/>
            <w:tcBorders>
              <w:bottom w:val="single" w:sz="4" w:space="0" w:color="auto"/>
            </w:tcBorders>
            <w:noWrap/>
          </w:tcPr>
          <w:p>
            <w:pPr>
              <w:pStyle w:val="yTableNAm"/>
              <w:jc w:val="center"/>
            </w:pPr>
            <w:r>
              <w:t>307.80</w:t>
            </w:r>
          </w:p>
        </w:tc>
        <w:tc>
          <w:tcPr>
            <w:tcW w:w="1417" w:type="dxa"/>
            <w:tcBorders>
              <w:bottom w:val="single" w:sz="4" w:space="0" w:color="auto"/>
            </w:tcBorders>
            <w:noWrap/>
            <w:vAlign w:val="bottom"/>
          </w:tcPr>
          <w:p>
            <w:pPr>
              <w:pStyle w:val="yTableNAm"/>
              <w:jc w:val="center"/>
            </w:pPr>
            <w:r>
              <w:t>0.00</w:t>
            </w:r>
          </w:p>
        </w:tc>
      </w:tr>
    </w:tbl>
    <w:p>
      <w:pPr>
        <w:pStyle w:val="yHeading5"/>
      </w:pPr>
      <w:bookmarkStart w:id="277" w:name="_Toc169797205"/>
      <w:bookmarkStart w:id="278" w:name="_Toc169797515"/>
      <w:bookmarkStart w:id="279" w:name="_Toc170209210"/>
      <w:r>
        <w:lastRenderedPageBreak/>
        <w:t>11.</w:t>
      </w:r>
      <w:r>
        <w:tab/>
        <w:t>Non</w:t>
      </w:r>
      <w:r>
        <w:noBreakHyphen/>
        <w:t>residential or commercial residential (except storage units, parking bays and certain lots in strata titles scheme or community titles scheme)</w:t>
      </w:r>
      <w:bookmarkEnd w:id="277"/>
      <w:bookmarkEnd w:id="278"/>
      <w:bookmarkEnd w:id="279"/>
    </w:p>
    <w:p>
      <w:pPr>
        <w:pStyle w:val="ySubsection"/>
      </w:pPr>
      <w:r>
        <w:tab/>
        <w:t>(1)</w:t>
      </w:r>
      <w:r>
        <w:tab/>
        <w:t>For land that —</w:t>
      </w:r>
    </w:p>
    <w:p>
      <w:pPr>
        <w:pStyle w:val="yIndenta"/>
      </w:pPr>
      <w:r>
        <w:tab/>
        <w:t>(a)</w:t>
      </w:r>
      <w:r>
        <w:tab/>
        <w:t>is classified as non</w:t>
      </w:r>
      <w:r>
        <w:noBreakHyphen/>
        <w:t>residential or commercial residential; and</w:t>
      </w:r>
    </w:p>
    <w:p>
      <w:pPr>
        <w:pStyle w:val="yIndenta"/>
      </w:pPr>
      <w:r>
        <w:tab/>
        <w:t>(b)</w:t>
      </w:r>
      <w:r>
        <w:tab/>
        <w:t>is not contained in a residential property; and</w:t>
      </w:r>
    </w:p>
    <w:p>
      <w:pPr>
        <w:pStyle w:val="yIndenta"/>
      </w:pPr>
      <w:r>
        <w:tab/>
        <w:t>(c)</w:t>
      </w:r>
      <w:r>
        <w:tab/>
        <w:t>is not covered by item 5, 6 or 7,</w:t>
      </w:r>
    </w:p>
    <w:p>
      <w:pPr>
        <w:pStyle w:val="ySubsection"/>
      </w:pPr>
      <w:r>
        <w:tab/>
      </w:r>
      <w:r>
        <w:tab/>
        <w:t>the charge is the charge set out in the Table in item 2, according to the relevant meter size.</w:t>
      </w:r>
    </w:p>
    <w:p>
      <w:pPr>
        <w:pStyle w:val="ySubsection"/>
      </w:pPr>
      <w:r>
        <w:tab/>
        <w:t>(2)</w:t>
      </w:r>
      <w:r>
        <w:tab/>
        <w:t>Sub</w:t>
      </w:r>
      <w:r>
        <w:noBreakHyphen/>
        <w:t>item (1) does not apply to a connection covered by item 21.</w:t>
      </w:r>
    </w:p>
    <w:p>
      <w:pPr>
        <w:pStyle w:val="ySubsection"/>
      </w:pPr>
      <w:r>
        <w:tab/>
        <w:t>(3)</w:t>
      </w:r>
      <w:r>
        <w:tab/>
        <w:t>If land covered by sub</w:t>
      </w:r>
      <w:r>
        <w:noBreakHyphen/>
        <w:t>item (1) is connected to the water supply works of the Water Corporation but not metered, the charge must be calculated as if the connection were metered through a meter of the same diameter as the pipe with which the connection is made.</w:t>
      </w:r>
    </w:p>
    <w:p>
      <w:pPr>
        <w:pStyle w:val="ySubsection"/>
      </w:pPr>
      <w:r>
        <w:tab/>
        <w:t>(4)</w:t>
      </w:r>
      <w:r>
        <w:tab/>
        <w:t>If land covered by sub</w:t>
      </w:r>
      <w:r>
        <w:noBreakHyphen/>
        <w:t>item (1) is not connected to the water supply works of the Water Corporation, the charge must be calculated as if the land were connected and the connection metered through a 20 mm meter.</w:t>
      </w:r>
    </w:p>
    <w:p>
      <w:pPr>
        <w:pStyle w:val="yHeading5"/>
      </w:pPr>
      <w:bookmarkStart w:id="280" w:name="_Toc169797206"/>
      <w:bookmarkStart w:id="281" w:name="_Toc169797516"/>
      <w:bookmarkStart w:id="282" w:name="_Toc170209211"/>
      <w:r>
        <w:t>12.</w:t>
      </w:r>
      <w:r>
        <w:tab/>
        <w:t>Additional connections</w:t>
      </w:r>
      <w:bookmarkEnd w:id="280"/>
      <w:bookmarkEnd w:id="281"/>
      <w:bookmarkEnd w:id="282"/>
    </w:p>
    <w:p>
      <w:pPr>
        <w:pStyle w:val="ySubsection"/>
      </w:pPr>
      <w:r>
        <w:tab/>
        <w:t>(1)</w:t>
      </w:r>
      <w:r>
        <w:tab/>
        <w:t>For land supplied water through more than one water supply connection, the charge, for each additional connection, is —</w:t>
      </w:r>
    </w:p>
    <w:p>
      <w:pPr>
        <w:pStyle w:val="yIndenta"/>
      </w:pPr>
      <w:r>
        <w:tab/>
        <w:t>(a)</w:t>
      </w:r>
      <w:r>
        <w:tab/>
        <w:t>for land that is classified as non</w:t>
      </w:r>
      <w:r>
        <w:noBreakHyphen/>
        <w:t>residential or commercial residential, the charge set out in the Table in item 2, according to the relevant meter size; and</w:t>
      </w:r>
    </w:p>
    <w:p>
      <w:pPr>
        <w:pStyle w:val="yIndenta"/>
        <w:tabs>
          <w:tab w:val="right" w:leader="dot" w:pos="6804"/>
        </w:tabs>
      </w:pPr>
      <w:r>
        <w:tab/>
        <w:t>(b)</w:t>
      </w:r>
      <w:r>
        <w:tab/>
        <w:t xml:space="preserve">for land to which paragraph (a) </w:t>
      </w:r>
      <w:r>
        <w:br/>
        <w:t xml:space="preserve">does not apply </w:t>
      </w:r>
      <w:r>
        <w:tab/>
        <w:t>$289.65</w:t>
      </w:r>
    </w:p>
    <w:p>
      <w:pPr>
        <w:pStyle w:val="ySubsection"/>
      </w:pPr>
      <w:r>
        <w:tab/>
        <w:t>(2)</w:t>
      </w:r>
      <w:r>
        <w:tab/>
        <w:t>Sub</w:t>
      </w:r>
      <w:r>
        <w:noBreakHyphen/>
        <w:t>item (1) does not apply to —</w:t>
      </w:r>
    </w:p>
    <w:p>
      <w:pPr>
        <w:pStyle w:val="yIndenta"/>
      </w:pPr>
      <w:r>
        <w:tab/>
        <w:t>(a)</w:t>
      </w:r>
      <w:r>
        <w:tab/>
        <w:t>a garden service connection; or</w:t>
      </w:r>
    </w:p>
    <w:p>
      <w:pPr>
        <w:pStyle w:val="yIndenta"/>
      </w:pPr>
      <w:r>
        <w:tab/>
        <w:t>(b)</w:t>
      </w:r>
      <w:r>
        <w:tab/>
        <w:t>a connection covered by item 17 or 21.</w:t>
      </w:r>
    </w:p>
    <w:p>
      <w:pPr>
        <w:pStyle w:val="ySubsection"/>
      </w:pPr>
      <w:r>
        <w:tab/>
        <w:t>(3)</w:t>
      </w:r>
      <w:r>
        <w:tab/>
        <w:t>The charge under sub</w:t>
      </w:r>
      <w:r>
        <w:noBreakHyphen/>
        <w:t>item (1) is in addition to any other charge applicable to the land under this Schedule.</w:t>
      </w:r>
    </w:p>
    <w:p>
      <w:pPr>
        <w:pStyle w:val="ySubsection"/>
      </w:pPr>
      <w:r>
        <w:lastRenderedPageBreak/>
        <w:tab/>
        <w:t>(4)</w:t>
      </w:r>
      <w:r>
        <w:tab/>
        <w:t>If a connection to which sub</w:t>
      </w:r>
      <w:r>
        <w:noBreakHyphen/>
        <w:t>item (1)(a) applies is not metered, the charge must be calculated as if the connection were metered through a meter of a size equal to the diameter of the pipe making the connection.</w:t>
      </w:r>
    </w:p>
    <w:p>
      <w:pPr>
        <w:pStyle w:val="yHeading5"/>
      </w:pPr>
      <w:bookmarkStart w:id="283" w:name="_Toc169797207"/>
      <w:bookmarkStart w:id="284" w:name="_Toc169797517"/>
      <w:bookmarkStart w:id="285" w:name="_Toc170209212"/>
      <w:r>
        <w:t>13.</w:t>
      </w:r>
      <w:r>
        <w:tab/>
        <w:t>Vacant land</w:t>
      </w:r>
      <w:bookmarkEnd w:id="283"/>
      <w:bookmarkEnd w:id="284"/>
      <w:bookmarkEnd w:id="285"/>
    </w:p>
    <w:p>
      <w:pPr>
        <w:pStyle w:val="ySubsection"/>
        <w:tabs>
          <w:tab w:val="right" w:leader="dot" w:pos="6804"/>
        </w:tabs>
      </w:pPr>
      <w:r>
        <w:tab/>
      </w:r>
      <w:r>
        <w:tab/>
        <w:t xml:space="preserve">For land that is classified as vacant land, </w:t>
      </w:r>
      <w:r>
        <w:br/>
        <w:t xml:space="preserve">the charge is </w:t>
      </w:r>
      <w:r>
        <w:tab/>
        <w:t>$289.65</w:t>
      </w:r>
    </w:p>
    <w:p>
      <w:pPr>
        <w:pStyle w:val="yHeading5"/>
      </w:pPr>
      <w:bookmarkStart w:id="286" w:name="_Toc169797208"/>
      <w:bookmarkStart w:id="287" w:name="_Toc169797518"/>
      <w:bookmarkStart w:id="288" w:name="_Toc170209213"/>
      <w:r>
        <w:t>14.</w:t>
      </w:r>
      <w:r>
        <w:tab/>
        <w:t>Garden service connections</w:t>
      </w:r>
      <w:bookmarkEnd w:id="286"/>
      <w:bookmarkEnd w:id="287"/>
      <w:bookmarkEnd w:id="288"/>
    </w:p>
    <w:p>
      <w:pPr>
        <w:pStyle w:val="ySubsection"/>
      </w:pPr>
      <w:r>
        <w:tab/>
        <w:t>(1)</w:t>
      </w:r>
      <w:r>
        <w:tab/>
        <w:t xml:space="preserve">For a garden service connection for water supplied to land in the suburb of Butler in the metropolitan area — </w:t>
      </w:r>
    </w:p>
    <w:p>
      <w:pPr>
        <w:pStyle w:val="yIndenta"/>
        <w:tabs>
          <w:tab w:val="right" w:leader="dot" w:pos="6804"/>
        </w:tabs>
      </w:pPr>
      <w:r>
        <w:tab/>
        <w:t>(a)</w:t>
      </w:r>
      <w:r>
        <w:tab/>
        <w:t xml:space="preserve">for land with an area of less </w:t>
      </w:r>
      <w:r>
        <w:br/>
        <w:t>than 400 m</w:t>
      </w:r>
      <w:r>
        <w:rPr>
          <w:vertAlign w:val="superscript"/>
        </w:rPr>
        <w:t>2</w:t>
      </w:r>
      <w:r>
        <w:t xml:space="preserve">, the charge is </w:t>
      </w:r>
      <w:r>
        <w:tab/>
        <w:t>$90.22</w:t>
      </w:r>
    </w:p>
    <w:p>
      <w:pPr>
        <w:pStyle w:val="yIndenta"/>
        <w:tabs>
          <w:tab w:val="right" w:leader="dot" w:pos="6804"/>
        </w:tabs>
      </w:pPr>
      <w:r>
        <w:tab/>
        <w:t>(b)</w:t>
      </w:r>
      <w:r>
        <w:tab/>
        <w:t xml:space="preserve">for land with an area equal to </w:t>
      </w:r>
      <w:r>
        <w:br/>
        <w:t>or greater than 400 m</w:t>
      </w:r>
      <w:r>
        <w:rPr>
          <w:vertAlign w:val="superscript"/>
        </w:rPr>
        <w:t>2</w:t>
      </w:r>
      <w:r>
        <w:t xml:space="preserve">, </w:t>
      </w:r>
      <w:r>
        <w:br/>
        <w:t xml:space="preserve">the charge is </w:t>
      </w:r>
      <w:r>
        <w:tab/>
        <w:t>$180.45</w:t>
      </w:r>
    </w:p>
    <w:p>
      <w:pPr>
        <w:pStyle w:val="ySubsection"/>
      </w:pPr>
      <w:r>
        <w:tab/>
        <w:t>(2)</w:t>
      </w:r>
      <w:r>
        <w:tab/>
        <w:t>The charge under sub</w:t>
      </w:r>
      <w:r>
        <w:noBreakHyphen/>
        <w:t>item (1) is in addition to any other charge applicable to the land under this Schedule.</w:t>
      </w:r>
    </w:p>
    <w:p>
      <w:pPr>
        <w:pStyle w:val="yHeading5"/>
      </w:pPr>
      <w:bookmarkStart w:id="289" w:name="_Toc169797209"/>
      <w:bookmarkStart w:id="290" w:name="_Toc169797519"/>
      <w:bookmarkStart w:id="291" w:name="_Toc170209214"/>
      <w:r>
        <w:t>15.</w:t>
      </w:r>
      <w:r>
        <w:tab/>
        <w:t>Government trading organisations and non</w:t>
      </w:r>
      <w:r>
        <w:noBreakHyphen/>
        <w:t>commercial government property</w:t>
      </w:r>
      <w:bookmarkEnd w:id="289"/>
      <w:bookmarkEnd w:id="290"/>
      <w:bookmarkEnd w:id="291"/>
    </w:p>
    <w:p>
      <w:pPr>
        <w:pStyle w:val="ySubsection"/>
      </w:pPr>
      <w:r>
        <w:tab/>
        <w:t>(1)</w:t>
      </w:r>
      <w:r>
        <w:tab/>
        <w:t>This item applies to land held by a government trading organisation, or a public authority that holds non</w:t>
      </w:r>
      <w:r>
        <w:noBreakHyphen/>
        <w:t>commercial government property, in respect of which a water service charge set out in item 4 or 10 would, but for this item, apply.</w:t>
      </w:r>
    </w:p>
    <w:p>
      <w:pPr>
        <w:pStyle w:val="ySubsection"/>
      </w:pPr>
      <w:r>
        <w:tab/>
        <w:t>(2)</w:t>
      </w:r>
      <w:r>
        <w:tab/>
        <w:t>This item does not apply to public land.</w:t>
      </w:r>
    </w:p>
    <w:p>
      <w:pPr>
        <w:pStyle w:val="ySubsection"/>
      </w:pPr>
      <w:r>
        <w:tab/>
        <w:t>(3)</w:t>
      </w:r>
      <w:r>
        <w:tab/>
        <w:t xml:space="preserve">For land to which this item applies — </w:t>
      </w:r>
    </w:p>
    <w:p>
      <w:pPr>
        <w:pStyle w:val="yIndenta"/>
      </w:pPr>
      <w:r>
        <w:tab/>
        <w:t>(a)</w:t>
      </w:r>
      <w:r>
        <w:tab/>
        <w:t>the charge referred to in sub</w:t>
      </w:r>
      <w:r>
        <w:noBreakHyphen/>
        <w:t>item (1) that would otherwise apply, does not; and</w:t>
      </w:r>
    </w:p>
    <w:p>
      <w:pPr>
        <w:pStyle w:val="yIndenta"/>
      </w:pPr>
      <w:r>
        <w:tab/>
        <w:t>(b)</w:t>
      </w:r>
      <w:r>
        <w:tab/>
        <w:t>the charge, per water supply connection, is the charge set out in the Table in item 2 according to the relevant meter size.</w:t>
      </w:r>
    </w:p>
    <w:p>
      <w:pPr>
        <w:pStyle w:val="ySubsection"/>
      </w:pPr>
      <w:r>
        <w:tab/>
        <w:t>(4)</w:t>
      </w:r>
      <w:r>
        <w:tab/>
        <w:t>If a connection to which sub</w:t>
      </w:r>
      <w:r>
        <w:noBreakHyphen/>
        <w:t>item (3)(b) applies is not metered, the charge must be calculated as if the connection were metered through a 20 mm meter.</w:t>
      </w:r>
    </w:p>
    <w:p>
      <w:pPr>
        <w:pStyle w:val="yHeading5"/>
      </w:pPr>
      <w:bookmarkStart w:id="292" w:name="_Toc169797210"/>
      <w:bookmarkStart w:id="293" w:name="_Toc169797520"/>
      <w:bookmarkStart w:id="294" w:name="_Toc170209215"/>
      <w:r>
        <w:lastRenderedPageBreak/>
        <w:t>16.</w:t>
      </w:r>
      <w:r>
        <w:tab/>
        <w:t>Government trading organisations and non</w:t>
      </w:r>
      <w:r>
        <w:noBreakHyphen/>
        <w:t>commercial government property: on</w:t>
      </w:r>
      <w:r>
        <w:noBreakHyphen/>
        <w:t>supply to lessees or ships</w:t>
      </w:r>
      <w:bookmarkEnd w:id="292"/>
      <w:bookmarkEnd w:id="293"/>
      <w:bookmarkEnd w:id="294"/>
    </w:p>
    <w:p>
      <w:pPr>
        <w:pStyle w:val="ySubsection"/>
      </w:pPr>
      <w:r>
        <w:tab/>
        <w:t>(1)</w:t>
      </w:r>
      <w:r>
        <w:tab/>
        <w:t>This item applies to land held by a government trading organisation, or a public authority that holds non</w:t>
      </w:r>
      <w:r>
        <w:noBreakHyphen/>
        <w:t>commercial government property, if —</w:t>
      </w:r>
    </w:p>
    <w:p>
      <w:pPr>
        <w:pStyle w:val="yIndenta"/>
      </w:pPr>
      <w:r>
        <w:tab/>
        <w:t>(a)</w:t>
      </w:r>
      <w:r>
        <w:tab/>
        <w:t>the land is connected to the water supply works of the Water Corporation; and</w:t>
      </w:r>
    </w:p>
    <w:p>
      <w:pPr>
        <w:pStyle w:val="yIndenta"/>
      </w:pPr>
      <w:r>
        <w:tab/>
        <w:t>(b)</w:t>
      </w:r>
      <w:r>
        <w:tab/>
        <w:t>a meter is connected to the property water supply connection with which the Water Corporation supplies water to the land; and</w:t>
      </w:r>
    </w:p>
    <w:p>
      <w:pPr>
        <w:pStyle w:val="yIndenta"/>
      </w:pPr>
      <w:r>
        <w:tab/>
        <w:t>(c)</w:t>
      </w:r>
      <w:r>
        <w:tab/>
        <w:t>at least some of the water supplied through the meter referred to in paragraph (b) is supplied, through a meter, to one or more lessees of any of the land or to ships in port.</w:t>
      </w:r>
    </w:p>
    <w:p>
      <w:pPr>
        <w:pStyle w:val="ySubsection"/>
      </w:pPr>
      <w:r>
        <w:tab/>
        <w:t>(2)</w:t>
      </w:r>
      <w:r>
        <w:tab/>
        <w:t>For land to which this item applies, the charge for the supply of water referred to in sub</w:t>
      </w:r>
      <w:r>
        <w:noBreakHyphen/>
        <w:t>item (1)(b) is reduced by the charge set out in the Table in item 2 for a meter of the size that would be required to supply, in aggregate, water as described in sub</w:t>
      </w:r>
      <w:r>
        <w:noBreakHyphen/>
        <w:t>item (1)(c).</w:t>
      </w:r>
    </w:p>
    <w:p>
      <w:pPr>
        <w:pStyle w:val="ySubsection"/>
      </w:pPr>
      <w:r>
        <w:tab/>
        <w:t>(3)</w:t>
      </w:r>
      <w:r>
        <w:tab/>
        <w:t>This item does not apply if the meter referred to in sub</w:t>
      </w:r>
      <w:r>
        <w:noBreakHyphen/>
        <w:t>item (1)(b) would be the same size whether or not the organisation or authority supplied water as described in sub</w:t>
      </w:r>
      <w:r>
        <w:noBreakHyphen/>
        <w:t>item (1)(c).</w:t>
      </w:r>
    </w:p>
    <w:p>
      <w:pPr>
        <w:pStyle w:val="yHeading4"/>
      </w:pPr>
      <w:bookmarkStart w:id="295" w:name="_Toc169797211"/>
      <w:bookmarkStart w:id="296" w:name="_Toc169797366"/>
      <w:bookmarkStart w:id="297" w:name="_Toc169797521"/>
      <w:bookmarkStart w:id="298" w:name="_Toc170138860"/>
      <w:bookmarkStart w:id="299" w:name="_Toc170203721"/>
      <w:bookmarkStart w:id="300" w:name="_Toc170209216"/>
      <w:r>
        <w:t>Subdivision 3 — Other service charges</w:t>
      </w:r>
      <w:bookmarkEnd w:id="295"/>
      <w:bookmarkEnd w:id="296"/>
      <w:bookmarkEnd w:id="297"/>
      <w:bookmarkEnd w:id="298"/>
      <w:bookmarkEnd w:id="299"/>
      <w:bookmarkEnd w:id="300"/>
    </w:p>
    <w:p>
      <w:pPr>
        <w:pStyle w:val="yFootnoteheading"/>
      </w:pPr>
      <w:bookmarkStart w:id="301" w:name="_Toc169797212"/>
      <w:bookmarkStart w:id="302" w:name="_Toc169797522"/>
      <w:r>
        <w:tab/>
        <w:t>[Heading inserted: SL 2024/117 r. 9.]</w:t>
      </w:r>
    </w:p>
    <w:p>
      <w:pPr>
        <w:pStyle w:val="yHeading5"/>
      </w:pPr>
      <w:bookmarkStart w:id="303" w:name="_Toc170209217"/>
      <w:r>
        <w:t>17.</w:t>
      </w:r>
      <w:r>
        <w:tab/>
        <w:t>Farmland</w:t>
      </w:r>
      <w:bookmarkEnd w:id="301"/>
      <w:bookmarkEnd w:id="302"/>
      <w:bookmarkEnd w:id="303"/>
    </w:p>
    <w:p>
      <w:pPr>
        <w:pStyle w:val="ySubsection"/>
        <w:tabs>
          <w:tab w:val="right" w:leader="dot" w:pos="6804"/>
        </w:tabs>
      </w:pPr>
      <w:r>
        <w:tab/>
      </w:r>
      <w:r>
        <w:tab/>
        <w:t>For each water supply connection provided</w:t>
      </w:r>
      <w:r>
        <w:br/>
        <w:t xml:space="preserve">on land that is classified as farmland, </w:t>
      </w:r>
      <w:r>
        <w:br/>
        <w:t xml:space="preserve">the charge is </w:t>
      </w:r>
      <w:r>
        <w:tab/>
        <w:t>$307.80</w:t>
      </w:r>
    </w:p>
    <w:p>
      <w:pPr>
        <w:pStyle w:val="yHeading5"/>
      </w:pPr>
      <w:bookmarkStart w:id="304" w:name="_Toc169797213"/>
      <w:bookmarkStart w:id="305" w:name="_Toc169797523"/>
      <w:bookmarkStart w:id="306" w:name="_Toc170209218"/>
      <w:r>
        <w:t>18.</w:t>
      </w:r>
      <w:r>
        <w:tab/>
        <w:t>Stock</w:t>
      </w:r>
      <w:bookmarkEnd w:id="304"/>
      <w:bookmarkEnd w:id="305"/>
      <w:bookmarkEnd w:id="306"/>
    </w:p>
    <w:p>
      <w:pPr>
        <w:pStyle w:val="ySubsection"/>
        <w:tabs>
          <w:tab w:val="right" w:leader="dot" w:pos="6804"/>
        </w:tabs>
      </w:pPr>
      <w:r>
        <w:tab/>
      </w:r>
      <w:r>
        <w:tab/>
        <w:t xml:space="preserve">For each water supply connection provided </w:t>
      </w:r>
      <w:r>
        <w:br/>
        <w:t xml:space="preserve">for the purpose of watering stock on land that </w:t>
      </w:r>
      <w:r>
        <w:br/>
        <w:t xml:space="preserve">is not classified as farmland, </w:t>
      </w:r>
      <w:r>
        <w:br/>
        <w:t xml:space="preserve">the charge is </w:t>
      </w:r>
      <w:r>
        <w:tab/>
        <w:t>$307.80</w:t>
      </w:r>
    </w:p>
    <w:p>
      <w:pPr>
        <w:pStyle w:val="yHeading5"/>
      </w:pPr>
      <w:bookmarkStart w:id="307" w:name="_Toc169797214"/>
      <w:bookmarkStart w:id="308" w:name="_Toc169797524"/>
      <w:bookmarkStart w:id="309" w:name="_Toc170209219"/>
      <w:r>
        <w:lastRenderedPageBreak/>
        <w:t>19.</w:t>
      </w:r>
      <w:r>
        <w:tab/>
        <w:t>Shipping</w:t>
      </w:r>
      <w:bookmarkEnd w:id="307"/>
      <w:bookmarkEnd w:id="308"/>
      <w:bookmarkEnd w:id="309"/>
    </w:p>
    <w:p>
      <w:pPr>
        <w:pStyle w:val="ySubsection"/>
      </w:pPr>
      <w:r>
        <w:tab/>
      </w:r>
      <w:r>
        <w:tab/>
        <w:t>For each water supply connection provided for the purpose of water being taken on board any ship in a port, the charge is the charge set out in the Table in item 2 according to the relevant meter size.</w:t>
      </w:r>
    </w:p>
    <w:p>
      <w:pPr>
        <w:pStyle w:val="yHeading5"/>
      </w:pPr>
      <w:bookmarkStart w:id="310" w:name="_Toc169797215"/>
      <w:bookmarkStart w:id="311" w:name="_Toc169797525"/>
      <w:bookmarkStart w:id="312" w:name="_Toc170209220"/>
      <w:r>
        <w:t>20.</w:t>
      </w:r>
      <w:r>
        <w:tab/>
        <w:t>Local government standpipes</w:t>
      </w:r>
      <w:bookmarkEnd w:id="310"/>
      <w:bookmarkEnd w:id="311"/>
      <w:bookmarkEnd w:id="312"/>
    </w:p>
    <w:p>
      <w:pPr>
        <w:pStyle w:val="ySubsection"/>
      </w:pPr>
      <w:r>
        <w:tab/>
      </w:r>
      <w:r>
        <w:tab/>
        <w:t xml:space="preserve">For each local government standpipe, the charge is — </w:t>
      </w:r>
    </w:p>
    <w:p>
      <w:pPr>
        <w:pStyle w:val="yIndenta"/>
      </w:pPr>
      <w:r>
        <w:tab/>
        <w:t>(a)</w:t>
      </w:r>
      <w:r>
        <w:tab/>
        <w:t>if the standpipe is used solely for local government works and purposes, the discounted charge set out in the Table; and</w:t>
      </w:r>
    </w:p>
    <w:p>
      <w:pPr>
        <w:pStyle w:val="yIndenta"/>
        <w:tabs>
          <w:tab w:val="right" w:leader="dot" w:pos="6804"/>
        </w:tabs>
      </w:pPr>
      <w:r>
        <w:tab/>
        <w:t>(b)</w:t>
      </w:r>
      <w:r>
        <w:tab/>
        <w:t xml:space="preserve">in any other case </w:t>
      </w:r>
      <w:r>
        <w:tab/>
        <w:t>$307.80</w:t>
      </w:r>
    </w:p>
    <w:p>
      <w:pPr>
        <w:pStyle w:val="yTHeadingNAm"/>
      </w:pPr>
      <w:r>
        <w:t>Table of charge and discount</w:t>
      </w:r>
    </w:p>
    <w:tbl>
      <w:tblPr>
        <w:tblW w:w="3687" w:type="dxa"/>
        <w:tblInd w:w="1701" w:type="dxa"/>
        <w:tblLayout w:type="fixed"/>
        <w:tblLook w:val="0000" w:firstRow="0" w:lastRow="0" w:firstColumn="0" w:lastColumn="0" w:noHBand="0" w:noVBand="0"/>
      </w:tblPr>
      <w:tblGrid>
        <w:gridCol w:w="1134"/>
        <w:gridCol w:w="1136"/>
        <w:gridCol w:w="1417"/>
      </w:tblGrid>
      <w:tr>
        <w:trPr>
          <w:cantSplit/>
          <w:tblHeader/>
        </w:trPr>
        <w:tc>
          <w:tcPr>
            <w:tcW w:w="1134"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134" w:type="dxa"/>
            <w:tcBorders>
              <w:bottom w:val="single" w:sz="4" w:space="0" w:color="auto"/>
            </w:tcBorders>
            <w:noWrap/>
          </w:tcPr>
          <w:p>
            <w:pPr>
              <w:pStyle w:val="yTableNAm"/>
              <w:jc w:val="center"/>
            </w:pPr>
            <w:r>
              <w:t>307.80</w:t>
            </w:r>
          </w:p>
        </w:tc>
        <w:tc>
          <w:tcPr>
            <w:tcW w:w="1136" w:type="dxa"/>
            <w:tcBorders>
              <w:bottom w:val="single" w:sz="4" w:space="0" w:color="auto"/>
            </w:tcBorders>
            <w:noWrap/>
          </w:tcPr>
          <w:p>
            <w:pPr>
              <w:pStyle w:val="yTableNAm"/>
              <w:jc w:val="center"/>
            </w:pPr>
            <w:r>
              <w:t>307.80</w:t>
            </w:r>
          </w:p>
        </w:tc>
        <w:tc>
          <w:tcPr>
            <w:tcW w:w="1417" w:type="dxa"/>
            <w:tcBorders>
              <w:bottom w:val="single" w:sz="4" w:space="0" w:color="auto"/>
            </w:tcBorders>
            <w:noWrap/>
            <w:vAlign w:val="bottom"/>
          </w:tcPr>
          <w:p>
            <w:pPr>
              <w:pStyle w:val="yTableNAm"/>
              <w:jc w:val="center"/>
            </w:pPr>
            <w:r>
              <w:t>0.00</w:t>
            </w:r>
          </w:p>
        </w:tc>
      </w:tr>
    </w:tbl>
    <w:p>
      <w:pPr>
        <w:pStyle w:val="yHeading5"/>
      </w:pPr>
      <w:bookmarkStart w:id="313" w:name="_Toc169797216"/>
      <w:bookmarkStart w:id="314" w:name="_Toc169797526"/>
      <w:bookmarkStart w:id="315" w:name="_Toc170209221"/>
      <w:r>
        <w:t>21.</w:t>
      </w:r>
      <w:r>
        <w:tab/>
        <w:t>Fire service connections</w:t>
      </w:r>
      <w:bookmarkEnd w:id="313"/>
      <w:bookmarkEnd w:id="314"/>
      <w:bookmarkEnd w:id="315"/>
    </w:p>
    <w:p>
      <w:pPr>
        <w:pStyle w:val="ySubsection"/>
        <w:tabs>
          <w:tab w:val="right" w:leader="dot" w:pos="6804"/>
        </w:tabs>
      </w:pPr>
      <w:r>
        <w:tab/>
      </w:r>
      <w:r>
        <w:tab/>
        <w:t xml:space="preserve">For a fire service connection, the charge is </w:t>
      </w:r>
      <w:r>
        <w:tab/>
        <w:t>$307.80</w:t>
      </w:r>
    </w:p>
    <w:p>
      <w:pPr>
        <w:pStyle w:val="yFootnotesection"/>
      </w:pPr>
      <w:r>
        <w:tab/>
        <w:t>[Division 1 inserted: SL 2024/117 r. 9.]</w:t>
      </w:r>
    </w:p>
    <w:p>
      <w:pPr>
        <w:pStyle w:val="yHeading3"/>
      </w:pPr>
      <w:bookmarkStart w:id="316" w:name="_Toc169797217"/>
      <w:bookmarkStart w:id="317" w:name="_Toc169797372"/>
      <w:bookmarkStart w:id="318" w:name="_Toc169797527"/>
      <w:bookmarkStart w:id="319" w:name="_Toc170138866"/>
      <w:bookmarkStart w:id="320" w:name="_Toc170203727"/>
      <w:bookmarkStart w:id="321" w:name="_Toc170209222"/>
      <w:r>
        <w:rPr>
          <w:rStyle w:val="CharSDivNo"/>
        </w:rPr>
        <w:t>Division 2</w:t>
      </w:r>
      <w:r>
        <w:t> — </w:t>
      </w:r>
      <w:r>
        <w:rPr>
          <w:rStyle w:val="CharSDivText"/>
        </w:rPr>
        <w:t>Consumption charges</w:t>
      </w:r>
      <w:bookmarkEnd w:id="316"/>
      <w:bookmarkEnd w:id="317"/>
      <w:bookmarkEnd w:id="318"/>
      <w:bookmarkEnd w:id="319"/>
      <w:bookmarkEnd w:id="320"/>
      <w:bookmarkEnd w:id="321"/>
    </w:p>
    <w:p>
      <w:pPr>
        <w:pStyle w:val="yFootnoteheading"/>
      </w:pPr>
      <w:r>
        <w:tab/>
        <w:t>[Heading inserted: SL 2024/117 r. 9.]</w:t>
      </w:r>
    </w:p>
    <w:p>
      <w:pPr>
        <w:pStyle w:val="yHeading4"/>
      </w:pPr>
      <w:bookmarkStart w:id="322" w:name="_Toc169797218"/>
      <w:bookmarkStart w:id="323" w:name="_Toc169797373"/>
      <w:bookmarkStart w:id="324" w:name="_Toc169797528"/>
      <w:bookmarkStart w:id="325" w:name="_Toc170138867"/>
      <w:bookmarkStart w:id="326" w:name="_Toc170203728"/>
      <w:bookmarkStart w:id="327" w:name="_Toc170209223"/>
      <w:r>
        <w:t>Subdivision 1 — Preliminary</w:t>
      </w:r>
      <w:bookmarkEnd w:id="322"/>
      <w:bookmarkEnd w:id="323"/>
      <w:bookmarkEnd w:id="324"/>
      <w:bookmarkEnd w:id="325"/>
      <w:bookmarkEnd w:id="326"/>
      <w:bookmarkEnd w:id="327"/>
    </w:p>
    <w:p>
      <w:pPr>
        <w:pStyle w:val="yFootnoteheading"/>
      </w:pPr>
      <w:r>
        <w:tab/>
        <w:t>[Heading inserted: SL 2024/117 r. 9.]</w:t>
      </w:r>
    </w:p>
    <w:p>
      <w:pPr>
        <w:pStyle w:val="yHeading5"/>
      </w:pPr>
      <w:bookmarkStart w:id="328" w:name="_Toc169797219"/>
      <w:bookmarkStart w:id="329" w:name="_Toc169797529"/>
      <w:bookmarkStart w:id="330" w:name="_Toc170209224"/>
      <w:r>
        <w:t>22.</w:t>
      </w:r>
      <w:r>
        <w:tab/>
        <w:t>Consumption charges for 2024/25 and subsequent years</w:t>
      </w:r>
      <w:bookmarkEnd w:id="328"/>
      <w:bookmarkEnd w:id="329"/>
      <w:bookmarkEnd w:id="330"/>
    </w:p>
    <w:p>
      <w:pPr>
        <w:pStyle w:val="ySubsection"/>
      </w:pPr>
      <w:r>
        <w:tab/>
        <w:t>(1)</w:t>
      </w:r>
      <w:r>
        <w:tab/>
        <w:t>The charges set out in this Division apply for water supplied in the 2024/25 financial year and each subsequent year.</w:t>
      </w:r>
    </w:p>
    <w:p>
      <w:pPr>
        <w:pStyle w:val="ySubsection"/>
      </w:pPr>
      <w:r>
        <w:tab/>
        <w:t>(2)</w:t>
      </w:r>
      <w:r>
        <w:tab/>
        <w:t>Volumetric ranges in an item of this Division have effect by reference to the volume of water supplied in the current consumption year.</w:t>
      </w:r>
    </w:p>
    <w:p>
      <w:pPr>
        <w:pStyle w:val="yHeading5"/>
      </w:pPr>
      <w:bookmarkStart w:id="331" w:name="_Toc169797220"/>
      <w:bookmarkStart w:id="332" w:name="_Toc169797530"/>
      <w:bookmarkStart w:id="333" w:name="_Toc170209225"/>
      <w:r>
        <w:lastRenderedPageBreak/>
        <w:t>23.</w:t>
      </w:r>
      <w:r>
        <w:tab/>
        <w:t>Residential or non</w:t>
      </w:r>
      <w:r>
        <w:noBreakHyphen/>
        <w:t>residential class of town or area</w:t>
      </w:r>
      <w:bookmarkEnd w:id="331"/>
      <w:bookmarkEnd w:id="332"/>
      <w:bookmarkEnd w:id="333"/>
    </w:p>
    <w:p>
      <w:pPr>
        <w:pStyle w:val="ySubsection"/>
      </w:pPr>
      <w:r>
        <w:tab/>
      </w:r>
      <w:r>
        <w:tab/>
        <w:t>In this Schedule a reference to the residential or non</w:t>
      </w:r>
      <w:r>
        <w:noBreakHyphen/>
        <w:t>residential class of a town or area is a reference to the residential or non</w:t>
      </w:r>
      <w:r>
        <w:noBreakHyphen/>
        <w:t>residential class of the town or area as set out in Schedule 10 for the current consumption year and Schedule 11 for the previous consumption year.</w:t>
      </w:r>
    </w:p>
    <w:p>
      <w:pPr>
        <w:pStyle w:val="yHeading5"/>
      </w:pPr>
      <w:bookmarkStart w:id="334" w:name="_Toc169797221"/>
      <w:bookmarkStart w:id="335" w:name="_Toc169797531"/>
      <w:bookmarkStart w:id="336" w:name="_Toc170209226"/>
      <w:r>
        <w:t>24.</w:t>
      </w:r>
      <w:r>
        <w:tab/>
        <w:t>Table of class</w:t>
      </w:r>
      <w:r>
        <w:noBreakHyphen/>
        <w:t>based charges</w:t>
      </w:r>
      <w:bookmarkEnd w:id="334"/>
      <w:bookmarkEnd w:id="335"/>
      <w:bookmarkEnd w:id="336"/>
    </w:p>
    <w:p>
      <w:pPr>
        <w:pStyle w:val="ySubsection"/>
      </w:pPr>
      <w:r>
        <w:tab/>
      </w:r>
      <w:r>
        <w:tab/>
        <w:t>For the purposes of this Division, class</w:t>
      </w:r>
      <w:r>
        <w:noBreakHyphen/>
        <w:t>based charges are set out in the Table.</w:t>
      </w:r>
    </w:p>
    <w:p>
      <w:pPr>
        <w:pStyle w:val="yTHeadingNAm"/>
      </w:pPr>
      <w:r>
        <w:t>Table of class</w:t>
      </w:r>
      <w:r>
        <w:noBreakHyphen/>
        <w:t>based charges</w:t>
      </w:r>
    </w:p>
    <w:tbl>
      <w:tblPr>
        <w:tblW w:w="4395" w:type="dxa"/>
        <w:tblInd w:w="1418" w:type="dxa"/>
        <w:tblLayout w:type="fixed"/>
        <w:tblCellMar>
          <w:left w:w="28" w:type="dxa"/>
          <w:right w:w="28" w:type="dxa"/>
        </w:tblCellMar>
        <w:tblLook w:val="0000" w:firstRow="0" w:lastRow="0" w:firstColumn="0" w:lastColumn="0" w:noHBand="0" w:noVBand="0"/>
      </w:tblPr>
      <w:tblGrid>
        <w:gridCol w:w="2197"/>
        <w:gridCol w:w="2198"/>
      </w:tblGrid>
      <w:tr>
        <w:trPr>
          <w:cantSplit/>
          <w:trHeight w:val="217"/>
          <w:tblHeader/>
        </w:trPr>
        <w:tc>
          <w:tcPr>
            <w:tcW w:w="2197" w:type="dxa"/>
            <w:tcBorders>
              <w:top w:val="single" w:sz="4" w:space="0" w:color="auto"/>
              <w:bottom w:val="single" w:sz="4" w:space="0" w:color="auto"/>
            </w:tcBorders>
            <w:noWrap/>
            <w:vAlign w:val="center"/>
          </w:tcPr>
          <w:p>
            <w:pPr>
              <w:pStyle w:val="yTableNAm"/>
              <w:jc w:val="center"/>
            </w:pPr>
            <w:r>
              <w:rPr>
                <w:b/>
              </w:rPr>
              <w:t>Class</w:t>
            </w:r>
          </w:p>
        </w:tc>
        <w:tc>
          <w:tcPr>
            <w:tcW w:w="2198" w:type="dxa"/>
            <w:tcBorders>
              <w:top w:val="single" w:sz="4" w:space="0" w:color="auto"/>
              <w:bottom w:val="single" w:sz="4" w:space="0" w:color="auto"/>
            </w:tcBorders>
            <w:noWrap/>
          </w:tcPr>
          <w:p>
            <w:pPr>
              <w:pStyle w:val="yTableNAm"/>
              <w:jc w:val="center"/>
            </w:pPr>
            <w:r>
              <w:rPr>
                <w:b/>
              </w:rPr>
              <w:t>Charge (cents)</w:t>
            </w:r>
          </w:p>
        </w:tc>
      </w:tr>
      <w:tr>
        <w:trPr>
          <w:cantSplit/>
        </w:trPr>
        <w:tc>
          <w:tcPr>
            <w:tcW w:w="2197" w:type="dxa"/>
            <w:tcBorders>
              <w:top w:val="single" w:sz="4" w:space="0" w:color="auto"/>
            </w:tcBorders>
            <w:noWrap/>
            <w:vAlign w:val="center"/>
          </w:tcPr>
          <w:p>
            <w:pPr>
              <w:pStyle w:val="yTableNAm"/>
              <w:jc w:val="center"/>
            </w:pPr>
            <w:r>
              <w:t>1</w:t>
            </w:r>
          </w:p>
        </w:tc>
        <w:tc>
          <w:tcPr>
            <w:tcW w:w="2198" w:type="dxa"/>
            <w:tcBorders>
              <w:top w:val="single" w:sz="4" w:space="0" w:color="auto"/>
            </w:tcBorders>
            <w:noWrap/>
          </w:tcPr>
          <w:p>
            <w:pPr>
              <w:pStyle w:val="yTableNAm"/>
              <w:jc w:val="center"/>
            </w:pPr>
            <w:r>
              <w:t>293.9</w:t>
            </w:r>
          </w:p>
        </w:tc>
      </w:tr>
      <w:tr>
        <w:trPr>
          <w:cantSplit/>
        </w:trPr>
        <w:tc>
          <w:tcPr>
            <w:tcW w:w="2197" w:type="dxa"/>
            <w:noWrap/>
            <w:vAlign w:val="center"/>
          </w:tcPr>
          <w:p>
            <w:pPr>
              <w:pStyle w:val="yTableNAm"/>
              <w:jc w:val="center"/>
            </w:pPr>
            <w:r>
              <w:t>2</w:t>
            </w:r>
          </w:p>
        </w:tc>
        <w:tc>
          <w:tcPr>
            <w:tcW w:w="2198" w:type="dxa"/>
            <w:noWrap/>
          </w:tcPr>
          <w:p>
            <w:pPr>
              <w:pStyle w:val="yTableNAm"/>
              <w:jc w:val="center"/>
            </w:pPr>
            <w:r>
              <w:t>320.2</w:t>
            </w:r>
          </w:p>
        </w:tc>
      </w:tr>
      <w:tr>
        <w:trPr>
          <w:cantSplit/>
        </w:trPr>
        <w:tc>
          <w:tcPr>
            <w:tcW w:w="2197" w:type="dxa"/>
            <w:noWrap/>
            <w:vAlign w:val="center"/>
          </w:tcPr>
          <w:p>
            <w:pPr>
              <w:pStyle w:val="yTableNAm"/>
              <w:jc w:val="center"/>
            </w:pPr>
            <w:r>
              <w:t>3</w:t>
            </w:r>
          </w:p>
        </w:tc>
        <w:tc>
          <w:tcPr>
            <w:tcW w:w="2198" w:type="dxa"/>
            <w:noWrap/>
          </w:tcPr>
          <w:p>
            <w:pPr>
              <w:pStyle w:val="yTableNAm"/>
              <w:jc w:val="center"/>
            </w:pPr>
            <w:r>
              <w:t>348.3</w:t>
            </w:r>
          </w:p>
        </w:tc>
      </w:tr>
      <w:tr>
        <w:trPr>
          <w:cantSplit/>
        </w:trPr>
        <w:tc>
          <w:tcPr>
            <w:tcW w:w="2197" w:type="dxa"/>
            <w:noWrap/>
            <w:vAlign w:val="center"/>
          </w:tcPr>
          <w:p>
            <w:pPr>
              <w:pStyle w:val="yTableNAm"/>
              <w:jc w:val="center"/>
            </w:pPr>
            <w:r>
              <w:t>4</w:t>
            </w:r>
          </w:p>
        </w:tc>
        <w:tc>
          <w:tcPr>
            <w:tcW w:w="2198" w:type="dxa"/>
            <w:noWrap/>
          </w:tcPr>
          <w:p>
            <w:pPr>
              <w:pStyle w:val="yTableNAm"/>
              <w:jc w:val="center"/>
            </w:pPr>
            <w:r>
              <w:t>379.5</w:t>
            </w:r>
          </w:p>
        </w:tc>
      </w:tr>
      <w:tr>
        <w:trPr>
          <w:cantSplit/>
        </w:trPr>
        <w:tc>
          <w:tcPr>
            <w:tcW w:w="2197" w:type="dxa"/>
            <w:noWrap/>
            <w:vAlign w:val="center"/>
          </w:tcPr>
          <w:p>
            <w:pPr>
              <w:pStyle w:val="yTableNAm"/>
              <w:jc w:val="center"/>
            </w:pPr>
            <w:r>
              <w:t>5</w:t>
            </w:r>
          </w:p>
        </w:tc>
        <w:tc>
          <w:tcPr>
            <w:tcW w:w="2198" w:type="dxa"/>
            <w:noWrap/>
          </w:tcPr>
          <w:p>
            <w:pPr>
              <w:pStyle w:val="yTableNAm"/>
              <w:jc w:val="center"/>
            </w:pPr>
            <w:r>
              <w:t>413.3</w:t>
            </w:r>
          </w:p>
        </w:tc>
      </w:tr>
      <w:tr>
        <w:trPr>
          <w:cantSplit/>
        </w:trPr>
        <w:tc>
          <w:tcPr>
            <w:tcW w:w="2197" w:type="dxa"/>
            <w:noWrap/>
            <w:vAlign w:val="center"/>
          </w:tcPr>
          <w:p>
            <w:pPr>
              <w:pStyle w:val="yTableNAm"/>
              <w:jc w:val="center"/>
            </w:pPr>
            <w:r>
              <w:t>6</w:t>
            </w:r>
          </w:p>
        </w:tc>
        <w:tc>
          <w:tcPr>
            <w:tcW w:w="2198" w:type="dxa"/>
            <w:noWrap/>
          </w:tcPr>
          <w:p>
            <w:pPr>
              <w:pStyle w:val="yTableNAm"/>
              <w:jc w:val="center"/>
            </w:pPr>
            <w:r>
              <w:t>449.9</w:t>
            </w:r>
          </w:p>
        </w:tc>
      </w:tr>
      <w:tr>
        <w:trPr>
          <w:cantSplit/>
        </w:trPr>
        <w:tc>
          <w:tcPr>
            <w:tcW w:w="2197" w:type="dxa"/>
            <w:noWrap/>
            <w:vAlign w:val="center"/>
          </w:tcPr>
          <w:p>
            <w:pPr>
              <w:pStyle w:val="yTableNAm"/>
              <w:jc w:val="center"/>
            </w:pPr>
            <w:r>
              <w:t>7</w:t>
            </w:r>
          </w:p>
        </w:tc>
        <w:tc>
          <w:tcPr>
            <w:tcW w:w="2198" w:type="dxa"/>
            <w:noWrap/>
          </w:tcPr>
          <w:p>
            <w:pPr>
              <w:pStyle w:val="yTableNAm"/>
              <w:jc w:val="center"/>
            </w:pPr>
            <w:r>
              <w:t>490.2</w:t>
            </w:r>
          </w:p>
        </w:tc>
      </w:tr>
      <w:tr>
        <w:trPr>
          <w:cantSplit/>
        </w:trPr>
        <w:tc>
          <w:tcPr>
            <w:tcW w:w="2197" w:type="dxa"/>
            <w:noWrap/>
            <w:vAlign w:val="center"/>
          </w:tcPr>
          <w:p>
            <w:pPr>
              <w:pStyle w:val="yTableNAm"/>
              <w:jc w:val="center"/>
            </w:pPr>
            <w:r>
              <w:t>8</w:t>
            </w:r>
          </w:p>
        </w:tc>
        <w:tc>
          <w:tcPr>
            <w:tcW w:w="2198" w:type="dxa"/>
            <w:noWrap/>
          </w:tcPr>
          <w:p>
            <w:pPr>
              <w:pStyle w:val="yTableNAm"/>
              <w:jc w:val="center"/>
            </w:pPr>
            <w:r>
              <w:t>533.6</w:t>
            </w:r>
          </w:p>
        </w:tc>
      </w:tr>
      <w:tr>
        <w:trPr>
          <w:cantSplit/>
        </w:trPr>
        <w:tc>
          <w:tcPr>
            <w:tcW w:w="2197" w:type="dxa"/>
            <w:noWrap/>
            <w:vAlign w:val="center"/>
          </w:tcPr>
          <w:p>
            <w:pPr>
              <w:pStyle w:val="yTableNAm"/>
              <w:jc w:val="center"/>
            </w:pPr>
            <w:r>
              <w:t>9</w:t>
            </w:r>
          </w:p>
        </w:tc>
        <w:tc>
          <w:tcPr>
            <w:tcW w:w="2198" w:type="dxa"/>
            <w:noWrap/>
          </w:tcPr>
          <w:p>
            <w:pPr>
              <w:pStyle w:val="yTableNAm"/>
              <w:jc w:val="center"/>
            </w:pPr>
            <w:r>
              <w:t>581.1</w:t>
            </w:r>
          </w:p>
        </w:tc>
      </w:tr>
      <w:tr>
        <w:trPr>
          <w:cantSplit/>
        </w:trPr>
        <w:tc>
          <w:tcPr>
            <w:tcW w:w="2197" w:type="dxa"/>
            <w:noWrap/>
            <w:vAlign w:val="center"/>
          </w:tcPr>
          <w:p>
            <w:pPr>
              <w:pStyle w:val="yTableNAm"/>
              <w:jc w:val="center"/>
            </w:pPr>
            <w:r>
              <w:t>10</w:t>
            </w:r>
          </w:p>
        </w:tc>
        <w:tc>
          <w:tcPr>
            <w:tcW w:w="2198" w:type="dxa"/>
            <w:noWrap/>
          </w:tcPr>
          <w:p>
            <w:pPr>
              <w:pStyle w:val="yTableNAm"/>
              <w:jc w:val="center"/>
            </w:pPr>
            <w:r>
              <w:t>632.8</w:t>
            </w:r>
          </w:p>
        </w:tc>
      </w:tr>
      <w:tr>
        <w:trPr>
          <w:cantSplit/>
        </w:trPr>
        <w:tc>
          <w:tcPr>
            <w:tcW w:w="2197" w:type="dxa"/>
            <w:noWrap/>
            <w:vAlign w:val="center"/>
          </w:tcPr>
          <w:p>
            <w:pPr>
              <w:pStyle w:val="yTableNAm"/>
              <w:jc w:val="center"/>
            </w:pPr>
            <w:r>
              <w:t>11</w:t>
            </w:r>
          </w:p>
        </w:tc>
        <w:tc>
          <w:tcPr>
            <w:tcW w:w="2198" w:type="dxa"/>
            <w:noWrap/>
          </w:tcPr>
          <w:p>
            <w:pPr>
              <w:pStyle w:val="yTableNAm"/>
              <w:jc w:val="center"/>
            </w:pPr>
            <w:r>
              <w:t>688.9</w:t>
            </w:r>
          </w:p>
        </w:tc>
      </w:tr>
      <w:tr>
        <w:trPr>
          <w:cantSplit/>
        </w:trPr>
        <w:tc>
          <w:tcPr>
            <w:tcW w:w="2197" w:type="dxa"/>
            <w:noWrap/>
            <w:vAlign w:val="center"/>
          </w:tcPr>
          <w:p>
            <w:pPr>
              <w:pStyle w:val="yTableNAm"/>
              <w:jc w:val="center"/>
            </w:pPr>
            <w:r>
              <w:t>12</w:t>
            </w:r>
          </w:p>
        </w:tc>
        <w:tc>
          <w:tcPr>
            <w:tcW w:w="2198" w:type="dxa"/>
            <w:noWrap/>
          </w:tcPr>
          <w:p>
            <w:pPr>
              <w:pStyle w:val="yTableNAm"/>
              <w:jc w:val="center"/>
            </w:pPr>
            <w:r>
              <w:t>750.3</w:t>
            </w:r>
          </w:p>
        </w:tc>
      </w:tr>
      <w:tr>
        <w:trPr>
          <w:cantSplit/>
        </w:trPr>
        <w:tc>
          <w:tcPr>
            <w:tcW w:w="2197" w:type="dxa"/>
            <w:noWrap/>
            <w:vAlign w:val="center"/>
          </w:tcPr>
          <w:p>
            <w:pPr>
              <w:pStyle w:val="yTableNAm"/>
              <w:jc w:val="center"/>
            </w:pPr>
            <w:r>
              <w:t>13</w:t>
            </w:r>
          </w:p>
        </w:tc>
        <w:tc>
          <w:tcPr>
            <w:tcW w:w="2198" w:type="dxa"/>
            <w:noWrap/>
          </w:tcPr>
          <w:p>
            <w:pPr>
              <w:pStyle w:val="yTableNAm"/>
              <w:jc w:val="center"/>
            </w:pPr>
            <w:r>
              <w:t>817.0</w:t>
            </w:r>
          </w:p>
        </w:tc>
      </w:tr>
      <w:tr>
        <w:trPr>
          <w:cantSplit/>
        </w:trPr>
        <w:tc>
          <w:tcPr>
            <w:tcW w:w="2197" w:type="dxa"/>
            <w:noWrap/>
            <w:vAlign w:val="center"/>
          </w:tcPr>
          <w:p>
            <w:pPr>
              <w:pStyle w:val="yTableNAm"/>
              <w:jc w:val="center"/>
            </w:pPr>
            <w:r>
              <w:t>14</w:t>
            </w:r>
          </w:p>
        </w:tc>
        <w:tc>
          <w:tcPr>
            <w:tcW w:w="2198" w:type="dxa"/>
            <w:noWrap/>
          </w:tcPr>
          <w:p>
            <w:pPr>
              <w:pStyle w:val="yTableNAm"/>
              <w:jc w:val="center"/>
            </w:pPr>
            <w:r>
              <w:t>889.9</w:t>
            </w:r>
          </w:p>
        </w:tc>
      </w:tr>
      <w:tr>
        <w:trPr>
          <w:cantSplit/>
        </w:trPr>
        <w:tc>
          <w:tcPr>
            <w:tcW w:w="2197" w:type="dxa"/>
            <w:tcBorders>
              <w:bottom w:val="single" w:sz="4" w:space="0" w:color="auto"/>
            </w:tcBorders>
            <w:noWrap/>
            <w:vAlign w:val="center"/>
          </w:tcPr>
          <w:p>
            <w:pPr>
              <w:pStyle w:val="yTableNAm"/>
              <w:jc w:val="center"/>
            </w:pPr>
            <w:r>
              <w:t>15</w:t>
            </w:r>
          </w:p>
        </w:tc>
        <w:tc>
          <w:tcPr>
            <w:tcW w:w="2198" w:type="dxa"/>
            <w:tcBorders>
              <w:bottom w:val="single" w:sz="4" w:space="0" w:color="auto"/>
            </w:tcBorders>
            <w:noWrap/>
          </w:tcPr>
          <w:p>
            <w:pPr>
              <w:pStyle w:val="yTableNAm"/>
              <w:jc w:val="center"/>
            </w:pPr>
            <w:r>
              <w:t>968.7</w:t>
            </w:r>
          </w:p>
        </w:tc>
      </w:tr>
    </w:tbl>
    <w:p>
      <w:pPr>
        <w:pStyle w:val="yHeading4"/>
      </w:pPr>
      <w:bookmarkStart w:id="337" w:name="_Toc169797222"/>
      <w:bookmarkStart w:id="338" w:name="_Toc169797377"/>
      <w:bookmarkStart w:id="339" w:name="_Toc169797532"/>
      <w:bookmarkStart w:id="340" w:name="_Toc170138871"/>
      <w:bookmarkStart w:id="341" w:name="_Toc170203732"/>
      <w:bookmarkStart w:id="342" w:name="_Toc170209227"/>
      <w:r>
        <w:lastRenderedPageBreak/>
        <w:t>Subdivision 2 — Consumption charges that apply to land</w:t>
      </w:r>
      <w:bookmarkEnd w:id="337"/>
      <w:bookmarkEnd w:id="338"/>
      <w:bookmarkEnd w:id="339"/>
      <w:bookmarkEnd w:id="340"/>
      <w:bookmarkEnd w:id="341"/>
      <w:bookmarkEnd w:id="342"/>
    </w:p>
    <w:p>
      <w:pPr>
        <w:pStyle w:val="yFootnoteheading"/>
        <w:keepNext/>
      </w:pPr>
      <w:r>
        <w:tab/>
        <w:t>[Heading inserted: SL 2024/117 r. 9.]</w:t>
      </w:r>
    </w:p>
    <w:p>
      <w:pPr>
        <w:pStyle w:val="yHeading5"/>
      </w:pPr>
      <w:bookmarkStart w:id="343" w:name="_Toc169797223"/>
      <w:bookmarkStart w:id="344" w:name="_Toc169797533"/>
      <w:bookmarkStart w:id="345" w:name="_Toc170209228"/>
      <w:r>
        <w:t>25.</w:t>
      </w:r>
      <w:r>
        <w:tab/>
        <w:t>Metropolitan residential and semi</w:t>
      </w:r>
      <w:r>
        <w:noBreakHyphen/>
        <w:t>rural residential</w:t>
      </w:r>
      <w:bookmarkEnd w:id="343"/>
      <w:bookmarkEnd w:id="344"/>
      <w:bookmarkEnd w:id="345"/>
    </w:p>
    <w:p>
      <w:pPr>
        <w:pStyle w:val="ySubsection"/>
        <w:keepNext/>
      </w:pPr>
      <w:r>
        <w:tab/>
        <w:t>(1)</w:t>
      </w:r>
      <w:r>
        <w:tab/>
        <w:t xml:space="preserve">For each kilolitre of water supplied to land in the metropolitan area that is — </w:t>
      </w:r>
    </w:p>
    <w:p>
      <w:pPr>
        <w:pStyle w:val="yIndenta"/>
      </w:pPr>
      <w:r>
        <w:tab/>
        <w:t>(a)</w:t>
      </w:r>
      <w:r>
        <w:tab/>
        <w:t>a residential property; or</w:t>
      </w:r>
    </w:p>
    <w:p>
      <w:pPr>
        <w:pStyle w:val="yIndenta"/>
      </w:pPr>
      <w:r>
        <w:tab/>
        <w:t>(b)</w:t>
      </w:r>
      <w:r>
        <w:tab/>
        <w:t>classified as vacant land but held for residential purposes; or</w:t>
      </w:r>
    </w:p>
    <w:p>
      <w:pPr>
        <w:pStyle w:val="yIndenta"/>
        <w:keepNext/>
      </w:pPr>
      <w:r>
        <w:tab/>
        <w:t>(c)</w:t>
      </w:r>
      <w:r>
        <w:tab/>
        <w:t>a semi</w:t>
      </w:r>
      <w:r>
        <w:noBreakHyphen/>
        <w:t>rural residential property,</w:t>
      </w:r>
    </w:p>
    <w:p>
      <w:pPr>
        <w:pStyle w:val="ySubsection"/>
      </w:pPr>
      <w:r>
        <w:tab/>
      </w:r>
      <w:r>
        <w:tab/>
        <w:t xml:space="preserve">the charge is — </w:t>
      </w:r>
    </w:p>
    <w:p>
      <w:pPr>
        <w:pStyle w:val="yMiscellaneousBodyLeft1cm"/>
      </w:pPr>
      <w:r>
        <w:tab/>
        <w:t xml:space="preserve">up to 150 kL </w:t>
      </w:r>
      <w:r>
        <w:tab/>
        <w:t>200.2 cents</w:t>
      </w:r>
    </w:p>
    <w:p>
      <w:pPr>
        <w:pStyle w:val="yMiscellaneousBodyLeft1cm"/>
      </w:pPr>
      <w:r>
        <w:tab/>
        <w:t xml:space="preserve">over 150 but not over 500 kL </w:t>
      </w:r>
      <w:r>
        <w:tab/>
        <w:t>266.7 cents</w:t>
      </w:r>
    </w:p>
    <w:p>
      <w:pPr>
        <w:pStyle w:val="yMiscellaneousBodyLeft1cm"/>
      </w:pPr>
      <w:r>
        <w:tab/>
        <w:t xml:space="preserve">over 500 kL </w:t>
      </w:r>
      <w:r>
        <w:tab/>
        <w:t>499.0 cents</w:t>
      </w:r>
    </w:p>
    <w:p>
      <w:pPr>
        <w:pStyle w:val="ySubsection"/>
      </w:pPr>
      <w:r>
        <w:tab/>
        <w:t>(2)</w:t>
      </w:r>
      <w:r>
        <w:tab/>
        <w:t>The charge under sub</w:t>
      </w:r>
      <w:r>
        <w:noBreakHyphen/>
        <w:t>item (1) does not apply to the supply of water for which a more specific charge is provided in this Subdivision or the supply of water through a garden service connection.</w:t>
      </w:r>
    </w:p>
    <w:p>
      <w:pPr>
        <w:pStyle w:val="yHeading5"/>
      </w:pPr>
      <w:bookmarkStart w:id="346" w:name="_Toc169797224"/>
      <w:bookmarkStart w:id="347" w:name="_Toc169797534"/>
      <w:bookmarkStart w:id="348" w:name="_Toc170209229"/>
      <w:r>
        <w:t>26.</w:t>
      </w:r>
      <w:r>
        <w:tab/>
        <w:t>Metropolitan non</w:t>
      </w:r>
      <w:r>
        <w:noBreakHyphen/>
        <w:t>residential</w:t>
      </w:r>
      <w:bookmarkEnd w:id="346"/>
      <w:bookmarkEnd w:id="347"/>
      <w:bookmarkEnd w:id="348"/>
    </w:p>
    <w:p>
      <w:pPr>
        <w:pStyle w:val="ySubsection"/>
      </w:pPr>
      <w:r>
        <w:tab/>
        <w:t>(1)</w:t>
      </w:r>
      <w:r>
        <w:tab/>
        <w:t>For each kilolitre of water supplied to land in the metropolitan area that is neither classified as residential nor classified as vacant land but held for residential purposes, the charge is —</w:t>
      </w:r>
    </w:p>
    <w:p>
      <w:pPr>
        <w:pStyle w:val="yIndenta"/>
      </w:pPr>
      <w:r>
        <w:tab/>
        <w:t>(a)</w:t>
      </w:r>
      <w:r>
        <w:tab/>
        <w:t>if the land is classified as commercial residential —</w:t>
      </w:r>
    </w:p>
    <w:p>
      <w:pPr>
        <w:pStyle w:val="yMiscellaneousBodyLeft425cm"/>
        <w:ind w:left="1985" w:hanging="291"/>
      </w:pPr>
      <w:r>
        <w:t xml:space="preserve">up to 150 kL </w:t>
      </w:r>
      <w:r>
        <w:tab/>
        <w:t>200.2 cents</w:t>
      </w:r>
    </w:p>
    <w:p>
      <w:pPr>
        <w:pStyle w:val="yMiscellaneousBodyLeft425cm"/>
        <w:ind w:hanging="716"/>
      </w:pPr>
      <w:r>
        <w:t xml:space="preserve">over 150 kL </w:t>
      </w:r>
      <w:r>
        <w:tab/>
        <w:t>285.0 cents</w:t>
      </w:r>
    </w:p>
    <w:p>
      <w:pPr>
        <w:pStyle w:val="yIndenta"/>
        <w:tabs>
          <w:tab w:val="right" w:leader="dot" w:pos="6804"/>
        </w:tabs>
      </w:pPr>
      <w:r>
        <w:tab/>
        <w:t>(b)</w:t>
      </w:r>
      <w:r>
        <w:tab/>
        <w:t xml:space="preserve">if paragraph (a) does not apply </w:t>
      </w:r>
      <w:r>
        <w:tab/>
        <w:t>285.0 </w:t>
      </w:r>
      <w:r>
        <w:rPr>
          <w:spacing w:val="-4"/>
        </w:rPr>
        <w:t>cents</w:t>
      </w:r>
    </w:p>
    <w:p>
      <w:pPr>
        <w:pStyle w:val="ySubsection"/>
      </w:pPr>
      <w:r>
        <w:tab/>
        <w:t>(2)</w:t>
      </w:r>
      <w:r>
        <w:tab/>
        <w:t>A charge under sub</w:t>
      </w:r>
      <w:r>
        <w:noBreakHyphen/>
        <w:t>item (1) does not apply to the supply of water for which a more specific charge is provided in this Subdivision.</w:t>
      </w:r>
    </w:p>
    <w:p>
      <w:pPr>
        <w:pStyle w:val="yHeading5"/>
      </w:pPr>
      <w:bookmarkStart w:id="349" w:name="_Toc169797225"/>
      <w:bookmarkStart w:id="350" w:name="_Toc169797535"/>
      <w:bookmarkStart w:id="351" w:name="_Toc170209230"/>
      <w:r>
        <w:t>27.</w:t>
      </w:r>
      <w:r>
        <w:tab/>
        <w:t>Metropolitan non</w:t>
      </w:r>
      <w:r>
        <w:noBreakHyphen/>
        <w:t>residential concessional</w:t>
      </w:r>
      <w:bookmarkEnd w:id="349"/>
      <w:bookmarkEnd w:id="350"/>
      <w:bookmarkEnd w:id="351"/>
    </w:p>
    <w:p>
      <w:pPr>
        <w:pStyle w:val="ySubsection"/>
        <w:tabs>
          <w:tab w:val="right" w:leader="dot" w:pos="6804"/>
        </w:tabs>
      </w:pPr>
      <w:r>
        <w:tab/>
        <w:t>(1)</w:t>
      </w:r>
      <w:r>
        <w:tab/>
        <w:t xml:space="preserve">For each kilolitre of water supplied to </w:t>
      </w:r>
      <w:r>
        <w:br/>
        <w:t xml:space="preserve">concessional land that is in the metropolitan </w:t>
      </w:r>
      <w:r>
        <w:br/>
      </w:r>
      <w:r>
        <w:lastRenderedPageBreak/>
        <w:t xml:space="preserve">area and is not classified as residential, </w:t>
      </w:r>
      <w:r>
        <w:br/>
        <w:t xml:space="preserve">the charge is </w:t>
      </w:r>
      <w:r>
        <w:tab/>
        <w:t>285.0 cents</w:t>
      </w:r>
    </w:p>
    <w:p>
      <w:pPr>
        <w:pStyle w:val="ySubsection"/>
      </w:pPr>
      <w:r>
        <w:tab/>
        <w:t>(2)</w:t>
      </w:r>
      <w:r>
        <w:tab/>
        <w:t>Sub</w:t>
      </w:r>
      <w:r>
        <w:noBreakHyphen/>
        <w:t>item (1) does not apply if the supply of water is covered by item 37.</w:t>
      </w:r>
    </w:p>
    <w:p>
      <w:pPr>
        <w:pStyle w:val="yHeading5"/>
      </w:pPr>
      <w:bookmarkStart w:id="352" w:name="_Toc169797226"/>
      <w:bookmarkStart w:id="353" w:name="_Toc169797536"/>
      <w:bookmarkStart w:id="354" w:name="_Toc170209231"/>
      <w:r>
        <w:t>28.</w:t>
      </w:r>
      <w:r>
        <w:tab/>
        <w:t>Community residential</w:t>
      </w:r>
      <w:bookmarkEnd w:id="352"/>
      <w:bookmarkEnd w:id="353"/>
      <w:bookmarkEnd w:id="354"/>
    </w:p>
    <w:p>
      <w:pPr>
        <w:pStyle w:val="ySubsection"/>
        <w:tabs>
          <w:tab w:val="right" w:leader="dot" w:pos="6804"/>
        </w:tabs>
      </w:pPr>
      <w:r>
        <w:tab/>
      </w:r>
      <w:r>
        <w:tab/>
        <w:t xml:space="preserve">For each kilolitre of water supplied to </w:t>
      </w:r>
      <w:r>
        <w:br/>
        <w:t xml:space="preserve">land that is classified as community </w:t>
      </w:r>
      <w:r>
        <w:br/>
        <w:t xml:space="preserve">residential, the charge is </w:t>
      </w:r>
      <w:r>
        <w:tab/>
        <w:t>100.1 cents</w:t>
      </w:r>
    </w:p>
    <w:p>
      <w:pPr>
        <w:pStyle w:val="yHeading5"/>
      </w:pPr>
      <w:bookmarkStart w:id="355" w:name="_Toc169797227"/>
      <w:bookmarkStart w:id="356" w:name="_Toc169797537"/>
      <w:bookmarkStart w:id="357" w:name="_Toc170209232"/>
      <w:r>
        <w:t>29.</w:t>
      </w:r>
      <w:r>
        <w:tab/>
        <w:t>Non</w:t>
      </w:r>
      <w:r>
        <w:noBreakHyphen/>
        <w:t>metropolitan residential</w:t>
      </w:r>
      <w:bookmarkEnd w:id="355"/>
      <w:bookmarkEnd w:id="356"/>
      <w:bookmarkEnd w:id="357"/>
    </w:p>
    <w:p>
      <w:pPr>
        <w:pStyle w:val="ySubsection"/>
      </w:pPr>
      <w:r>
        <w:tab/>
        <w:t>(1)</w:t>
      </w:r>
      <w:r>
        <w:tab/>
        <w:t>For each kilolitre of water supplied to land in the non</w:t>
      </w:r>
      <w:r>
        <w:noBreakHyphen/>
        <w:t xml:space="preserve">metropolitan area that is — </w:t>
      </w:r>
    </w:p>
    <w:p>
      <w:pPr>
        <w:pStyle w:val="yIndenta"/>
      </w:pPr>
      <w:r>
        <w:tab/>
        <w:t>(a)</w:t>
      </w:r>
      <w:r>
        <w:tab/>
        <w:t>a residential property; or</w:t>
      </w:r>
    </w:p>
    <w:p>
      <w:pPr>
        <w:pStyle w:val="yIndenta"/>
      </w:pPr>
      <w:r>
        <w:tab/>
        <w:t>(b)</w:t>
      </w:r>
      <w:r>
        <w:tab/>
        <w:t>classified as vacant land but held for residential purposes,</w:t>
      </w:r>
    </w:p>
    <w:p>
      <w:pPr>
        <w:pStyle w:val="ySubsection"/>
      </w:pPr>
      <w:r>
        <w:tab/>
      </w:r>
      <w:r>
        <w:tab/>
        <w:t xml:space="preserve">the charge, according to the residential class of the town or area in which the land is located, is — </w:t>
      </w:r>
    </w:p>
    <w:tbl>
      <w:tblPr>
        <w:tblW w:w="0" w:type="auto"/>
        <w:tblInd w:w="879" w:type="dxa"/>
        <w:tblCellMar>
          <w:left w:w="28" w:type="dxa"/>
          <w:right w:w="28" w:type="dxa"/>
        </w:tblCellMar>
        <w:tblLook w:val="0000" w:firstRow="0" w:lastRow="0" w:firstColumn="0" w:lastColumn="0" w:noHBand="0" w:noVBand="0"/>
      </w:tblPr>
      <w:tblGrid>
        <w:gridCol w:w="1567"/>
        <w:gridCol w:w="929"/>
        <w:gridCol w:w="928"/>
        <w:gridCol w:w="928"/>
        <w:gridCol w:w="928"/>
        <w:gridCol w:w="928"/>
      </w:tblGrid>
      <w:tr>
        <w:trPr>
          <w:cantSplit/>
          <w:tblHeader/>
        </w:trPr>
        <w:tc>
          <w:tcPr>
            <w:tcW w:w="0" w:type="auto"/>
            <w:tcBorders>
              <w:top w:val="single" w:sz="4" w:space="0" w:color="auto"/>
              <w:bottom w:val="single" w:sz="4" w:space="0" w:color="auto"/>
            </w:tcBorders>
            <w:noWrap/>
          </w:tcPr>
          <w:p>
            <w:pPr>
              <w:pStyle w:val="yTableNAm"/>
              <w:jc w:val="center"/>
            </w:pPr>
            <w:r>
              <w:rPr>
                <w:b/>
              </w:rPr>
              <w:br w:type="page"/>
              <w:t>Consumption (kL)</w:t>
            </w:r>
          </w:p>
        </w:tc>
        <w:tc>
          <w:tcPr>
            <w:tcW w:w="0" w:type="auto"/>
            <w:tcBorders>
              <w:top w:val="single" w:sz="4" w:space="0" w:color="auto"/>
              <w:bottom w:val="single" w:sz="4" w:space="0" w:color="auto"/>
            </w:tcBorders>
            <w:noWrap/>
          </w:tcPr>
          <w:p>
            <w:pPr>
              <w:pStyle w:val="yTableNAm"/>
              <w:jc w:val="center"/>
            </w:pPr>
            <w:r>
              <w:rPr>
                <w:b/>
              </w:rPr>
              <w:t>Class 1 (cents)</w:t>
            </w:r>
          </w:p>
        </w:tc>
        <w:tc>
          <w:tcPr>
            <w:tcW w:w="0" w:type="auto"/>
            <w:tcBorders>
              <w:top w:val="single" w:sz="4" w:space="0" w:color="auto"/>
              <w:bottom w:val="single" w:sz="4" w:space="0" w:color="auto"/>
            </w:tcBorders>
            <w:noWrap/>
          </w:tcPr>
          <w:p>
            <w:pPr>
              <w:pStyle w:val="yTableNAm"/>
              <w:jc w:val="center"/>
            </w:pPr>
            <w:r>
              <w:rPr>
                <w:b/>
              </w:rPr>
              <w:t>Class 2 (cents)</w:t>
            </w:r>
          </w:p>
        </w:tc>
        <w:tc>
          <w:tcPr>
            <w:tcW w:w="0" w:type="auto"/>
            <w:tcBorders>
              <w:top w:val="single" w:sz="4" w:space="0" w:color="auto"/>
              <w:bottom w:val="single" w:sz="4" w:space="0" w:color="auto"/>
            </w:tcBorders>
            <w:noWrap/>
          </w:tcPr>
          <w:p>
            <w:pPr>
              <w:pStyle w:val="yTableNAm"/>
              <w:jc w:val="center"/>
            </w:pPr>
            <w:r>
              <w:rPr>
                <w:b/>
              </w:rPr>
              <w:t>Class 3 (cents)</w:t>
            </w:r>
          </w:p>
        </w:tc>
        <w:tc>
          <w:tcPr>
            <w:tcW w:w="0" w:type="auto"/>
            <w:tcBorders>
              <w:top w:val="single" w:sz="4" w:space="0" w:color="auto"/>
              <w:bottom w:val="single" w:sz="4" w:space="0" w:color="auto"/>
            </w:tcBorders>
            <w:noWrap/>
          </w:tcPr>
          <w:p>
            <w:pPr>
              <w:pStyle w:val="yTableNAm"/>
              <w:jc w:val="center"/>
            </w:pPr>
            <w:r>
              <w:rPr>
                <w:b/>
              </w:rPr>
              <w:t>Class 4 (cents)</w:t>
            </w:r>
          </w:p>
        </w:tc>
        <w:tc>
          <w:tcPr>
            <w:tcW w:w="0" w:type="auto"/>
            <w:tcBorders>
              <w:top w:val="single" w:sz="4" w:space="0" w:color="auto"/>
              <w:bottom w:val="single" w:sz="4" w:space="0" w:color="auto"/>
            </w:tcBorders>
            <w:noWrap/>
          </w:tcPr>
          <w:p>
            <w:pPr>
              <w:pStyle w:val="yTableNAm"/>
              <w:jc w:val="center"/>
            </w:pPr>
            <w:r>
              <w:rPr>
                <w:b/>
              </w:rPr>
              <w:t>Class 5 (cents)</w:t>
            </w:r>
          </w:p>
        </w:tc>
      </w:tr>
      <w:tr>
        <w:trPr>
          <w:cantSplit/>
        </w:trPr>
        <w:tc>
          <w:tcPr>
            <w:tcW w:w="0" w:type="auto"/>
            <w:noWrap/>
          </w:tcPr>
          <w:p>
            <w:pPr>
              <w:pStyle w:val="yTableNAm"/>
            </w:pPr>
            <w:r>
              <w:t>Up to 150</w:t>
            </w:r>
          </w:p>
        </w:tc>
        <w:tc>
          <w:tcPr>
            <w:tcW w:w="0" w:type="auto"/>
            <w:noWrap/>
          </w:tcPr>
          <w:p>
            <w:pPr>
              <w:pStyle w:val="yTableNAm"/>
              <w:jc w:val="center"/>
            </w:pPr>
            <w:r>
              <w:t>152.7</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c>
          <w:tcPr>
            <w:tcW w:w="0" w:type="auto"/>
            <w:shd w:val="clear" w:color="auto" w:fill="auto"/>
            <w:noWrap/>
            <w:vAlign w:val="bottom"/>
          </w:tcPr>
          <w:p>
            <w:pPr>
              <w:pStyle w:val="yTableNAm"/>
              <w:jc w:val="center"/>
            </w:pPr>
            <w:r>
              <w:t>200.2</w:t>
            </w:r>
          </w:p>
        </w:tc>
        <w:tc>
          <w:tcPr>
            <w:tcW w:w="0" w:type="auto"/>
            <w:shd w:val="clear" w:color="auto" w:fill="auto"/>
            <w:noWrap/>
            <w:vAlign w:val="bottom"/>
          </w:tcPr>
          <w:p>
            <w:pPr>
              <w:pStyle w:val="yTableNAm"/>
              <w:jc w:val="center"/>
            </w:pPr>
            <w:r>
              <w:t>200.2</w:t>
            </w:r>
          </w:p>
        </w:tc>
      </w:tr>
      <w:tr>
        <w:trPr>
          <w:cantSplit/>
        </w:trPr>
        <w:tc>
          <w:tcPr>
            <w:tcW w:w="0" w:type="auto"/>
            <w:noWrap/>
          </w:tcPr>
          <w:p>
            <w:pPr>
              <w:pStyle w:val="yTableNAm"/>
            </w:pPr>
            <w:r>
              <w:t>Over 150 but not over 300</w:t>
            </w:r>
          </w:p>
        </w:tc>
        <w:tc>
          <w:tcPr>
            <w:tcW w:w="0" w:type="auto"/>
            <w:noWrap/>
            <w:vAlign w:val="bottom"/>
          </w:tcPr>
          <w:p>
            <w:pPr>
              <w:pStyle w:val="yTableNAm"/>
              <w:jc w:val="center"/>
            </w:pPr>
            <w:r>
              <w:t>203.4</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c>
          <w:tcPr>
            <w:tcW w:w="0" w:type="auto"/>
            <w:noWrap/>
            <w:vAlign w:val="bottom"/>
          </w:tcPr>
          <w:p>
            <w:pPr>
              <w:pStyle w:val="yTableNAm"/>
              <w:jc w:val="center"/>
            </w:pPr>
            <w:r>
              <w:t>266.7 </w:t>
            </w:r>
          </w:p>
        </w:tc>
        <w:tc>
          <w:tcPr>
            <w:tcW w:w="0" w:type="auto"/>
            <w:noWrap/>
            <w:vAlign w:val="bottom"/>
          </w:tcPr>
          <w:p>
            <w:pPr>
              <w:pStyle w:val="yTableNAm"/>
              <w:jc w:val="center"/>
            </w:pPr>
            <w:r>
              <w:t>266.7</w:t>
            </w:r>
          </w:p>
        </w:tc>
      </w:tr>
      <w:tr>
        <w:trPr>
          <w:cantSplit/>
        </w:trPr>
        <w:tc>
          <w:tcPr>
            <w:tcW w:w="0" w:type="auto"/>
            <w:noWrap/>
          </w:tcPr>
          <w:p>
            <w:pPr>
              <w:pStyle w:val="yTableNAm"/>
            </w:pPr>
            <w:r>
              <w:t>Over 300 but not over 550</w:t>
            </w:r>
          </w:p>
        </w:tc>
        <w:tc>
          <w:tcPr>
            <w:tcW w:w="0" w:type="auto"/>
            <w:noWrap/>
            <w:vAlign w:val="bottom"/>
          </w:tcPr>
          <w:p>
            <w:pPr>
              <w:pStyle w:val="yTableNAm"/>
              <w:jc w:val="center"/>
            </w:pPr>
            <w:r>
              <w:t>233.5</w:t>
            </w:r>
          </w:p>
        </w:tc>
        <w:tc>
          <w:tcPr>
            <w:tcW w:w="0" w:type="auto"/>
            <w:noWrap/>
            <w:vAlign w:val="bottom"/>
          </w:tcPr>
          <w:p>
            <w:pPr>
              <w:pStyle w:val="yTableNAm"/>
              <w:jc w:val="center"/>
            </w:pPr>
            <w:r>
              <w:t>321.2</w:t>
            </w:r>
          </w:p>
        </w:tc>
        <w:tc>
          <w:tcPr>
            <w:tcW w:w="0" w:type="auto"/>
            <w:noWrap/>
            <w:vAlign w:val="bottom"/>
          </w:tcPr>
          <w:p>
            <w:pPr>
              <w:pStyle w:val="yTableNAm"/>
              <w:jc w:val="center"/>
            </w:pPr>
            <w:r>
              <w:t>427.9</w:t>
            </w:r>
          </w:p>
        </w:tc>
        <w:tc>
          <w:tcPr>
            <w:tcW w:w="0" w:type="auto"/>
            <w:noWrap/>
            <w:vAlign w:val="bottom"/>
          </w:tcPr>
          <w:p>
            <w:pPr>
              <w:pStyle w:val="yTableNAm"/>
              <w:jc w:val="center"/>
            </w:pPr>
            <w:r>
              <w:t>503.2</w:t>
            </w:r>
          </w:p>
        </w:tc>
        <w:tc>
          <w:tcPr>
            <w:tcW w:w="0" w:type="auto"/>
            <w:noWrap/>
            <w:vAlign w:val="bottom"/>
          </w:tcPr>
          <w:p>
            <w:pPr>
              <w:pStyle w:val="yTableNAm"/>
              <w:jc w:val="center"/>
            </w:pPr>
            <w:r>
              <w:t>591.9</w:t>
            </w:r>
          </w:p>
        </w:tc>
      </w:tr>
      <w:tr>
        <w:trPr>
          <w:cantSplit/>
        </w:trPr>
        <w:tc>
          <w:tcPr>
            <w:tcW w:w="0" w:type="auto"/>
            <w:tcBorders>
              <w:bottom w:val="single" w:sz="4" w:space="0" w:color="auto"/>
            </w:tcBorders>
            <w:noWrap/>
          </w:tcPr>
          <w:p>
            <w:pPr>
              <w:pStyle w:val="yTableNAm"/>
            </w:pPr>
            <w:r>
              <w:t>Over 550</w:t>
            </w:r>
          </w:p>
        </w:tc>
        <w:tc>
          <w:tcPr>
            <w:tcW w:w="0" w:type="auto"/>
            <w:tcBorders>
              <w:bottom w:val="single" w:sz="4" w:space="0" w:color="auto"/>
            </w:tcBorders>
            <w:noWrap/>
            <w:vAlign w:val="bottom"/>
          </w:tcPr>
          <w:p>
            <w:pPr>
              <w:pStyle w:val="yTableNAm"/>
              <w:jc w:val="center"/>
            </w:pPr>
            <w:r>
              <w:t>272.7</w:t>
            </w:r>
          </w:p>
        </w:tc>
        <w:tc>
          <w:tcPr>
            <w:tcW w:w="0" w:type="auto"/>
            <w:tcBorders>
              <w:bottom w:val="single" w:sz="4" w:space="0" w:color="auto"/>
            </w:tcBorders>
            <w:noWrap/>
            <w:vAlign w:val="bottom"/>
          </w:tcPr>
          <w:p>
            <w:pPr>
              <w:pStyle w:val="yTableNAm"/>
              <w:jc w:val="center"/>
            </w:pPr>
            <w:r>
              <w:t>409.8</w:t>
            </w:r>
          </w:p>
        </w:tc>
        <w:tc>
          <w:tcPr>
            <w:tcW w:w="0" w:type="auto"/>
            <w:tcBorders>
              <w:bottom w:val="single" w:sz="4" w:space="0" w:color="auto"/>
            </w:tcBorders>
            <w:noWrap/>
            <w:vAlign w:val="bottom"/>
          </w:tcPr>
          <w:p>
            <w:pPr>
              <w:pStyle w:val="yTableNAm"/>
              <w:jc w:val="center"/>
            </w:pPr>
            <w:r>
              <w:t>545.6</w:t>
            </w:r>
          </w:p>
        </w:tc>
        <w:tc>
          <w:tcPr>
            <w:tcW w:w="0" w:type="auto"/>
            <w:tcBorders>
              <w:bottom w:val="single" w:sz="4" w:space="0" w:color="auto"/>
            </w:tcBorders>
            <w:noWrap/>
            <w:vAlign w:val="bottom"/>
          </w:tcPr>
          <w:p>
            <w:pPr>
              <w:pStyle w:val="yTableNAm"/>
              <w:jc w:val="center"/>
            </w:pPr>
            <w:r>
              <w:t>754.7</w:t>
            </w:r>
          </w:p>
        </w:tc>
        <w:tc>
          <w:tcPr>
            <w:tcW w:w="0" w:type="auto"/>
            <w:tcBorders>
              <w:bottom w:val="single" w:sz="4" w:space="0" w:color="auto"/>
            </w:tcBorders>
            <w:noWrap/>
            <w:vAlign w:val="bottom"/>
          </w:tcPr>
          <w:p>
            <w:pPr>
              <w:pStyle w:val="yTableNAm"/>
              <w:jc w:val="center"/>
            </w:pPr>
            <w:r>
              <w:t>1 017.8</w:t>
            </w:r>
          </w:p>
        </w:tc>
      </w:tr>
    </w:tbl>
    <w:p>
      <w:pPr>
        <w:pStyle w:val="ySubsection"/>
      </w:pPr>
      <w:r>
        <w:tab/>
        <w:t>(2)</w:t>
      </w:r>
      <w:r>
        <w:tab/>
        <w:t>Sub</w:t>
      </w:r>
      <w:r>
        <w:noBreakHyphen/>
        <w:t xml:space="preserve">item (1) applies unless the land is located — </w:t>
      </w:r>
    </w:p>
    <w:p>
      <w:pPr>
        <w:pStyle w:val="yIndenta"/>
      </w:pPr>
      <w:r>
        <w:tab/>
        <w:t>(a)</w:t>
      </w:r>
      <w:r>
        <w:tab/>
        <w:t>in the town of Cue, Laverton, Leonora, Meekatharra, Menzies, Mount Magnet, Mullewa, Sandstone, Wiluna or Yalgoo; or</w:t>
      </w:r>
    </w:p>
    <w:p>
      <w:pPr>
        <w:pStyle w:val="yIndenta"/>
      </w:pPr>
      <w:r>
        <w:tab/>
        <w:t>(b)</w:t>
      </w:r>
      <w:r>
        <w:tab/>
        <w:t>north of 26°S Latitude,</w:t>
      </w:r>
    </w:p>
    <w:p>
      <w:pPr>
        <w:pStyle w:val="ySubsection"/>
      </w:pPr>
      <w:r>
        <w:tab/>
      </w:r>
      <w:r>
        <w:tab/>
        <w:t>in which case the charge, according to the residential class of the town or area in which the land is located, is —</w:t>
      </w:r>
    </w:p>
    <w:tbl>
      <w:tblPr>
        <w:tblW w:w="0" w:type="auto"/>
        <w:tblInd w:w="879" w:type="dxa"/>
        <w:tblCellMar>
          <w:left w:w="28" w:type="dxa"/>
          <w:right w:w="28" w:type="dxa"/>
        </w:tblCellMar>
        <w:tblLook w:val="0000" w:firstRow="0" w:lastRow="0" w:firstColumn="0" w:lastColumn="0" w:noHBand="0" w:noVBand="0"/>
      </w:tblPr>
      <w:tblGrid>
        <w:gridCol w:w="1567"/>
        <w:gridCol w:w="929"/>
        <w:gridCol w:w="928"/>
        <w:gridCol w:w="928"/>
        <w:gridCol w:w="928"/>
        <w:gridCol w:w="928"/>
      </w:tblGrid>
      <w:tr>
        <w:trPr>
          <w:cantSplit/>
          <w:tblHeader/>
        </w:trPr>
        <w:tc>
          <w:tcPr>
            <w:tcW w:w="0" w:type="auto"/>
            <w:tcBorders>
              <w:top w:val="single" w:sz="4" w:space="0" w:color="auto"/>
              <w:bottom w:val="single" w:sz="4" w:space="0" w:color="auto"/>
            </w:tcBorders>
            <w:noWrap/>
          </w:tcPr>
          <w:p>
            <w:pPr>
              <w:pStyle w:val="yTableNAm"/>
              <w:jc w:val="center"/>
            </w:pPr>
            <w:r>
              <w:rPr>
                <w:b/>
              </w:rPr>
              <w:lastRenderedPageBreak/>
              <w:br w:type="page"/>
              <w:t>Consumption (kL)</w:t>
            </w:r>
          </w:p>
        </w:tc>
        <w:tc>
          <w:tcPr>
            <w:tcW w:w="0" w:type="auto"/>
            <w:tcBorders>
              <w:top w:val="single" w:sz="4" w:space="0" w:color="auto"/>
              <w:bottom w:val="single" w:sz="4" w:space="0" w:color="auto"/>
            </w:tcBorders>
            <w:noWrap/>
          </w:tcPr>
          <w:p>
            <w:pPr>
              <w:pStyle w:val="yTableNAm"/>
              <w:jc w:val="center"/>
            </w:pPr>
            <w:r>
              <w:rPr>
                <w:b/>
              </w:rPr>
              <w:t>Class 1 (cents)</w:t>
            </w:r>
          </w:p>
        </w:tc>
        <w:tc>
          <w:tcPr>
            <w:tcW w:w="0" w:type="auto"/>
            <w:tcBorders>
              <w:top w:val="single" w:sz="4" w:space="0" w:color="auto"/>
              <w:bottom w:val="single" w:sz="4" w:space="0" w:color="auto"/>
            </w:tcBorders>
            <w:noWrap/>
          </w:tcPr>
          <w:p>
            <w:pPr>
              <w:pStyle w:val="yTableNAm"/>
              <w:jc w:val="center"/>
            </w:pPr>
            <w:r>
              <w:rPr>
                <w:b/>
              </w:rPr>
              <w:t>Class 2 (cents)</w:t>
            </w:r>
          </w:p>
        </w:tc>
        <w:tc>
          <w:tcPr>
            <w:tcW w:w="0" w:type="auto"/>
            <w:tcBorders>
              <w:top w:val="single" w:sz="4" w:space="0" w:color="auto"/>
              <w:bottom w:val="single" w:sz="4" w:space="0" w:color="auto"/>
            </w:tcBorders>
            <w:noWrap/>
          </w:tcPr>
          <w:p>
            <w:pPr>
              <w:pStyle w:val="yTableNAm"/>
              <w:jc w:val="center"/>
            </w:pPr>
            <w:r>
              <w:rPr>
                <w:b/>
              </w:rPr>
              <w:t>Class 3 (cents)</w:t>
            </w:r>
          </w:p>
        </w:tc>
        <w:tc>
          <w:tcPr>
            <w:tcW w:w="0" w:type="auto"/>
            <w:tcBorders>
              <w:top w:val="single" w:sz="4" w:space="0" w:color="auto"/>
              <w:bottom w:val="single" w:sz="4" w:space="0" w:color="auto"/>
            </w:tcBorders>
            <w:noWrap/>
          </w:tcPr>
          <w:p>
            <w:pPr>
              <w:pStyle w:val="yTableNAm"/>
              <w:jc w:val="center"/>
            </w:pPr>
            <w:r>
              <w:rPr>
                <w:b/>
              </w:rPr>
              <w:t>Class 4 (cents)</w:t>
            </w:r>
          </w:p>
        </w:tc>
        <w:tc>
          <w:tcPr>
            <w:tcW w:w="0" w:type="auto"/>
            <w:tcBorders>
              <w:top w:val="single" w:sz="4" w:space="0" w:color="auto"/>
              <w:bottom w:val="single" w:sz="4" w:space="0" w:color="auto"/>
            </w:tcBorders>
            <w:noWrap/>
          </w:tcPr>
          <w:p>
            <w:pPr>
              <w:pStyle w:val="yTableNAm"/>
              <w:jc w:val="center"/>
            </w:pPr>
            <w:r>
              <w:rPr>
                <w:b/>
              </w:rPr>
              <w:t>Class 5 (cents)</w:t>
            </w:r>
          </w:p>
        </w:tc>
      </w:tr>
      <w:tr>
        <w:trPr>
          <w:cantSplit/>
        </w:trPr>
        <w:tc>
          <w:tcPr>
            <w:tcW w:w="0" w:type="auto"/>
            <w:noWrap/>
          </w:tcPr>
          <w:p>
            <w:pPr>
              <w:pStyle w:val="yTableNAm"/>
              <w:rPr>
                <w:szCs w:val="22"/>
              </w:rPr>
            </w:pPr>
            <w:r>
              <w:rPr>
                <w:szCs w:val="22"/>
              </w:rPr>
              <w:t>Up to 350</w:t>
            </w:r>
          </w:p>
        </w:tc>
        <w:tc>
          <w:tcPr>
            <w:tcW w:w="0" w:type="auto"/>
            <w:noWrap/>
            <w:vAlign w:val="bottom"/>
          </w:tcPr>
          <w:p>
            <w:pPr>
              <w:pStyle w:val="yTableNAm"/>
              <w:jc w:val="center"/>
            </w:pPr>
            <w:r>
              <w:t>152.7</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r>
      <w:tr>
        <w:trPr>
          <w:cantSplit/>
        </w:trPr>
        <w:tc>
          <w:tcPr>
            <w:tcW w:w="0" w:type="auto"/>
            <w:noWrap/>
          </w:tcPr>
          <w:p>
            <w:pPr>
              <w:pStyle w:val="yTableNAm"/>
              <w:rPr>
                <w:szCs w:val="22"/>
              </w:rPr>
            </w:pPr>
            <w:r>
              <w:rPr>
                <w:szCs w:val="22"/>
              </w:rPr>
              <w:t>Over 350 but not over 500</w:t>
            </w:r>
          </w:p>
        </w:tc>
        <w:tc>
          <w:tcPr>
            <w:tcW w:w="0" w:type="auto"/>
            <w:noWrap/>
            <w:vAlign w:val="bottom"/>
          </w:tcPr>
          <w:p>
            <w:pPr>
              <w:pStyle w:val="yTableNAm"/>
              <w:jc w:val="center"/>
            </w:pPr>
            <w:r>
              <w:t>203.4</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r>
      <w:tr>
        <w:trPr>
          <w:cantSplit/>
        </w:trPr>
        <w:tc>
          <w:tcPr>
            <w:tcW w:w="0" w:type="auto"/>
            <w:noWrap/>
          </w:tcPr>
          <w:p>
            <w:pPr>
              <w:pStyle w:val="yTableNAm"/>
              <w:rPr>
                <w:szCs w:val="22"/>
              </w:rPr>
            </w:pPr>
            <w:r>
              <w:rPr>
                <w:szCs w:val="22"/>
              </w:rPr>
              <w:t>Over 500 but not over 750</w:t>
            </w:r>
          </w:p>
        </w:tc>
        <w:tc>
          <w:tcPr>
            <w:tcW w:w="0" w:type="auto"/>
            <w:noWrap/>
            <w:vAlign w:val="bottom"/>
          </w:tcPr>
          <w:p>
            <w:pPr>
              <w:pStyle w:val="yTableNAm"/>
              <w:jc w:val="center"/>
            </w:pPr>
            <w:r>
              <w:t>233.5</w:t>
            </w:r>
          </w:p>
        </w:tc>
        <w:tc>
          <w:tcPr>
            <w:tcW w:w="0" w:type="auto"/>
            <w:noWrap/>
            <w:vAlign w:val="bottom"/>
          </w:tcPr>
          <w:p>
            <w:pPr>
              <w:pStyle w:val="yTableNAm"/>
              <w:jc w:val="center"/>
            </w:pPr>
            <w:r>
              <w:t>321.2</w:t>
            </w:r>
          </w:p>
        </w:tc>
        <w:tc>
          <w:tcPr>
            <w:tcW w:w="0" w:type="auto"/>
            <w:noWrap/>
            <w:vAlign w:val="bottom"/>
          </w:tcPr>
          <w:p>
            <w:pPr>
              <w:pStyle w:val="yTableNAm"/>
              <w:jc w:val="center"/>
            </w:pPr>
            <w:r>
              <w:t>427.9</w:t>
            </w:r>
          </w:p>
        </w:tc>
        <w:tc>
          <w:tcPr>
            <w:tcW w:w="0" w:type="auto"/>
            <w:noWrap/>
            <w:vAlign w:val="bottom"/>
          </w:tcPr>
          <w:p>
            <w:pPr>
              <w:pStyle w:val="yTableNAm"/>
              <w:jc w:val="center"/>
            </w:pPr>
            <w:r>
              <w:t>503.2</w:t>
            </w:r>
          </w:p>
        </w:tc>
        <w:tc>
          <w:tcPr>
            <w:tcW w:w="0" w:type="auto"/>
            <w:noWrap/>
            <w:vAlign w:val="bottom"/>
          </w:tcPr>
          <w:p>
            <w:pPr>
              <w:pStyle w:val="yTableNAm"/>
              <w:jc w:val="center"/>
            </w:pPr>
            <w:r>
              <w:t>591.9</w:t>
            </w:r>
          </w:p>
        </w:tc>
      </w:tr>
      <w:tr>
        <w:trPr>
          <w:cantSplit/>
        </w:trPr>
        <w:tc>
          <w:tcPr>
            <w:tcW w:w="0" w:type="auto"/>
            <w:tcBorders>
              <w:bottom w:val="single" w:sz="4" w:space="0" w:color="auto"/>
            </w:tcBorders>
            <w:noWrap/>
          </w:tcPr>
          <w:p>
            <w:pPr>
              <w:pStyle w:val="yTableNAm"/>
              <w:rPr>
                <w:szCs w:val="22"/>
              </w:rPr>
            </w:pPr>
            <w:r>
              <w:rPr>
                <w:szCs w:val="22"/>
              </w:rPr>
              <w:t>Over 750</w:t>
            </w:r>
          </w:p>
        </w:tc>
        <w:tc>
          <w:tcPr>
            <w:tcW w:w="0" w:type="auto"/>
            <w:tcBorders>
              <w:bottom w:val="single" w:sz="4" w:space="0" w:color="auto"/>
            </w:tcBorders>
            <w:noWrap/>
            <w:vAlign w:val="bottom"/>
          </w:tcPr>
          <w:p>
            <w:pPr>
              <w:pStyle w:val="yTableNAm"/>
              <w:jc w:val="center"/>
            </w:pPr>
            <w:r>
              <w:t>272.7</w:t>
            </w:r>
          </w:p>
        </w:tc>
        <w:tc>
          <w:tcPr>
            <w:tcW w:w="0" w:type="auto"/>
            <w:tcBorders>
              <w:bottom w:val="single" w:sz="4" w:space="0" w:color="auto"/>
            </w:tcBorders>
            <w:noWrap/>
            <w:vAlign w:val="bottom"/>
          </w:tcPr>
          <w:p>
            <w:pPr>
              <w:pStyle w:val="yTableNAm"/>
              <w:jc w:val="center"/>
            </w:pPr>
            <w:r>
              <w:t>409.8</w:t>
            </w:r>
          </w:p>
        </w:tc>
        <w:tc>
          <w:tcPr>
            <w:tcW w:w="0" w:type="auto"/>
            <w:tcBorders>
              <w:bottom w:val="single" w:sz="4" w:space="0" w:color="auto"/>
            </w:tcBorders>
            <w:noWrap/>
            <w:vAlign w:val="bottom"/>
          </w:tcPr>
          <w:p>
            <w:pPr>
              <w:pStyle w:val="yTableNAm"/>
              <w:jc w:val="center"/>
            </w:pPr>
            <w:r>
              <w:t>545.6</w:t>
            </w:r>
          </w:p>
        </w:tc>
        <w:tc>
          <w:tcPr>
            <w:tcW w:w="0" w:type="auto"/>
            <w:tcBorders>
              <w:bottom w:val="single" w:sz="4" w:space="0" w:color="auto"/>
            </w:tcBorders>
            <w:noWrap/>
            <w:vAlign w:val="bottom"/>
          </w:tcPr>
          <w:p>
            <w:pPr>
              <w:pStyle w:val="yTableNAm"/>
              <w:jc w:val="center"/>
            </w:pPr>
            <w:r>
              <w:t>754.7</w:t>
            </w:r>
          </w:p>
        </w:tc>
        <w:tc>
          <w:tcPr>
            <w:tcW w:w="0" w:type="auto"/>
            <w:tcBorders>
              <w:bottom w:val="single" w:sz="4" w:space="0" w:color="auto"/>
            </w:tcBorders>
            <w:noWrap/>
            <w:vAlign w:val="bottom"/>
          </w:tcPr>
          <w:p>
            <w:pPr>
              <w:pStyle w:val="yTableNAm"/>
              <w:jc w:val="center"/>
            </w:pPr>
            <w:r>
              <w:t>1 017.8</w:t>
            </w:r>
          </w:p>
        </w:tc>
      </w:tr>
    </w:tbl>
    <w:p>
      <w:pPr>
        <w:pStyle w:val="ySubsection"/>
      </w:pPr>
      <w:r>
        <w:tab/>
        <w:t>(3)</w:t>
      </w:r>
      <w:r>
        <w:tab/>
        <w:t>A charge under sub</w:t>
      </w:r>
      <w:r>
        <w:noBreakHyphen/>
        <w:t>item (1) or (2) does not apply to the supply of water for which a more specific charge is provided in this Subdivision.</w:t>
      </w:r>
    </w:p>
    <w:p>
      <w:pPr>
        <w:pStyle w:val="yHeading5"/>
      </w:pPr>
      <w:bookmarkStart w:id="358" w:name="_Toc169797228"/>
      <w:bookmarkStart w:id="359" w:name="_Toc169797538"/>
      <w:bookmarkStart w:id="360" w:name="_Toc170209233"/>
      <w:r>
        <w:t>30.</w:t>
      </w:r>
      <w:r>
        <w:tab/>
        <w:t>Non</w:t>
      </w:r>
      <w:r>
        <w:noBreakHyphen/>
        <w:t>metropolitan non</w:t>
      </w:r>
      <w:r>
        <w:noBreakHyphen/>
        <w:t>residential</w:t>
      </w:r>
      <w:bookmarkEnd w:id="358"/>
      <w:bookmarkEnd w:id="359"/>
      <w:bookmarkEnd w:id="360"/>
    </w:p>
    <w:p>
      <w:pPr>
        <w:pStyle w:val="ySubsection"/>
        <w:keepNext/>
      </w:pPr>
      <w:r>
        <w:tab/>
        <w:t>(1)</w:t>
      </w:r>
      <w:r>
        <w:tab/>
        <w:t>For each kilolitre of water supplied to land in the non</w:t>
      </w:r>
      <w:r>
        <w:noBreakHyphen/>
        <w:t>metropolitan area that is neither classified as residential nor classified as vacant land but held for residential purposes, the charge is —</w:t>
      </w:r>
    </w:p>
    <w:p>
      <w:pPr>
        <w:pStyle w:val="yIndenta"/>
        <w:tabs>
          <w:tab w:val="right" w:leader="dot" w:pos="6804"/>
        </w:tabs>
      </w:pPr>
      <w:r>
        <w:tab/>
        <w:t>(a)</w:t>
      </w:r>
      <w:r>
        <w:tab/>
        <w:t xml:space="preserve">if the land is classified as local </w:t>
      </w:r>
      <w:r>
        <w:br/>
        <w:t xml:space="preserve">government, institutional public </w:t>
      </w:r>
      <w:r>
        <w:br/>
        <w:t xml:space="preserve">or charitable purposes </w:t>
      </w:r>
      <w:r>
        <w:tab/>
        <w:t>293.9 cents</w:t>
      </w:r>
    </w:p>
    <w:p>
      <w:pPr>
        <w:pStyle w:val="yIndenta"/>
        <w:tabs>
          <w:tab w:val="right" w:leader="dot" w:pos="6804"/>
        </w:tabs>
      </w:pPr>
      <w:r>
        <w:tab/>
        <w:t>(b)</w:t>
      </w:r>
      <w:r>
        <w:tab/>
        <w:t xml:space="preserve">if the land is classified as farmland </w:t>
      </w:r>
      <w:r>
        <w:tab/>
        <w:t>293.9 cents</w:t>
      </w:r>
    </w:p>
    <w:p>
      <w:pPr>
        <w:pStyle w:val="yIndenta"/>
      </w:pPr>
      <w:r>
        <w:tab/>
        <w:t>(c)</w:t>
      </w:r>
      <w:r>
        <w:tab/>
        <w:t>if the land is classified as mining — the charge applicable in the Table in item 24 according to the non</w:t>
      </w:r>
      <w:r>
        <w:noBreakHyphen/>
        <w:t>residential class of the town or area in which the land is located, except that the Table is to have effect as if the charge for classes 14 and 15 were 968.7 cents;</w:t>
      </w:r>
    </w:p>
    <w:p>
      <w:pPr>
        <w:pStyle w:val="yIndenta"/>
      </w:pPr>
      <w:r>
        <w:tab/>
        <w:t>(d)</w:t>
      </w:r>
      <w:r>
        <w:tab/>
        <w:t>if the land is classified as non</w:t>
      </w:r>
      <w:r>
        <w:noBreakHyphen/>
        <w:t>residential or vacant land — the charge applicable in the Table in item 24 according to the non</w:t>
      </w:r>
      <w:r>
        <w:noBreakHyphen/>
        <w:t>residential class of the town or area in which the land is located;</w:t>
      </w:r>
    </w:p>
    <w:p>
      <w:pPr>
        <w:pStyle w:val="yIndenta"/>
      </w:pPr>
      <w:r>
        <w:tab/>
        <w:t>(e)</w:t>
      </w:r>
      <w:r>
        <w:tab/>
        <w:t>if the land is classified as commercial residential —</w:t>
      </w:r>
    </w:p>
    <w:p>
      <w:pPr>
        <w:pStyle w:val="yMiscellaneousBodyLeft425cm"/>
        <w:ind w:left="1695"/>
      </w:pPr>
      <w:r>
        <w:t xml:space="preserve">up to 150 kL </w:t>
      </w:r>
      <w:r>
        <w:tab/>
        <w:t>200.2 cents</w:t>
      </w:r>
    </w:p>
    <w:p>
      <w:pPr>
        <w:pStyle w:val="yMiscellaneousBodyLeft425cm"/>
        <w:ind w:left="1695"/>
      </w:pPr>
      <w:r>
        <w:t>over 150 kL — the charge applicable in the Table in item 24 according to the non</w:t>
      </w:r>
      <w:r>
        <w:noBreakHyphen/>
        <w:t>residential class of the town or area in which the land is located.</w:t>
      </w:r>
    </w:p>
    <w:p>
      <w:pPr>
        <w:pStyle w:val="ySubsection"/>
      </w:pPr>
      <w:r>
        <w:lastRenderedPageBreak/>
        <w:tab/>
        <w:t>(2)</w:t>
      </w:r>
      <w:r>
        <w:tab/>
        <w:t>A charge under sub</w:t>
      </w:r>
      <w:r>
        <w:noBreakHyphen/>
        <w:t>item (1) does not apply to the supply of water for which a more specific charge is provided in this Subdivision.</w:t>
      </w:r>
    </w:p>
    <w:p>
      <w:pPr>
        <w:pStyle w:val="yHeading5"/>
      </w:pPr>
      <w:bookmarkStart w:id="361" w:name="_Toc169797229"/>
      <w:bookmarkStart w:id="362" w:name="_Toc169797539"/>
      <w:bookmarkStart w:id="363" w:name="_Toc170209234"/>
      <w:r>
        <w:t>31.</w:t>
      </w:r>
      <w:r>
        <w:tab/>
        <w:t>Strata</w:t>
      </w:r>
      <w:r>
        <w:noBreakHyphen/>
        <w:t>titled or long</w:t>
      </w:r>
      <w:r>
        <w:noBreakHyphen/>
        <w:t>term residential caravan bays</w:t>
      </w:r>
      <w:bookmarkEnd w:id="361"/>
      <w:bookmarkEnd w:id="362"/>
      <w:bookmarkEnd w:id="363"/>
    </w:p>
    <w:p>
      <w:pPr>
        <w:pStyle w:val="ySubsection"/>
      </w:pPr>
      <w:r>
        <w:tab/>
        <w:t>(1)</w:t>
      </w:r>
      <w:r>
        <w:tab/>
        <w:t>For each kilolitre of water supplied to a strata</w:t>
      </w:r>
      <w:r>
        <w:noBreakHyphen/>
        <w:t>titled caravan bay, or a long</w:t>
      </w:r>
      <w:r>
        <w:noBreakHyphen/>
        <w:t xml:space="preserve">term residential caravan bay, in the metropolitan area, the charge is — </w:t>
      </w:r>
    </w:p>
    <w:p>
      <w:pPr>
        <w:pStyle w:val="yMiscellaneousBodyLeft425cm"/>
        <w:ind w:left="1695"/>
      </w:pPr>
      <w:r>
        <w:t xml:space="preserve">up to 150 kL </w:t>
      </w:r>
      <w:r>
        <w:tab/>
        <w:t>200.2 cents</w:t>
      </w:r>
    </w:p>
    <w:p>
      <w:pPr>
        <w:pStyle w:val="yMiscellaneousBodyLeft425cm"/>
        <w:ind w:left="1695"/>
      </w:pPr>
      <w:r>
        <w:t xml:space="preserve">over 150 kL </w:t>
      </w:r>
      <w:r>
        <w:tab/>
        <w:t>285.0 cents</w:t>
      </w:r>
    </w:p>
    <w:p>
      <w:pPr>
        <w:pStyle w:val="ySubsection"/>
      </w:pPr>
      <w:r>
        <w:tab/>
        <w:t>(2)</w:t>
      </w:r>
      <w:r>
        <w:tab/>
        <w:t>For each kilolitre of water supplied to a strata</w:t>
      </w:r>
      <w:r>
        <w:noBreakHyphen/>
        <w:t>titled caravan bay, or a long</w:t>
      </w:r>
      <w:r>
        <w:noBreakHyphen/>
        <w:t>term residential caravan bay, in the non</w:t>
      </w:r>
      <w:r>
        <w:noBreakHyphen/>
        <w:t xml:space="preserve">metropolitan area, the charge is — </w:t>
      </w:r>
    </w:p>
    <w:p>
      <w:pPr>
        <w:pStyle w:val="yMiscellaneousBodyLeft3cm"/>
      </w:pPr>
      <w:r>
        <w:t xml:space="preserve">up to 150 kL </w:t>
      </w:r>
      <w:r>
        <w:tab/>
        <w:t>200.2 cents</w:t>
      </w:r>
    </w:p>
    <w:p>
      <w:pPr>
        <w:pStyle w:val="yMiscellaneousBodyLeft3cm"/>
      </w:pPr>
      <w:r>
        <w:t>over 150 kL — the charge applicable in the Table in item 24 according to the residential class of the town or area in which the bay is located.</w:t>
      </w:r>
    </w:p>
    <w:p>
      <w:pPr>
        <w:pStyle w:val="ySubsection"/>
      </w:pPr>
      <w:r>
        <w:tab/>
        <w:t>(3)</w:t>
      </w:r>
      <w:r>
        <w:tab/>
        <w:t>Sub</w:t>
      </w:r>
      <w:r>
        <w:noBreakHyphen/>
        <w:t>items (1) and (2) do not apply to long</w:t>
      </w:r>
      <w:r>
        <w:noBreakHyphen/>
        <w:t>term residential caravan bays referred to in regulation 27(2)(a).</w:t>
      </w:r>
    </w:p>
    <w:p>
      <w:pPr>
        <w:pStyle w:val="yHeading5"/>
      </w:pPr>
      <w:bookmarkStart w:id="364" w:name="_Toc169797230"/>
      <w:bookmarkStart w:id="365" w:name="_Toc169797540"/>
      <w:bookmarkStart w:id="366" w:name="_Toc170209235"/>
      <w:r>
        <w:t>32.</w:t>
      </w:r>
      <w:r>
        <w:tab/>
        <w:t>Government trading organisations and non</w:t>
      </w:r>
      <w:r>
        <w:noBreakHyphen/>
        <w:t>commercial government property</w:t>
      </w:r>
      <w:bookmarkEnd w:id="364"/>
      <w:bookmarkEnd w:id="365"/>
      <w:bookmarkEnd w:id="366"/>
    </w:p>
    <w:p>
      <w:pPr>
        <w:pStyle w:val="ySubsection"/>
      </w:pPr>
      <w:r>
        <w:tab/>
        <w:t>(1)</w:t>
      </w:r>
      <w:r>
        <w:tab/>
        <w:t>This item applies to land held by a government trading organisation, or a public authority that holds non</w:t>
      </w:r>
      <w:r>
        <w:noBreakHyphen/>
        <w:t>commercial government property, in respect of which a water service charge set out in item 27 or 30(1)(a) would, but for this item, apply.</w:t>
      </w:r>
    </w:p>
    <w:p>
      <w:pPr>
        <w:pStyle w:val="ySubsection"/>
      </w:pPr>
      <w:r>
        <w:tab/>
        <w:t>(2)</w:t>
      </w:r>
      <w:r>
        <w:tab/>
        <w:t>This item does not apply to public land or land classified as vacant land.</w:t>
      </w:r>
    </w:p>
    <w:p>
      <w:pPr>
        <w:pStyle w:val="ySubsection"/>
      </w:pPr>
      <w:r>
        <w:tab/>
        <w:t>(3)</w:t>
      </w:r>
      <w:r>
        <w:tab/>
        <w:t>For land to which this item applies, the charge under sub</w:t>
      </w:r>
      <w:r>
        <w:noBreakHyphen/>
        <w:t>item (4) or (5) applies instead of the charge referred to in sub</w:t>
      </w:r>
      <w:r>
        <w:noBreakHyphen/>
        <w:t>item (1).</w:t>
      </w:r>
    </w:p>
    <w:p>
      <w:pPr>
        <w:pStyle w:val="ySubsection"/>
        <w:tabs>
          <w:tab w:val="right" w:leader="dot" w:pos="6804"/>
        </w:tabs>
      </w:pPr>
      <w:r>
        <w:tab/>
        <w:t>(4)</w:t>
      </w:r>
      <w:r>
        <w:tab/>
        <w:t xml:space="preserve">For each kilolitre of water supplied to land </w:t>
      </w:r>
      <w:r>
        <w:br/>
        <w:t xml:space="preserve">in the metropolitan area, the charge is </w:t>
      </w:r>
      <w:r>
        <w:tab/>
        <w:t>285.0 cents</w:t>
      </w:r>
    </w:p>
    <w:p>
      <w:pPr>
        <w:pStyle w:val="ySubsection"/>
        <w:tabs>
          <w:tab w:val="left" w:pos="7087"/>
        </w:tabs>
      </w:pPr>
      <w:r>
        <w:tab/>
        <w:t>(5)</w:t>
      </w:r>
      <w:r>
        <w:tab/>
        <w:t>For each kilolitre of water supplied to land in the non</w:t>
      </w:r>
      <w:r>
        <w:noBreakHyphen/>
        <w:t xml:space="preserve">metropolitan area, the charge is the charge applicable in the Table in item 24 </w:t>
      </w:r>
      <w:r>
        <w:lastRenderedPageBreak/>
        <w:t>according to the non</w:t>
      </w:r>
      <w:r>
        <w:noBreakHyphen/>
        <w:t>residential class of the town or area in which the land is located.</w:t>
      </w:r>
    </w:p>
    <w:p>
      <w:pPr>
        <w:pStyle w:val="yHeading5"/>
      </w:pPr>
      <w:bookmarkStart w:id="367" w:name="_Toc169797231"/>
      <w:bookmarkStart w:id="368" w:name="_Toc169797541"/>
      <w:bookmarkStart w:id="369" w:name="_Toc170209236"/>
      <w:r>
        <w:t>33.</w:t>
      </w:r>
      <w:r>
        <w:tab/>
        <w:t>Coral Bay desalinated</w:t>
      </w:r>
      <w:bookmarkEnd w:id="367"/>
      <w:bookmarkEnd w:id="368"/>
      <w:bookmarkEnd w:id="369"/>
    </w:p>
    <w:p>
      <w:pPr>
        <w:pStyle w:val="ySubsection"/>
        <w:tabs>
          <w:tab w:val="right" w:leader="dot" w:pos="6804"/>
        </w:tabs>
      </w:pPr>
      <w:r>
        <w:tab/>
      </w:r>
      <w:r>
        <w:tab/>
        <w:t xml:space="preserve">For each kilolitre of desalinated water </w:t>
      </w:r>
      <w:r>
        <w:br/>
        <w:t xml:space="preserve">supplied to land in Coral Bay that is not </w:t>
      </w:r>
      <w:r>
        <w:br/>
        <w:t>classified as residential, the charge is</w:t>
      </w:r>
      <w:r>
        <w:tab/>
        <w:t>823.2 cents</w:t>
      </w:r>
    </w:p>
    <w:p>
      <w:pPr>
        <w:pStyle w:val="yHeading5"/>
      </w:pPr>
      <w:bookmarkStart w:id="370" w:name="_Toc169797232"/>
      <w:bookmarkStart w:id="371" w:name="_Toc169797542"/>
      <w:bookmarkStart w:id="372" w:name="_Toc170209237"/>
      <w:r>
        <w:t>34.</w:t>
      </w:r>
      <w:r>
        <w:tab/>
        <w:t>Denham desalinated</w:t>
      </w:r>
      <w:bookmarkEnd w:id="370"/>
      <w:bookmarkEnd w:id="371"/>
      <w:bookmarkEnd w:id="372"/>
    </w:p>
    <w:p>
      <w:pPr>
        <w:pStyle w:val="ySubsection"/>
      </w:pPr>
      <w:r>
        <w:tab/>
        <w:t>(1)</w:t>
      </w:r>
      <w:r>
        <w:tab/>
        <w:t>For each kilolitre of desalinated water supplied, in a charge period, to land in Denham that is classified as residential, the charge is —</w:t>
      </w:r>
    </w:p>
    <w:p>
      <w:pPr>
        <w:pStyle w:val="yMiscellaneousBodyLeft425cm"/>
        <w:ind w:left="1695"/>
      </w:pPr>
      <w:r>
        <w:t xml:space="preserve">up to quota </w:t>
      </w:r>
      <w:r>
        <w:tab/>
      </w:r>
      <w:r>
        <w:rPr>
          <w:szCs w:val="22"/>
        </w:rPr>
        <w:t>74.2 </w:t>
      </w:r>
      <w:r>
        <w:t>cents</w:t>
      </w:r>
    </w:p>
    <w:p>
      <w:pPr>
        <w:pStyle w:val="yMiscellaneousBodyLeft425cm"/>
        <w:ind w:left="1695"/>
      </w:pPr>
      <w:r>
        <w:t xml:space="preserve">over quota but by not more than the </w:t>
      </w:r>
      <w:r>
        <w:br/>
        <w:t xml:space="preserve">shoulder amount </w:t>
      </w:r>
      <w:r>
        <w:tab/>
        <w:t>545.9 cents</w:t>
      </w:r>
    </w:p>
    <w:p>
      <w:pPr>
        <w:pStyle w:val="yMiscellaneousBodyLeft425cm"/>
        <w:ind w:left="1695"/>
      </w:pPr>
      <w:r>
        <w:t xml:space="preserve">over quota by more than the shoulder </w:t>
      </w:r>
      <w:r>
        <w:br/>
        <w:t xml:space="preserve">amount </w:t>
      </w:r>
      <w:r>
        <w:tab/>
        <w:t>1 700.9 cents</w:t>
      </w:r>
    </w:p>
    <w:p>
      <w:pPr>
        <w:pStyle w:val="ySubsection"/>
      </w:pPr>
      <w:r>
        <w:tab/>
        <w:t>(2)</w:t>
      </w:r>
      <w:r>
        <w:tab/>
        <w:t>In sub</w:t>
      </w:r>
      <w:r>
        <w:noBreakHyphen/>
        <w:t xml:space="preserve">item (1) — </w:t>
      </w:r>
    </w:p>
    <w:p>
      <w:pPr>
        <w:pStyle w:val="yIndenta"/>
      </w:pPr>
      <w:r>
        <w:tab/>
        <w:t>(a)</w:t>
      </w:r>
      <w:r>
        <w:tab/>
        <w:t>the quota for the charge period is 18 kL plus 4 kL for each resident on the land in excess of 4 residents; and</w:t>
      </w:r>
    </w:p>
    <w:p>
      <w:pPr>
        <w:pStyle w:val="yIndenta"/>
      </w:pPr>
      <w:r>
        <w:tab/>
        <w:t>(b)</w:t>
      </w:r>
      <w:r>
        <w:tab/>
        <w:t>the shoulder amount for the charge period is 3 kL plus 1 kL for each resident on the land in excess of 4 residents.</w:t>
      </w:r>
    </w:p>
    <w:p>
      <w:pPr>
        <w:pStyle w:val="ySubsection"/>
      </w:pPr>
      <w:r>
        <w:tab/>
        <w:t>(3)</w:t>
      </w:r>
      <w:r>
        <w:tab/>
        <w:t xml:space="preserve">For each kilolitre of desalinated water </w:t>
      </w:r>
      <w:r>
        <w:br/>
        <w:t xml:space="preserve">supplied to land in Denham that is not </w:t>
      </w:r>
      <w:r>
        <w:br/>
        <w:t>classified as residential, the charge is —</w:t>
      </w:r>
    </w:p>
    <w:p>
      <w:pPr>
        <w:pStyle w:val="yMiscellaneousBodyLeft3cm"/>
        <w:ind w:left="1695"/>
      </w:pPr>
      <w:r>
        <w:t xml:space="preserve">up to quota </w:t>
      </w:r>
      <w:r>
        <w:tab/>
        <w:t>75.7 cents</w:t>
      </w:r>
    </w:p>
    <w:p>
      <w:pPr>
        <w:pStyle w:val="yMiscellaneousBodyLeft3cm"/>
        <w:ind w:left="1695"/>
      </w:pPr>
      <w:r>
        <w:t xml:space="preserve">over quota </w:t>
      </w:r>
      <w:r>
        <w:tab/>
        <w:t>1 734.8 cents</w:t>
      </w:r>
    </w:p>
    <w:p>
      <w:pPr>
        <w:pStyle w:val="ySubsection"/>
      </w:pPr>
      <w:r>
        <w:tab/>
        <w:t>(4)</w:t>
      </w:r>
      <w:r>
        <w:tab/>
        <w:t>In sub</w:t>
      </w:r>
      <w:r>
        <w:noBreakHyphen/>
        <w:t>item (3), the quota for the land for the current consumption year is 108 kL or a greater amount specified for the land for the year by the Water Corporation.</w:t>
      </w:r>
    </w:p>
    <w:p>
      <w:pPr>
        <w:pStyle w:val="yHeading4"/>
      </w:pPr>
      <w:bookmarkStart w:id="373" w:name="_Toc169797233"/>
      <w:bookmarkStart w:id="374" w:name="_Toc169797388"/>
      <w:bookmarkStart w:id="375" w:name="_Toc169797543"/>
      <w:bookmarkStart w:id="376" w:name="_Toc170138882"/>
      <w:bookmarkStart w:id="377" w:name="_Toc170203743"/>
      <w:bookmarkStart w:id="378" w:name="_Toc170209238"/>
      <w:r>
        <w:lastRenderedPageBreak/>
        <w:t>Subdivision 3 — Other consumption charges</w:t>
      </w:r>
      <w:bookmarkEnd w:id="373"/>
      <w:bookmarkEnd w:id="374"/>
      <w:bookmarkEnd w:id="375"/>
      <w:bookmarkEnd w:id="376"/>
      <w:bookmarkEnd w:id="377"/>
      <w:bookmarkEnd w:id="378"/>
    </w:p>
    <w:p>
      <w:pPr>
        <w:pStyle w:val="yFootnoteheading"/>
        <w:keepNext/>
      </w:pPr>
      <w:r>
        <w:tab/>
        <w:t>[Heading inserted: SL 2024/117 r. 9.]</w:t>
      </w:r>
    </w:p>
    <w:p>
      <w:pPr>
        <w:pStyle w:val="yHeading5"/>
      </w:pPr>
      <w:bookmarkStart w:id="379" w:name="_Toc169797234"/>
      <w:bookmarkStart w:id="380" w:name="_Toc169797544"/>
      <w:bookmarkStart w:id="381" w:name="_Toc170209239"/>
      <w:r>
        <w:t>35.</w:t>
      </w:r>
      <w:r>
        <w:tab/>
        <w:t>Local government standpipes</w:t>
      </w:r>
      <w:bookmarkEnd w:id="379"/>
      <w:bookmarkEnd w:id="380"/>
      <w:bookmarkEnd w:id="381"/>
    </w:p>
    <w:p>
      <w:pPr>
        <w:pStyle w:val="ySubsection"/>
        <w:keepNext/>
        <w:tabs>
          <w:tab w:val="right" w:leader="dot" w:pos="6804"/>
        </w:tabs>
      </w:pPr>
      <w:r>
        <w:tab/>
      </w:r>
      <w:r>
        <w:tab/>
        <w:t xml:space="preserve">For each kilolitre of water supplied </w:t>
      </w:r>
      <w:r>
        <w:br/>
        <w:t xml:space="preserve">through a local government standpipe, </w:t>
      </w:r>
      <w:r>
        <w:br/>
        <w:t xml:space="preserve">the charge is </w:t>
      </w:r>
      <w:r>
        <w:tab/>
        <w:t>293.9 cents</w:t>
      </w:r>
    </w:p>
    <w:p>
      <w:pPr>
        <w:pStyle w:val="yHeading5"/>
      </w:pPr>
      <w:bookmarkStart w:id="382" w:name="_Toc169797235"/>
      <w:bookmarkStart w:id="383" w:name="_Toc169797545"/>
      <w:bookmarkStart w:id="384" w:name="_Toc170209240"/>
      <w:r>
        <w:t>36.</w:t>
      </w:r>
      <w:r>
        <w:tab/>
        <w:t>Shipping</w:t>
      </w:r>
      <w:bookmarkEnd w:id="382"/>
      <w:bookmarkEnd w:id="383"/>
      <w:bookmarkEnd w:id="384"/>
    </w:p>
    <w:p>
      <w:pPr>
        <w:pStyle w:val="ySubsection"/>
        <w:keepNext/>
      </w:pPr>
      <w:r>
        <w:tab/>
      </w:r>
      <w:r>
        <w:tab/>
        <w:t>For each kilolitre of water supplied for the purpose of being taken on board any ship in port —</w:t>
      </w:r>
    </w:p>
    <w:p>
      <w:pPr>
        <w:pStyle w:val="yIndenta"/>
        <w:tabs>
          <w:tab w:val="right" w:leader="dot" w:pos="6804"/>
        </w:tabs>
      </w:pPr>
      <w:r>
        <w:tab/>
        <w:t>(a)</w:t>
      </w:r>
      <w:r>
        <w:tab/>
        <w:t xml:space="preserve">for a port in </w:t>
      </w:r>
      <w:r>
        <w:rPr>
          <w:szCs w:val="22"/>
        </w:rPr>
        <w:t>the</w:t>
      </w:r>
      <w:r>
        <w:t xml:space="preserve"> metropolitan area, </w:t>
      </w:r>
      <w:r>
        <w:br/>
        <w:t xml:space="preserve">the charge is </w:t>
      </w:r>
      <w:r>
        <w:tab/>
        <w:t>285.0 cents</w:t>
      </w:r>
    </w:p>
    <w:p>
      <w:pPr>
        <w:pStyle w:val="yIndenta"/>
        <w:rPr>
          <w:szCs w:val="22"/>
        </w:rPr>
      </w:pPr>
      <w:r>
        <w:rPr>
          <w:szCs w:val="22"/>
        </w:rPr>
        <w:tab/>
        <w:t>(b)</w:t>
      </w:r>
      <w:r>
        <w:rPr>
          <w:szCs w:val="22"/>
        </w:rPr>
        <w:tab/>
        <w:t>for a port in the non</w:t>
      </w:r>
      <w:r>
        <w:rPr>
          <w:szCs w:val="22"/>
        </w:rPr>
        <w:noBreakHyphen/>
        <w:t xml:space="preserve">metropolitan area, the charge is the charge applicable </w:t>
      </w:r>
      <w:r>
        <w:t>in</w:t>
      </w:r>
      <w:r>
        <w:rPr>
          <w:szCs w:val="22"/>
        </w:rPr>
        <w:t xml:space="preserve"> the Table in item 24 according to the non</w:t>
      </w:r>
      <w:r>
        <w:rPr>
          <w:szCs w:val="22"/>
        </w:rPr>
        <w:noBreakHyphen/>
        <w:t>residential class of the town or area in which the port is located.</w:t>
      </w:r>
    </w:p>
    <w:p>
      <w:pPr>
        <w:pStyle w:val="yHeading5"/>
      </w:pPr>
      <w:bookmarkStart w:id="385" w:name="_Toc169797236"/>
      <w:bookmarkStart w:id="386" w:name="_Toc169797546"/>
      <w:bookmarkStart w:id="387" w:name="_Toc170209241"/>
      <w:r>
        <w:t>37.</w:t>
      </w:r>
      <w:r>
        <w:tab/>
        <w:t>Stock</w:t>
      </w:r>
      <w:bookmarkEnd w:id="385"/>
      <w:bookmarkEnd w:id="386"/>
      <w:bookmarkEnd w:id="387"/>
    </w:p>
    <w:p>
      <w:pPr>
        <w:pStyle w:val="ySubsection"/>
        <w:tabs>
          <w:tab w:val="right" w:leader="dot" w:pos="6804"/>
        </w:tabs>
      </w:pPr>
      <w:r>
        <w:tab/>
      </w:r>
      <w:r>
        <w:tab/>
        <w:t xml:space="preserve">For each kilolitre of water supplied through </w:t>
      </w:r>
      <w:r>
        <w:br/>
        <w:t xml:space="preserve">a water supply connection solely for the </w:t>
      </w:r>
      <w:r>
        <w:br/>
        <w:t xml:space="preserve">purpose of watering stock, the charge is </w:t>
      </w:r>
      <w:r>
        <w:tab/>
        <w:t>293.9 cents</w:t>
      </w:r>
    </w:p>
    <w:p>
      <w:pPr>
        <w:pStyle w:val="yHeading5"/>
      </w:pPr>
      <w:bookmarkStart w:id="388" w:name="_Toc169797237"/>
      <w:bookmarkStart w:id="389" w:name="_Toc169797547"/>
      <w:bookmarkStart w:id="390" w:name="_Toc170209242"/>
      <w:r>
        <w:t>38.</w:t>
      </w:r>
      <w:r>
        <w:tab/>
        <w:t>Hydrant standpipes</w:t>
      </w:r>
      <w:bookmarkEnd w:id="388"/>
      <w:bookmarkEnd w:id="389"/>
      <w:bookmarkEnd w:id="390"/>
    </w:p>
    <w:p>
      <w:pPr>
        <w:pStyle w:val="ySubsection"/>
        <w:tabs>
          <w:tab w:val="right" w:leader="dot" w:pos="6804"/>
        </w:tabs>
      </w:pPr>
      <w:r>
        <w:tab/>
      </w:r>
      <w:r>
        <w:tab/>
        <w:t xml:space="preserve">For each kilolitre of water supplied </w:t>
      </w:r>
      <w:r>
        <w:br/>
        <w:t xml:space="preserve">through a hydrant standpipe, the charge is </w:t>
      </w:r>
      <w:r>
        <w:tab/>
        <w:t>285.0 cents</w:t>
      </w:r>
    </w:p>
    <w:p>
      <w:pPr>
        <w:pStyle w:val="yFootnotesection"/>
      </w:pPr>
      <w:r>
        <w:tab/>
        <w:t>[Division 2 inserted: SL 2024/117 r. 9.]</w:t>
      </w:r>
    </w:p>
    <w:p>
      <w:pPr>
        <w:pStyle w:val="yScheduleHeading"/>
      </w:pPr>
      <w:bookmarkStart w:id="391" w:name="_Toc169797238"/>
      <w:bookmarkStart w:id="392" w:name="_Toc169797393"/>
      <w:bookmarkStart w:id="393" w:name="_Toc169797548"/>
      <w:bookmarkStart w:id="394" w:name="_Toc170138887"/>
      <w:bookmarkStart w:id="395" w:name="_Toc170203748"/>
      <w:bookmarkStart w:id="396" w:name="_Toc170209243"/>
      <w:r>
        <w:rPr>
          <w:rStyle w:val="CharSchNo"/>
        </w:rPr>
        <w:lastRenderedPageBreak/>
        <w:t>Schedule 4</w:t>
      </w:r>
      <w:r>
        <w:t> — </w:t>
      </w:r>
      <w:r>
        <w:rPr>
          <w:rStyle w:val="CharSchText"/>
        </w:rPr>
        <w:t>Sewerage charges for Water Corporation</w:t>
      </w:r>
      <w:bookmarkEnd w:id="391"/>
      <w:bookmarkEnd w:id="392"/>
      <w:bookmarkEnd w:id="393"/>
      <w:bookmarkEnd w:id="394"/>
      <w:bookmarkEnd w:id="395"/>
      <w:bookmarkEnd w:id="396"/>
    </w:p>
    <w:p>
      <w:pPr>
        <w:pStyle w:val="yShoulderClause"/>
      </w:pPr>
      <w:r>
        <w:t>[r. 24, 39 and 41]</w:t>
      </w:r>
    </w:p>
    <w:p>
      <w:pPr>
        <w:pStyle w:val="yFootnoteheading"/>
      </w:pPr>
      <w:r>
        <w:tab/>
        <w:t>[Heading inserted: SL 2024/117 r. 9.]</w:t>
      </w:r>
    </w:p>
    <w:p>
      <w:pPr>
        <w:pStyle w:val="yHeading3"/>
      </w:pPr>
      <w:bookmarkStart w:id="397" w:name="_Toc169797239"/>
      <w:bookmarkStart w:id="398" w:name="_Toc169797394"/>
      <w:bookmarkStart w:id="399" w:name="_Toc169797549"/>
      <w:bookmarkStart w:id="400" w:name="_Toc170138888"/>
      <w:bookmarkStart w:id="401" w:name="_Toc170203749"/>
      <w:bookmarkStart w:id="402" w:name="_Toc170209244"/>
      <w:r>
        <w:rPr>
          <w:rStyle w:val="CharSDivNo"/>
        </w:rPr>
        <w:t>Division 1</w:t>
      </w:r>
      <w:r>
        <w:t> — </w:t>
      </w:r>
      <w:r>
        <w:rPr>
          <w:rStyle w:val="CharSDivText"/>
        </w:rPr>
        <w:t>Service charges</w:t>
      </w:r>
      <w:bookmarkEnd w:id="397"/>
      <w:bookmarkEnd w:id="398"/>
      <w:bookmarkEnd w:id="399"/>
      <w:bookmarkEnd w:id="400"/>
      <w:bookmarkEnd w:id="401"/>
      <w:bookmarkEnd w:id="402"/>
    </w:p>
    <w:p>
      <w:pPr>
        <w:pStyle w:val="yFootnoteheading"/>
      </w:pPr>
      <w:r>
        <w:tab/>
        <w:t>[Heading inserted: SL 2024/117 r. 9.]</w:t>
      </w:r>
    </w:p>
    <w:p>
      <w:pPr>
        <w:pStyle w:val="yHeading5"/>
      </w:pPr>
      <w:bookmarkStart w:id="403" w:name="_Toc169797240"/>
      <w:bookmarkStart w:id="404" w:name="_Toc169797550"/>
      <w:bookmarkStart w:id="405" w:name="_Toc170209245"/>
      <w:r>
        <w:t>1.</w:t>
      </w:r>
      <w:r>
        <w:tab/>
        <w:t>Service charges for 2024/25 and subsequent years</w:t>
      </w:r>
      <w:bookmarkEnd w:id="403"/>
      <w:bookmarkEnd w:id="404"/>
      <w:bookmarkEnd w:id="405"/>
    </w:p>
    <w:p>
      <w:pPr>
        <w:pStyle w:val="ySubsection"/>
      </w:pPr>
      <w:r>
        <w:tab/>
      </w:r>
      <w:r>
        <w:tab/>
        <w:t>The charges set out in this Division apply for sewerage services provided in the</w:t>
      </w:r>
      <w:r>
        <w:rPr>
          <w:szCs w:val="22"/>
        </w:rPr>
        <w:t xml:space="preserve"> 2024/25</w:t>
      </w:r>
      <w:r>
        <w:t> financial year and each subsequent year.</w:t>
      </w:r>
    </w:p>
    <w:p>
      <w:pPr>
        <w:pStyle w:val="yHeading5"/>
      </w:pPr>
      <w:bookmarkStart w:id="406" w:name="_Toc169797241"/>
      <w:bookmarkStart w:id="407" w:name="_Toc169797551"/>
      <w:bookmarkStart w:id="408" w:name="_Toc170209246"/>
      <w:r>
        <w:t>2.</w:t>
      </w:r>
      <w:r>
        <w:tab/>
        <w:t>Metropolitan residential</w:t>
      </w:r>
      <w:bookmarkEnd w:id="406"/>
      <w:bookmarkEnd w:id="407"/>
      <w:bookmarkEnd w:id="408"/>
    </w:p>
    <w:p>
      <w:pPr>
        <w:pStyle w:val="ySubsection"/>
      </w:pPr>
      <w:r>
        <w:tab/>
        <w:t>(1)</w:t>
      </w:r>
      <w:r>
        <w:tab/>
        <w:t>For each residential property in the metropolitan area that —</w:t>
      </w:r>
    </w:p>
    <w:p>
      <w:pPr>
        <w:pStyle w:val="yIndenta"/>
      </w:pPr>
      <w:r>
        <w:tab/>
        <w:t>(a)</w:t>
      </w:r>
      <w:r>
        <w:tab/>
        <w:t>is not covered by item 4 or 5; and</w:t>
      </w:r>
    </w:p>
    <w:p>
      <w:pPr>
        <w:pStyle w:val="yIndenta"/>
      </w:pPr>
      <w:r>
        <w:tab/>
        <w:t>(b)</w:t>
      </w:r>
      <w:r>
        <w:tab/>
        <w:t>is not a caravan park or a nursing home,</w:t>
      </w:r>
    </w:p>
    <w:p>
      <w:pPr>
        <w:pStyle w:val="ySubsection"/>
      </w:pPr>
      <w:r>
        <w:tab/>
      </w:r>
      <w:r>
        <w:tab/>
        <w:t>the charge, per dwelling on the land, is —</w:t>
      </w:r>
    </w:p>
    <w:p>
      <w:pPr>
        <w:pStyle w:val="yMiscellaneousBodyLeft3cm"/>
      </w:pPr>
      <w:r>
        <w:t xml:space="preserve">up to $20 000 GRV </w:t>
      </w:r>
      <w:r>
        <w:tab/>
        <w:t>4.446 cents/$</w:t>
      </w:r>
    </w:p>
    <w:p>
      <w:pPr>
        <w:pStyle w:val="ySubsectionRight"/>
      </w:pPr>
      <w:r>
        <w:tab/>
        <w:t>of GRV</w:t>
      </w:r>
    </w:p>
    <w:p>
      <w:pPr>
        <w:pStyle w:val="yMiscellaneousBodyLeft3cm"/>
      </w:pPr>
      <w:r>
        <w:t xml:space="preserve">over $20 000 GRV </w:t>
      </w:r>
      <w:r>
        <w:tab/>
        <w:t>3.855 cents/$</w:t>
      </w:r>
    </w:p>
    <w:p>
      <w:pPr>
        <w:pStyle w:val="ySubsectionRight"/>
      </w:pPr>
      <w:r>
        <w:tab/>
        <w:t>of GRV</w:t>
      </w:r>
    </w:p>
    <w:p>
      <w:pPr>
        <w:pStyle w:val="ySubsection"/>
        <w:tabs>
          <w:tab w:val="right" w:leader="dot" w:pos="6804"/>
        </w:tabs>
      </w:pPr>
      <w:r>
        <w:tab/>
        <w:t>(2)</w:t>
      </w:r>
      <w:r>
        <w:tab/>
        <w:t xml:space="preserve">The minimum charge per dwelling </w:t>
      </w:r>
      <w:r>
        <w:br/>
        <w:t xml:space="preserve">under this item is </w:t>
      </w:r>
      <w:r>
        <w:tab/>
      </w:r>
      <w:r>
        <w:rPr>
          <w:szCs w:val="22"/>
        </w:rPr>
        <w:t>$481.14</w:t>
      </w:r>
    </w:p>
    <w:p>
      <w:pPr>
        <w:pStyle w:val="yHeading5"/>
      </w:pPr>
      <w:bookmarkStart w:id="409" w:name="_Toc169797242"/>
      <w:bookmarkStart w:id="410" w:name="_Toc169797552"/>
      <w:bookmarkStart w:id="411" w:name="_Toc170209247"/>
      <w:r>
        <w:t>3.</w:t>
      </w:r>
      <w:r>
        <w:tab/>
        <w:t>Metropolitan vacant land</w:t>
      </w:r>
      <w:bookmarkEnd w:id="409"/>
      <w:bookmarkEnd w:id="410"/>
      <w:bookmarkEnd w:id="411"/>
    </w:p>
    <w:p>
      <w:pPr>
        <w:pStyle w:val="ySubsection"/>
        <w:tabs>
          <w:tab w:val="right" w:leader="dot" w:pos="6804"/>
        </w:tabs>
      </w:pPr>
      <w:r>
        <w:tab/>
        <w:t>(1)</w:t>
      </w:r>
      <w:r>
        <w:tab/>
        <w:t xml:space="preserve">For land in the metropolitan area that is </w:t>
      </w:r>
      <w:r>
        <w:br/>
        <w:t xml:space="preserve">classified as vacant land, the charge is </w:t>
      </w:r>
      <w:r>
        <w:tab/>
        <w:t>2.456 cents/$</w:t>
      </w:r>
    </w:p>
    <w:p>
      <w:pPr>
        <w:pStyle w:val="ySubsectionRight"/>
      </w:pPr>
      <w:r>
        <w:tab/>
        <w:t>of GRV</w:t>
      </w:r>
    </w:p>
    <w:p>
      <w:pPr>
        <w:pStyle w:val="ySubsection"/>
        <w:tabs>
          <w:tab w:val="right" w:leader="dot" w:pos="6804"/>
        </w:tabs>
      </w:pPr>
      <w:r>
        <w:tab/>
        <w:t>(2)</w:t>
      </w:r>
      <w:r>
        <w:tab/>
        <w:t xml:space="preserve">The minimum charge under this item is </w:t>
      </w:r>
      <w:r>
        <w:tab/>
      </w:r>
      <w:r>
        <w:rPr>
          <w:szCs w:val="22"/>
        </w:rPr>
        <w:t>$361.76</w:t>
      </w:r>
    </w:p>
    <w:p>
      <w:pPr>
        <w:pStyle w:val="yHeading5"/>
      </w:pPr>
      <w:bookmarkStart w:id="412" w:name="_Toc169797243"/>
      <w:bookmarkStart w:id="413" w:name="_Toc169797553"/>
      <w:bookmarkStart w:id="414" w:name="_Toc170209248"/>
      <w:r>
        <w:t>4.</w:t>
      </w:r>
      <w:r>
        <w:tab/>
        <w:t>Metropolitan concessional</w:t>
      </w:r>
      <w:bookmarkEnd w:id="412"/>
      <w:bookmarkEnd w:id="413"/>
      <w:bookmarkEnd w:id="414"/>
    </w:p>
    <w:p>
      <w:pPr>
        <w:pStyle w:val="ySubsection"/>
      </w:pPr>
      <w:r>
        <w:tab/>
        <w:t>(1)</w:t>
      </w:r>
      <w:r>
        <w:tab/>
        <w:t>For land in the metropolitan area that is classified as —</w:t>
      </w:r>
    </w:p>
    <w:p>
      <w:pPr>
        <w:pStyle w:val="yIndenta"/>
      </w:pPr>
      <w:r>
        <w:tab/>
        <w:t>(a)</w:t>
      </w:r>
      <w:r>
        <w:tab/>
        <w:t>aged home; or</w:t>
      </w:r>
    </w:p>
    <w:p>
      <w:pPr>
        <w:pStyle w:val="yIndenta"/>
      </w:pPr>
      <w:r>
        <w:lastRenderedPageBreak/>
        <w:tab/>
        <w:t>(b)</w:t>
      </w:r>
      <w:r>
        <w:tab/>
        <w:t xml:space="preserve">charitable purposes or community </w:t>
      </w:r>
      <w:r>
        <w:br/>
        <w:t>purpose,</w:t>
      </w:r>
    </w:p>
    <w:p>
      <w:pPr>
        <w:pStyle w:val="ySubsection"/>
      </w:pPr>
      <w:r>
        <w:tab/>
      </w:r>
      <w:r>
        <w:tab/>
        <w:t>the charge, according to the classification of the land and the number of major fixtures on the land, is the sum of the discounted charges for each fixture, as set out in the Table to this sub</w:t>
      </w:r>
      <w:r>
        <w:noBreakHyphen/>
        <w:t>item.</w:t>
      </w:r>
    </w:p>
    <w:p>
      <w:pPr>
        <w:pStyle w:val="yTHeadingNAm"/>
      </w:pPr>
      <w:r>
        <w:t>Table of major fixture</w:t>
      </w:r>
      <w:r>
        <w:noBreakHyphen/>
        <w:t>based charges and discounts</w:t>
      </w:r>
    </w:p>
    <w:tbl>
      <w:tblPr>
        <w:tblW w:w="7088" w:type="dxa"/>
        <w:tblLayout w:type="fixed"/>
        <w:tblLook w:val="0000" w:firstRow="0" w:lastRow="0" w:firstColumn="0" w:lastColumn="0" w:noHBand="0" w:noVBand="0"/>
      </w:tblPr>
      <w:tblGrid>
        <w:gridCol w:w="1418"/>
        <w:gridCol w:w="1134"/>
        <w:gridCol w:w="992"/>
        <w:gridCol w:w="1276"/>
        <w:gridCol w:w="992"/>
        <w:gridCol w:w="1276"/>
      </w:tblGrid>
      <w:tr>
        <w:trPr>
          <w:cantSplit/>
          <w:tblHeader/>
        </w:trPr>
        <w:tc>
          <w:tcPr>
            <w:tcW w:w="1418" w:type="dxa"/>
            <w:vMerge w:val="restart"/>
            <w:tcBorders>
              <w:top w:val="single" w:sz="4" w:space="0" w:color="auto"/>
            </w:tcBorders>
            <w:noWrap/>
          </w:tcPr>
          <w:p>
            <w:pPr>
              <w:pStyle w:val="yTableNAm"/>
              <w:jc w:val="center"/>
              <w:rPr>
                <w:b/>
              </w:rPr>
            </w:pPr>
          </w:p>
        </w:tc>
        <w:tc>
          <w:tcPr>
            <w:tcW w:w="1134" w:type="dxa"/>
            <w:tcBorders>
              <w:top w:val="single" w:sz="4" w:space="0" w:color="auto"/>
              <w:right w:val="single" w:sz="4" w:space="0" w:color="auto"/>
            </w:tcBorders>
            <w:noWrap/>
          </w:tcPr>
          <w:p>
            <w:pPr>
              <w:pStyle w:val="yTableNAm10pt"/>
            </w:pPr>
          </w:p>
        </w:tc>
        <w:tc>
          <w:tcPr>
            <w:tcW w:w="2268" w:type="dxa"/>
            <w:gridSpan w:val="2"/>
            <w:tcBorders>
              <w:top w:val="single" w:sz="4" w:space="0" w:color="auto"/>
              <w:left w:val="single" w:sz="4" w:space="0" w:color="auto"/>
              <w:bottom w:val="single" w:sz="4" w:space="0" w:color="auto"/>
              <w:right w:val="single" w:sz="4" w:space="0" w:color="auto"/>
            </w:tcBorders>
            <w:noWrap/>
          </w:tcPr>
          <w:p>
            <w:pPr>
              <w:pStyle w:val="yTableNAm"/>
              <w:jc w:val="center"/>
            </w:pPr>
            <w:r>
              <w:rPr>
                <w:b/>
              </w:rPr>
              <w:t>Aged home</w:t>
            </w:r>
          </w:p>
        </w:tc>
        <w:tc>
          <w:tcPr>
            <w:tcW w:w="2268" w:type="dxa"/>
            <w:gridSpan w:val="2"/>
            <w:tcBorders>
              <w:top w:val="single" w:sz="4" w:space="0" w:color="auto"/>
              <w:left w:val="single" w:sz="4" w:space="0" w:color="auto"/>
              <w:bottom w:val="single" w:sz="4" w:space="0" w:color="auto"/>
            </w:tcBorders>
            <w:noWrap/>
          </w:tcPr>
          <w:p>
            <w:pPr>
              <w:pStyle w:val="yTableNAm"/>
              <w:jc w:val="center"/>
            </w:pPr>
            <w:r>
              <w:rPr>
                <w:b/>
              </w:rPr>
              <w:t>Charitable purposes or community purpose</w:t>
            </w:r>
          </w:p>
        </w:tc>
      </w:tr>
      <w:tr>
        <w:trPr>
          <w:cantSplit/>
          <w:tblHeader/>
        </w:trPr>
        <w:tc>
          <w:tcPr>
            <w:tcW w:w="1418" w:type="dxa"/>
            <w:vMerge/>
            <w:tcBorders>
              <w:bottom w:val="single" w:sz="4" w:space="0" w:color="auto"/>
            </w:tcBorders>
            <w:noWrap/>
            <w:vAlign w:val="center"/>
          </w:tcPr>
          <w:p>
            <w:pPr>
              <w:pStyle w:val="yTableNAm"/>
              <w:jc w:val="center"/>
              <w:rPr>
                <w:b/>
              </w:rPr>
            </w:pPr>
          </w:p>
        </w:tc>
        <w:tc>
          <w:tcPr>
            <w:tcW w:w="1134" w:type="dxa"/>
            <w:tcBorders>
              <w:bottom w:val="single" w:sz="4" w:space="0" w:color="auto"/>
              <w:right w:val="single" w:sz="4" w:space="0" w:color="auto"/>
            </w:tcBorders>
            <w:noWrap/>
            <w:vAlign w:val="center"/>
          </w:tcPr>
          <w:p>
            <w:pPr>
              <w:pStyle w:val="yTableNAm"/>
              <w:jc w:val="center"/>
            </w:pPr>
            <w:r>
              <w:rPr>
                <w:b/>
                <w:sz w:val="20"/>
              </w:rPr>
              <w:t>Charge</w:t>
            </w:r>
            <w:r>
              <w:rPr>
                <w:b/>
                <w:sz w:val="20"/>
              </w:rPr>
              <w:br/>
            </w:r>
            <w:r>
              <w:rPr>
                <w:b/>
                <w:sz w:val="20"/>
              </w:rPr>
              <w:br/>
              <w:t>$</w:t>
            </w:r>
          </w:p>
        </w:tc>
        <w:tc>
          <w:tcPr>
            <w:tcW w:w="992" w:type="dxa"/>
            <w:tcBorders>
              <w:top w:val="single" w:sz="4" w:space="0" w:color="auto"/>
              <w:left w:val="single" w:sz="4" w:space="0" w:color="auto"/>
              <w:bottom w:val="single" w:sz="4" w:space="0" w:color="auto"/>
            </w:tcBorders>
            <w:noWrap/>
            <w:vAlign w:val="center"/>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right w:val="single" w:sz="4" w:space="0" w:color="auto"/>
            </w:tcBorders>
            <w:noWrap/>
            <w:vAlign w:val="center"/>
          </w:tcPr>
          <w:p>
            <w:pPr>
              <w:pStyle w:val="yTableNAm"/>
              <w:jc w:val="center"/>
            </w:pPr>
            <w:r>
              <w:rPr>
                <w:b/>
                <w:sz w:val="20"/>
              </w:rPr>
              <w:t>Discounted charge</w:t>
            </w:r>
            <w:r>
              <w:rPr>
                <w:b/>
                <w:sz w:val="20"/>
              </w:rPr>
              <w:br/>
              <w:t>$</w:t>
            </w:r>
          </w:p>
        </w:tc>
        <w:tc>
          <w:tcPr>
            <w:tcW w:w="992" w:type="dxa"/>
            <w:tcBorders>
              <w:top w:val="single" w:sz="4" w:space="0" w:color="auto"/>
              <w:left w:val="single" w:sz="4" w:space="0" w:color="auto"/>
              <w:bottom w:val="single" w:sz="4" w:space="0" w:color="auto"/>
            </w:tcBorders>
            <w:noWrap/>
            <w:vAlign w:val="center"/>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tcBorders>
            <w:noWrap/>
            <w:vAlign w:val="center"/>
          </w:tcPr>
          <w:p>
            <w:pPr>
              <w:pStyle w:val="yTableNAm"/>
              <w:jc w:val="center"/>
            </w:pPr>
            <w:r>
              <w:rPr>
                <w:b/>
                <w:sz w:val="20"/>
              </w:rPr>
              <w:t>Discounted charge</w:t>
            </w:r>
            <w:r>
              <w:rPr>
                <w:b/>
                <w:sz w:val="20"/>
              </w:rPr>
              <w:br/>
              <w:t>$</w:t>
            </w:r>
          </w:p>
        </w:tc>
      </w:tr>
      <w:tr>
        <w:trPr>
          <w:cantSplit/>
        </w:trPr>
        <w:tc>
          <w:tcPr>
            <w:tcW w:w="1418" w:type="dxa"/>
            <w:noWrap/>
            <w:tcMar>
              <w:left w:w="62" w:type="dxa"/>
              <w:right w:w="62" w:type="dxa"/>
            </w:tcMar>
          </w:tcPr>
          <w:p>
            <w:pPr>
              <w:pStyle w:val="yTableNAmLeft-005cm"/>
            </w:pPr>
            <w:r>
              <w:t>1</w:t>
            </w:r>
            <w:r>
              <w:rPr>
                <w:vertAlign w:val="superscript"/>
              </w:rPr>
              <w:t>st</w:t>
            </w:r>
            <w:r>
              <w:tab/>
              <w:t>fixture</w:t>
            </w:r>
          </w:p>
        </w:tc>
        <w:tc>
          <w:tcPr>
            <w:tcW w:w="1134" w:type="dxa"/>
            <w:tcBorders>
              <w:right w:val="single" w:sz="4" w:space="0" w:color="auto"/>
            </w:tcBorders>
            <w:noWrap/>
          </w:tcPr>
          <w:p>
            <w:pPr>
              <w:pStyle w:val="yTableNAm"/>
              <w:jc w:val="center"/>
            </w:pPr>
            <w:r>
              <w:t>1 155.37</w:t>
            </w:r>
          </w:p>
        </w:tc>
        <w:tc>
          <w:tcPr>
            <w:tcW w:w="992" w:type="dxa"/>
            <w:tcBorders>
              <w:left w:val="single" w:sz="4" w:space="0" w:color="auto"/>
            </w:tcBorders>
            <w:noWrap/>
          </w:tcPr>
          <w:p>
            <w:pPr>
              <w:pStyle w:val="yTableNAm"/>
              <w:jc w:val="center"/>
            </w:pPr>
            <w:r>
              <w:t>844.95</w:t>
            </w:r>
          </w:p>
        </w:tc>
        <w:tc>
          <w:tcPr>
            <w:tcW w:w="1276" w:type="dxa"/>
            <w:tcBorders>
              <w:right w:val="single" w:sz="4" w:space="0" w:color="auto"/>
            </w:tcBorders>
            <w:noWrap/>
          </w:tcPr>
          <w:p>
            <w:pPr>
              <w:pStyle w:val="yTableNAm"/>
              <w:jc w:val="center"/>
            </w:pPr>
            <w:r>
              <w:t>310.42</w:t>
            </w:r>
          </w:p>
        </w:tc>
        <w:tc>
          <w:tcPr>
            <w:tcW w:w="992" w:type="dxa"/>
            <w:tcBorders>
              <w:left w:val="single" w:sz="4" w:space="0" w:color="auto"/>
            </w:tcBorders>
            <w:noWrap/>
          </w:tcPr>
          <w:p>
            <w:pPr>
              <w:pStyle w:val="yTableNAm"/>
              <w:jc w:val="center"/>
              <w:rPr>
                <w:b/>
                <w:i/>
              </w:rPr>
            </w:pPr>
            <w:r>
              <w:t>844.95</w:t>
            </w:r>
          </w:p>
        </w:tc>
        <w:tc>
          <w:tcPr>
            <w:tcW w:w="1276" w:type="dxa"/>
            <w:noWrap/>
          </w:tcPr>
          <w:p>
            <w:pPr>
              <w:pStyle w:val="yTableNAm"/>
              <w:jc w:val="center"/>
            </w:pPr>
            <w:r>
              <w:t>310.42</w:t>
            </w:r>
          </w:p>
        </w:tc>
      </w:tr>
      <w:tr>
        <w:trPr>
          <w:cantSplit/>
        </w:trPr>
        <w:tc>
          <w:tcPr>
            <w:tcW w:w="1418" w:type="dxa"/>
            <w:noWrap/>
            <w:tcMar>
              <w:left w:w="62" w:type="dxa"/>
              <w:right w:w="62" w:type="dxa"/>
            </w:tcMar>
          </w:tcPr>
          <w:p>
            <w:pPr>
              <w:pStyle w:val="yTableNAmLeft-005cm"/>
            </w:pPr>
            <w:r>
              <w:t>2</w:t>
            </w:r>
            <w:r>
              <w:rPr>
                <w:vertAlign w:val="superscript"/>
              </w:rPr>
              <w:t>nd</w:t>
            </w:r>
            <w:r>
              <w:tab/>
              <w:t>fixture</w:t>
            </w:r>
          </w:p>
        </w:tc>
        <w:tc>
          <w:tcPr>
            <w:tcW w:w="1134" w:type="dxa"/>
            <w:tcBorders>
              <w:right w:val="single" w:sz="4" w:space="0" w:color="auto"/>
            </w:tcBorders>
            <w:noWrap/>
          </w:tcPr>
          <w:p>
            <w:pPr>
              <w:pStyle w:val="yTableNAm"/>
              <w:jc w:val="center"/>
            </w:pPr>
            <w:r>
              <w:t>494.56</w:t>
            </w:r>
          </w:p>
        </w:tc>
        <w:tc>
          <w:tcPr>
            <w:tcW w:w="992" w:type="dxa"/>
            <w:tcBorders>
              <w:left w:val="single" w:sz="4" w:space="0" w:color="auto"/>
            </w:tcBorders>
            <w:noWrap/>
          </w:tcPr>
          <w:p>
            <w:pPr>
              <w:pStyle w:val="yTableNAm"/>
              <w:jc w:val="center"/>
            </w:pPr>
            <w:r>
              <w:t>357.99</w:t>
            </w:r>
          </w:p>
        </w:tc>
        <w:tc>
          <w:tcPr>
            <w:tcW w:w="1276" w:type="dxa"/>
            <w:tcBorders>
              <w:right w:val="single" w:sz="4" w:space="0" w:color="auto"/>
            </w:tcBorders>
            <w:noWrap/>
          </w:tcPr>
          <w:p>
            <w:pPr>
              <w:pStyle w:val="yTableNAm"/>
              <w:jc w:val="center"/>
            </w:pPr>
            <w:r>
              <w:t>136.57</w:t>
            </w:r>
          </w:p>
        </w:tc>
        <w:tc>
          <w:tcPr>
            <w:tcW w:w="992" w:type="dxa"/>
            <w:tcBorders>
              <w:left w:val="single" w:sz="4" w:space="0" w:color="auto"/>
            </w:tcBorders>
            <w:noWrap/>
          </w:tcPr>
          <w:p>
            <w:pPr>
              <w:pStyle w:val="yTableNAm"/>
              <w:jc w:val="center"/>
            </w:pPr>
            <w:r>
              <w:t>184.14</w:t>
            </w:r>
          </w:p>
        </w:tc>
        <w:tc>
          <w:tcPr>
            <w:tcW w:w="1276" w:type="dxa"/>
            <w:noWrap/>
          </w:tcPr>
          <w:p>
            <w:pPr>
              <w:pStyle w:val="yTableNAm"/>
              <w:jc w:val="center"/>
            </w:pPr>
            <w:r>
              <w:t>310.42</w:t>
            </w:r>
          </w:p>
        </w:tc>
      </w:tr>
      <w:tr>
        <w:trPr>
          <w:cantSplit/>
        </w:trPr>
        <w:tc>
          <w:tcPr>
            <w:tcW w:w="1418" w:type="dxa"/>
            <w:noWrap/>
            <w:tcMar>
              <w:left w:w="57" w:type="dxa"/>
              <w:right w:w="57" w:type="dxa"/>
            </w:tcMar>
          </w:tcPr>
          <w:p>
            <w:pPr>
              <w:pStyle w:val="yTableNAmLeft-005cm"/>
            </w:pPr>
            <w:r>
              <w:t>3</w:t>
            </w:r>
            <w:r>
              <w:rPr>
                <w:vertAlign w:val="superscript"/>
              </w:rPr>
              <w:t>rd</w:t>
            </w:r>
            <w:r>
              <w:tab/>
              <w:t>fixture</w:t>
            </w:r>
          </w:p>
        </w:tc>
        <w:tc>
          <w:tcPr>
            <w:tcW w:w="1134" w:type="dxa"/>
            <w:tcBorders>
              <w:right w:val="single" w:sz="4" w:space="0" w:color="auto"/>
            </w:tcBorders>
            <w:noWrap/>
          </w:tcPr>
          <w:p>
            <w:pPr>
              <w:pStyle w:val="yTableNAm"/>
              <w:jc w:val="center"/>
            </w:pPr>
            <w:r>
              <w:t>660.48</w:t>
            </w:r>
          </w:p>
        </w:tc>
        <w:tc>
          <w:tcPr>
            <w:tcW w:w="992" w:type="dxa"/>
            <w:tcBorders>
              <w:left w:val="single" w:sz="4" w:space="0" w:color="auto"/>
            </w:tcBorders>
            <w:noWrap/>
          </w:tcPr>
          <w:p>
            <w:pPr>
              <w:pStyle w:val="yTableNAm"/>
              <w:jc w:val="center"/>
            </w:pPr>
            <w:r>
              <w:t>523.91</w:t>
            </w:r>
          </w:p>
        </w:tc>
        <w:tc>
          <w:tcPr>
            <w:tcW w:w="1276" w:type="dxa"/>
            <w:tcBorders>
              <w:right w:val="single" w:sz="4" w:space="0" w:color="auto"/>
            </w:tcBorders>
            <w:noWrap/>
          </w:tcPr>
          <w:p>
            <w:pPr>
              <w:pStyle w:val="yTableNAm"/>
              <w:jc w:val="center"/>
            </w:pPr>
            <w:r>
              <w:t>136.57</w:t>
            </w:r>
          </w:p>
        </w:tc>
        <w:tc>
          <w:tcPr>
            <w:tcW w:w="992" w:type="dxa"/>
            <w:tcBorders>
              <w:left w:val="single" w:sz="4" w:space="0" w:color="auto"/>
            </w:tcBorders>
            <w:noWrap/>
          </w:tcPr>
          <w:p>
            <w:pPr>
              <w:pStyle w:val="yTableNAm"/>
              <w:jc w:val="center"/>
            </w:pPr>
            <w:r>
              <w:t>350.06</w:t>
            </w:r>
          </w:p>
        </w:tc>
        <w:tc>
          <w:tcPr>
            <w:tcW w:w="1276" w:type="dxa"/>
            <w:noWrap/>
          </w:tcPr>
          <w:p>
            <w:pPr>
              <w:pStyle w:val="yTableNAm"/>
              <w:jc w:val="center"/>
            </w:pPr>
            <w:r>
              <w:t>310.42</w:t>
            </w:r>
          </w:p>
        </w:tc>
      </w:tr>
      <w:tr>
        <w:trPr>
          <w:cantSplit/>
        </w:trPr>
        <w:tc>
          <w:tcPr>
            <w:tcW w:w="1418" w:type="dxa"/>
            <w:tcBorders>
              <w:bottom w:val="single" w:sz="4" w:space="0" w:color="auto"/>
            </w:tcBorders>
            <w:noWrap/>
            <w:tcMar>
              <w:left w:w="28" w:type="dxa"/>
              <w:right w:w="57" w:type="dxa"/>
            </w:tcMar>
          </w:tcPr>
          <w:p>
            <w:pPr>
              <w:pStyle w:val="yTableNAmLeft-005cm"/>
            </w:pPr>
            <w:r>
              <w:t>4</w:t>
            </w:r>
            <w:r>
              <w:rPr>
                <w:vertAlign w:val="superscript"/>
              </w:rPr>
              <w:t>th</w:t>
            </w:r>
            <w:r>
              <w:tab/>
              <w:t>and subsequent fixtures</w:t>
            </w:r>
          </w:p>
        </w:tc>
        <w:tc>
          <w:tcPr>
            <w:tcW w:w="1134" w:type="dxa"/>
            <w:tcBorders>
              <w:bottom w:val="single" w:sz="4" w:space="0" w:color="auto"/>
              <w:right w:val="single" w:sz="4" w:space="0" w:color="auto"/>
            </w:tcBorders>
            <w:noWrap/>
          </w:tcPr>
          <w:p>
            <w:pPr>
              <w:pStyle w:val="yTableNAm"/>
              <w:jc w:val="center"/>
            </w:pPr>
            <w:r>
              <w:t>718.23</w:t>
            </w:r>
          </w:p>
        </w:tc>
        <w:tc>
          <w:tcPr>
            <w:tcW w:w="992" w:type="dxa"/>
            <w:tcBorders>
              <w:left w:val="single" w:sz="4" w:space="0" w:color="auto"/>
              <w:bottom w:val="single" w:sz="4" w:space="0" w:color="auto"/>
            </w:tcBorders>
            <w:noWrap/>
          </w:tcPr>
          <w:p>
            <w:pPr>
              <w:pStyle w:val="yTableNAm"/>
              <w:jc w:val="center"/>
            </w:pPr>
            <w:r>
              <w:t>581.66</w:t>
            </w:r>
          </w:p>
        </w:tc>
        <w:tc>
          <w:tcPr>
            <w:tcW w:w="1276" w:type="dxa"/>
            <w:tcBorders>
              <w:bottom w:val="single" w:sz="4" w:space="0" w:color="auto"/>
              <w:right w:val="single" w:sz="4" w:space="0" w:color="auto"/>
            </w:tcBorders>
            <w:noWrap/>
          </w:tcPr>
          <w:p>
            <w:pPr>
              <w:pStyle w:val="yTableNAm"/>
              <w:jc w:val="center"/>
            </w:pPr>
            <w:r>
              <w:t>136.57</w:t>
            </w:r>
          </w:p>
        </w:tc>
        <w:tc>
          <w:tcPr>
            <w:tcW w:w="992" w:type="dxa"/>
            <w:tcBorders>
              <w:left w:val="single" w:sz="4" w:space="0" w:color="auto"/>
              <w:bottom w:val="single" w:sz="4" w:space="0" w:color="auto"/>
            </w:tcBorders>
            <w:noWrap/>
          </w:tcPr>
          <w:p>
            <w:pPr>
              <w:pStyle w:val="yTableNAm"/>
              <w:jc w:val="center"/>
            </w:pPr>
            <w:r>
              <w:t>407.81</w:t>
            </w:r>
          </w:p>
        </w:tc>
        <w:tc>
          <w:tcPr>
            <w:tcW w:w="1276" w:type="dxa"/>
            <w:tcBorders>
              <w:bottom w:val="single" w:sz="4" w:space="0" w:color="auto"/>
            </w:tcBorders>
            <w:noWrap/>
          </w:tcPr>
          <w:p>
            <w:pPr>
              <w:pStyle w:val="yTableNAm"/>
              <w:jc w:val="center"/>
            </w:pPr>
            <w:r>
              <w:t>310.42</w:t>
            </w:r>
          </w:p>
        </w:tc>
      </w:tr>
    </w:tbl>
    <w:p>
      <w:pPr>
        <w:pStyle w:val="ySubsection"/>
      </w:pPr>
      <w:r>
        <w:tab/>
        <w:t>(2)</w:t>
      </w:r>
      <w:r>
        <w:tab/>
        <w:t>For concessional land in the metropolitan area which, although a sewerage service is provided, is not connected to sewerage works of the Water Corporation, the charge is the discounted charge set out in the Table to this sub</w:t>
      </w:r>
      <w:r>
        <w:noBreakHyphen/>
        <w:t xml:space="preserve">item. </w:t>
      </w:r>
    </w:p>
    <w:p>
      <w:pPr>
        <w:pStyle w:val="yTHeadingNAm"/>
      </w:pPr>
      <w:r>
        <w:t>Table of charge and discount</w:t>
      </w:r>
    </w:p>
    <w:tbl>
      <w:tblPr>
        <w:tblW w:w="3687" w:type="dxa"/>
        <w:tblInd w:w="2127" w:type="dxa"/>
        <w:tblLayout w:type="fixed"/>
        <w:tblLook w:val="0000" w:firstRow="0" w:lastRow="0" w:firstColumn="0" w:lastColumn="0" w:noHBand="0" w:noVBand="0"/>
      </w:tblPr>
      <w:tblGrid>
        <w:gridCol w:w="1135"/>
        <w:gridCol w:w="1135"/>
        <w:gridCol w:w="1417"/>
      </w:tblGrid>
      <w:tr>
        <w:trPr>
          <w:cantSplit/>
          <w:tblHeader/>
        </w:trPr>
        <w:tc>
          <w:tcPr>
            <w:tcW w:w="1135" w:type="dxa"/>
            <w:tcBorders>
              <w:top w:val="single" w:sz="4" w:space="0" w:color="auto"/>
              <w:bottom w:val="single" w:sz="4" w:space="0" w:color="auto"/>
            </w:tcBorders>
            <w:noWrap/>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tcPr>
          <w:p>
            <w:pPr>
              <w:pStyle w:val="yTableNAm"/>
              <w:jc w:val="center"/>
            </w:pPr>
            <w:r>
              <w:rPr>
                <w:b/>
                <w:szCs w:val="22"/>
              </w:rPr>
              <w:t>Discounted charge</w:t>
            </w:r>
            <w:r>
              <w:rPr>
                <w:b/>
                <w:szCs w:val="22"/>
              </w:rPr>
              <w:br/>
              <w:t>$</w:t>
            </w:r>
          </w:p>
        </w:tc>
      </w:tr>
      <w:tr>
        <w:trPr>
          <w:cantSplit/>
        </w:trPr>
        <w:tc>
          <w:tcPr>
            <w:tcW w:w="1135" w:type="dxa"/>
            <w:tcBorders>
              <w:bottom w:val="single" w:sz="4" w:space="0" w:color="auto"/>
            </w:tcBorders>
            <w:noWrap/>
          </w:tcPr>
          <w:p>
            <w:pPr>
              <w:pStyle w:val="yTableNAm"/>
              <w:jc w:val="center"/>
            </w:pPr>
            <w:r>
              <w:t>1 155.37</w:t>
            </w:r>
          </w:p>
        </w:tc>
        <w:tc>
          <w:tcPr>
            <w:tcW w:w="1135" w:type="dxa"/>
            <w:tcBorders>
              <w:bottom w:val="single" w:sz="4" w:space="0" w:color="auto"/>
            </w:tcBorders>
            <w:noWrap/>
          </w:tcPr>
          <w:p>
            <w:pPr>
              <w:pStyle w:val="yTableNAm"/>
              <w:jc w:val="center"/>
            </w:pPr>
            <w:r>
              <w:t>1 155.37</w:t>
            </w:r>
          </w:p>
        </w:tc>
        <w:tc>
          <w:tcPr>
            <w:tcW w:w="1417" w:type="dxa"/>
            <w:tcBorders>
              <w:bottom w:val="single" w:sz="4" w:space="0" w:color="auto"/>
            </w:tcBorders>
            <w:noWrap/>
            <w:vAlign w:val="bottom"/>
          </w:tcPr>
          <w:p>
            <w:pPr>
              <w:pStyle w:val="yTableNAm"/>
              <w:jc w:val="center"/>
            </w:pPr>
            <w:r>
              <w:t>0.00</w:t>
            </w:r>
          </w:p>
        </w:tc>
      </w:tr>
    </w:tbl>
    <w:p>
      <w:pPr>
        <w:pStyle w:val="yHeading5"/>
      </w:pPr>
      <w:bookmarkStart w:id="415" w:name="_Toc169797244"/>
      <w:bookmarkStart w:id="416" w:name="_Toc169797554"/>
      <w:bookmarkStart w:id="417" w:name="_Toc170209249"/>
      <w:r>
        <w:t>5.</w:t>
      </w:r>
      <w:r>
        <w:tab/>
        <w:t>Strata</w:t>
      </w:r>
      <w:r>
        <w:noBreakHyphen/>
        <w:t>titled long</w:t>
      </w:r>
      <w:r>
        <w:noBreakHyphen/>
        <w:t>term residential caravan bays and park homes</w:t>
      </w:r>
      <w:bookmarkEnd w:id="415"/>
      <w:bookmarkEnd w:id="416"/>
      <w:bookmarkEnd w:id="417"/>
    </w:p>
    <w:p>
      <w:pPr>
        <w:pStyle w:val="ySubsection"/>
        <w:tabs>
          <w:tab w:val="right" w:leader="dot" w:pos="6804"/>
        </w:tabs>
      </w:pPr>
      <w:r>
        <w:rPr>
          <w:szCs w:val="22"/>
        </w:rPr>
        <w:tab/>
      </w:r>
      <w:r>
        <w:rPr>
          <w:szCs w:val="22"/>
        </w:rPr>
        <w:tab/>
        <w:t xml:space="preserve">For a </w:t>
      </w:r>
      <w:r>
        <w:t>strata</w:t>
      </w:r>
      <w:r>
        <w:rPr>
          <w:szCs w:val="22"/>
        </w:rPr>
        <w:noBreakHyphen/>
        <w:t xml:space="preserve">titled </w:t>
      </w:r>
      <w:r>
        <w:t>caravan</w:t>
      </w:r>
      <w:r>
        <w:rPr>
          <w:szCs w:val="22"/>
        </w:rPr>
        <w:t xml:space="preserve"> bay, a long</w:t>
      </w:r>
      <w:r>
        <w:rPr>
          <w:szCs w:val="22"/>
        </w:rPr>
        <w:noBreakHyphen/>
        <w:t xml:space="preserve">term </w:t>
      </w:r>
      <w:r>
        <w:rPr>
          <w:szCs w:val="22"/>
        </w:rPr>
        <w:br/>
      </w:r>
      <w:r>
        <w:t>residential</w:t>
      </w:r>
      <w:r>
        <w:rPr>
          <w:szCs w:val="22"/>
        </w:rPr>
        <w:t xml:space="preserve"> caravan bay or a park home, </w:t>
      </w:r>
      <w:r>
        <w:rPr>
          <w:szCs w:val="22"/>
        </w:rPr>
        <w:br/>
        <w:t xml:space="preserve">the charge is </w:t>
      </w:r>
      <w:r>
        <w:rPr>
          <w:szCs w:val="22"/>
        </w:rPr>
        <w:tab/>
        <w:t>$369.46</w:t>
      </w:r>
    </w:p>
    <w:p>
      <w:pPr>
        <w:pStyle w:val="yHeading5"/>
      </w:pPr>
      <w:bookmarkStart w:id="418" w:name="_Toc169797245"/>
      <w:bookmarkStart w:id="419" w:name="_Toc169797555"/>
      <w:bookmarkStart w:id="420" w:name="_Toc170209250"/>
      <w:r>
        <w:lastRenderedPageBreak/>
        <w:t>6.</w:t>
      </w:r>
      <w:r>
        <w:tab/>
        <w:t>Storage units or parking bays in strata titles scheme or community titles scheme</w:t>
      </w:r>
      <w:bookmarkEnd w:id="418"/>
      <w:bookmarkEnd w:id="419"/>
      <w:bookmarkEnd w:id="420"/>
      <w:r>
        <w:t xml:space="preserve"> </w:t>
      </w:r>
    </w:p>
    <w:p>
      <w:pPr>
        <w:pStyle w:val="ySubsection"/>
        <w:tabs>
          <w:tab w:val="right" w:leader="dot" w:pos="6804"/>
        </w:tabs>
      </w:pPr>
      <w:r>
        <w:rPr>
          <w:szCs w:val="22"/>
        </w:rPr>
        <w:tab/>
      </w:r>
      <w:r>
        <w:rPr>
          <w:szCs w:val="22"/>
        </w:rPr>
        <w:tab/>
        <w:t xml:space="preserve">For a lot that is used for storage purposes or </w:t>
      </w:r>
      <w:r>
        <w:rPr>
          <w:szCs w:val="22"/>
        </w:rPr>
        <w:br/>
        <w:t xml:space="preserve">as a parking </w:t>
      </w:r>
      <w:r>
        <w:t>bay</w:t>
      </w:r>
      <w:r>
        <w:rPr>
          <w:szCs w:val="22"/>
        </w:rPr>
        <w:t>, in a strata titles scheme or a</w:t>
      </w:r>
      <w:r>
        <w:rPr>
          <w:szCs w:val="22"/>
        </w:rPr>
        <w:br/>
        <w:t xml:space="preserve">community titles scheme, the </w:t>
      </w:r>
      <w:r>
        <w:t>charge</w:t>
      </w:r>
      <w:r>
        <w:rPr>
          <w:szCs w:val="22"/>
        </w:rPr>
        <w:t xml:space="preserve"> is </w:t>
      </w:r>
      <w:r>
        <w:rPr>
          <w:szCs w:val="22"/>
        </w:rPr>
        <w:tab/>
        <w:t>$114.50</w:t>
      </w:r>
    </w:p>
    <w:p>
      <w:pPr>
        <w:pStyle w:val="yHeading5"/>
      </w:pPr>
      <w:bookmarkStart w:id="421" w:name="_Toc169797246"/>
      <w:bookmarkStart w:id="422" w:name="_Toc169797556"/>
      <w:bookmarkStart w:id="423" w:name="_Toc170209251"/>
      <w:r>
        <w:t>7.</w:t>
      </w:r>
      <w:r>
        <w:tab/>
        <w:t>Land from which trade waste is discharged into sewer</w:t>
      </w:r>
      <w:bookmarkEnd w:id="421"/>
      <w:bookmarkEnd w:id="422"/>
      <w:bookmarkEnd w:id="423"/>
    </w:p>
    <w:p>
      <w:pPr>
        <w:pStyle w:val="ySubsection"/>
        <w:tabs>
          <w:tab w:val="right" w:leader="dot" w:pos="6804"/>
        </w:tabs>
      </w:pPr>
      <w:r>
        <w:tab/>
        <w:t>(1)</w:t>
      </w:r>
      <w:r>
        <w:tab/>
        <w:t xml:space="preserve">For land from which there is a discharge </w:t>
      </w:r>
      <w:r>
        <w:br/>
        <w:t xml:space="preserve">of trade waste into a </w:t>
      </w:r>
      <w:r>
        <w:rPr>
          <w:szCs w:val="22"/>
        </w:rPr>
        <w:t>sewer</w:t>
      </w:r>
      <w:r>
        <w:t xml:space="preserve"> of the Water </w:t>
      </w:r>
      <w:r>
        <w:br/>
        <w:t xml:space="preserve">Corporation under an approval of the Water </w:t>
      </w:r>
      <w:r>
        <w:br/>
        <w:t xml:space="preserve">Corporation, the charge is </w:t>
      </w:r>
      <w:r>
        <w:tab/>
      </w:r>
      <w:r>
        <w:rPr>
          <w:szCs w:val="22"/>
        </w:rPr>
        <w:t>$252.32</w:t>
      </w:r>
    </w:p>
    <w:p>
      <w:pPr>
        <w:pStyle w:val="ySubsection"/>
        <w:tabs>
          <w:tab w:val="right" w:leader="dot" w:pos="6804"/>
        </w:tabs>
      </w:pPr>
      <w:r>
        <w:tab/>
        <w:t>(2)</w:t>
      </w:r>
      <w:r>
        <w:tab/>
        <w:t>The charge under this item is in addition to any other charge applicable to the land under this Schedule.</w:t>
      </w:r>
    </w:p>
    <w:p>
      <w:pPr>
        <w:pStyle w:val="yHeading5"/>
      </w:pPr>
      <w:bookmarkStart w:id="424" w:name="_Toc169797247"/>
      <w:bookmarkStart w:id="425" w:name="_Toc169797557"/>
      <w:bookmarkStart w:id="426" w:name="_Toc170209252"/>
      <w:r>
        <w:t>8.</w:t>
      </w:r>
      <w:r>
        <w:tab/>
        <w:t>Land from which trade waste is discharged into sewer through grease arrestor</w:t>
      </w:r>
      <w:bookmarkEnd w:id="424"/>
      <w:bookmarkEnd w:id="425"/>
      <w:bookmarkEnd w:id="426"/>
    </w:p>
    <w:p>
      <w:pPr>
        <w:pStyle w:val="ySubsection"/>
      </w:pPr>
      <w:r>
        <w:tab/>
        <w:t>(1)</w:t>
      </w:r>
      <w:r>
        <w:tab/>
        <w:t xml:space="preserve">For land from which there is a discharge of trade waste into a sewer of the </w:t>
      </w:r>
      <w:r>
        <w:rPr>
          <w:szCs w:val="22"/>
        </w:rPr>
        <w:t>Water</w:t>
      </w:r>
      <w:r>
        <w:t xml:space="preserve"> Corporation through one or more grease arrestors under an approval of the Water Corporation, the charge is $100.81 for each grease arrestor.</w:t>
      </w:r>
    </w:p>
    <w:p>
      <w:pPr>
        <w:pStyle w:val="ySubsection"/>
      </w:pPr>
      <w:r>
        <w:tab/>
        <w:t>(2)</w:t>
      </w:r>
      <w:r>
        <w:tab/>
        <w:t>The charge under this item is in addition to any other charge applicable to the land under this Schedule.</w:t>
      </w:r>
    </w:p>
    <w:p>
      <w:pPr>
        <w:pStyle w:val="yHeading5"/>
      </w:pPr>
      <w:bookmarkStart w:id="427" w:name="_Toc169797248"/>
      <w:bookmarkStart w:id="428" w:name="_Toc169797558"/>
      <w:bookmarkStart w:id="429" w:name="_Toc170209253"/>
      <w:r>
        <w:t>9.</w:t>
      </w:r>
      <w:r>
        <w:tab/>
        <w:t>Trade waste discharged from open area</w:t>
      </w:r>
      <w:bookmarkEnd w:id="427"/>
      <w:bookmarkEnd w:id="428"/>
      <w:bookmarkEnd w:id="429"/>
    </w:p>
    <w:p>
      <w:pPr>
        <w:pStyle w:val="ySubsection"/>
        <w:tabs>
          <w:tab w:val="right" w:leader="dot" w:pos="6804"/>
        </w:tabs>
      </w:pPr>
      <w:r>
        <w:tab/>
        <w:t>(1)</w:t>
      </w:r>
      <w:r>
        <w:tab/>
        <w:t xml:space="preserve">For land from which there is a discharge </w:t>
      </w:r>
      <w:r>
        <w:br/>
        <w:t xml:space="preserve">of trade waste from an open area under </w:t>
      </w:r>
      <w:r>
        <w:br/>
        <w:t xml:space="preserve">an approval of </w:t>
      </w:r>
      <w:r>
        <w:rPr>
          <w:szCs w:val="22"/>
        </w:rPr>
        <w:t>the</w:t>
      </w:r>
      <w:r>
        <w:t xml:space="preserve"> Water Corporation, </w:t>
      </w:r>
      <w:r>
        <w:br/>
        <w:t xml:space="preserve">the charge is </w:t>
      </w:r>
      <w:r>
        <w:tab/>
      </w:r>
      <w:r>
        <w:rPr>
          <w:szCs w:val="22"/>
        </w:rPr>
        <w:t>$1.76</w:t>
      </w:r>
      <w:r>
        <w:t>/m</w:t>
      </w:r>
      <w:r>
        <w:rPr>
          <w:vertAlign w:val="superscript"/>
        </w:rPr>
        <w:t>2</w:t>
      </w:r>
    </w:p>
    <w:p>
      <w:pPr>
        <w:pStyle w:val="ySubsectionRight"/>
      </w:pPr>
      <w:r>
        <w:t>of open area</w:t>
      </w:r>
    </w:p>
    <w:p>
      <w:pPr>
        <w:pStyle w:val="ySubsection"/>
      </w:pPr>
      <w:r>
        <w:tab/>
        <w:t>(2)</w:t>
      </w:r>
      <w:r>
        <w:tab/>
        <w:t>The charge under this item is in addition to any other charge applicable to the land under this Schedule.</w:t>
      </w:r>
    </w:p>
    <w:p>
      <w:pPr>
        <w:pStyle w:val="yHeading5"/>
      </w:pPr>
      <w:bookmarkStart w:id="430" w:name="_Toc169797249"/>
      <w:bookmarkStart w:id="431" w:name="_Toc169797559"/>
      <w:bookmarkStart w:id="432" w:name="_Toc170209254"/>
      <w:r>
        <w:t>10.</w:t>
      </w:r>
      <w:r>
        <w:tab/>
        <w:t>Non</w:t>
      </w:r>
      <w:r>
        <w:noBreakHyphen/>
        <w:t>metropolitan concessional</w:t>
      </w:r>
      <w:bookmarkEnd w:id="430"/>
      <w:bookmarkEnd w:id="431"/>
      <w:bookmarkEnd w:id="432"/>
    </w:p>
    <w:p>
      <w:pPr>
        <w:pStyle w:val="ySubsection"/>
      </w:pPr>
      <w:r>
        <w:tab/>
        <w:t>(1)</w:t>
      </w:r>
      <w:r>
        <w:tab/>
        <w:t>For land in the non</w:t>
      </w:r>
      <w:r>
        <w:noBreakHyphen/>
        <w:t xml:space="preserve">metropolitan area that is classified as aged home, charitable purposes, community purpose, institutional public or local </w:t>
      </w:r>
      <w:r>
        <w:lastRenderedPageBreak/>
        <w:t>government, the charge, according to the number of major fixtures on the land, is the sum of the discounted charges for each fixture, as set out in the Table to this sub</w:t>
      </w:r>
      <w:r>
        <w:noBreakHyphen/>
        <w:t>item.</w:t>
      </w:r>
    </w:p>
    <w:p>
      <w:pPr>
        <w:pStyle w:val="yTHeadingNAmLeft25cm"/>
      </w:pPr>
      <w:r>
        <w:t>Table of charges and discounts</w:t>
      </w:r>
    </w:p>
    <w:tbl>
      <w:tblPr>
        <w:tblW w:w="5245" w:type="dxa"/>
        <w:tblInd w:w="1418" w:type="dxa"/>
        <w:tblLayout w:type="fixed"/>
        <w:tblLook w:val="0000" w:firstRow="0" w:lastRow="0" w:firstColumn="0" w:lastColumn="0" w:noHBand="0" w:noVBand="0"/>
      </w:tblPr>
      <w:tblGrid>
        <w:gridCol w:w="1347"/>
        <w:gridCol w:w="1205"/>
        <w:gridCol w:w="1276"/>
        <w:gridCol w:w="1417"/>
      </w:tblGrid>
      <w:tr>
        <w:trPr>
          <w:cantSplit/>
          <w:tblHeader/>
        </w:trPr>
        <w:tc>
          <w:tcPr>
            <w:tcW w:w="1347" w:type="dxa"/>
            <w:tcBorders>
              <w:top w:val="single" w:sz="4" w:space="0" w:color="auto"/>
              <w:bottom w:val="single" w:sz="4" w:space="0" w:color="auto"/>
            </w:tcBorders>
            <w:noWrap/>
          </w:tcPr>
          <w:p>
            <w:pPr>
              <w:pStyle w:val="yTableNAm"/>
            </w:pPr>
          </w:p>
        </w:tc>
        <w:tc>
          <w:tcPr>
            <w:tcW w:w="1205" w:type="dxa"/>
            <w:tcBorders>
              <w:top w:val="single" w:sz="4" w:space="0" w:color="auto"/>
              <w:bottom w:val="single" w:sz="4" w:space="0" w:color="auto"/>
            </w:tcBorders>
            <w:noWrap/>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tcPr>
          <w:p>
            <w:pPr>
              <w:pStyle w:val="yTableNAm"/>
              <w:jc w:val="center"/>
            </w:pPr>
            <w:r>
              <w:rPr>
                <w:b/>
                <w:szCs w:val="22"/>
              </w:rPr>
              <w:t>Discounted charge</w:t>
            </w:r>
            <w:r>
              <w:rPr>
                <w:b/>
                <w:szCs w:val="22"/>
              </w:rPr>
              <w:br/>
              <w:t>$</w:t>
            </w:r>
          </w:p>
        </w:tc>
      </w:tr>
      <w:tr>
        <w:trPr>
          <w:cantSplit/>
        </w:trPr>
        <w:tc>
          <w:tcPr>
            <w:tcW w:w="1347" w:type="dxa"/>
            <w:noWrap/>
            <w:tcMar>
              <w:left w:w="62" w:type="dxa"/>
              <w:right w:w="62" w:type="dxa"/>
            </w:tcMar>
          </w:tcPr>
          <w:p>
            <w:pPr>
              <w:pStyle w:val="yTableNAmLeft0cm"/>
              <w:rPr>
                <w:highlight w:val="green"/>
              </w:rPr>
            </w:pPr>
            <w:r>
              <w:t>1</w:t>
            </w:r>
            <w:r>
              <w:rPr>
                <w:vertAlign w:val="superscript"/>
              </w:rPr>
              <w:t>st</w:t>
            </w:r>
            <w:r>
              <w:tab/>
              <w:t>fixture</w:t>
            </w:r>
          </w:p>
        </w:tc>
        <w:tc>
          <w:tcPr>
            <w:tcW w:w="1205" w:type="dxa"/>
            <w:noWrap/>
          </w:tcPr>
          <w:p>
            <w:pPr>
              <w:pStyle w:val="yTableNAm"/>
              <w:jc w:val="center"/>
            </w:pPr>
            <w:r>
              <w:t>1 155.37</w:t>
            </w:r>
          </w:p>
        </w:tc>
        <w:tc>
          <w:tcPr>
            <w:tcW w:w="1276" w:type="dxa"/>
            <w:noWrap/>
          </w:tcPr>
          <w:p>
            <w:pPr>
              <w:pStyle w:val="yTableNAm"/>
              <w:jc w:val="center"/>
            </w:pPr>
            <w:r>
              <w:t>844.95</w:t>
            </w:r>
          </w:p>
        </w:tc>
        <w:tc>
          <w:tcPr>
            <w:tcW w:w="1417" w:type="dxa"/>
            <w:noWrap/>
          </w:tcPr>
          <w:p>
            <w:pPr>
              <w:pStyle w:val="yTableNAm"/>
              <w:jc w:val="center"/>
            </w:pPr>
            <w:r>
              <w:t>310.42</w:t>
            </w:r>
          </w:p>
        </w:tc>
      </w:tr>
      <w:tr>
        <w:trPr>
          <w:cantSplit/>
        </w:trPr>
        <w:tc>
          <w:tcPr>
            <w:tcW w:w="1347" w:type="dxa"/>
            <w:noWrap/>
            <w:tcMar>
              <w:left w:w="62" w:type="dxa"/>
              <w:right w:w="62" w:type="dxa"/>
            </w:tcMar>
          </w:tcPr>
          <w:p>
            <w:pPr>
              <w:pStyle w:val="yTableNAmLeft0cm"/>
            </w:pPr>
            <w:r>
              <w:t>2</w:t>
            </w:r>
            <w:r>
              <w:rPr>
                <w:vertAlign w:val="superscript"/>
              </w:rPr>
              <w:t>nd</w:t>
            </w:r>
            <w:r>
              <w:tab/>
              <w:t>fixture</w:t>
            </w:r>
          </w:p>
        </w:tc>
        <w:tc>
          <w:tcPr>
            <w:tcW w:w="1205" w:type="dxa"/>
            <w:noWrap/>
          </w:tcPr>
          <w:p>
            <w:pPr>
              <w:pStyle w:val="yTableNAm"/>
              <w:jc w:val="center"/>
            </w:pPr>
            <w:r>
              <w:t>494.56</w:t>
            </w:r>
          </w:p>
        </w:tc>
        <w:tc>
          <w:tcPr>
            <w:tcW w:w="1276" w:type="dxa"/>
            <w:noWrap/>
          </w:tcPr>
          <w:p>
            <w:pPr>
              <w:pStyle w:val="yTableNAm"/>
              <w:jc w:val="center"/>
            </w:pPr>
            <w:r>
              <w:t>357.99</w:t>
            </w:r>
          </w:p>
        </w:tc>
        <w:tc>
          <w:tcPr>
            <w:tcW w:w="1417" w:type="dxa"/>
            <w:noWrap/>
          </w:tcPr>
          <w:p>
            <w:pPr>
              <w:pStyle w:val="yTableNAm"/>
              <w:jc w:val="center"/>
            </w:pPr>
            <w:r>
              <w:t>136.57</w:t>
            </w:r>
          </w:p>
        </w:tc>
      </w:tr>
      <w:tr>
        <w:trPr>
          <w:cantSplit/>
        </w:trPr>
        <w:tc>
          <w:tcPr>
            <w:tcW w:w="1347" w:type="dxa"/>
            <w:noWrap/>
            <w:tcMar>
              <w:left w:w="57" w:type="dxa"/>
              <w:right w:w="57" w:type="dxa"/>
            </w:tcMar>
          </w:tcPr>
          <w:p>
            <w:pPr>
              <w:pStyle w:val="yTableNAmLeft0cm"/>
            </w:pPr>
            <w:r>
              <w:t>3</w:t>
            </w:r>
            <w:r>
              <w:rPr>
                <w:vertAlign w:val="superscript"/>
              </w:rPr>
              <w:t>rd</w:t>
            </w:r>
            <w:r>
              <w:rPr>
                <w:vertAlign w:val="superscript"/>
              </w:rPr>
              <w:tab/>
            </w:r>
            <w:r>
              <w:t>fixture</w:t>
            </w:r>
          </w:p>
        </w:tc>
        <w:tc>
          <w:tcPr>
            <w:tcW w:w="1205" w:type="dxa"/>
            <w:noWrap/>
          </w:tcPr>
          <w:p>
            <w:pPr>
              <w:pStyle w:val="yTableNAm"/>
              <w:jc w:val="center"/>
            </w:pPr>
            <w:r>
              <w:t>660.48</w:t>
            </w:r>
          </w:p>
        </w:tc>
        <w:tc>
          <w:tcPr>
            <w:tcW w:w="1276" w:type="dxa"/>
            <w:noWrap/>
          </w:tcPr>
          <w:p>
            <w:pPr>
              <w:pStyle w:val="yTableNAm"/>
              <w:jc w:val="center"/>
            </w:pPr>
            <w:r>
              <w:t>523.91</w:t>
            </w:r>
          </w:p>
        </w:tc>
        <w:tc>
          <w:tcPr>
            <w:tcW w:w="1417" w:type="dxa"/>
            <w:noWrap/>
          </w:tcPr>
          <w:p>
            <w:pPr>
              <w:pStyle w:val="yTableNAm"/>
              <w:jc w:val="center"/>
            </w:pPr>
            <w:r>
              <w:t>136.57</w:t>
            </w:r>
          </w:p>
        </w:tc>
      </w:tr>
      <w:tr>
        <w:trPr>
          <w:cantSplit/>
        </w:trPr>
        <w:tc>
          <w:tcPr>
            <w:tcW w:w="1347" w:type="dxa"/>
            <w:tcBorders>
              <w:bottom w:val="single" w:sz="4" w:space="0" w:color="auto"/>
            </w:tcBorders>
            <w:noWrap/>
            <w:tcMar>
              <w:left w:w="57" w:type="dxa"/>
              <w:right w:w="57" w:type="dxa"/>
            </w:tcMar>
          </w:tcPr>
          <w:p>
            <w:pPr>
              <w:pStyle w:val="yTableNAmLeft0cm"/>
              <w:rPr>
                <w:highlight w:val="green"/>
              </w:rPr>
            </w:pPr>
            <w:r>
              <w:t>4</w:t>
            </w:r>
            <w:r>
              <w:rPr>
                <w:vertAlign w:val="superscript"/>
              </w:rPr>
              <w:t>th</w:t>
            </w:r>
            <w:r>
              <w:tab/>
              <w:t>and</w:t>
            </w:r>
            <w:r>
              <w:rPr>
                <w:vertAlign w:val="superscript"/>
              </w:rPr>
              <w:t xml:space="preserve"> </w:t>
            </w:r>
            <w:r>
              <w:rPr>
                <w:spacing w:val="-8"/>
              </w:rPr>
              <w:t>subsequent</w:t>
            </w:r>
            <w:r>
              <w:t xml:space="preserve"> fixtures</w:t>
            </w:r>
          </w:p>
        </w:tc>
        <w:tc>
          <w:tcPr>
            <w:tcW w:w="1205" w:type="dxa"/>
            <w:tcBorders>
              <w:bottom w:val="single" w:sz="4" w:space="0" w:color="auto"/>
            </w:tcBorders>
            <w:noWrap/>
          </w:tcPr>
          <w:p>
            <w:pPr>
              <w:pStyle w:val="yTableNAm"/>
              <w:jc w:val="center"/>
            </w:pPr>
            <w:r>
              <w:t>718.23</w:t>
            </w:r>
          </w:p>
        </w:tc>
        <w:tc>
          <w:tcPr>
            <w:tcW w:w="1276" w:type="dxa"/>
            <w:tcBorders>
              <w:bottom w:val="single" w:sz="4" w:space="0" w:color="auto"/>
            </w:tcBorders>
            <w:noWrap/>
          </w:tcPr>
          <w:p>
            <w:pPr>
              <w:pStyle w:val="yTableNAm"/>
              <w:jc w:val="center"/>
            </w:pPr>
            <w:r>
              <w:t>581.66</w:t>
            </w:r>
          </w:p>
        </w:tc>
        <w:tc>
          <w:tcPr>
            <w:tcW w:w="1417" w:type="dxa"/>
            <w:tcBorders>
              <w:bottom w:val="single" w:sz="4" w:space="0" w:color="auto"/>
            </w:tcBorders>
            <w:noWrap/>
          </w:tcPr>
          <w:p>
            <w:pPr>
              <w:pStyle w:val="yTableNAm"/>
              <w:jc w:val="center"/>
            </w:pPr>
            <w:r>
              <w:t>136.57</w:t>
            </w:r>
          </w:p>
        </w:tc>
      </w:tr>
    </w:tbl>
    <w:p>
      <w:pPr>
        <w:pStyle w:val="ySubsection"/>
      </w:pPr>
      <w:r>
        <w:tab/>
        <w:t>(2)</w:t>
      </w:r>
      <w:r>
        <w:tab/>
        <w:t>For concessional land in the non</w:t>
      </w:r>
      <w:r>
        <w:noBreakHyphen/>
        <w:t>metropolitan area which, although a sewerage service is provided, is not connected to sewerage works of the Water Corporation, the charge is the discounted charge set out in the Table to this sub</w:t>
      </w:r>
      <w:r>
        <w:noBreakHyphen/>
        <w:t xml:space="preserve">item. </w:t>
      </w:r>
    </w:p>
    <w:p>
      <w:pPr>
        <w:pStyle w:val="yTHeadingNAmLeft175cm"/>
      </w:pPr>
      <w:r>
        <w:t>Table of charge and discount</w:t>
      </w:r>
    </w:p>
    <w:tbl>
      <w:tblPr>
        <w:tblW w:w="3947" w:type="dxa"/>
        <w:tblInd w:w="2127" w:type="dxa"/>
        <w:tblLayout w:type="fixed"/>
        <w:tblLook w:val="0000" w:firstRow="0" w:lastRow="0" w:firstColumn="0" w:lastColumn="0" w:noHBand="0" w:noVBand="0"/>
      </w:tblPr>
      <w:tblGrid>
        <w:gridCol w:w="1265"/>
        <w:gridCol w:w="1265"/>
        <w:gridCol w:w="1417"/>
      </w:tblGrid>
      <w:tr>
        <w:trPr>
          <w:cantSplit/>
          <w:tblHeader/>
        </w:trPr>
        <w:tc>
          <w:tcPr>
            <w:tcW w:w="1265" w:type="dxa"/>
            <w:tcBorders>
              <w:top w:val="single" w:sz="4" w:space="0" w:color="auto"/>
              <w:bottom w:val="single" w:sz="4" w:space="0" w:color="auto"/>
            </w:tcBorders>
            <w:noWrap/>
            <w:vAlign w:val="center"/>
          </w:tcPr>
          <w:p>
            <w:pPr>
              <w:pStyle w:val="yTableNAm"/>
              <w:jc w:val="center"/>
            </w:pPr>
            <w:r>
              <w:rPr>
                <w:b/>
                <w:szCs w:val="22"/>
              </w:rPr>
              <w:t>Charge</w:t>
            </w:r>
            <w:r>
              <w:rPr>
                <w:b/>
                <w:szCs w:val="22"/>
              </w:rPr>
              <w:br/>
            </w:r>
            <w:r>
              <w:rPr>
                <w:b/>
                <w:szCs w:val="22"/>
              </w:rPr>
              <w:br/>
              <w:t>$</w:t>
            </w:r>
          </w:p>
        </w:tc>
        <w:tc>
          <w:tcPr>
            <w:tcW w:w="126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265" w:type="dxa"/>
            <w:tcBorders>
              <w:bottom w:val="single" w:sz="4" w:space="0" w:color="auto"/>
            </w:tcBorders>
            <w:noWrap/>
          </w:tcPr>
          <w:p>
            <w:pPr>
              <w:pStyle w:val="yTableNAm"/>
              <w:jc w:val="center"/>
            </w:pPr>
            <w:r>
              <w:t>1 155.37</w:t>
            </w:r>
          </w:p>
        </w:tc>
        <w:tc>
          <w:tcPr>
            <w:tcW w:w="1265" w:type="dxa"/>
            <w:tcBorders>
              <w:bottom w:val="single" w:sz="4" w:space="0" w:color="auto"/>
            </w:tcBorders>
            <w:noWrap/>
          </w:tcPr>
          <w:p>
            <w:pPr>
              <w:pStyle w:val="yTableNAm"/>
              <w:jc w:val="center"/>
            </w:pPr>
            <w:r>
              <w:t>1 155.37</w:t>
            </w:r>
          </w:p>
        </w:tc>
        <w:tc>
          <w:tcPr>
            <w:tcW w:w="1417" w:type="dxa"/>
            <w:tcBorders>
              <w:bottom w:val="single" w:sz="4" w:space="0" w:color="auto"/>
            </w:tcBorders>
            <w:noWrap/>
          </w:tcPr>
          <w:p>
            <w:pPr>
              <w:pStyle w:val="yTableNAm"/>
              <w:jc w:val="center"/>
            </w:pPr>
            <w:r>
              <w:t>0.00</w:t>
            </w:r>
          </w:p>
        </w:tc>
      </w:tr>
    </w:tbl>
    <w:p>
      <w:pPr>
        <w:pStyle w:val="yHeading5"/>
      </w:pPr>
      <w:bookmarkStart w:id="433" w:name="_Toc169797250"/>
      <w:bookmarkStart w:id="434" w:name="_Toc169797560"/>
      <w:bookmarkStart w:id="435" w:name="_Toc170209255"/>
      <w:r>
        <w:t>11.</w:t>
      </w:r>
      <w:r>
        <w:tab/>
        <w:t>Community residential</w:t>
      </w:r>
      <w:bookmarkEnd w:id="433"/>
      <w:bookmarkEnd w:id="434"/>
      <w:bookmarkEnd w:id="435"/>
    </w:p>
    <w:p>
      <w:pPr>
        <w:pStyle w:val="ySubsection"/>
      </w:pPr>
      <w:r>
        <w:tab/>
      </w:r>
      <w:r>
        <w:tab/>
        <w:t xml:space="preserve">For land that is classified as community residential, the charge, according to the number of major fixtures on the land, is the sum of the discounted charges for each fixture, as set out in the Table, according to whether the Housing Authority agrees to be responsible for payment of the charge. </w:t>
      </w:r>
    </w:p>
    <w:p>
      <w:pPr>
        <w:pStyle w:val="yTHeadingNAm"/>
      </w:pPr>
      <w:r>
        <w:lastRenderedPageBreak/>
        <w:t>Table of charges and discounts</w:t>
      </w:r>
    </w:p>
    <w:tbl>
      <w:tblPr>
        <w:tblW w:w="7088" w:type="dxa"/>
        <w:tblLayout w:type="fixed"/>
        <w:tblLook w:val="0000" w:firstRow="0" w:lastRow="0" w:firstColumn="0" w:lastColumn="0" w:noHBand="0" w:noVBand="0"/>
      </w:tblPr>
      <w:tblGrid>
        <w:gridCol w:w="1418"/>
        <w:gridCol w:w="1134"/>
        <w:gridCol w:w="992"/>
        <w:gridCol w:w="1276"/>
        <w:gridCol w:w="992"/>
        <w:gridCol w:w="1276"/>
      </w:tblGrid>
      <w:tr>
        <w:trPr>
          <w:cantSplit/>
          <w:tblHeader/>
        </w:trPr>
        <w:tc>
          <w:tcPr>
            <w:tcW w:w="1418" w:type="dxa"/>
            <w:vMerge w:val="restart"/>
            <w:tcBorders>
              <w:top w:val="single" w:sz="4" w:space="0" w:color="auto"/>
            </w:tcBorders>
            <w:noWrap/>
            <w:vAlign w:val="center"/>
          </w:tcPr>
          <w:p>
            <w:pPr>
              <w:pStyle w:val="yTableNAm"/>
              <w:jc w:val="center"/>
            </w:pPr>
          </w:p>
        </w:tc>
        <w:tc>
          <w:tcPr>
            <w:tcW w:w="1134" w:type="dxa"/>
            <w:tcBorders>
              <w:top w:val="single" w:sz="4" w:space="0" w:color="auto"/>
              <w:right w:val="single" w:sz="4" w:space="0" w:color="auto"/>
            </w:tcBorders>
            <w:noWrap/>
            <w:vAlign w:val="center"/>
          </w:tcPr>
          <w:p>
            <w:pPr>
              <w:pStyle w:val="yTableNAm"/>
              <w:jc w:val="center"/>
            </w:pPr>
          </w:p>
        </w:tc>
        <w:tc>
          <w:tcPr>
            <w:tcW w:w="2268" w:type="dxa"/>
            <w:gridSpan w:val="2"/>
            <w:tcBorders>
              <w:top w:val="single" w:sz="4" w:space="0" w:color="auto"/>
              <w:left w:val="single" w:sz="4" w:space="0" w:color="auto"/>
              <w:bottom w:val="single" w:sz="4" w:space="0" w:color="auto"/>
              <w:right w:val="single" w:sz="4" w:space="0" w:color="auto"/>
            </w:tcBorders>
            <w:noWrap/>
          </w:tcPr>
          <w:p>
            <w:pPr>
              <w:pStyle w:val="yTableNAm"/>
              <w:jc w:val="center"/>
            </w:pPr>
            <w:r>
              <w:rPr>
                <w:b/>
              </w:rPr>
              <w:t>If Housing Authority responsible for payment of charge</w:t>
            </w:r>
          </w:p>
        </w:tc>
        <w:tc>
          <w:tcPr>
            <w:tcW w:w="2268" w:type="dxa"/>
            <w:gridSpan w:val="2"/>
            <w:tcBorders>
              <w:top w:val="single" w:sz="4" w:space="0" w:color="auto"/>
              <w:left w:val="single" w:sz="4" w:space="0" w:color="auto"/>
              <w:bottom w:val="single" w:sz="4" w:space="0" w:color="auto"/>
            </w:tcBorders>
            <w:noWrap/>
          </w:tcPr>
          <w:p>
            <w:pPr>
              <w:pStyle w:val="yTableNAm"/>
              <w:jc w:val="center"/>
            </w:pPr>
            <w:r>
              <w:rPr>
                <w:b/>
              </w:rPr>
              <w:t>In any other case</w:t>
            </w:r>
          </w:p>
        </w:tc>
      </w:tr>
      <w:tr>
        <w:trPr>
          <w:cantSplit/>
          <w:tblHeader/>
        </w:trPr>
        <w:tc>
          <w:tcPr>
            <w:tcW w:w="1418" w:type="dxa"/>
            <w:vMerge/>
            <w:tcBorders>
              <w:bottom w:val="single" w:sz="4" w:space="0" w:color="auto"/>
            </w:tcBorders>
            <w:noWrap/>
            <w:vAlign w:val="center"/>
          </w:tcPr>
          <w:p>
            <w:pPr>
              <w:pStyle w:val="yTableNAm"/>
            </w:pPr>
          </w:p>
        </w:tc>
        <w:tc>
          <w:tcPr>
            <w:tcW w:w="1134" w:type="dxa"/>
            <w:tcBorders>
              <w:bottom w:val="single" w:sz="4" w:space="0" w:color="auto"/>
              <w:right w:val="single" w:sz="4" w:space="0" w:color="auto"/>
            </w:tcBorders>
            <w:noWrap/>
          </w:tcPr>
          <w:p>
            <w:pPr>
              <w:pStyle w:val="yTableNAm"/>
              <w:jc w:val="center"/>
            </w:pPr>
            <w:r>
              <w:rPr>
                <w:b/>
                <w:sz w:val="20"/>
              </w:rPr>
              <w:t>Charge</w:t>
            </w:r>
            <w:r>
              <w:rPr>
                <w:b/>
                <w:sz w:val="20"/>
              </w:rPr>
              <w:br/>
            </w:r>
            <w:r>
              <w:rPr>
                <w:b/>
                <w:sz w:val="20"/>
              </w:rPr>
              <w:br/>
              <w:t>$</w:t>
            </w:r>
          </w:p>
        </w:tc>
        <w:tc>
          <w:tcPr>
            <w:tcW w:w="992" w:type="dxa"/>
            <w:tcBorders>
              <w:top w:val="single" w:sz="4" w:space="0" w:color="auto"/>
              <w:left w:val="single" w:sz="4" w:space="0" w:color="auto"/>
              <w:bottom w:val="single" w:sz="4" w:space="0" w:color="auto"/>
            </w:tcBorders>
            <w:noWrap/>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right w:val="single" w:sz="4" w:space="0" w:color="auto"/>
            </w:tcBorders>
            <w:noWrap/>
          </w:tcPr>
          <w:p>
            <w:pPr>
              <w:pStyle w:val="yTableNAm"/>
              <w:jc w:val="center"/>
            </w:pPr>
            <w:r>
              <w:rPr>
                <w:b/>
                <w:sz w:val="20"/>
              </w:rPr>
              <w:t>Discounted charge</w:t>
            </w:r>
            <w:r>
              <w:rPr>
                <w:b/>
                <w:sz w:val="20"/>
              </w:rPr>
              <w:br/>
              <w:t>$</w:t>
            </w:r>
          </w:p>
        </w:tc>
        <w:tc>
          <w:tcPr>
            <w:tcW w:w="992" w:type="dxa"/>
            <w:tcBorders>
              <w:top w:val="single" w:sz="4" w:space="0" w:color="auto"/>
              <w:left w:val="single" w:sz="4" w:space="0" w:color="auto"/>
              <w:bottom w:val="single" w:sz="4" w:space="0" w:color="auto"/>
            </w:tcBorders>
            <w:noWrap/>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tcBorders>
            <w:noWrap/>
          </w:tcPr>
          <w:p>
            <w:pPr>
              <w:pStyle w:val="yTableNAm"/>
              <w:jc w:val="center"/>
            </w:pPr>
            <w:r>
              <w:rPr>
                <w:b/>
                <w:sz w:val="20"/>
              </w:rPr>
              <w:t>Discounted charge</w:t>
            </w:r>
            <w:r>
              <w:rPr>
                <w:b/>
                <w:sz w:val="20"/>
              </w:rPr>
              <w:br/>
              <w:t>$</w:t>
            </w:r>
          </w:p>
        </w:tc>
      </w:tr>
      <w:tr>
        <w:trPr>
          <w:cantSplit/>
        </w:trPr>
        <w:tc>
          <w:tcPr>
            <w:tcW w:w="1418" w:type="dxa"/>
            <w:noWrap/>
            <w:tcMar>
              <w:left w:w="62" w:type="dxa"/>
              <w:right w:w="62" w:type="dxa"/>
            </w:tcMar>
          </w:tcPr>
          <w:p>
            <w:pPr>
              <w:pStyle w:val="yTableNAmLeft-005cm"/>
              <w:rPr>
                <w:highlight w:val="green"/>
              </w:rPr>
            </w:pPr>
            <w:r>
              <w:t>1</w:t>
            </w:r>
            <w:r>
              <w:rPr>
                <w:vertAlign w:val="superscript"/>
              </w:rPr>
              <w:t>st</w:t>
            </w:r>
            <w:r>
              <w:tab/>
              <w:t>fixture</w:t>
            </w:r>
          </w:p>
        </w:tc>
        <w:tc>
          <w:tcPr>
            <w:tcW w:w="1134" w:type="dxa"/>
            <w:tcBorders>
              <w:right w:val="single" w:sz="4" w:space="0" w:color="auto"/>
            </w:tcBorders>
            <w:noWrap/>
          </w:tcPr>
          <w:p>
            <w:pPr>
              <w:pStyle w:val="yTableNAm"/>
              <w:jc w:val="center"/>
            </w:pPr>
            <w:r>
              <w:t>1 155.37</w:t>
            </w:r>
          </w:p>
        </w:tc>
        <w:tc>
          <w:tcPr>
            <w:tcW w:w="992" w:type="dxa"/>
            <w:tcBorders>
              <w:left w:val="single" w:sz="4" w:space="0" w:color="auto"/>
            </w:tcBorders>
            <w:noWrap/>
          </w:tcPr>
          <w:p>
            <w:pPr>
              <w:pStyle w:val="yTableNAm"/>
              <w:jc w:val="center"/>
            </w:pPr>
            <w:r>
              <w:t>1 023.10</w:t>
            </w:r>
          </w:p>
        </w:tc>
        <w:tc>
          <w:tcPr>
            <w:tcW w:w="1276" w:type="dxa"/>
            <w:tcBorders>
              <w:right w:val="single" w:sz="4" w:space="0" w:color="auto"/>
            </w:tcBorders>
            <w:noWrap/>
          </w:tcPr>
          <w:p>
            <w:pPr>
              <w:pStyle w:val="yTableNAm"/>
              <w:jc w:val="center"/>
            </w:pPr>
            <w:r>
              <w:t>132.27</w:t>
            </w:r>
          </w:p>
        </w:tc>
        <w:tc>
          <w:tcPr>
            <w:tcW w:w="992" w:type="dxa"/>
            <w:tcBorders>
              <w:left w:val="single" w:sz="4" w:space="0" w:color="auto"/>
            </w:tcBorders>
            <w:noWrap/>
          </w:tcPr>
          <w:p>
            <w:pPr>
              <w:pStyle w:val="yTableNAm"/>
              <w:jc w:val="center"/>
            </w:pPr>
            <w:r>
              <w:t>1 155.37</w:t>
            </w:r>
          </w:p>
        </w:tc>
        <w:tc>
          <w:tcPr>
            <w:tcW w:w="1276" w:type="dxa"/>
            <w:noWrap/>
            <w:vAlign w:val="bottom"/>
          </w:tcPr>
          <w:p>
            <w:pPr>
              <w:pStyle w:val="yTableNAm"/>
              <w:jc w:val="center"/>
            </w:pPr>
            <w:r>
              <w:t>0.00</w:t>
            </w:r>
          </w:p>
        </w:tc>
      </w:tr>
      <w:tr>
        <w:trPr>
          <w:cantSplit/>
        </w:trPr>
        <w:tc>
          <w:tcPr>
            <w:tcW w:w="1418" w:type="dxa"/>
            <w:noWrap/>
            <w:tcMar>
              <w:left w:w="62" w:type="dxa"/>
              <w:right w:w="62" w:type="dxa"/>
            </w:tcMar>
          </w:tcPr>
          <w:p>
            <w:pPr>
              <w:pStyle w:val="yTableNAmLeft-005cm"/>
            </w:pPr>
            <w:r>
              <w:t>2</w:t>
            </w:r>
            <w:r>
              <w:rPr>
                <w:vertAlign w:val="superscript"/>
              </w:rPr>
              <w:t>nd</w:t>
            </w:r>
            <w:r>
              <w:tab/>
              <w:t>fixture</w:t>
            </w:r>
          </w:p>
        </w:tc>
        <w:tc>
          <w:tcPr>
            <w:tcW w:w="1134" w:type="dxa"/>
            <w:tcBorders>
              <w:right w:val="single" w:sz="4" w:space="0" w:color="auto"/>
            </w:tcBorders>
            <w:noWrap/>
          </w:tcPr>
          <w:p>
            <w:pPr>
              <w:pStyle w:val="yTableNAm"/>
              <w:jc w:val="center"/>
            </w:pPr>
            <w:r>
              <w:t>494.56</w:t>
            </w:r>
          </w:p>
        </w:tc>
        <w:tc>
          <w:tcPr>
            <w:tcW w:w="992" w:type="dxa"/>
            <w:tcBorders>
              <w:left w:val="single" w:sz="4" w:space="0" w:color="auto"/>
            </w:tcBorders>
            <w:noWrap/>
          </w:tcPr>
          <w:p>
            <w:pPr>
              <w:pStyle w:val="yTableNAm"/>
              <w:jc w:val="center"/>
            </w:pPr>
            <w:r>
              <w:t>362.29</w:t>
            </w:r>
          </w:p>
        </w:tc>
        <w:tc>
          <w:tcPr>
            <w:tcW w:w="1276" w:type="dxa"/>
            <w:tcBorders>
              <w:right w:val="single" w:sz="4" w:space="0" w:color="auto"/>
            </w:tcBorders>
            <w:noWrap/>
          </w:tcPr>
          <w:p>
            <w:pPr>
              <w:pStyle w:val="yTableNAm"/>
              <w:jc w:val="center"/>
            </w:pPr>
            <w:r>
              <w:t>132.27</w:t>
            </w:r>
          </w:p>
        </w:tc>
        <w:tc>
          <w:tcPr>
            <w:tcW w:w="992" w:type="dxa"/>
            <w:tcBorders>
              <w:left w:val="single" w:sz="4" w:space="0" w:color="auto"/>
            </w:tcBorders>
            <w:noWrap/>
          </w:tcPr>
          <w:p>
            <w:pPr>
              <w:pStyle w:val="yTableNAm"/>
              <w:jc w:val="center"/>
            </w:pPr>
            <w:r>
              <w:t>494.56</w:t>
            </w:r>
          </w:p>
        </w:tc>
        <w:tc>
          <w:tcPr>
            <w:tcW w:w="1276" w:type="dxa"/>
            <w:noWrap/>
            <w:vAlign w:val="bottom"/>
          </w:tcPr>
          <w:p>
            <w:pPr>
              <w:pStyle w:val="yTableNAm"/>
              <w:jc w:val="center"/>
            </w:pPr>
            <w:r>
              <w:t>0.00</w:t>
            </w:r>
          </w:p>
        </w:tc>
      </w:tr>
      <w:tr>
        <w:trPr>
          <w:cantSplit/>
        </w:trPr>
        <w:tc>
          <w:tcPr>
            <w:tcW w:w="1418" w:type="dxa"/>
            <w:noWrap/>
            <w:tcMar>
              <w:left w:w="57" w:type="dxa"/>
              <w:right w:w="57" w:type="dxa"/>
            </w:tcMar>
          </w:tcPr>
          <w:p>
            <w:pPr>
              <w:pStyle w:val="yTableNAmLeft-005cm"/>
            </w:pPr>
            <w:r>
              <w:t>3</w:t>
            </w:r>
            <w:r>
              <w:rPr>
                <w:vertAlign w:val="superscript"/>
              </w:rPr>
              <w:t>rd</w:t>
            </w:r>
            <w:r>
              <w:tab/>
              <w:t>fixture</w:t>
            </w:r>
          </w:p>
        </w:tc>
        <w:tc>
          <w:tcPr>
            <w:tcW w:w="1134" w:type="dxa"/>
            <w:tcBorders>
              <w:right w:val="single" w:sz="4" w:space="0" w:color="auto"/>
            </w:tcBorders>
            <w:noWrap/>
          </w:tcPr>
          <w:p>
            <w:pPr>
              <w:pStyle w:val="yTableNAm"/>
              <w:jc w:val="center"/>
            </w:pPr>
            <w:r>
              <w:t>660.48</w:t>
            </w:r>
          </w:p>
        </w:tc>
        <w:tc>
          <w:tcPr>
            <w:tcW w:w="992" w:type="dxa"/>
            <w:tcBorders>
              <w:left w:val="single" w:sz="4" w:space="0" w:color="auto"/>
            </w:tcBorders>
            <w:noWrap/>
          </w:tcPr>
          <w:p>
            <w:pPr>
              <w:pStyle w:val="yTableNAm"/>
              <w:jc w:val="center"/>
            </w:pPr>
            <w:r>
              <w:t>528.21</w:t>
            </w:r>
          </w:p>
        </w:tc>
        <w:tc>
          <w:tcPr>
            <w:tcW w:w="1276" w:type="dxa"/>
            <w:tcBorders>
              <w:right w:val="single" w:sz="4" w:space="0" w:color="auto"/>
            </w:tcBorders>
            <w:noWrap/>
          </w:tcPr>
          <w:p>
            <w:pPr>
              <w:pStyle w:val="yTableNAm"/>
              <w:jc w:val="center"/>
            </w:pPr>
            <w:r>
              <w:t>132.27</w:t>
            </w:r>
          </w:p>
        </w:tc>
        <w:tc>
          <w:tcPr>
            <w:tcW w:w="992" w:type="dxa"/>
            <w:tcBorders>
              <w:left w:val="single" w:sz="4" w:space="0" w:color="auto"/>
            </w:tcBorders>
            <w:noWrap/>
          </w:tcPr>
          <w:p>
            <w:pPr>
              <w:pStyle w:val="yTableNAm"/>
              <w:jc w:val="center"/>
            </w:pPr>
            <w:r>
              <w:t>660.48</w:t>
            </w:r>
          </w:p>
        </w:tc>
        <w:tc>
          <w:tcPr>
            <w:tcW w:w="1276" w:type="dxa"/>
            <w:noWrap/>
            <w:vAlign w:val="bottom"/>
          </w:tcPr>
          <w:p>
            <w:pPr>
              <w:pStyle w:val="yTableNAm"/>
              <w:jc w:val="center"/>
            </w:pPr>
            <w:r>
              <w:t>0.00</w:t>
            </w:r>
          </w:p>
        </w:tc>
      </w:tr>
      <w:tr>
        <w:trPr>
          <w:cantSplit/>
        </w:trPr>
        <w:tc>
          <w:tcPr>
            <w:tcW w:w="1418" w:type="dxa"/>
            <w:tcBorders>
              <w:bottom w:val="single" w:sz="4" w:space="0" w:color="auto"/>
            </w:tcBorders>
            <w:noWrap/>
            <w:tcMar>
              <w:left w:w="57" w:type="dxa"/>
              <w:right w:w="57" w:type="dxa"/>
            </w:tcMar>
          </w:tcPr>
          <w:p>
            <w:pPr>
              <w:pStyle w:val="yTableNAmLeft-005cm"/>
              <w:ind w:left="265" w:hanging="293"/>
              <w:rPr>
                <w:highlight w:val="green"/>
              </w:rPr>
            </w:pPr>
            <w:r>
              <w:t>4</w:t>
            </w:r>
            <w:r>
              <w:rPr>
                <w:vertAlign w:val="superscript"/>
              </w:rPr>
              <w:t>th</w:t>
            </w:r>
            <w:r>
              <w:tab/>
              <w:t>and subsequent fixtures</w:t>
            </w:r>
          </w:p>
        </w:tc>
        <w:tc>
          <w:tcPr>
            <w:tcW w:w="1134" w:type="dxa"/>
            <w:tcBorders>
              <w:bottom w:val="single" w:sz="4" w:space="0" w:color="auto"/>
              <w:right w:val="single" w:sz="4" w:space="0" w:color="auto"/>
            </w:tcBorders>
            <w:noWrap/>
          </w:tcPr>
          <w:p>
            <w:pPr>
              <w:pStyle w:val="yTableNAm"/>
              <w:jc w:val="center"/>
            </w:pPr>
            <w:r>
              <w:t>718.23</w:t>
            </w:r>
          </w:p>
        </w:tc>
        <w:tc>
          <w:tcPr>
            <w:tcW w:w="992" w:type="dxa"/>
            <w:tcBorders>
              <w:left w:val="single" w:sz="4" w:space="0" w:color="auto"/>
              <w:bottom w:val="single" w:sz="4" w:space="0" w:color="auto"/>
            </w:tcBorders>
            <w:noWrap/>
          </w:tcPr>
          <w:p>
            <w:pPr>
              <w:pStyle w:val="yTableNAm"/>
              <w:jc w:val="center"/>
            </w:pPr>
            <w:r>
              <w:t>585.96</w:t>
            </w:r>
          </w:p>
        </w:tc>
        <w:tc>
          <w:tcPr>
            <w:tcW w:w="1276" w:type="dxa"/>
            <w:tcBorders>
              <w:bottom w:val="single" w:sz="4" w:space="0" w:color="auto"/>
              <w:right w:val="single" w:sz="4" w:space="0" w:color="auto"/>
            </w:tcBorders>
            <w:noWrap/>
          </w:tcPr>
          <w:p>
            <w:pPr>
              <w:pStyle w:val="yTableNAm"/>
              <w:jc w:val="center"/>
            </w:pPr>
            <w:r>
              <w:t>132.27</w:t>
            </w:r>
          </w:p>
        </w:tc>
        <w:tc>
          <w:tcPr>
            <w:tcW w:w="992" w:type="dxa"/>
            <w:tcBorders>
              <w:left w:val="single" w:sz="4" w:space="0" w:color="auto"/>
              <w:bottom w:val="single" w:sz="4" w:space="0" w:color="auto"/>
            </w:tcBorders>
            <w:noWrap/>
          </w:tcPr>
          <w:p>
            <w:pPr>
              <w:pStyle w:val="yTableNAm"/>
              <w:jc w:val="center"/>
            </w:pPr>
            <w:r>
              <w:t>718.23</w:t>
            </w:r>
          </w:p>
        </w:tc>
        <w:tc>
          <w:tcPr>
            <w:tcW w:w="1276" w:type="dxa"/>
            <w:tcBorders>
              <w:bottom w:val="single" w:sz="4" w:space="0" w:color="auto"/>
            </w:tcBorders>
            <w:noWrap/>
          </w:tcPr>
          <w:p>
            <w:pPr>
              <w:pStyle w:val="yTableNAm"/>
              <w:jc w:val="center"/>
            </w:pPr>
            <w:r>
              <w:t>0.00</w:t>
            </w:r>
          </w:p>
        </w:tc>
      </w:tr>
    </w:tbl>
    <w:p>
      <w:pPr>
        <w:pStyle w:val="yHeading5"/>
      </w:pPr>
      <w:bookmarkStart w:id="436" w:name="_Toc169797251"/>
      <w:bookmarkStart w:id="437" w:name="_Toc169797561"/>
      <w:bookmarkStart w:id="438" w:name="_Toc170209256"/>
      <w:r>
        <w:t>12.</w:t>
      </w:r>
      <w:r>
        <w:tab/>
        <w:t>Non</w:t>
      </w:r>
      <w:r>
        <w:noBreakHyphen/>
        <w:t>metropolitan residential or vacant land</w:t>
      </w:r>
      <w:bookmarkEnd w:id="436"/>
      <w:bookmarkEnd w:id="437"/>
      <w:bookmarkEnd w:id="438"/>
    </w:p>
    <w:p>
      <w:pPr>
        <w:pStyle w:val="ySubsection"/>
      </w:pPr>
      <w:r>
        <w:tab/>
        <w:t>(1)</w:t>
      </w:r>
      <w:r>
        <w:tab/>
        <w:t>This item does not apply to land to which any other item in this Schedule applies.</w:t>
      </w:r>
    </w:p>
    <w:p>
      <w:pPr>
        <w:pStyle w:val="ySubsection"/>
      </w:pPr>
      <w:r>
        <w:tab/>
        <w:t>(2)</w:t>
      </w:r>
      <w:r>
        <w:tab/>
        <w:t>For residential land in the non</w:t>
      </w:r>
      <w:r>
        <w:noBreakHyphen/>
        <w:t>metropolitan area that is in a sewerage area referred to in the Table, the charge, per dwelling on the land, is, subject to sub</w:t>
      </w:r>
      <w:r>
        <w:noBreakHyphen/>
        <w:t>items (3) and (4), the amount worked out by multiplying the GRV of the dwelling by the relevant rate for the sewerage area set out in the Table for residential land.</w:t>
      </w:r>
    </w:p>
    <w:p>
      <w:pPr>
        <w:pStyle w:val="ySubsection"/>
        <w:tabs>
          <w:tab w:val="right" w:leader="dot" w:pos="6804"/>
        </w:tabs>
      </w:pPr>
      <w:r>
        <w:tab/>
        <w:t>(3)</w:t>
      </w:r>
      <w:r>
        <w:tab/>
        <w:t xml:space="preserve">The minimum charge per dwelling </w:t>
      </w:r>
      <w:r>
        <w:br/>
        <w:t>under sub</w:t>
      </w:r>
      <w:r>
        <w:noBreakHyphen/>
        <w:t xml:space="preserve">item (2) is </w:t>
      </w:r>
      <w:r>
        <w:tab/>
      </w:r>
      <w:r>
        <w:rPr>
          <w:szCs w:val="22"/>
        </w:rPr>
        <w:t>$481.14</w:t>
      </w:r>
    </w:p>
    <w:p>
      <w:pPr>
        <w:pStyle w:val="ySubsection"/>
        <w:tabs>
          <w:tab w:val="right" w:leader="dot" w:pos="6804"/>
        </w:tabs>
      </w:pPr>
      <w:r>
        <w:tab/>
        <w:t>(4)</w:t>
      </w:r>
      <w:r>
        <w:tab/>
        <w:t xml:space="preserve">The maximum charge per dwelling </w:t>
      </w:r>
      <w:r>
        <w:br/>
        <w:t>under sub</w:t>
      </w:r>
      <w:r>
        <w:noBreakHyphen/>
        <w:t xml:space="preserve">item (2) is </w:t>
      </w:r>
      <w:r>
        <w:tab/>
      </w:r>
      <w:r>
        <w:rPr>
          <w:szCs w:val="22"/>
        </w:rPr>
        <w:t>$1 313.55</w:t>
      </w:r>
    </w:p>
    <w:p>
      <w:pPr>
        <w:pStyle w:val="ySubsection"/>
      </w:pPr>
      <w:r>
        <w:tab/>
        <w:t>(5)</w:t>
      </w:r>
      <w:r>
        <w:tab/>
        <w:t>For vacant land in the non</w:t>
      </w:r>
      <w:r>
        <w:noBreakHyphen/>
        <w:t>metropolitan area that is in a sewerage area referred to in the Table, the charge is, subject to sub</w:t>
      </w:r>
      <w:r>
        <w:noBreakHyphen/>
        <w:t>items (6) and (7), the amount worked out by multiplying the GRV of the land by the relevant rate for the sewerage area set out in the Table for vacant land.</w:t>
      </w:r>
    </w:p>
    <w:p>
      <w:pPr>
        <w:pStyle w:val="ySubsection"/>
        <w:tabs>
          <w:tab w:val="right" w:leader="dot" w:pos="6804"/>
        </w:tabs>
      </w:pPr>
      <w:r>
        <w:tab/>
        <w:t>(6)</w:t>
      </w:r>
      <w:r>
        <w:tab/>
        <w:t>The minimum charge under sub</w:t>
      </w:r>
      <w:r>
        <w:noBreakHyphen/>
        <w:t xml:space="preserve">item (5) is </w:t>
      </w:r>
      <w:r>
        <w:tab/>
      </w:r>
      <w:r>
        <w:rPr>
          <w:szCs w:val="22"/>
        </w:rPr>
        <w:t>$316.60</w:t>
      </w:r>
    </w:p>
    <w:p>
      <w:pPr>
        <w:pStyle w:val="ySubsection"/>
        <w:tabs>
          <w:tab w:val="right" w:leader="dot" w:pos="6804"/>
        </w:tabs>
      </w:pPr>
      <w:r>
        <w:lastRenderedPageBreak/>
        <w:tab/>
        <w:t>(7)</w:t>
      </w:r>
      <w:r>
        <w:tab/>
        <w:t xml:space="preserve">The maximum charge under </w:t>
      </w:r>
      <w:r>
        <w:br/>
        <w:t>sub</w:t>
      </w:r>
      <w:r>
        <w:noBreakHyphen/>
        <w:t xml:space="preserve">item (5) for vacant land that is </w:t>
      </w:r>
      <w:r>
        <w:br/>
        <w:t xml:space="preserve">held for residential purposes is </w:t>
      </w:r>
      <w:r>
        <w:tab/>
      </w:r>
      <w:r>
        <w:rPr>
          <w:szCs w:val="22"/>
        </w:rPr>
        <w:t>$1 313.55</w:t>
      </w:r>
    </w:p>
    <w:p>
      <w:pPr>
        <w:pStyle w:val="yTHeadingNAm"/>
      </w:pPr>
      <w:r>
        <w:t>Table of rates for sewerage areas</w:t>
      </w:r>
    </w:p>
    <w:tbl>
      <w:tblPr>
        <w:tblW w:w="612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59"/>
        <w:gridCol w:w="1985"/>
        <w:gridCol w:w="1985"/>
      </w:tblGrid>
      <w:tr>
        <w:trPr>
          <w:cantSplit/>
          <w:tblHeader/>
        </w:trPr>
        <w:tc>
          <w:tcPr>
            <w:tcW w:w="2159" w:type="dxa"/>
            <w:tcBorders>
              <w:left w:val="nil"/>
              <w:bottom w:val="single" w:sz="4" w:space="0" w:color="auto"/>
              <w:right w:val="nil"/>
            </w:tcBorders>
            <w:noWrap/>
            <w:vAlign w:val="center"/>
          </w:tcPr>
          <w:p>
            <w:pPr>
              <w:pStyle w:val="yTableNAm"/>
            </w:pPr>
            <w:r>
              <w:rPr>
                <w:b/>
              </w:rPr>
              <w:t>Sewerage area</w:t>
            </w:r>
          </w:p>
        </w:tc>
        <w:tc>
          <w:tcPr>
            <w:tcW w:w="1985" w:type="dxa"/>
            <w:tcBorders>
              <w:left w:val="nil"/>
              <w:bottom w:val="single" w:sz="4" w:space="0" w:color="auto"/>
              <w:right w:val="nil"/>
            </w:tcBorders>
            <w:noWrap/>
            <w:vAlign w:val="center"/>
          </w:tcPr>
          <w:p>
            <w:pPr>
              <w:pStyle w:val="yTableNAm"/>
              <w:jc w:val="center"/>
            </w:pPr>
            <w:r>
              <w:rPr>
                <w:b/>
              </w:rPr>
              <w:t xml:space="preserve">Residential rate </w:t>
            </w:r>
            <w:r>
              <w:rPr>
                <w:b/>
              </w:rPr>
              <w:br/>
              <w:t>cents/$ of GRV</w:t>
            </w:r>
          </w:p>
        </w:tc>
        <w:tc>
          <w:tcPr>
            <w:tcW w:w="1985" w:type="dxa"/>
            <w:tcBorders>
              <w:left w:val="nil"/>
              <w:bottom w:val="single" w:sz="4" w:space="0" w:color="auto"/>
              <w:right w:val="nil"/>
            </w:tcBorders>
            <w:noWrap/>
            <w:vAlign w:val="center"/>
          </w:tcPr>
          <w:p>
            <w:pPr>
              <w:pStyle w:val="yTableNAm"/>
              <w:jc w:val="center"/>
            </w:pPr>
            <w:r>
              <w:rPr>
                <w:b/>
              </w:rPr>
              <w:t xml:space="preserve">Vacant land rate </w:t>
            </w:r>
            <w:r>
              <w:rPr>
                <w:b/>
              </w:rPr>
              <w:br/>
              <w:t>cents/$ of GRV</w:t>
            </w:r>
          </w:p>
        </w:tc>
      </w:tr>
      <w:tr>
        <w:trPr>
          <w:cantSplit/>
        </w:trPr>
        <w:tc>
          <w:tcPr>
            <w:tcW w:w="2159" w:type="dxa"/>
            <w:tcBorders>
              <w:top w:val="single" w:sz="4" w:space="0" w:color="auto"/>
              <w:left w:val="nil"/>
              <w:bottom w:val="nil"/>
              <w:right w:val="nil"/>
            </w:tcBorders>
            <w:noWrap/>
          </w:tcPr>
          <w:p>
            <w:pPr>
              <w:pStyle w:val="yTableNAm"/>
            </w:pPr>
            <w:r>
              <w:t>Albany</w:t>
            </w:r>
          </w:p>
        </w:tc>
        <w:tc>
          <w:tcPr>
            <w:tcW w:w="1985" w:type="dxa"/>
            <w:tcBorders>
              <w:top w:val="single" w:sz="4" w:space="0" w:color="auto"/>
              <w:left w:val="nil"/>
              <w:bottom w:val="nil"/>
              <w:right w:val="nil"/>
            </w:tcBorders>
            <w:noWrap/>
            <w:vAlign w:val="bottom"/>
          </w:tcPr>
          <w:p>
            <w:pPr>
              <w:pStyle w:val="yTableNAm"/>
              <w:ind w:right="600"/>
              <w:jc w:val="right"/>
            </w:pPr>
            <w:r>
              <w:rPr>
                <w:szCs w:val="22"/>
              </w:rPr>
              <w:t>12.774</w:t>
            </w:r>
          </w:p>
        </w:tc>
        <w:tc>
          <w:tcPr>
            <w:tcW w:w="1985" w:type="dxa"/>
            <w:tcBorders>
              <w:top w:val="single" w:sz="4" w:space="0" w:color="auto"/>
              <w:left w:val="nil"/>
              <w:bottom w:val="nil"/>
              <w:right w:val="nil"/>
            </w:tcBorders>
            <w:noWrap/>
            <w:vAlign w:val="bottom"/>
          </w:tcPr>
          <w:p>
            <w:pPr>
              <w:pStyle w:val="yTableNAm"/>
              <w:ind w:right="600"/>
              <w:jc w:val="right"/>
            </w:pPr>
            <w:r>
              <w:rPr>
                <w:szCs w:val="22"/>
              </w:rPr>
              <w:t>29.003</w:t>
            </w:r>
          </w:p>
        </w:tc>
      </w:tr>
      <w:tr>
        <w:trPr>
          <w:cantSplit/>
        </w:trPr>
        <w:tc>
          <w:tcPr>
            <w:tcW w:w="2159" w:type="dxa"/>
            <w:tcBorders>
              <w:top w:val="nil"/>
              <w:left w:val="nil"/>
              <w:bottom w:val="nil"/>
              <w:right w:val="nil"/>
            </w:tcBorders>
            <w:noWrap/>
          </w:tcPr>
          <w:p>
            <w:pPr>
              <w:pStyle w:val="yTableNAm"/>
            </w:pPr>
            <w:r>
              <w:t>Augusta</w:t>
            </w:r>
          </w:p>
        </w:tc>
        <w:tc>
          <w:tcPr>
            <w:tcW w:w="1985" w:type="dxa"/>
            <w:tcBorders>
              <w:top w:val="nil"/>
              <w:left w:val="nil"/>
              <w:bottom w:val="nil"/>
              <w:right w:val="nil"/>
            </w:tcBorders>
            <w:noWrap/>
            <w:vAlign w:val="bottom"/>
          </w:tcPr>
          <w:p>
            <w:pPr>
              <w:pStyle w:val="yTableNAm"/>
              <w:ind w:right="600"/>
              <w:jc w:val="right"/>
            </w:pPr>
            <w:r>
              <w:rPr>
                <w:szCs w:val="22"/>
              </w:rPr>
              <w:t>7.405</w:t>
            </w:r>
          </w:p>
        </w:tc>
        <w:tc>
          <w:tcPr>
            <w:tcW w:w="1985" w:type="dxa"/>
            <w:tcBorders>
              <w:top w:val="nil"/>
              <w:left w:val="nil"/>
              <w:bottom w:val="nil"/>
              <w:right w:val="nil"/>
            </w:tcBorders>
            <w:noWrap/>
            <w:vAlign w:val="bottom"/>
          </w:tcPr>
          <w:p>
            <w:pPr>
              <w:pStyle w:val="yTableNAm"/>
              <w:ind w:right="600"/>
              <w:jc w:val="right"/>
            </w:pPr>
            <w:r>
              <w:rPr>
                <w:szCs w:val="22"/>
              </w:rPr>
              <w:t>11.591</w:t>
            </w:r>
          </w:p>
        </w:tc>
      </w:tr>
      <w:tr>
        <w:trPr>
          <w:cantSplit/>
        </w:trPr>
        <w:tc>
          <w:tcPr>
            <w:tcW w:w="2159" w:type="dxa"/>
            <w:tcBorders>
              <w:top w:val="nil"/>
              <w:left w:val="nil"/>
              <w:bottom w:val="nil"/>
              <w:right w:val="nil"/>
            </w:tcBorders>
            <w:noWrap/>
          </w:tcPr>
          <w:p>
            <w:pPr>
              <w:pStyle w:val="yTableNAm"/>
            </w:pPr>
            <w:r>
              <w:t>Australind</w:t>
            </w:r>
          </w:p>
        </w:tc>
        <w:tc>
          <w:tcPr>
            <w:tcW w:w="1985" w:type="dxa"/>
            <w:tcBorders>
              <w:top w:val="nil"/>
              <w:left w:val="nil"/>
              <w:bottom w:val="nil"/>
              <w:right w:val="nil"/>
            </w:tcBorders>
            <w:noWrap/>
            <w:vAlign w:val="bottom"/>
          </w:tcPr>
          <w:p>
            <w:pPr>
              <w:pStyle w:val="yTableNAm"/>
              <w:ind w:right="600"/>
              <w:jc w:val="right"/>
            </w:pPr>
            <w:r>
              <w:rPr>
                <w:szCs w:val="22"/>
              </w:rPr>
              <w:t>5.497</w:t>
            </w:r>
          </w:p>
        </w:tc>
        <w:tc>
          <w:tcPr>
            <w:tcW w:w="1985" w:type="dxa"/>
            <w:tcBorders>
              <w:top w:val="nil"/>
              <w:left w:val="nil"/>
              <w:bottom w:val="nil"/>
              <w:right w:val="nil"/>
            </w:tcBorders>
            <w:noWrap/>
            <w:vAlign w:val="bottom"/>
          </w:tcPr>
          <w:p>
            <w:pPr>
              <w:pStyle w:val="yTableNAm"/>
              <w:ind w:right="600"/>
              <w:jc w:val="right"/>
            </w:pPr>
            <w:r>
              <w:rPr>
                <w:szCs w:val="22"/>
              </w:rPr>
              <w:t>5.550</w:t>
            </w:r>
          </w:p>
        </w:tc>
      </w:tr>
      <w:tr>
        <w:trPr>
          <w:cantSplit/>
        </w:trPr>
        <w:tc>
          <w:tcPr>
            <w:tcW w:w="2159" w:type="dxa"/>
            <w:tcBorders>
              <w:top w:val="nil"/>
              <w:left w:val="nil"/>
              <w:bottom w:val="nil"/>
              <w:right w:val="nil"/>
            </w:tcBorders>
            <w:noWrap/>
          </w:tcPr>
          <w:p>
            <w:pPr>
              <w:pStyle w:val="yTableNAm"/>
            </w:pPr>
            <w:r>
              <w:t>Beverley</w:t>
            </w:r>
          </w:p>
        </w:tc>
        <w:tc>
          <w:tcPr>
            <w:tcW w:w="1985" w:type="dxa"/>
            <w:tcBorders>
              <w:top w:val="nil"/>
              <w:left w:val="nil"/>
              <w:bottom w:val="nil"/>
              <w:right w:val="nil"/>
            </w:tcBorders>
            <w:noWrap/>
            <w:vAlign w:val="bottom"/>
          </w:tcPr>
          <w:p>
            <w:pPr>
              <w:pStyle w:val="yTableNAm"/>
              <w:ind w:right="600"/>
              <w:jc w:val="right"/>
            </w:pPr>
            <w:r>
              <w:rPr>
                <w:szCs w:val="22"/>
              </w:rPr>
              <w:t>14.319</w:t>
            </w:r>
          </w:p>
        </w:tc>
        <w:tc>
          <w:tcPr>
            <w:tcW w:w="1985" w:type="dxa"/>
            <w:tcBorders>
              <w:top w:val="nil"/>
              <w:left w:val="nil"/>
              <w:bottom w:val="nil"/>
              <w:right w:val="nil"/>
            </w:tcBorders>
            <w:noWrap/>
            <w:vAlign w:val="bottom"/>
          </w:tcPr>
          <w:p>
            <w:pPr>
              <w:pStyle w:val="yTableNAm"/>
              <w:ind w:right="600"/>
              <w:jc w:val="right"/>
            </w:pPr>
            <w:r>
              <w:rPr>
                <w:szCs w:val="22"/>
              </w:rPr>
              <w:t>51.525</w:t>
            </w:r>
          </w:p>
        </w:tc>
      </w:tr>
      <w:tr>
        <w:trPr>
          <w:cantSplit/>
        </w:trPr>
        <w:tc>
          <w:tcPr>
            <w:tcW w:w="2159" w:type="dxa"/>
            <w:tcBorders>
              <w:top w:val="nil"/>
              <w:left w:val="nil"/>
              <w:bottom w:val="nil"/>
              <w:right w:val="nil"/>
            </w:tcBorders>
            <w:noWrap/>
          </w:tcPr>
          <w:p>
            <w:pPr>
              <w:pStyle w:val="yTableNAm"/>
            </w:pPr>
            <w:r>
              <w:t>Binningup</w:t>
            </w:r>
          </w:p>
        </w:tc>
        <w:tc>
          <w:tcPr>
            <w:tcW w:w="1985" w:type="dxa"/>
            <w:tcBorders>
              <w:top w:val="nil"/>
              <w:left w:val="nil"/>
              <w:bottom w:val="nil"/>
              <w:right w:val="nil"/>
            </w:tcBorders>
            <w:noWrap/>
            <w:vAlign w:val="bottom"/>
          </w:tcPr>
          <w:p>
            <w:pPr>
              <w:pStyle w:val="yTableNAm"/>
              <w:ind w:right="600"/>
              <w:jc w:val="right"/>
            </w:pPr>
            <w:r>
              <w:rPr>
                <w:szCs w:val="22"/>
              </w:rPr>
              <w:t>10.356</w:t>
            </w:r>
          </w:p>
        </w:tc>
        <w:tc>
          <w:tcPr>
            <w:tcW w:w="1985" w:type="dxa"/>
            <w:tcBorders>
              <w:top w:val="nil"/>
              <w:left w:val="nil"/>
              <w:bottom w:val="nil"/>
              <w:right w:val="nil"/>
            </w:tcBorders>
            <w:noWrap/>
            <w:vAlign w:val="bottom"/>
          </w:tcPr>
          <w:p>
            <w:pPr>
              <w:pStyle w:val="yTableNAm"/>
              <w:ind w:right="600"/>
              <w:jc w:val="right"/>
            </w:pPr>
            <w:r>
              <w:rPr>
                <w:szCs w:val="22"/>
              </w:rPr>
              <w:t>32.303</w:t>
            </w:r>
          </w:p>
        </w:tc>
      </w:tr>
      <w:tr>
        <w:trPr>
          <w:cantSplit/>
        </w:trPr>
        <w:tc>
          <w:tcPr>
            <w:tcW w:w="2159" w:type="dxa"/>
            <w:tcBorders>
              <w:top w:val="nil"/>
              <w:left w:val="nil"/>
              <w:bottom w:val="nil"/>
              <w:right w:val="nil"/>
            </w:tcBorders>
            <w:noWrap/>
          </w:tcPr>
          <w:p>
            <w:pPr>
              <w:pStyle w:val="yTableNAm"/>
            </w:pPr>
            <w:r>
              <w:t>Boddington</w:t>
            </w:r>
          </w:p>
        </w:tc>
        <w:tc>
          <w:tcPr>
            <w:tcW w:w="1985" w:type="dxa"/>
            <w:tcBorders>
              <w:top w:val="nil"/>
              <w:left w:val="nil"/>
              <w:bottom w:val="nil"/>
              <w:right w:val="nil"/>
            </w:tcBorders>
            <w:noWrap/>
            <w:vAlign w:val="bottom"/>
          </w:tcPr>
          <w:p>
            <w:pPr>
              <w:pStyle w:val="yTableNAm"/>
              <w:ind w:right="600"/>
              <w:jc w:val="right"/>
            </w:pPr>
            <w:r>
              <w:rPr>
                <w:szCs w:val="22"/>
              </w:rPr>
              <w:t>34.379</w:t>
            </w:r>
          </w:p>
        </w:tc>
        <w:tc>
          <w:tcPr>
            <w:tcW w:w="1985" w:type="dxa"/>
            <w:tcBorders>
              <w:top w:val="nil"/>
              <w:left w:val="nil"/>
              <w:bottom w:val="nil"/>
              <w:right w:val="nil"/>
            </w:tcBorders>
            <w:noWrap/>
            <w:vAlign w:val="bottom"/>
          </w:tcPr>
          <w:p>
            <w:pPr>
              <w:pStyle w:val="yTableNAm"/>
              <w:ind w:right="600"/>
              <w:jc w:val="right"/>
            </w:pPr>
            <w:r>
              <w:rPr>
                <w:szCs w:val="22"/>
              </w:rPr>
              <w:t>250.758</w:t>
            </w:r>
          </w:p>
        </w:tc>
      </w:tr>
      <w:tr>
        <w:trPr>
          <w:cantSplit/>
        </w:trPr>
        <w:tc>
          <w:tcPr>
            <w:tcW w:w="2159" w:type="dxa"/>
            <w:tcBorders>
              <w:top w:val="nil"/>
              <w:left w:val="nil"/>
              <w:bottom w:val="nil"/>
              <w:right w:val="nil"/>
            </w:tcBorders>
            <w:noWrap/>
          </w:tcPr>
          <w:p>
            <w:pPr>
              <w:pStyle w:val="yTableNAm"/>
            </w:pPr>
            <w:r>
              <w:t>Boyanup</w:t>
            </w:r>
          </w:p>
        </w:tc>
        <w:tc>
          <w:tcPr>
            <w:tcW w:w="1985" w:type="dxa"/>
            <w:tcBorders>
              <w:top w:val="nil"/>
              <w:left w:val="nil"/>
              <w:bottom w:val="nil"/>
              <w:right w:val="nil"/>
            </w:tcBorders>
            <w:noWrap/>
            <w:vAlign w:val="bottom"/>
          </w:tcPr>
          <w:p>
            <w:pPr>
              <w:pStyle w:val="yTableNAm"/>
              <w:ind w:right="600"/>
              <w:jc w:val="right"/>
            </w:pPr>
            <w:r>
              <w:rPr>
                <w:szCs w:val="22"/>
              </w:rPr>
              <w:t>10.134</w:t>
            </w:r>
          </w:p>
        </w:tc>
        <w:tc>
          <w:tcPr>
            <w:tcW w:w="1985" w:type="dxa"/>
            <w:tcBorders>
              <w:top w:val="nil"/>
              <w:left w:val="nil"/>
              <w:bottom w:val="nil"/>
              <w:right w:val="nil"/>
            </w:tcBorders>
            <w:noWrap/>
            <w:vAlign w:val="bottom"/>
          </w:tcPr>
          <w:p>
            <w:pPr>
              <w:pStyle w:val="yTableNAm"/>
              <w:ind w:right="600"/>
              <w:jc w:val="right"/>
            </w:pPr>
            <w:r>
              <w:rPr>
                <w:szCs w:val="22"/>
              </w:rPr>
              <w:t>26.070</w:t>
            </w:r>
          </w:p>
        </w:tc>
      </w:tr>
      <w:tr>
        <w:trPr>
          <w:cantSplit/>
        </w:trPr>
        <w:tc>
          <w:tcPr>
            <w:tcW w:w="2159" w:type="dxa"/>
            <w:tcBorders>
              <w:top w:val="nil"/>
              <w:left w:val="nil"/>
              <w:bottom w:val="nil"/>
              <w:right w:val="nil"/>
            </w:tcBorders>
            <w:noWrap/>
          </w:tcPr>
          <w:p>
            <w:pPr>
              <w:pStyle w:val="yTableNAm"/>
            </w:pPr>
            <w:r>
              <w:t>Bremer Bay</w:t>
            </w:r>
          </w:p>
        </w:tc>
        <w:tc>
          <w:tcPr>
            <w:tcW w:w="1985" w:type="dxa"/>
            <w:tcBorders>
              <w:top w:val="nil"/>
              <w:left w:val="nil"/>
              <w:bottom w:val="nil"/>
              <w:right w:val="nil"/>
            </w:tcBorders>
            <w:noWrap/>
            <w:vAlign w:val="bottom"/>
          </w:tcPr>
          <w:p>
            <w:pPr>
              <w:pStyle w:val="yTableNAm"/>
              <w:ind w:right="600"/>
              <w:jc w:val="right"/>
            </w:pPr>
            <w:r>
              <w:rPr>
                <w:szCs w:val="22"/>
              </w:rPr>
              <w:t>13.525</w:t>
            </w:r>
          </w:p>
        </w:tc>
        <w:tc>
          <w:tcPr>
            <w:tcW w:w="1985" w:type="dxa"/>
            <w:tcBorders>
              <w:top w:val="nil"/>
              <w:left w:val="nil"/>
              <w:bottom w:val="nil"/>
              <w:right w:val="nil"/>
            </w:tcBorders>
            <w:noWrap/>
            <w:vAlign w:val="bottom"/>
          </w:tcPr>
          <w:p>
            <w:pPr>
              <w:pStyle w:val="yTableNAm"/>
              <w:ind w:right="600"/>
              <w:jc w:val="right"/>
            </w:pPr>
            <w:r>
              <w:rPr>
                <w:szCs w:val="22"/>
              </w:rPr>
              <w:t>19.528</w:t>
            </w:r>
          </w:p>
        </w:tc>
      </w:tr>
      <w:tr>
        <w:trPr>
          <w:cantSplit/>
        </w:trPr>
        <w:tc>
          <w:tcPr>
            <w:tcW w:w="2159" w:type="dxa"/>
            <w:tcBorders>
              <w:top w:val="nil"/>
              <w:left w:val="nil"/>
              <w:bottom w:val="nil"/>
              <w:right w:val="nil"/>
            </w:tcBorders>
            <w:noWrap/>
          </w:tcPr>
          <w:p>
            <w:pPr>
              <w:pStyle w:val="yTableNAm"/>
            </w:pPr>
            <w:r>
              <w:t>Bridgetown</w:t>
            </w:r>
          </w:p>
        </w:tc>
        <w:tc>
          <w:tcPr>
            <w:tcW w:w="1985" w:type="dxa"/>
            <w:tcBorders>
              <w:top w:val="nil"/>
              <w:left w:val="nil"/>
              <w:bottom w:val="nil"/>
              <w:right w:val="nil"/>
            </w:tcBorders>
            <w:noWrap/>
            <w:vAlign w:val="bottom"/>
          </w:tcPr>
          <w:p>
            <w:pPr>
              <w:pStyle w:val="yTableNAm"/>
              <w:ind w:right="600"/>
              <w:jc w:val="right"/>
            </w:pPr>
            <w:r>
              <w:rPr>
                <w:szCs w:val="22"/>
              </w:rPr>
              <w:t>36.596</w:t>
            </w:r>
          </w:p>
        </w:tc>
        <w:tc>
          <w:tcPr>
            <w:tcW w:w="1985" w:type="dxa"/>
            <w:tcBorders>
              <w:top w:val="nil"/>
              <w:left w:val="nil"/>
              <w:bottom w:val="nil"/>
              <w:right w:val="nil"/>
            </w:tcBorders>
            <w:noWrap/>
            <w:vAlign w:val="bottom"/>
          </w:tcPr>
          <w:p>
            <w:pPr>
              <w:pStyle w:val="yTableNAm"/>
              <w:ind w:right="600"/>
              <w:jc w:val="right"/>
            </w:pPr>
            <w:r>
              <w:rPr>
                <w:szCs w:val="22"/>
              </w:rPr>
              <w:t>166.986</w:t>
            </w:r>
          </w:p>
        </w:tc>
      </w:tr>
      <w:tr>
        <w:trPr>
          <w:cantSplit/>
        </w:trPr>
        <w:tc>
          <w:tcPr>
            <w:tcW w:w="2159" w:type="dxa"/>
            <w:tcBorders>
              <w:top w:val="nil"/>
              <w:left w:val="nil"/>
              <w:bottom w:val="nil"/>
              <w:right w:val="nil"/>
            </w:tcBorders>
            <w:noWrap/>
          </w:tcPr>
          <w:p>
            <w:pPr>
              <w:pStyle w:val="yTableNAm"/>
            </w:pPr>
            <w:r>
              <w:t>Broome</w:t>
            </w:r>
          </w:p>
        </w:tc>
        <w:tc>
          <w:tcPr>
            <w:tcW w:w="1985" w:type="dxa"/>
            <w:tcBorders>
              <w:top w:val="nil"/>
              <w:left w:val="nil"/>
              <w:bottom w:val="nil"/>
              <w:right w:val="nil"/>
            </w:tcBorders>
            <w:noWrap/>
            <w:vAlign w:val="bottom"/>
          </w:tcPr>
          <w:p>
            <w:pPr>
              <w:pStyle w:val="yTableNAm"/>
              <w:ind w:right="600"/>
              <w:jc w:val="right"/>
            </w:pPr>
            <w:r>
              <w:rPr>
                <w:szCs w:val="22"/>
              </w:rPr>
              <w:t>9.172</w:t>
            </w:r>
          </w:p>
        </w:tc>
        <w:tc>
          <w:tcPr>
            <w:tcW w:w="1985" w:type="dxa"/>
            <w:tcBorders>
              <w:top w:val="nil"/>
              <w:left w:val="nil"/>
              <w:bottom w:val="nil"/>
              <w:right w:val="nil"/>
            </w:tcBorders>
            <w:noWrap/>
            <w:vAlign w:val="bottom"/>
          </w:tcPr>
          <w:p>
            <w:pPr>
              <w:pStyle w:val="yTableNAm"/>
              <w:ind w:right="600"/>
              <w:jc w:val="right"/>
            </w:pPr>
            <w:r>
              <w:rPr>
                <w:szCs w:val="22"/>
              </w:rPr>
              <w:t>20.798</w:t>
            </w:r>
          </w:p>
        </w:tc>
      </w:tr>
      <w:tr>
        <w:trPr>
          <w:cantSplit/>
        </w:trPr>
        <w:tc>
          <w:tcPr>
            <w:tcW w:w="2159" w:type="dxa"/>
            <w:tcBorders>
              <w:top w:val="nil"/>
              <w:left w:val="nil"/>
              <w:bottom w:val="nil"/>
              <w:right w:val="nil"/>
            </w:tcBorders>
            <w:noWrap/>
          </w:tcPr>
          <w:p>
            <w:pPr>
              <w:pStyle w:val="yTableNAm"/>
            </w:pPr>
            <w:r>
              <w:t>Brunswick</w:t>
            </w:r>
          </w:p>
        </w:tc>
        <w:tc>
          <w:tcPr>
            <w:tcW w:w="1985" w:type="dxa"/>
            <w:tcBorders>
              <w:top w:val="nil"/>
              <w:left w:val="nil"/>
              <w:bottom w:val="nil"/>
              <w:right w:val="nil"/>
            </w:tcBorders>
            <w:noWrap/>
            <w:vAlign w:val="bottom"/>
          </w:tcPr>
          <w:p>
            <w:pPr>
              <w:pStyle w:val="yTableNAm"/>
              <w:ind w:right="600"/>
              <w:jc w:val="right"/>
            </w:pPr>
            <w:r>
              <w:rPr>
                <w:szCs w:val="22"/>
              </w:rPr>
              <w:t>11.875</w:t>
            </w:r>
          </w:p>
        </w:tc>
        <w:tc>
          <w:tcPr>
            <w:tcW w:w="1985" w:type="dxa"/>
            <w:tcBorders>
              <w:top w:val="nil"/>
              <w:left w:val="nil"/>
              <w:bottom w:val="nil"/>
              <w:right w:val="nil"/>
            </w:tcBorders>
            <w:noWrap/>
            <w:vAlign w:val="bottom"/>
          </w:tcPr>
          <w:p>
            <w:pPr>
              <w:pStyle w:val="yTableNAm"/>
              <w:ind w:right="600"/>
              <w:jc w:val="right"/>
            </w:pPr>
            <w:r>
              <w:rPr>
                <w:szCs w:val="22"/>
              </w:rPr>
              <w:t>27.181</w:t>
            </w:r>
          </w:p>
        </w:tc>
      </w:tr>
      <w:tr>
        <w:trPr>
          <w:cantSplit/>
        </w:trPr>
        <w:tc>
          <w:tcPr>
            <w:tcW w:w="2159" w:type="dxa"/>
            <w:tcBorders>
              <w:top w:val="nil"/>
              <w:left w:val="nil"/>
              <w:bottom w:val="nil"/>
              <w:right w:val="nil"/>
            </w:tcBorders>
            <w:noWrap/>
          </w:tcPr>
          <w:p>
            <w:pPr>
              <w:pStyle w:val="yTableNAm"/>
            </w:pPr>
            <w:r>
              <w:t>Bruce Rock</w:t>
            </w:r>
          </w:p>
        </w:tc>
        <w:tc>
          <w:tcPr>
            <w:tcW w:w="1985" w:type="dxa"/>
            <w:tcBorders>
              <w:top w:val="nil"/>
              <w:left w:val="nil"/>
              <w:bottom w:val="nil"/>
              <w:right w:val="nil"/>
            </w:tcBorders>
            <w:noWrap/>
            <w:vAlign w:val="bottom"/>
          </w:tcPr>
          <w:p>
            <w:pPr>
              <w:pStyle w:val="yTableNAm"/>
              <w:ind w:right="600"/>
              <w:jc w:val="right"/>
            </w:pPr>
            <w:r>
              <w:rPr>
                <w:szCs w:val="22"/>
              </w:rPr>
              <w:t>67.700</w:t>
            </w:r>
          </w:p>
        </w:tc>
        <w:tc>
          <w:tcPr>
            <w:tcW w:w="1985" w:type="dxa"/>
            <w:tcBorders>
              <w:top w:val="nil"/>
              <w:left w:val="nil"/>
              <w:bottom w:val="nil"/>
              <w:right w:val="nil"/>
            </w:tcBorders>
            <w:noWrap/>
            <w:vAlign w:val="bottom"/>
          </w:tcPr>
          <w:p>
            <w:pPr>
              <w:pStyle w:val="yTableNAm"/>
              <w:ind w:right="600"/>
              <w:jc w:val="right"/>
            </w:pPr>
            <w:r>
              <w:rPr>
                <w:szCs w:val="22"/>
              </w:rPr>
              <w:t>448.389</w:t>
            </w:r>
          </w:p>
        </w:tc>
      </w:tr>
      <w:tr>
        <w:trPr>
          <w:cantSplit/>
        </w:trPr>
        <w:tc>
          <w:tcPr>
            <w:tcW w:w="2159" w:type="dxa"/>
            <w:tcBorders>
              <w:top w:val="nil"/>
              <w:left w:val="nil"/>
              <w:bottom w:val="nil"/>
              <w:right w:val="nil"/>
            </w:tcBorders>
            <w:noWrap/>
          </w:tcPr>
          <w:p>
            <w:pPr>
              <w:pStyle w:val="yTableNAm"/>
            </w:pPr>
            <w:r>
              <w:t>Bunbury</w:t>
            </w:r>
          </w:p>
        </w:tc>
        <w:tc>
          <w:tcPr>
            <w:tcW w:w="1985" w:type="dxa"/>
            <w:tcBorders>
              <w:top w:val="nil"/>
              <w:left w:val="nil"/>
              <w:bottom w:val="nil"/>
              <w:right w:val="nil"/>
            </w:tcBorders>
            <w:noWrap/>
            <w:vAlign w:val="bottom"/>
          </w:tcPr>
          <w:p>
            <w:pPr>
              <w:pStyle w:val="yTableNAm"/>
              <w:ind w:right="600"/>
              <w:jc w:val="right"/>
            </w:pPr>
            <w:r>
              <w:rPr>
                <w:szCs w:val="22"/>
              </w:rPr>
              <w:t>10.531</w:t>
            </w:r>
          </w:p>
        </w:tc>
        <w:tc>
          <w:tcPr>
            <w:tcW w:w="1985" w:type="dxa"/>
            <w:tcBorders>
              <w:top w:val="nil"/>
              <w:left w:val="nil"/>
              <w:bottom w:val="nil"/>
              <w:right w:val="nil"/>
            </w:tcBorders>
            <w:noWrap/>
            <w:vAlign w:val="bottom"/>
          </w:tcPr>
          <w:p>
            <w:pPr>
              <w:pStyle w:val="yTableNAm"/>
              <w:ind w:right="600"/>
              <w:jc w:val="right"/>
            </w:pPr>
            <w:r>
              <w:rPr>
                <w:szCs w:val="22"/>
              </w:rPr>
              <w:t>14.003</w:t>
            </w:r>
          </w:p>
        </w:tc>
      </w:tr>
      <w:tr>
        <w:trPr>
          <w:cantSplit/>
        </w:trPr>
        <w:tc>
          <w:tcPr>
            <w:tcW w:w="2159" w:type="dxa"/>
            <w:tcBorders>
              <w:top w:val="nil"/>
              <w:left w:val="nil"/>
              <w:bottom w:val="nil"/>
              <w:right w:val="nil"/>
            </w:tcBorders>
            <w:noWrap/>
          </w:tcPr>
          <w:p>
            <w:pPr>
              <w:pStyle w:val="yTableNAm"/>
            </w:pPr>
            <w:r>
              <w:t>Burekup</w:t>
            </w:r>
          </w:p>
        </w:tc>
        <w:tc>
          <w:tcPr>
            <w:tcW w:w="1985" w:type="dxa"/>
            <w:tcBorders>
              <w:top w:val="nil"/>
              <w:left w:val="nil"/>
              <w:bottom w:val="nil"/>
              <w:right w:val="nil"/>
            </w:tcBorders>
            <w:noWrap/>
            <w:vAlign w:val="bottom"/>
          </w:tcPr>
          <w:p>
            <w:pPr>
              <w:pStyle w:val="yTableNAm"/>
              <w:ind w:right="600"/>
              <w:jc w:val="right"/>
            </w:pPr>
            <w:r>
              <w:rPr>
                <w:szCs w:val="22"/>
              </w:rPr>
              <w:t>9.125</w:t>
            </w:r>
          </w:p>
        </w:tc>
        <w:tc>
          <w:tcPr>
            <w:tcW w:w="1985" w:type="dxa"/>
            <w:tcBorders>
              <w:top w:val="nil"/>
              <w:left w:val="nil"/>
              <w:bottom w:val="nil"/>
              <w:right w:val="nil"/>
            </w:tcBorders>
            <w:noWrap/>
            <w:vAlign w:val="bottom"/>
          </w:tcPr>
          <w:p>
            <w:pPr>
              <w:pStyle w:val="yTableNAm"/>
              <w:ind w:right="600"/>
              <w:jc w:val="right"/>
            </w:pPr>
            <w:r>
              <w:rPr>
                <w:szCs w:val="22"/>
              </w:rPr>
              <w:t>8.774</w:t>
            </w:r>
          </w:p>
        </w:tc>
      </w:tr>
      <w:tr>
        <w:trPr>
          <w:cantSplit/>
        </w:trPr>
        <w:tc>
          <w:tcPr>
            <w:tcW w:w="2159" w:type="dxa"/>
            <w:tcBorders>
              <w:top w:val="nil"/>
              <w:left w:val="nil"/>
              <w:bottom w:val="nil"/>
              <w:right w:val="nil"/>
            </w:tcBorders>
            <w:noWrap/>
          </w:tcPr>
          <w:p>
            <w:pPr>
              <w:pStyle w:val="yTableNAm"/>
            </w:pPr>
            <w:r>
              <w:t>Busselton</w:t>
            </w:r>
          </w:p>
        </w:tc>
        <w:tc>
          <w:tcPr>
            <w:tcW w:w="1985" w:type="dxa"/>
            <w:tcBorders>
              <w:top w:val="nil"/>
              <w:left w:val="nil"/>
              <w:bottom w:val="nil"/>
              <w:right w:val="nil"/>
            </w:tcBorders>
            <w:noWrap/>
            <w:vAlign w:val="bottom"/>
          </w:tcPr>
          <w:p>
            <w:pPr>
              <w:pStyle w:val="yTableNAm"/>
              <w:ind w:right="600"/>
              <w:jc w:val="right"/>
            </w:pPr>
            <w:r>
              <w:rPr>
                <w:szCs w:val="22"/>
              </w:rPr>
              <w:t>5.532</w:t>
            </w:r>
          </w:p>
        </w:tc>
        <w:tc>
          <w:tcPr>
            <w:tcW w:w="1985" w:type="dxa"/>
            <w:tcBorders>
              <w:top w:val="nil"/>
              <w:left w:val="nil"/>
              <w:bottom w:val="nil"/>
              <w:right w:val="nil"/>
            </w:tcBorders>
            <w:noWrap/>
            <w:vAlign w:val="bottom"/>
          </w:tcPr>
          <w:p>
            <w:pPr>
              <w:pStyle w:val="yTableNAm"/>
              <w:ind w:right="600"/>
              <w:jc w:val="right"/>
            </w:pPr>
            <w:r>
              <w:rPr>
                <w:szCs w:val="22"/>
              </w:rPr>
              <w:t>5.160</w:t>
            </w:r>
          </w:p>
        </w:tc>
      </w:tr>
      <w:tr>
        <w:trPr>
          <w:cantSplit/>
        </w:trPr>
        <w:tc>
          <w:tcPr>
            <w:tcW w:w="2159" w:type="dxa"/>
            <w:tcBorders>
              <w:top w:val="nil"/>
              <w:left w:val="nil"/>
              <w:bottom w:val="nil"/>
              <w:right w:val="nil"/>
            </w:tcBorders>
            <w:noWrap/>
          </w:tcPr>
          <w:p>
            <w:pPr>
              <w:pStyle w:val="yTableNAm"/>
            </w:pPr>
            <w:r>
              <w:t>Capel</w:t>
            </w:r>
          </w:p>
        </w:tc>
        <w:tc>
          <w:tcPr>
            <w:tcW w:w="1985" w:type="dxa"/>
            <w:tcBorders>
              <w:top w:val="nil"/>
              <w:left w:val="nil"/>
              <w:bottom w:val="nil"/>
              <w:right w:val="nil"/>
            </w:tcBorders>
            <w:noWrap/>
            <w:vAlign w:val="bottom"/>
          </w:tcPr>
          <w:p>
            <w:pPr>
              <w:pStyle w:val="yTableNAm"/>
              <w:ind w:right="600"/>
              <w:jc w:val="right"/>
            </w:pPr>
            <w:r>
              <w:rPr>
                <w:szCs w:val="22"/>
              </w:rPr>
              <w:t>7.164</w:t>
            </w:r>
          </w:p>
        </w:tc>
        <w:tc>
          <w:tcPr>
            <w:tcW w:w="1985" w:type="dxa"/>
            <w:tcBorders>
              <w:top w:val="nil"/>
              <w:left w:val="nil"/>
              <w:bottom w:val="nil"/>
              <w:right w:val="nil"/>
            </w:tcBorders>
            <w:noWrap/>
            <w:vAlign w:val="bottom"/>
          </w:tcPr>
          <w:p>
            <w:pPr>
              <w:pStyle w:val="yTableNAm"/>
              <w:ind w:right="600"/>
              <w:jc w:val="right"/>
            </w:pPr>
            <w:r>
              <w:rPr>
                <w:szCs w:val="22"/>
              </w:rPr>
              <w:t>12.055</w:t>
            </w:r>
          </w:p>
        </w:tc>
      </w:tr>
      <w:tr>
        <w:trPr>
          <w:cantSplit/>
        </w:trPr>
        <w:tc>
          <w:tcPr>
            <w:tcW w:w="2159" w:type="dxa"/>
            <w:tcBorders>
              <w:top w:val="nil"/>
              <w:left w:val="nil"/>
              <w:bottom w:val="nil"/>
              <w:right w:val="nil"/>
            </w:tcBorders>
            <w:noWrap/>
          </w:tcPr>
          <w:p>
            <w:pPr>
              <w:pStyle w:val="yTableNAm"/>
            </w:pPr>
            <w:r>
              <w:lastRenderedPageBreak/>
              <w:t>Carnarvon</w:t>
            </w:r>
          </w:p>
        </w:tc>
        <w:tc>
          <w:tcPr>
            <w:tcW w:w="1985" w:type="dxa"/>
            <w:tcBorders>
              <w:top w:val="nil"/>
              <w:left w:val="nil"/>
              <w:bottom w:val="nil"/>
              <w:right w:val="nil"/>
            </w:tcBorders>
            <w:noWrap/>
            <w:vAlign w:val="bottom"/>
          </w:tcPr>
          <w:p>
            <w:pPr>
              <w:pStyle w:val="yTableNAm"/>
              <w:ind w:right="600"/>
              <w:jc w:val="right"/>
            </w:pPr>
            <w:r>
              <w:rPr>
                <w:szCs w:val="22"/>
              </w:rPr>
              <w:t>10.388</w:t>
            </w:r>
          </w:p>
        </w:tc>
        <w:tc>
          <w:tcPr>
            <w:tcW w:w="1985" w:type="dxa"/>
            <w:tcBorders>
              <w:top w:val="nil"/>
              <w:left w:val="nil"/>
              <w:bottom w:val="nil"/>
              <w:right w:val="nil"/>
            </w:tcBorders>
            <w:noWrap/>
            <w:vAlign w:val="bottom"/>
          </w:tcPr>
          <w:p>
            <w:pPr>
              <w:pStyle w:val="yTableNAm"/>
              <w:ind w:right="600"/>
              <w:jc w:val="right"/>
            </w:pPr>
            <w:r>
              <w:rPr>
                <w:szCs w:val="22"/>
              </w:rPr>
              <w:t>24.933</w:t>
            </w:r>
          </w:p>
        </w:tc>
      </w:tr>
      <w:tr>
        <w:trPr>
          <w:cantSplit/>
        </w:trPr>
        <w:tc>
          <w:tcPr>
            <w:tcW w:w="2159" w:type="dxa"/>
            <w:tcBorders>
              <w:top w:val="nil"/>
              <w:left w:val="nil"/>
              <w:bottom w:val="nil"/>
              <w:right w:val="nil"/>
            </w:tcBorders>
            <w:noWrap/>
          </w:tcPr>
          <w:p>
            <w:pPr>
              <w:pStyle w:val="yTableNAm"/>
            </w:pPr>
            <w:r>
              <w:t>Cervantes</w:t>
            </w:r>
          </w:p>
        </w:tc>
        <w:tc>
          <w:tcPr>
            <w:tcW w:w="1985" w:type="dxa"/>
            <w:tcBorders>
              <w:top w:val="nil"/>
              <w:left w:val="nil"/>
              <w:bottom w:val="nil"/>
              <w:right w:val="nil"/>
            </w:tcBorders>
            <w:noWrap/>
            <w:vAlign w:val="bottom"/>
          </w:tcPr>
          <w:p>
            <w:pPr>
              <w:pStyle w:val="yTableNAm"/>
              <w:ind w:right="600"/>
              <w:jc w:val="right"/>
            </w:pPr>
            <w:r>
              <w:rPr>
                <w:szCs w:val="22"/>
              </w:rPr>
              <w:t>9.839</w:t>
            </w:r>
          </w:p>
        </w:tc>
        <w:tc>
          <w:tcPr>
            <w:tcW w:w="1985" w:type="dxa"/>
            <w:tcBorders>
              <w:top w:val="nil"/>
              <w:left w:val="nil"/>
              <w:bottom w:val="nil"/>
              <w:right w:val="nil"/>
            </w:tcBorders>
            <w:noWrap/>
            <w:vAlign w:val="bottom"/>
          </w:tcPr>
          <w:p>
            <w:pPr>
              <w:pStyle w:val="yTableNAm"/>
              <w:ind w:right="600"/>
              <w:jc w:val="right"/>
            </w:pPr>
            <w:r>
              <w:rPr>
                <w:szCs w:val="22"/>
              </w:rPr>
              <w:t>17.490</w:t>
            </w:r>
          </w:p>
        </w:tc>
      </w:tr>
      <w:tr>
        <w:trPr>
          <w:cantSplit/>
        </w:trPr>
        <w:tc>
          <w:tcPr>
            <w:tcW w:w="2159" w:type="dxa"/>
            <w:tcBorders>
              <w:top w:val="nil"/>
              <w:left w:val="nil"/>
              <w:bottom w:val="nil"/>
              <w:right w:val="nil"/>
            </w:tcBorders>
            <w:noWrap/>
          </w:tcPr>
          <w:p>
            <w:pPr>
              <w:pStyle w:val="yTableNAm"/>
            </w:pPr>
            <w:r>
              <w:t>Collie</w:t>
            </w:r>
          </w:p>
        </w:tc>
        <w:tc>
          <w:tcPr>
            <w:tcW w:w="1985" w:type="dxa"/>
            <w:tcBorders>
              <w:top w:val="nil"/>
              <w:left w:val="nil"/>
              <w:bottom w:val="nil"/>
              <w:right w:val="nil"/>
            </w:tcBorders>
            <w:noWrap/>
            <w:vAlign w:val="bottom"/>
          </w:tcPr>
          <w:p>
            <w:pPr>
              <w:pStyle w:val="yTableNAm"/>
              <w:ind w:right="600"/>
              <w:jc w:val="right"/>
            </w:pPr>
            <w:r>
              <w:rPr>
                <w:szCs w:val="22"/>
              </w:rPr>
              <w:t>13.881</w:t>
            </w:r>
          </w:p>
        </w:tc>
        <w:tc>
          <w:tcPr>
            <w:tcW w:w="1985" w:type="dxa"/>
            <w:tcBorders>
              <w:top w:val="nil"/>
              <w:left w:val="nil"/>
              <w:bottom w:val="nil"/>
              <w:right w:val="nil"/>
            </w:tcBorders>
            <w:noWrap/>
            <w:vAlign w:val="bottom"/>
          </w:tcPr>
          <w:p>
            <w:pPr>
              <w:pStyle w:val="yTableNAm"/>
              <w:ind w:right="600"/>
              <w:jc w:val="right"/>
            </w:pPr>
            <w:r>
              <w:rPr>
                <w:szCs w:val="22"/>
              </w:rPr>
              <w:t>43.622</w:t>
            </w:r>
          </w:p>
        </w:tc>
      </w:tr>
      <w:tr>
        <w:trPr>
          <w:cantSplit/>
        </w:trPr>
        <w:tc>
          <w:tcPr>
            <w:tcW w:w="2159" w:type="dxa"/>
            <w:tcBorders>
              <w:top w:val="nil"/>
              <w:left w:val="nil"/>
              <w:bottom w:val="nil"/>
              <w:right w:val="nil"/>
            </w:tcBorders>
            <w:noWrap/>
          </w:tcPr>
          <w:p>
            <w:pPr>
              <w:pStyle w:val="yTableNAm"/>
            </w:pPr>
            <w:r>
              <w:t>Coral Bay</w:t>
            </w:r>
          </w:p>
        </w:tc>
        <w:tc>
          <w:tcPr>
            <w:tcW w:w="1985" w:type="dxa"/>
            <w:tcBorders>
              <w:top w:val="nil"/>
              <w:left w:val="nil"/>
              <w:bottom w:val="nil"/>
              <w:right w:val="nil"/>
            </w:tcBorders>
            <w:noWrap/>
            <w:vAlign w:val="bottom"/>
          </w:tcPr>
          <w:p>
            <w:pPr>
              <w:pStyle w:val="yTableNAm"/>
              <w:ind w:right="600"/>
              <w:jc w:val="right"/>
            </w:pPr>
            <w:r>
              <w:rPr>
                <w:szCs w:val="22"/>
              </w:rPr>
              <w:t>228.052</w:t>
            </w:r>
          </w:p>
        </w:tc>
        <w:tc>
          <w:tcPr>
            <w:tcW w:w="1985" w:type="dxa"/>
            <w:tcBorders>
              <w:top w:val="nil"/>
              <w:left w:val="nil"/>
              <w:bottom w:val="nil"/>
              <w:right w:val="nil"/>
            </w:tcBorders>
            <w:noWrap/>
            <w:vAlign w:val="bottom"/>
          </w:tcPr>
          <w:p>
            <w:pPr>
              <w:pStyle w:val="yTableNAm"/>
              <w:ind w:right="600"/>
              <w:jc w:val="right"/>
            </w:pPr>
            <w:r>
              <w:rPr>
                <w:szCs w:val="22"/>
              </w:rPr>
              <w:t>1 145.013</w:t>
            </w:r>
          </w:p>
        </w:tc>
      </w:tr>
      <w:tr>
        <w:trPr>
          <w:cantSplit/>
        </w:trPr>
        <w:tc>
          <w:tcPr>
            <w:tcW w:w="2159" w:type="dxa"/>
            <w:tcBorders>
              <w:top w:val="nil"/>
              <w:left w:val="nil"/>
              <w:bottom w:val="nil"/>
              <w:right w:val="nil"/>
            </w:tcBorders>
            <w:noWrap/>
          </w:tcPr>
          <w:p>
            <w:pPr>
              <w:pStyle w:val="yTableNAm"/>
            </w:pPr>
            <w:r>
              <w:t>Corrigin</w:t>
            </w:r>
          </w:p>
        </w:tc>
        <w:tc>
          <w:tcPr>
            <w:tcW w:w="1985" w:type="dxa"/>
            <w:tcBorders>
              <w:top w:val="nil"/>
              <w:left w:val="nil"/>
              <w:bottom w:val="nil"/>
              <w:right w:val="nil"/>
            </w:tcBorders>
            <w:noWrap/>
            <w:vAlign w:val="bottom"/>
          </w:tcPr>
          <w:p>
            <w:pPr>
              <w:pStyle w:val="yTableNAm"/>
              <w:ind w:right="600"/>
              <w:jc w:val="right"/>
            </w:pPr>
            <w:r>
              <w:rPr>
                <w:szCs w:val="22"/>
              </w:rPr>
              <w:t>26.950</w:t>
            </w:r>
          </w:p>
        </w:tc>
        <w:tc>
          <w:tcPr>
            <w:tcW w:w="1985" w:type="dxa"/>
            <w:tcBorders>
              <w:top w:val="nil"/>
              <w:left w:val="nil"/>
              <w:bottom w:val="nil"/>
              <w:right w:val="nil"/>
            </w:tcBorders>
            <w:noWrap/>
            <w:vAlign w:val="bottom"/>
          </w:tcPr>
          <w:p>
            <w:pPr>
              <w:pStyle w:val="yTableNAm"/>
              <w:ind w:right="600"/>
              <w:jc w:val="right"/>
            </w:pPr>
            <w:r>
              <w:rPr>
                <w:szCs w:val="22"/>
              </w:rPr>
              <w:t>181.208</w:t>
            </w:r>
          </w:p>
        </w:tc>
      </w:tr>
      <w:tr>
        <w:trPr>
          <w:cantSplit/>
        </w:trPr>
        <w:tc>
          <w:tcPr>
            <w:tcW w:w="2159" w:type="dxa"/>
            <w:tcBorders>
              <w:top w:val="nil"/>
              <w:left w:val="nil"/>
              <w:bottom w:val="nil"/>
              <w:right w:val="nil"/>
            </w:tcBorders>
            <w:noWrap/>
          </w:tcPr>
          <w:p>
            <w:pPr>
              <w:pStyle w:val="yTableNAm"/>
            </w:pPr>
            <w:r>
              <w:t>Cowaramup</w:t>
            </w:r>
          </w:p>
        </w:tc>
        <w:tc>
          <w:tcPr>
            <w:tcW w:w="1985" w:type="dxa"/>
            <w:tcBorders>
              <w:top w:val="nil"/>
              <w:left w:val="nil"/>
              <w:bottom w:val="nil"/>
              <w:right w:val="nil"/>
            </w:tcBorders>
            <w:noWrap/>
            <w:vAlign w:val="bottom"/>
          </w:tcPr>
          <w:p>
            <w:pPr>
              <w:pStyle w:val="yTableNAm"/>
              <w:ind w:right="600"/>
              <w:jc w:val="right"/>
            </w:pPr>
            <w:r>
              <w:rPr>
                <w:szCs w:val="22"/>
              </w:rPr>
              <w:t>4.559</w:t>
            </w:r>
          </w:p>
        </w:tc>
        <w:tc>
          <w:tcPr>
            <w:tcW w:w="1985" w:type="dxa"/>
            <w:tcBorders>
              <w:top w:val="nil"/>
              <w:left w:val="nil"/>
              <w:bottom w:val="nil"/>
              <w:right w:val="nil"/>
            </w:tcBorders>
            <w:noWrap/>
            <w:vAlign w:val="bottom"/>
          </w:tcPr>
          <w:p>
            <w:pPr>
              <w:pStyle w:val="yTableNAm"/>
              <w:ind w:right="600"/>
              <w:jc w:val="right"/>
            </w:pPr>
            <w:r>
              <w:rPr>
                <w:szCs w:val="22"/>
              </w:rPr>
              <w:t>3.863</w:t>
            </w:r>
          </w:p>
        </w:tc>
      </w:tr>
      <w:tr>
        <w:trPr>
          <w:cantSplit/>
        </w:trPr>
        <w:tc>
          <w:tcPr>
            <w:tcW w:w="2159" w:type="dxa"/>
            <w:tcBorders>
              <w:top w:val="nil"/>
              <w:left w:val="nil"/>
              <w:bottom w:val="nil"/>
              <w:right w:val="nil"/>
            </w:tcBorders>
            <w:noWrap/>
          </w:tcPr>
          <w:p>
            <w:pPr>
              <w:pStyle w:val="yTableNAm"/>
            </w:pPr>
            <w:r>
              <w:t>Cranbrook</w:t>
            </w:r>
          </w:p>
        </w:tc>
        <w:tc>
          <w:tcPr>
            <w:tcW w:w="1985" w:type="dxa"/>
            <w:tcBorders>
              <w:top w:val="nil"/>
              <w:left w:val="nil"/>
              <w:bottom w:val="nil"/>
              <w:right w:val="nil"/>
            </w:tcBorders>
            <w:noWrap/>
            <w:vAlign w:val="bottom"/>
          </w:tcPr>
          <w:p>
            <w:pPr>
              <w:pStyle w:val="yTableNAm"/>
              <w:ind w:right="600"/>
              <w:jc w:val="right"/>
            </w:pPr>
            <w:r>
              <w:rPr>
                <w:szCs w:val="22"/>
              </w:rPr>
              <w:t>13.739</w:t>
            </w:r>
          </w:p>
        </w:tc>
        <w:tc>
          <w:tcPr>
            <w:tcW w:w="1985" w:type="dxa"/>
            <w:tcBorders>
              <w:top w:val="nil"/>
              <w:left w:val="nil"/>
              <w:bottom w:val="nil"/>
              <w:right w:val="nil"/>
            </w:tcBorders>
            <w:noWrap/>
            <w:vAlign w:val="bottom"/>
          </w:tcPr>
          <w:p>
            <w:pPr>
              <w:pStyle w:val="yTableNAm"/>
              <w:ind w:right="600"/>
              <w:jc w:val="right"/>
            </w:pPr>
            <w:r>
              <w:rPr>
                <w:szCs w:val="22"/>
              </w:rPr>
              <w:t>87.051</w:t>
            </w:r>
          </w:p>
        </w:tc>
      </w:tr>
      <w:tr>
        <w:trPr>
          <w:cantSplit/>
        </w:trPr>
        <w:tc>
          <w:tcPr>
            <w:tcW w:w="2159" w:type="dxa"/>
            <w:tcBorders>
              <w:top w:val="nil"/>
              <w:left w:val="nil"/>
              <w:bottom w:val="nil"/>
              <w:right w:val="nil"/>
            </w:tcBorders>
            <w:noWrap/>
          </w:tcPr>
          <w:p>
            <w:pPr>
              <w:pStyle w:val="yTableNAm"/>
            </w:pPr>
            <w:r>
              <w:t>Cunderdin</w:t>
            </w:r>
          </w:p>
        </w:tc>
        <w:tc>
          <w:tcPr>
            <w:tcW w:w="1985" w:type="dxa"/>
            <w:tcBorders>
              <w:top w:val="nil"/>
              <w:left w:val="nil"/>
              <w:bottom w:val="nil"/>
              <w:right w:val="nil"/>
            </w:tcBorders>
            <w:noWrap/>
            <w:vAlign w:val="bottom"/>
          </w:tcPr>
          <w:p>
            <w:pPr>
              <w:pStyle w:val="yTableNAm"/>
              <w:ind w:right="600"/>
              <w:jc w:val="right"/>
            </w:pPr>
            <w:r>
              <w:rPr>
                <w:szCs w:val="22"/>
              </w:rPr>
              <w:t>25.155</w:t>
            </w:r>
          </w:p>
        </w:tc>
        <w:tc>
          <w:tcPr>
            <w:tcW w:w="1985" w:type="dxa"/>
            <w:tcBorders>
              <w:top w:val="nil"/>
              <w:left w:val="nil"/>
              <w:bottom w:val="nil"/>
              <w:right w:val="nil"/>
            </w:tcBorders>
            <w:noWrap/>
            <w:vAlign w:val="bottom"/>
          </w:tcPr>
          <w:p>
            <w:pPr>
              <w:pStyle w:val="yTableNAm"/>
              <w:ind w:right="600"/>
              <w:jc w:val="right"/>
            </w:pPr>
            <w:r>
              <w:rPr>
                <w:szCs w:val="22"/>
              </w:rPr>
              <w:t>87.003</w:t>
            </w:r>
          </w:p>
        </w:tc>
      </w:tr>
      <w:tr>
        <w:trPr>
          <w:cantSplit/>
        </w:trPr>
        <w:tc>
          <w:tcPr>
            <w:tcW w:w="2159" w:type="dxa"/>
            <w:tcBorders>
              <w:top w:val="nil"/>
              <w:left w:val="nil"/>
              <w:bottom w:val="nil"/>
              <w:right w:val="nil"/>
            </w:tcBorders>
            <w:noWrap/>
          </w:tcPr>
          <w:p>
            <w:pPr>
              <w:pStyle w:val="yTableNAm"/>
            </w:pPr>
            <w:r>
              <w:t>Dalyellup</w:t>
            </w:r>
          </w:p>
        </w:tc>
        <w:tc>
          <w:tcPr>
            <w:tcW w:w="1985" w:type="dxa"/>
            <w:tcBorders>
              <w:top w:val="nil"/>
              <w:left w:val="nil"/>
              <w:bottom w:val="nil"/>
              <w:right w:val="nil"/>
            </w:tcBorders>
            <w:noWrap/>
            <w:vAlign w:val="bottom"/>
          </w:tcPr>
          <w:p>
            <w:pPr>
              <w:pStyle w:val="yTableNAm"/>
              <w:ind w:right="600"/>
              <w:jc w:val="right"/>
            </w:pPr>
            <w:r>
              <w:rPr>
                <w:szCs w:val="22"/>
              </w:rPr>
              <w:t>3.314</w:t>
            </w:r>
          </w:p>
        </w:tc>
        <w:tc>
          <w:tcPr>
            <w:tcW w:w="1985" w:type="dxa"/>
            <w:tcBorders>
              <w:top w:val="nil"/>
              <w:left w:val="nil"/>
              <w:bottom w:val="nil"/>
              <w:right w:val="nil"/>
            </w:tcBorders>
            <w:noWrap/>
            <w:vAlign w:val="bottom"/>
          </w:tcPr>
          <w:p>
            <w:pPr>
              <w:pStyle w:val="yTableNAm"/>
              <w:ind w:right="600"/>
              <w:jc w:val="right"/>
            </w:pPr>
            <w:r>
              <w:rPr>
                <w:szCs w:val="22"/>
              </w:rPr>
              <w:t>6.917</w:t>
            </w:r>
          </w:p>
        </w:tc>
      </w:tr>
      <w:tr>
        <w:trPr>
          <w:cantSplit/>
        </w:trPr>
        <w:tc>
          <w:tcPr>
            <w:tcW w:w="2159" w:type="dxa"/>
            <w:tcBorders>
              <w:top w:val="nil"/>
              <w:left w:val="nil"/>
              <w:bottom w:val="nil"/>
              <w:right w:val="nil"/>
            </w:tcBorders>
            <w:noWrap/>
          </w:tcPr>
          <w:p>
            <w:pPr>
              <w:pStyle w:val="yTableNAm"/>
            </w:pPr>
            <w:r>
              <w:t>Dardanup</w:t>
            </w:r>
          </w:p>
        </w:tc>
        <w:tc>
          <w:tcPr>
            <w:tcW w:w="1985" w:type="dxa"/>
            <w:tcBorders>
              <w:top w:val="nil"/>
              <w:left w:val="nil"/>
              <w:bottom w:val="nil"/>
              <w:right w:val="nil"/>
            </w:tcBorders>
            <w:noWrap/>
            <w:vAlign w:val="bottom"/>
          </w:tcPr>
          <w:p>
            <w:pPr>
              <w:pStyle w:val="yTableNAm"/>
              <w:ind w:right="600"/>
              <w:jc w:val="right"/>
            </w:pPr>
            <w:r>
              <w:rPr>
                <w:szCs w:val="22"/>
              </w:rPr>
              <w:t>21.193</w:t>
            </w:r>
          </w:p>
        </w:tc>
        <w:tc>
          <w:tcPr>
            <w:tcW w:w="1985" w:type="dxa"/>
            <w:tcBorders>
              <w:top w:val="nil"/>
              <w:left w:val="nil"/>
              <w:bottom w:val="nil"/>
              <w:right w:val="nil"/>
            </w:tcBorders>
            <w:noWrap/>
            <w:vAlign w:val="bottom"/>
          </w:tcPr>
          <w:p>
            <w:pPr>
              <w:pStyle w:val="yTableNAm"/>
              <w:ind w:right="600"/>
              <w:jc w:val="right"/>
            </w:pPr>
            <w:r>
              <w:rPr>
                <w:szCs w:val="22"/>
              </w:rPr>
              <w:t>66.533</w:t>
            </w:r>
          </w:p>
        </w:tc>
      </w:tr>
      <w:tr>
        <w:trPr>
          <w:cantSplit/>
        </w:trPr>
        <w:tc>
          <w:tcPr>
            <w:tcW w:w="2159" w:type="dxa"/>
            <w:tcBorders>
              <w:top w:val="nil"/>
              <w:left w:val="nil"/>
              <w:bottom w:val="nil"/>
              <w:right w:val="nil"/>
            </w:tcBorders>
            <w:noWrap/>
          </w:tcPr>
          <w:p>
            <w:pPr>
              <w:pStyle w:val="yTableNAm"/>
            </w:pPr>
            <w:r>
              <w:t>Denham</w:t>
            </w:r>
          </w:p>
        </w:tc>
        <w:tc>
          <w:tcPr>
            <w:tcW w:w="1985" w:type="dxa"/>
            <w:tcBorders>
              <w:top w:val="nil"/>
              <w:left w:val="nil"/>
              <w:bottom w:val="nil"/>
              <w:right w:val="nil"/>
            </w:tcBorders>
            <w:noWrap/>
            <w:vAlign w:val="bottom"/>
          </w:tcPr>
          <w:p>
            <w:pPr>
              <w:pStyle w:val="yTableNAm"/>
              <w:ind w:right="600"/>
              <w:jc w:val="right"/>
            </w:pPr>
            <w:r>
              <w:rPr>
                <w:szCs w:val="22"/>
              </w:rPr>
              <w:t>11.059</w:t>
            </w:r>
          </w:p>
        </w:tc>
        <w:tc>
          <w:tcPr>
            <w:tcW w:w="1985" w:type="dxa"/>
            <w:tcBorders>
              <w:top w:val="nil"/>
              <w:left w:val="nil"/>
              <w:bottom w:val="nil"/>
              <w:right w:val="nil"/>
            </w:tcBorders>
            <w:noWrap/>
            <w:vAlign w:val="bottom"/>
          </w:tcPr>
          <w:p>
            <w:pPr>
              <w:pStyle w:val="yTableNAm"/>
              <w:ind w:right="600"/>
              <w:jc w:val="right"/>
            </w:pPr>
            <w:r>
              <w:rPr>
                <w:szCs w:val="22"/>
              </w:rPr>
              <w:t>21.529</w:t>
            </w:r>
          </w:p>
        </w:tc>
      </w:tr>
      <w:tr>
        <w:trPr>
          <w:cantSplit/>
        </w:trPr>
        <w:tc>
          <w:tcPr>
            <w:tcW w:w="2159" w:type="dxa"/>
            <w:tcBorders>
              <w:top w:val="nil"/>
              <w:left w:val="nil"/>
              <w:bottom w:val="nil"/>
              <w:right w:val="nil"/>
            </w:tcBorders>
            <w:noWrap/>
          </w:tcPr>
          <w:p>
            <w:pPr>
              <w:pStyle w:val="yTableNAm"/>
            </w:pPr>
            <w:r>
              <w:t>Denmark</w:t>
            </w:r>
          </w:p>
        </w:tc>
        <w:tc>
          <w:tcPr>
            <w:tcW w:w="1985" w:type="dxa"/>
            <w:tcBorders>
              <w:top w:val="nil"/>
              <w:left w:val="nil"/>
              <w:bottom w:val="nil"/>
              <w:right w:val="nil"/>
            </w:tcBorders>
            <w:noWrap/>
            <w:vAlign w:val="bottom"/>
          </w:tcPr>
          <w:p>
            <w:pPr>
              <w:pStyle w:val="yTableNAm"/>
              <w:ind w:right="600"/>
              <w:jc w:val="right"/>
            </w:pPr>
            <w:r>
              <w:rPr>
                <w:szCs w:val="22"/>
              </w:rPr>
              <w:t>25.492</w:t>
            </w:r>
          </w:p>
        </w:tc>
        <w:tc>
          <w:tcPr>
            <w:tcW w:w="1985" w:type="dxa"/>
            <w:tcBorders>
              <w:top w:val="nil"/>
              <w:left w:val="nil"/>
              <w:bottom w:val="nil"/>
              <w:right w:val="nil"/>
            </w:tcBorders>
            <w:noWrap/>
            <w:vAlign w:val="bottom"/>
          </w:tcPr>
          <w:p>
            <w:pPr>
              <w:pStyle w:val="yTableNAm"/>
              <w:ind w:right="600"/>
              <w:jc w:val="right"/>
            </w:pPr>
            <w:r>
              <w:rPr>
                <w:szCs w:val="22"/>
              </w:rPr>
              <w:t>66.251</w:t>
            </w:r>
          </w:p>
        </w:tc>
      </w:tr>
      <w:tr>
        <w:trPr>
          <w:cantSplit/>
        </w:trPr>
        <w:tc>
          <w:tcPr>
            <w:tcW w:w="2159" w:type="dxa"/>
            <w:tcBorders>
              <w:top w:val="nil"/>
              <w:left w:val="nil"/>
              <w:bottom w:val="nil"/>
              <w:right w:val="nil"/>
            </w:tcBorders>
            <w:noWrap/>
          </w:tcPr>
          <w:p>
            <w:pPr>
              <w:pStyle w:val="yTableNAm"/>
            </w:pPr>
            <w:r>
              <w:t>Derby</w:t>
            </w:r>
          </w:p>
        </w:tc>
        <w:tc>
          <w:tcPr>
            <w:tcW w:w="1985" w:type="dxa"/>
            <w:tcBorders>
              <w:top w:val="nil"/>
              <w:left w:val="nil"/>
              <w:bottom w:val="nil"/>
              <w:right w:val="nil"/>
            </w:tcBorders>
            <w:noWrap/>
            <w:vAlign w:val="bottom"/>
          </w:tcPr>
          <w:p>
            <w:pPr>
              <w:pStyle w:val="yTableNAm"/>
              <w:ind w:right="600"/>
              <w:jc w:val="right"/>
            </w:pPr>
            <w:r>
              <w:rPr>
                <w:szCs w:val="22"/>
              </w:rPr>
              <w:t>12.445</w:t>
            </w:r>
          </w:p>
        </w:tc>
        <w:tc>
          <w:tcPr>
            <w:tcW w:w="1985" w:type="dxa"/>
            <w:tcBorders>
              <w:top w:val="nil"/>
              <w:left w:val="nil"/>
              <w:bottom w:val="nil"/>
              <w:right w:val="nil"/>
            </w:tcBorders>
            <w:noWrap/>
            <w:vAlign w:val="bottom"/>
          </w:tcPr>
          <w:p>
            <w:pPr>
              <w:pStyle w:val="yTableNAm"/>
              <w:ind w:right="600"/>
              <w:jc w:val="right"/>
            </w:pPr>
            <w:r>
              <w:rPr>
                <w:szCs w:val="22"/>
              </w:rPr>
              <w:t>66.124</w:t>
            </w:r>
          </w:p>
        </w:tc>
      </w:tr>
      <w:tr>
        <w:trPr>
          <w:cantSplit/>
        </w:trPr>
        <w:tc>
          <w:tcPr>
            <w:tcW w:w="2159" w:type="dxa"/>
            <w:tcBorders>
              <w:top w:val="nil"/>
              <w:left w:val="nil"/>
              <w:bottom w:val="nil"/>
              <w:right w:val="nil"/>
            </w:tcBorders>
            <w:noWrap/>
          </w:tcPr>
          <w:p>
            <w:pPr>
              <w:pStyle w:val="yTableNAm"/>
            </w:pPr>
            <w:r>
              <w:t>Dongara/Denison</w:t>
            </w:r>
          </w:p>
        </w:tc>
        <w:tc>
          <w:tcPr>
            <w:tcW w:w="1985" w:type="dxa"/>
            <w:tcBorders>
              <w:top w:val="nil"/>
              <w:left w:val="nil"/>
              <w:bottom w:val="nil"/>
              <w:right w:val="nil"/>
            </w:tcBorders>
            <w:noWrap/>
            <w:vAlign w:val="bottom"/>
          </w:tcPr>
          <w:p>
            <w:pPr>
              <w:pStyle w:val="yTableNAm"/>
              <w:ind w:right="600"/>
              <w:jc w:val="right"/>
            </w:pPr>
            <w:r>
              <w:rPr>
                <w:szCs w:val="22"/>
              </w:rPr>
              <w:t>13.069</w:t>
            </w:r>
          </w:p>
        </w:tc>
        <w:tc>
          <w:tcPr>
            <w:tcW w:w="1985" w:type="dxa"/>
            <w:tcBorders>
              <w:top w:val="nil"/>
              <w:left w:val="nil"/>
              <w:bottom w:val="nil"/>
              <w:right w:val="nil"/>
            </w:tcBorders>
            <w:noWrap/>
            <w:vAlign w:val="bottom"/>
          </w:tcPr>
          <w:p>
            <w:pPr>
              <w:pStyle w:val="yTableNAm"/>
              <w:ind w:right="600"/>
              <w:jc w:val="right"/>
            </w:pPr>
            <w:r>
              <w:rPr>
                <w:szCs w:val="22"/>
              </w:rPr>
              <w:t>34.145</w:t>
            </w:r>
          </w:p>
        </w:tc>
      </w:tr>
      <w:tr>
        <w:trPr>
          <w:cantSplit/>
        </w:trPr>
        <w:tc>
          <w:tcPr>
            <w:tcW w:w="2159" w:type="dxa"/>
            <w:tcBorders>
              <w:top w:val="nil"/>
              <w:left w:val="nil"/>
              <w:bottom w:val="nil"/>
              <w:right w:val="nil"/>
            </w:tcBorders>
            <w:noWrap/>
          </w:tcPr>
          <w:p>
            <w:pPr>
              <w:pStyle w:val="yTableNAm"/>
            </w:pPr>
            <w:r>
              <w:t>Donnybrook</w:t>
            </w:r>
          </w:p>
        </w:tc>
        <w:tc>
          <w:tcPr>
            <w:tcW w:w="1985" w:type="dxa"/>
            <w:tcBorders>
              <w:top w:val="nil"/>
              <w:left w:val="nil"/>
              <w:bottom w:val="nil"/>
              <w:right w:val="nil"/>
            </w:tcBorders>
            <w:noWrap/>
            <w:vAlign w:val="bottom"/>
          </w:tcPr>
          <w:p>
            <w:pPr>
              <w:pStyle w:val="yTableNAm"/>
              <w:ind w:right="600"/>
              <w:jc w:val="right"/>
            </w:pPr>
            <w:r>
              <w:rPr>
                <w:szCs w:val="22"/>
              </w:rPr>
              <w:t>27.767</w:t>
            </w:r>
          </w:p>
        </w:tc>
        <w:tc>
          <w:tcPr>
            <w:tcW w:w="1985" w:type="dxa"/>
            <w:tcBorders>
              <w:top w:val="nil"/>
              <w:left w:val="nil"/>
              <w:bottom w:val="nil"/>
              <w:right w:val="nil"/>
            </w:tcBorders>
            <w:noWrap/>
            <w:vAlign w:val="bottom"/>
          </w:tcPr>
          <w:p>
            <w:pPr>
              <w:pStyle w:val="yTableNAm"/>
              <w:ind w:right="600"/>
              <w:jc w:val="right"/>
            </w:pPr>
            <w:r>
              <w:rPr>
                <w:szCs w:val="22"/>
              </w:rPr>
              <w:t>95.169</w:t>
            </w:r>
          </w:p>
        </w:tc>
      </w:tr>
      <w:tr>
        <w:trPr>
          <w:cantSplit/>
        </w:trPr>
        <w:tc>
          <w:tcPr>
            <w:tcW w:w="2159" w:type="dxa"/>
            <w:tcBorders>
              <w:top w:val="nil"/>
              <w:left w:val="nil"/>
              <w:bottom w:val="nil"/>
              <w:right w:val="nil"/>
            </w:tcBorders>
            <w:noWrap/>
          </w:tcPr>
          <w:p>
            <w:pPr>
              <w:pStyle w:val="yTableNAm"/>
            </w:pPr>
            <w:r>
              <w:t>Dunsborough</w:t>
            </w:r>
          </w:p>
        </w:tc>
        <w:tc>
          <w:tcPr>
            <w:tcW w:w="1985" w:type="dxa"/>
            <w:tcBorders>
              <w:top w:val="nil"/>
              <w:left w:val="nil"/>
              <w:bottom w:val="nil"/>
              <w:right w:val="nil"/>
            </w:tcBorders>
            <w:noWrap/>
            <w:vAlign w:val="bottom"/>
          </w:tcPr>
          <w:p>
            <w:pPr>
              <w:pStyle w:val="yTableNAm"/>
              <w:ind w:right="600"/>
              <w:jc w:val="right"/>
            </w:pPr>
            <w:r>
              <w:rPr>
                <w:szCs w:val="22"/>
              </w:rPr>
              <w:t>5.459</w:t>
            </w:r>
          </w:p>
        </w:tc>
        <w:tc>
          <w:tcPr>
            <w:tcW w:w="1985" w:type="dxa"/>
            <w:tcBorders>
              <w:top w:val="nil"/>
              <w:left w:val="nil"/>
              <w:bottom w:val="nil"/>
              <w:right w:val="nil"/>
            </w:tcBorders>
            <w:noWrap/>
            <w:vAlign w:val="bottom"/>
          </w:tcPr>
          <w:p>
            <w:pPr>
              <w:pStyle w:val="yTableNAm"/>
              <w:ind w:right="600"/>
              <w:jc w:val="right"/>
            </w:pPr>
            <w:r>
              <w:rPr>
                <w:szCs w:val="22"/>
              </w:rPr>
              <w:t>3.998</w:t>
            </w:r>
          </w:p>
        </w:tc>
      </w:tr>
      <w:tr>
        <w:trPr>
          <w:cantSplit/>
        </w:trPr>
        <w:tc>
          <w:tcPr>
            <w:tcW w:w="2159" w:type="dxa"/>
            <w:tcBorders>
              <w:top w:val="nil"/>
              <w:left w:val="nil"/>
              <w:bottom w:val="nil"/>
              <w:right w:val="nil"/>
            </w:tcBorders>
            <w:noWrap/>
          </w:tcPr>
          <w:p>
            <w:pPr>
              <w:pStyle w:val="yTableNAm"/>
            </w:pPr>
            <w:r>
              <w:t>Eaton</w:t>
            </w:r>
          </w:p>
        </w:tc>
        <w:tc>
          <w:tcPr>
            <w:tcW w:w="1985" w:type="dxa"/>
            <w:tcBorders>
              <w:top w:val="nil"/>
              <w:left w:val="nil"/>
              <w:bottom w:val="nil"/>
              <w:right w:val="nil"/>
            </w:tcBorders>
            <w:noWrap/>
            <w:vAlign w:val="bottom"/>
          </w:tcPr>
          <w:p>
            <w:pPr>
              <w:pStyle w:val="yTableNAm"/>
              <w:ind w:right="600"/>
              <w:jc w:val="right"/>
            </w:pPr>
            <w:r>
              <w:rPr>
                <w:szCs w:val="22"/>
              </w:rPr>
              <w:t>8.333</w:t>
            </w:r>
          </w:p>
        </w:tc>
        <w:tc>
          <w:tcPr>
            <w:tcW w:w="1985" w:type="dxa"/>
            <w:tcBorders>
              <w:top w:val="nil"/>
              <w:left w:val="nil"/>
              <w:bottom w:val="nil"/>
              <w:right w:val="nil"/>
            </w:tcBorders>
            <w:noWrap/>
            <w:vAlign w:val="bottom"/>
          </w:tcPr>
          <w:p>
            <w:pPr>
              <w:pStyle w:val="yTableNAm"/>
              <w:ind w:right="600"/>
              <w:jc w:val="right"/>
            </w:pPr>
            <w:r>
              <w:rPr>
                <w:szCs w:val="22"/>
              </w:rPr>
              <w:t>10.324</w:t>
            </w:r>
          </w:p>
        </w:tc>
      </w:tr>
      <w:tr>
        <w:trPr>
          <w:cantSplit/>
        </w:trPr>
        <w:tc>
          <w:tcPr>
            <w:tcW w:w="2159" w:type="dxa"/>
            <w:tcBorders>
              <w:top w:val="nil"/>
              <w:left w:val="nil"/>
              <w:bottom w:val="nil"/>
              <w:right w:val="nil"/>
            </w:tcBorders>
            <w:noWrap/>
          </w:tcPr>
          <w:p>
            <w:pPr>
              <w:pStyle w:val="yTableNAm"/>
            </w:pPr>
            <w:r>
              <w:t>Eneabba</w:t>
            </w:r>
          </w:p>
        </w:tc>
        <w:tc>
          <w:tcPr>
            <w:tcW w:w="1985" w:type="dxa"/>
            <w:tcBorders>
              <w:top w:val="nil"/>
              <w:left w:val="nil"/>
              <w:bottom w:val="nil"/>
              <w:right w:val="nil"/>
            </w:tcBorders>
            <w:noWrap/>
            <w:vAlign w:val="bottom"/>
          </w:tcPr>
          <w:p>
            <w:pPr>
              <w:pStyle w:val="yTableNAm"/>
              <w:ind w:right="600"/>
              <w:jc w:val="right"/>
            </w:pPr>
            <w:r>
              <w:rPr>
                <w:szCs w:val="22"/>
              </w:rPr>
              <w:t>24.170</w:t>
            </w:r>
          </w:p>
        </w:tc>
        <w:tc>
          <w:tcPr>
            <w:tcW w:w="1985" w:type="dxa"/>
            <w:tcBorders>
              <w:top w:val="nil"/>
              <w:left w:val="nil"/>
              <w:bottom w:val="nil"/>
              <w:right w:val="nil"/>
            </w:tcBorders>
            <w:noWrap/>
            <w:vAlign w:val="bottom"/>
          </w:tcPr>
          <w:p>
            <w:pPr>
              <w:pStyle w:val="yTableNAm"/>
              <w:ind w:right="600"/>
              <w:jc w:val="right"/>
            </w:pPr>
            <w:r>
              <w:rPr>
                <w:szCs w:val="22"/>
              </w:rPr>
              <w:t>186.339</w:t>
            </w:r>
          </w:p>
        </w:tc>
      </w:tr>
      <w:tr>
        <w:trPr>
          <w:cantSplit/>
        </w:trPr>
        <w:tc>
          <w:tcPr>
            <w:tcW w:w="2159" w:type="dxa"/>
            <w:tcBorders>
              <w:top w:val="nil"/>
              <w:left w:val="nil"/>
              <w:bottom w:val="nil"/>
              <w:right w:val="nil"/>
            </w:tcBorders>
            <w:noWrap/>
          </w:tcPr>
          <w:p>
            <w:pPr>
              <w:pStyle w:val="yTableNAm"/>
            </w:pPr>
            <w:r>
              <w:t>Esperance</w:t>
            </w:r>
          </w:p>
        </w:tc>
        <w:tc>
          <w:tcPr>
            <w:tcW w:w="1985" w:type="dxa"/>
            <w:tcBorders>
              <w:top w:val="nil"/>
              <w:left w:val="nil"/>
              <w:bottom w:val="nil"/>
              <w:right w:val="nil"/>
            </w:tcBorders>
            <w:noWrap/>
            <w:vAlign w:val="bottom"/>
          </w:tcPr>
          <w:p>
            <w:pPr>
              <w:pStyle w:val="yTableNAm"/>
              <w:ind w:right="600"/>
              <w:jc w:val="right"/>
            </w:pPr>
            <w:r>
              <w:rPr>
                <w:szCs w:val="22"/>
              </w:rPr>
              <w:t>7.787</w:t>
            </w:r>
          </w:p>
        </w:tc>
        <w:tc>
          <w:tcPr>
            <w:tcW w:w="1985" w:type="dxa"/>
            <w:tcBorders>
              <w:top w:val="nil"/>
              <w:left w:val="nil"/>
              <w:bottom w:val="nil"/>
              <w:right w:val="nil"/>
            </w:tcBorders>
            <w:noWrap/>
            <w:vAlign w:val="bottom"/>
          </w:tcPr>
          <w:p>
            <w:pPr>
              <w:pStyle w:val="yTableNAm"/>
              <w:ind w:right="600"/>
              <w:jc w:val="right"/>
            </w:pPr>
            <w:r>
              <w:rPr>
                <w:szCs w:val="22"/>
              </w:rPr>
              <w:t>16.019</w:t>
            </w:r>
          </w:p>
        </w:tc>
      </w:tr>
      <w:tr>
        <w:trPr>
          <w:cantSplit/>
        </w:trPr>
        <w:tc>
          <w:tcPr>
            <w:tcW w:w="2159" w:type="dxa"/>
            <w:tcBorders>
              <w:top w:val="nil"/>
              <w:left w:val="nil"/>
              <w:bottom w:val="nil"/>
              <w:right w:val="nil"/>
            </w:tcBorders>
            <w:noWrap/>
          </w:tcPr>
          <w:p>
            <w:pPr>
              <w:pStyle w:val="yTableNAm"/>
            </w:pPr>
            <w:r>
              <w:lastRenderedPageBreak/>
              <w:t>Exmouth</w:t>
            </w:r>
          </w:p>
        </w:tc>
        <w:tc>
          <w:tcPr>
            <w:tcW w:w="1985" w:type="dxa"/>
            <w:tcBorders>
              <w:top w:val="nil"/>
              <w:left w:val="nil"/>
              <w:bottom w:val="nil"/>
              <w:right w:val="nil"/>
            </w:tcBorders>
            <w:noWrap/>
            <w:vAlign w:val="bottom"/>
          </w:tcPr>
          <w:p>
            <w:pPr>
              <w:pStyle w:val="yTableNAm"/>
              <w:ind w:right="600"/>
              <w:jc w:val="right"/>
            </w:pPr>
            <w:r>
              <w:rPr>
                <w:szCs w:val="22"/>
              </w:rPr>
              <w:t>2.102</w:t>
            </w:r>
          </w:p>
        </w:tc>
        <w:tc>
          <w:tcPr>
            <w:tcW w:w="1985" w:type="dxa"/>
            <w:tcBorders>
              <w:top w:val="nil"/>
              <w:left w:val="nil"/>
              <w:bottom w:val="nil"/>
              <w:right w:val="nil"/>
            </w:tcBorders>
            <w:noWrap/>
            <w:vAlign w:val="bottom"/>
          </w:tcPr>
          <w:p>
            <w:pPr>
              <w:pStyle w:val="yTableNAm"/>
              <w:ind w:right="600"/>
              <w:jc w:val="right"/>
            </w:pPr>
            <w:r>
              <w:rPr>
                <w:szCs w:val="22"/>
              </w:rPr>
              <w:t>3.895</w:t>
            </w:r>
          </w:p>
        </w:tc>
      </w:tr>
      <w:tr>
        <w:trPr>
          <w:cantSplit/>
        </w:trPr>
        <w:tc>
          <w:tcPr>
            <w:tcW w:w="2159" w:type="dxa"/>
            <w:tcBorders>
              <w:top w:val="nil"/>
              <w:left w:val="nil"/>
              <w:bottom w:val="nil"/>
              <w:right w:val="nil"/>
            </w:tcBorders>
            <w:noWrap/>
          </w:tcPr>
          <w:p>
            <w:pPr>
              <w:pStyle w:val="yTableNAm"/>
            </w:pPr>
            <w:r>
              <w:t>Fitzroy Crossing</w:t>
            </w:r>
          </w:p>
        </w:tc>
        <w:tc>
          <w:tcPr>
            <w:tcW w:w="1985" w:type="dxa"/>
            <w:tcBorders>
              <w:top w:val="nil"/>
              <w:left w:val="nil"/>
              <w:bottom w:val="nil"/>
              <w:right w:val="nil"/>
            </w:tcBorders>
            <w:noWrap/>
            <w:vAlign w:val="bottom"/>
          </w:tcPr>
          <w:p>
            <w:pPr>
              <w:pStyle w:val="yTableNAm"/>
              <w:ind w:right="600"/>
              <w:jc w:val="right"/>
            </w:pPr>
            <w:r>
              <w:rPr>
                <w:szCs w:val="22"/>
              </w:rPr>
              <w:t>9.218</w:t>
            </w:r>
          </w:p>
        </w:tc>
        <w:tc>
          <w:tcPr>
            <w:tcW w:w="1985" w:type="dxa"/>
            <w:tcBorders>
              <w:top w:val="nil"/>
              <w:left w:val="nil"/>
              <w:bottom w:val="nil"/>
              <w:right w:val="nil"/>
            </w:tcBorders>
            <w:noWrap/>
            <w:vAlign w:val="bottom"/>
          </w:tcPr>
          <w:p>
            <w:pPr>
              <w:pStyle w:val="yTableNAm"/>
              <w:ind w:right="600"/>
              <w:jc w:val="right"/>
            </w:pPr>
            <w:r>
              <w:rPr>
                <w:szCs w:val="22"/>
              </w:rPr>
              <w:t>16.503</w:t>
            </w:r>
          </w:p>
        </w:tc>
      </w:tr>
      <w:tr>
        <w:trPr>
          <w:cantSplit/>
        </w:trPr>
        <w:tc>
          <w:tcPr>
            <w:tcW w:w="2159" w:type="dxa"/>
            <w:tcBorders>
              <w:top w:val="nil"/>
              <w:left w:val="nil"/>
              <w:bottom w:val="nil"/>
              <w:right w:val="nil"/>
            </w:tcBorders>
            <w:noWrap/>
          </w:tcPr>
          <w:p>
            <w:pPr>
              <w:pStyle w:val="yTableNAm"/>
            </w:pPr>
            <w:r>
              <w:t>Geraldton</w:t>
            </w:r>
          </w:p>
        </w:tc>
        <w:tc>
          <w:tcPr>
            <w:tcW w:w="1985" w:type="dxa"/>
            <w:tcBorders>
              <w:top w:val="nil"/>
              <w:left w:val="nil"/>
              <w:bottom w:val="nil"/>
              <w:right w:val="nil"/>
            </w:tcBorders>
            <w:noWrap/>
            <w:vAlign w:val="bottom"/>
          </w:tcPr>
          <w:p>
            <w:pPr>
              <w:pStyle w:val="yTableNAm"/>
              <w:ind w:right="600"/>
              <w:jc w:val="right"/>
            </w:pPr>
            <w:r>
              <w:rPr>
                <w:szCs w:val="22"/>
              </w:rPr>
              <w:t>9.663</w:t>
            </w:r>
          </w:p>
        </w:tc>
        <w:tc>
          <w:tcPr>
            <w:tcW w:w="1985" w:type="dxa"/>
            <w:tcBorders>
              <w:top w:val="nil"/>
              <w:left w:val="nil"/>
              <w:bottom w:val="nil"/>
              <w:right w:val="nil"/>
            </w:tcBorders>
            <w:noWrap/>
            <w:vAlign w:val="bottom"/>
          </w:tcPr>
          <w:p>
            <w:pPr>
              <w:pStyle w:val="yTableNAm"/>
              <w:ind w:right="600"/>
              <w:jc w:val="right"/>
            </w:pPr>
            <w:r>
              <w:rPr>
                <w:szCs w:val="22"/>
              </w:rPr>
              <w:t>19.997</w:t>
            </w:r>
          </w:p>
        </w:tc>
      </w:tr>
      <w:tr>
        <w:trPr>
          <w:cantSplit/>
        </w:trPr>
        <w:tc>
          <w:tcPr>
            <w:tcW w:w="2159" w:type="dxa"/>
            <w:tcBorders>
              <w:top w:val="nil"/>
              <w:left w:val="nil"/>
              <w:bottom w:val="nil"/>
              <w:right w:val="nil"/>
            </w:tcBorders>
            <w:noWrap/>
          </w:tcPr>
          <w:p>
            <w:pPr>
              <w:pStyle w:val="yTableNAm"/>
            </w:pPr>
            <w:r>
              <w:t>Gnowangerup</w:t>
            </w:r>
          </w:p>
        </w:tc>
        <w:tc>
          <w:tcPr>
            <w:tcW w:w="1985" w:type="dxa"/>
            <w:tcBorders>
              <w:top w:val="nil"/>
              <w:left w:val="nil"/>
              <w:bottom w:val="nil"/>
              <w:right w:val="nil"/>
            </w:tcBorders>
            <w:noWrap/>
            <w:vAlign w:val="bottom"/>
          </w:tcPr>
          <w:p>
            <w:pPr>
              <w:pStyle w:val="yTableNAm"/>
              <w:ind w:right="600"/>
              <w:jc w:val="right"/>
            </w:pPr>
            <w:r>
              <w:rPr>
                <w:szCs w:val="22"/>
              </w:rPr>
              <w:t>14.753</w:t>
            </w:r>
          </w:p>
        </w:tc>
        <w:tc>
          <w:tcPr>
            <w:tcW w:w="1985" w:type="dxa"/>
            <w:tcBorders>
              <w:top w:val="nil"/>
              <w:left w:val="nil"/>
              <w:bottom w:val="nil"/>
              <w:right w:val="nil"/>
            </w:tcBorders>
            <w:noWrap/>
            <w:vAlign w:val="bottom"/>
          </w:tcPr>
          <w:p>
            <w:pPr>
              <w:pStyle w:val="yTableNAm"/>
              <w:ind w:right="600"/>
              <w:jc w:val="right"/>
            </w:pPr>
            <w:r>
              <w:rPr>
                <w:szCs w:val="22"/>
              </w:rPr>
              <w:t>71.613</w:t>
            </w:r>
          </w:p>
        </w:tc>
      </w:tr>
      <w:tr>
        <w:trPr>
          <w:cantSplit/>
        </w:trPr>
        <w:tc>
          <w:tcPr>
            <w:tcW w:w="2159" w:type="dxa"/>
            <w:tcBorders>
              <w:top w:val="nil"/>
              <w:left w:val="nil"/>
              <w:bottom w:val="nil"/>
              <w:right w:val="nil"/>
            </w:tcBorders>
            <w:noWrap/>
          </w:tcPr>
          <w:p>
            <w:pPr>
              <w:pStyle w:val="yTableNAm"/>
            </w:pPr>
            <w:r>
              <w:t>Greenhead</w:t>
            </w:r>
          </w:p>
        </w:tc>
        <w:tc>
          <w:tcPr>
            <w:tcW w:w="1985" w:type="dxa"/>
            <w:tcBorders>
              <w:top w:val="nil"/>
              <w:left w:val="nil"/>
              <w:bottom w:val="nil"/>
              <w:right w:val="nil"/>
            </w:tcBorders>
            <w:noWrap/>
            <w:vAlign w:val="bottom"/>
          </w:tcPr>
          <w:p>
            <w:pPr>
              <w:pStyle w:val="yTableNAm"/>
              <w:ind w:right="600"/>
              <w:jc w:val="right"/>
            </w:pPr>
            <w:r>
              <w:rPr>
                <w:szCs w:val="22"/>
              </w:rPr>
              <w:t>7.488</w:t>
            </w:r>
          </w:p>
        </w:tc>
        <w:tc>
          <w:tcPr>
            <w:tcW w:w="1985" w:type="dxa"/>
            <w:tcBorders>
              <w:top w:val="nil"/>
              <w:left w:val="nil"/>
              <w:bottom w:val="nil"/>
              <w:right w:val="nil"/>
            </w:tcBorders>
            <w:noWrap/>
            <w:vAlign w:val="bottom"/>
          </w:tcPr>
          <w:p>
            <w:pPr>
              <w:pStyle w:val="yTableNAm"/>
              <w:ind w:right="600"/>
              <w:jc w:val="right"/>
            </w:pPr>
            <w:r>
              <w:rPr>
                <w:szCs w:val="22"/>
              </w:rPr>
              <w:t>22.030</w:t>
            </w:r>
          </w:p>
        </w:tc>
      </w:tr>
      <w:tr>
        <w:trPr>
          <w:cantSplit/>
        </w:trPr>
        <w:tc>
          <w:tcPr>
            <w:tcW w:w="2159" w:type="dxa"/>
            <w:tcBorders>
              <w:top w:val="nil"/>
              <w:left w:val="nil"/>
              <w:bottom w:val="nil"/>
              <w:right w:val="nil"/>
            </w:tcBorders>
            <w:noWrap/>
          </w:tcPr>
          <w:p>
            <w:pPr>
              <w:pStyle w:val="yTableNAm"/>
            </w:pPr>
            <w:r>
              <w:t>Halls Creek</w:t>
            </w:r>
          </w:p>
        </w:tc>
        <w:tc>
          <w:tcPr>
            <w:tcW w:w="1985" w:type="dxa"/>
            <w:tcBorders>
              <w:top w:val="nil"/>
              <w:left w:val="nil"/>
              <w:bottom w:val="nil"/>
              <w:right w:val="nil"/>
            </w:tcBorders>
            <w:noWrap/>
            <w:vAlign w:val="bottom"/>
          </w:tcPr>
          <w:p>
            <w:pPr>
              <w:pStyle w:val="yTableNAm"/>
              <w:ind w:right="600"/>
              <w:jc w:val="right"/>
            </w:pPr>
            <w:r>
              <w:rPr>
                <w:szCs w:val="22"/>
              </w:rPr>
              <w:t>16.222</w:t>
            </w:r>
          </w:p>
        </w:tc>
        <w:tc>
          <w:tcPr>
            <w:tcW w:w="1985" w:type="dxa"/>
            <w:tcBorders>
              <w:top w:val="nil"/>
              <w:left w:val="nil"/>
              <w:bottom w:val="nil"/>
              <w:right w:val="nil"/>
            </w:tcBorders>
            <w:noWrap/>
            <w:vAlign w:val="bottom"/>
          </w:tcPr>
          <w:p>
            <w:pPr>
              <w:pStyle w:val="yTableNAm"/>
              <w:ind w:right="600"/>
              <w:jc w:val="right"/>
            </w:pPr>
            <w:r>
              <w:rPr>
                <w:szCs w:val="22"/>
              </w:rPr>
              <w:t>137.501</w:t>
            </w:r>
          </w:p>
        </w:tc>
      </w:tr>
      <w:tr>
        <w:trPr>
          <w:cantSplit/>
        </w:trPr>
        <w:tc>
          <w:tcPr>
            <w:tcW w:w="2159" w:type="dxa"/>
            <w:tcBorders>
              <w:top w:val="nil"/>
              <w:left w:val="nil"/>
              <w:bottom w:val="nil"/>
              <w:right w:val="nil"/>
            </w:tcBorders>
            <w:noWrap/>
          </w:tcPr>
          <w:p>
            <w:pPr>
              <w:pStyle w:val="yTableNAm"/>
            </w:pPr>
            <w:r>
              <w:t>Harvey</w:t>
            </w:r>
          </w:p>
        </w:tc>
        <w:tc>
          <w:tcPr>
            <w:tcW w:w="1985" w:type="dxa"/>
            <w:tcBorders>
              <w:top w:val="nil"/>
              <w:left w:val="nil"/>
              <w:bottom w:val="nil"/>
              <w:right w:val="nil"/>
            </w:tcBorders>
            <w:noWrap/>
            <w:vAlign w:val="bottom"/>
          </w:tcPr>
          <w:p>
            <w:pPr>
              <w:pStyle w:val="yTableNAm"/>
              <w:ind w:right="600"/>
              <w:jc w:val="right"/>
            </w:pPr>
            <w:r>
              <w:rPr>
                <w:szCs w:val="22"/>
              </w:rPr>
              <w:t>11.201</w:t>
            </w:r>
          </w:p>
        </w:tc>
        <w:tc>
          <w:tcPr>
            <w:tcW w:w="1985" w:type="dxa"/>
            <w:tcBorders>
              <w:top w:val="nil"/>
              <w:left w:val="nil"/>
              <w:bottom w:val="nil"/>
              <w:right w:val="nil"/>
            </w:tcBorders>
            <w:noWrap/>
            <w:vAlign w:val="bottom"/>
          </w:tcPr>
          <w:p>
            <w:pPr>
              <w:pStyle w:val="yTableNAm"/>
              <w:ind w:right="600"/>
              <w:jc w:val="right"/>
            </w:pPr>
            <w:r>
              <w:rPr>
                <w:szCs w:val="22"/>
              </w:rPr>
              <w:t>21.247</w:t>
            </w:r>
          </w:p>
        </w:tc>
      </w:tr>
      <w:tr>
        <w:trPr>
          <w:cantSplit/>
        </w:trPr>
        <w:tc>
          <w:tcPr>
            <w:tcW w:w="2159" w:type="dxa"/>
            <w:tcBorders>
              <w:top w:val="nil"/>
              <w:left w:val="nil"/>
              <w:bottom w:val="nil"/>
              <w:right w:val="nil"/>
            </w:tcBorders>
            <w:noWrap/>
          </w:tcPr>
          <w:p>
            <w:pPr>
              <w:pStyle w:val="yTableNAm"/>
            </w:pPr>
            <w:r>
              <w:t>Hopetoun</w:t>
            </w:r>
          </w:p>
        </w:tc>
        <w:tc>
          <w:tcPr>
            <w:tcW w:w="1985" w:type="dxa"/>
            <w:tcBorders>
              <w:top w:val="nil"/>
              <w:left w:val="nil"/>
              <w:bottom w:val="nil"/>
              <w:right w:val="nil"/>
            </w:tcBorders>
            <w:noWrap/>
            <w:vAlign w:val="bottom"/>
          </w:tcPr>
          <w:p>
            <w:pPr>
              <w:pStyle w:val="yTableNAm"/>
              <w:ind w:right="600"/>
              <w:jc w:val="right"/>
            </w:pPr>
            <w:r>
              <w:rPr>
                <w:szCs w:val="22"/>
              </w:rPr>
              <w:t>52.627</w:t>
            </w:r>
          </w:p>
        </w:tc>
        <w:tc>
          <w:tcPr>
            <w:tcW w:w="1985" w:type="dxa"/>
            <w:tcBorders>
              <w:top w:val="nil"/>
              <w:left w:val="nil"/>
              <w:bottom w:val="nil"/>
              <w:right w:val="nil"/>
            </w:tcBorders>
            <w:noWrap/>
            <w:vAlign w:val="bottom"/>
          </w:tcPr>
          <w:p>
            <w:pPr>
              <w:pStyle w:val="yTableNAm"/>
              <w:ind w:right="600"/>
              <w:jc w:val="right"/>
            </w:pPr>
            <w:r>
              <w:rPr>
                <w:szCs w:val="22"/>
              </w:rPr>
              <w:t>175.252</w:t>
            </w:r>
          </w:p>
        </w:tc>
      </w:tr>
      <w:tr>
        <w:trPr>
          <w:cantSplit/>
        </w:trPr>
        <w:tc>
          <w:tcPr>
            <w:tcW w:w="2159" w:type="dxa"/>
            <w:tcBorders>
              <w:top w:val="nil"/>
              <w:left w:val="nil"/>
              <w:bottom w:val="nil"/>
              <w:right w:val="nil"/>
            </w:tcBorders>
            <w:noWrap/>
          </w:tcPr>
          <w:p>
            <w:pPr>
              <w:pStyle w:val="yTableNAm"/>
            </w:pPr>
            <w:r>
              <w:t>Horrocks</w:t>
            </w:r>
          </w:p>
        </w:tc>
        <w:tc>
          <w:tcPr>
            <w:tcW w:w="1985" w:type="dxa"/>
            <w:tcBorders>
              <w:top w:val="nil"/>
              <w:left w:val="nil"/>
              <w:bottom w:val="nil"/>
              <w:right w:val="nil"/>
            </w:tcBorders>
            <w:noWrap/>
            <w:vAlign w:val="bottom"/>
          </w:tcPr>
          <w:p>
            <w:pPr>
              <w:pStyle w:val="yTableNAm"/>
              <w:ind w:right="600"/>
              <w:jc w:val="right"/>
            </w:pPr>
            <w:r>
              <w:rPr>
                <w:szCs w:val="22"/>
              </w:rPr>
              <w:t>23.529</w:t>
            </w:r>
          </w:p>
        </w:tc>
        <w:tc>
          <w:tcPr>
            <w:tcW w:w="1985" w:type="dxa"/>
            <w:tcBorders>
              <w:top w:val="nil"/>
              <w:left w:val="nil"/>
              <w:bottom w:val="nil"/>
              <w:right w:val="nil"/>
            </w:tcBorders>
            <w:noWrap/>
            <w:vAlign w:val="bottom"/>
          </w:tcPr>
          <w:p>
            <w:pPr>
              <w:pStyle w:val="yTableNAm"/>
              <w:ind w:right="600"/>
              <w:jc w:val="right"/>
            </w:pPr>
            <w:r>
              <w:rPr>
                <w:szCs w:val="22"/>
              </w:rPr>
              <w:t>29.916</w:t>
            </w:r>
          </w:p>
        </w:tc>
      </w:tr>
      <w:tr>
        <w:trPr>
          <w:cantSplit/>
        </w:trPr>
        <w:tc>
          <w:tcPr>
            <w:tcW w:w="2159" w:type="dxa"/>
            <w:tcBorders>
              <w:top w:val="nil"/>
              <w:left w:val="nil"/>
              <w:bottom w:val="nil"/>
              <w:right w:val="nil"/>
            </w:tcBorders>
            <w:noWrap/>
          </w:tcPr>
          <w:p>
            <w:pPr>
              <w:pStyle w:val="yTableNAm"/>
            </w:pPr>
            <w:r>
              <w:t>Hyden</w:t>
            </w:r>
          </w:p>
        </w:tc>
        <w:tc>
          <w:tcPr>
            <w:tcW w:w="1985" w:type="dxa"/>
            <w:tcBorders>
              <w:top w:val="nil"/>
              <w:left w:val="nil"/>
              <w:bottom w:val="nil"/>
              <w:right w:val="nil"/>
            </w:tcBorders>
            <w:noWrap/>
            <w:vAlign w:val="bottom"/>
          </w:tcPr>
          <w:p>
            <w:pPr>
              <w:pStyle w:val="yTableNAm"/>
              <w:ind w:right="600"/>
              <w:jc w:val="right"/>
            </w:pPr>
            <w:r>
              <w:rPr>
                <w:szCs w:val="22"/>
              </w:rPr>
              <w:t>89.822</w:t>
            </w:r>
          </w:p>
        </w:tc>
        <w:tc>
          <w:tcPr>
            <w:tcW w:w="1985" w:type="dxa"/>
            <w:tcBorders>
              <w:top w:val="nil"/>
              <w:left w:val="nil"/>
              <w:bottom w:val="nil"/>
              <w:right w:val="nil"/>
            </w:tcBorders>
            <w:noWrap/>
            <w:vAlign w:val="bottom"/>
          </w:tcPr>
          <w:p>
            <w:pPr>
              <w:pStyle w:val="yTableNAm"/>
              <w:ind w:right="600"/>
              <w:jc w:val="right"/>
            </w:pPr>
            <w:r>
              <w:rPr>
                <w:szCs w:val="22"/>
              </w:rPr>
              <w:t>510.423</w:t>
            </w:r>
          </w:p>
        </w:tc>
      </w:tr>
      <w:tr>
        <w:trPr>
          <w:cantSplit/>
        </w:trPr>
        <w:tc>
          <w:tcPr>
            <w:tcW w:w="2159" w:type="dxa"/>
            <w:tcBorders>
              <w:top w:val="nil"/>
              <w:left w:val="nil"/>
              <w:bottom w:val="nil"/>
              <w:right w:val="nil"/>
            </w:tcBorders>
            <w:noWrap/>
          </w:tcPr>
          <w:p>
            <w:pPr>
              <w:pStyle w:val="yTableNAm"/>
            </w:pPr>
            <w:r>
              <w:t>Jurien</w:t>
            </w:r>
          </w:p>
        </w:tc>
        <w:tc>
          <w:tcPr>
            <w:tcW w:w="1985" w:type="dxa"/>
            <w:tcBorders>
              <w:top w:val="nil"/>
              <w:left w:val="nil"/>
              <w:bottom w:val="nil"/>
              <w:right w:val="nil"/>
            </w:tcBorders>
            <w:noWrap/>
            <w:vAlign w:val="bottom"/>
          </w:tcPr>
          <w:p>
            <w:pPr>
              <w:pStyle w:val="yTableNAm"/>
              <w:ind w:right="600"/>
              <w:jc w:val="right"/>
            </w:pPr>
            <w:r>
              <w:rPr>
                <w:szCs w:val="22"/>
              </w:rPr>
              <w:t>3.915</w:t>
            </w:r>
          </w:p>
        </w:tc>
        <w:tc>
          <w:tcPr>
            <w:tcW w:w="1985" w:type="dxa"/>
            <w:tcBorders>
              <w:top w:val="nil"/>
              <w:left w:val="nil"/>
              <w:bottom w:val="nil"/>
              <w:right w:val="nil"/>
            </w:tcBorders>
            <w:noWrap/>
            <w:vAlign w:val="bottom"/>
          </w:tcPr>
          <w:p>
            <w:pPr>
              <w:pStyle w:val="yTableNAm"/>
              <w:ind w:right="600"/>
              <w:jc w:val="right"/>
            </w:pPr>
            <w:r>
              <w:rPr>
                <w:szCs w:val="22"/>
              </w:rPr>
              <w:t>8.362</w:t>
            </w:r>
          </w:p>
        </w:tc>
      </w:tr>
      <w:tr>
        <w:trPr>
          <w:cantSplit/>
        </w:trPr>
        <w:tc>
          <w:tcPr>
            <w:tcW w:w="2159" w:type="dxa"/>
            <w:tcBorders>
              <w:top w:val="nil"/>
              <w:left w:val="nil"/>
              <w:bottom w:val="nil"/>
              <w:right w:val="nil"/>
            </w:tcBorders>
            <w:noWrap/>
          </w:tcPr>
          <w:p>
            <w:pPr>
              <w:pStyle w:val="yTableNAm"/>
            </w:pPr>
            <w:r>
              <w:t>Kalbarri</w:t>
            </w:r>
          </w:p>
        </w:tc>
        <w:tc>
          <w:tcPr>
            <w:tcW w:w="1985" w:type="dxa"/>
            <w:tcBorders>
              <w:top w:val="nil"/>
              <w:left w:val="nil"/>
              <w:bottom w:val="nil"/>
              <w:right w:val="nil"/>
            </w:tcBorders>
            <w:noWrap/>
            <w:vAlign w:val="bottom"/>
          </w:tcPr>
          <w:p>
            <w:pPr>
              <w:pStyle w:val="yTableNAm"/>
              <w:ind w:right="600"/>
              <w:jc w:val="right"/>
            </w:pPr>
            <w:r>
              <w:rPr>
                <w:szCs w:val="22"/>
              </w:rPr>
              <w:t>9.494</w:t>
            </w:r>
          </w:p>
        </w:tc>
        <w:tc>
          <w:tcPr>
            <w:tcW w:w="1985" w:type="dxa"/>
            <w:tcBorders>
              <w:top w:val="nil"/>
              <w:left w:val="nil"/>
              <w:bottom w:val="nil"/>
              <w:right w:val="nil"/>
            </w:tcBorders>
            <w:noWrap/>
            <w:vAlign w:val="bottom"/>
          </w:tcPr>
          <w:p>
            <w:pPr>
              <w:pStyle w:val="yTableNAm"/>
              <w:ind w:right="600"/>
              <w:jc w:val="right"/>
            </w:pPr>
            <w:r>
              <w:rPr>
                <w:szCs w:val="22"/>
              </w:rPr>
              <w:t>19.063</w:t>
            </w:r>
          </w:p>
        </w:tc>
      </w:tr>
      <w:tr>
        <w:trPr>
          <w:cantSplit/>
        </w:trPr>
        <w:tc>
          <w:tcPr>
            <w:tcW w:w="2159" w:type="dxa"/>
            <w:tcBorders>
              <w:top w:val="nil"/>
              <w:left w:val="nil"/>
              <w:bottom w:val="nil"/>
              <w:right w:val="nil"/>
            </w:tcBorders>
            <w:noWrap/>
          </w:tcPr>
          <w:p>
            <w:pPr>
              <w:pStyle w:val="yTableNAm"/>
            </w:pPr>
            <w:r>
              <w:t>Kambalda</w:t>
            </w:r>
          </w:p>
        </w:tc>
        <w:tc>
          <w:tcPr>
            <w:tcW w:w="1985" w:type="dxa"/>
            <w:tcBorders>
              <w:top w:val="nil"/>
              <w:left w:val="nil"/>
              <w:bottom w:val="nil"/>
              <w:right w:val="nil"/>
            </w:tcBorders>
            <w:noWrap/>
            <w:vAlign w:val="bottom"/>
          </w:tcPr>
          <w:p>
            <w:pPr>
              <w:pStyle w:val="yTableNAm"/>
              <w:ind w:right="600"/>
              <w:jc w:val="right"/>
            </w:pPr>
            <w:r>
              <w:rPr>
                <w:szCs w:val="22"/>
              </w:rPr>
              <w:t>9.390</w:t>
            </w:r>
          </w:p>
        </w:tc>
        <w:tc>
          <w:tcPr>
            <w:tcW w:w="1985" w:type="dxa"/>
            <w:tcBorders>
              <w:top w:val="nil"/>
              <w:left w:val="nil"/>
              <w:bottom w:val="nil"/>
              <w:right w:val="nil"/>
            </w:tcBorders>
            <w:noWrap/>
            <w:vAlign w:val="bottom"/>
          </w:tcPr>
          <w:p>
            <w:pPr>
              <w:pStyle w:val="yTableNAm"/>
              <w:ind w:right="600"/>
              <w:jc w:val="right"/>
            </w:pPr>
            <w:r>
              <w:rPr>
                <w:szCs w:val="22"/>
              </w:rPr>
              <w:t>80.376</w:t>
            </w:r>
          </w:p>
        </w:tc>
      </w:tr>
      <w:tr>
        <w:trPr>
          <w:cantSplit/>
        </w:trPr>
        <w:tc>
          <w:tcPr>
            <w:tcW w:w="2159" w:type="dxa"/>
            <w:tcBorders>
              <w:top w:val="nil"/>
              <w:left w:val="nil"/>
              <w:bottom w:val="nil"/>
              <w:right w:val="nil"/>
            </w:tcBorders>
            <w:noWrap/>
          </w:tcPr>
          <w:p>
            <w:pPr>
              <w:pStyle w:val="yTableNAm"/>
            </w:pPr>
            <w:r>
              <w:t>Karratha</w:t>
            </w:r>
          </w:p>
        </w:tc>
        <w:tc>
          <w:tcPr>
            <w:tcW w:w="1985" w:type="dxa"/>
            <w:tcBorders>
              <w:top w:val="nil"/>
              <w:left w:val="nil"/>
              <w:bottom w:val="nil"/>
              <w:right w:val="nil"/>
            </w:tcBorders>
            <w:noWrap/>
            <w:vAlign w:val="bottom"/>
          </w:tcPr>
          <w:p>
            <w:pPr>
              <w:pStyle w:val="yTableNAm"/>
              <w:ind w:right="600"/>
              <w:jc w:val="right"/>
            </w:pPr>
            <w:r>
              <w:rPr>
                <w:szCs w:val="22"/>
              </w:rPr>
              <w:t>2.815</w:t>
            </w:r>
          </w:p>
        </w:tc>
        <w:tc>
          <w:tcPr>
            <w:tcW w:w="1985" w:type="dxa"/>
            <w:tcBorders>
              <w:top w:val="nil"/>
              <w:left w:val="nil"/>
              <w:bottom w:val="nil"/>
              <w:right w:val="nil"/>
            </w:tcBorders>
            <w:noWrap/>
            <w:vAlign w:val="bottom"/>
          </w:tcPr>
          <w:p>
            <w:pPr>
              <w:pStyle w:val="yTableNAm"/>
              <w:ind w:right="600"/>
              <w:jc w:val="right"/>
            </w:pPr>
            <w:r>
              <w:rPr>
                <w:szCs w:val="22"/>
              </w:rPr>
              <w:t>6.980</w:t>
            </w:r>
          </w:p>
        </w:tc>
      </w:tr>
      <w:tr>
        <w:trPr>
          <w:cantSplit/>
        </w:trPr>
        <w:tc>
          <w:tcPr>
            <w:tcW w:w="2159" w:type="dxa"/>
            <w:tcBorders>
              <w:top w:val="nil"/>
              <w:left w:val="nil"/>
              <w:bottom w:val="nil"/>
              <w:right w:val="nil"/>
            </w:tcBorders>
            <w:noWrap/>
          </w:tcPr>
          <w:p>
            <w:pPr>
              <w:pStyle w:val="yTableNAm"/>
            </w:pPr>
            <w:r>
              <w:t>Katanning</w:t>
            </w:r>
          </w:p>
        </w:tc>
        <w:tc>
          <w:tcPr>
            <w:tcW w:w="1985" w:type="dxa"/>
            <w:tcBorders>
              <w:top w:val="nil"/>
              <w:left w:val="nil"/>
              <w:bottom w:val="nil"/>
              <w:right w:val="nil"/>
            </w:tcBorders>
            <w:noWrap/>
            <w:vAlign w:val="bottom"/>
          </w:tcPr>
          <w:p>
            <w:pPr>
              <w:pStyle w:val="yTableNAm"/>
              <w:ind w:right="600"/>
              <w:jc w:val="right"/>
            </w:pPr>
            <w:r>
              <w:rPr>
                <w:szCs w:val="22"/>
              </w:rPr>
              <w:t>13.603</w:t>
            </w:r>
          </w:p>
        </w:tc>
        <w:tc>
          <w:tcPr>
            <w:tcW w:w="1985" w:type="dxa"/>
            <w:tcBorders>
              <w:top w:val="nil"/>
              <w:left w:val="nil"/>
              <w:bottom w:val="nil"/>
              <w:right w:val="nil"/>
            </w:tcBorders>
            <w:noWrap/>
            <w:vAlign w:val="bottom"/>
          </w:tcPr>
          <w:p>
            <w:pPr>
              <w:pStyle w:val="yTableNAm"/>
              <w:ind w:right="600"/>
              <w:jc w:val="right"/>
            </w:pPr>
            <w:r>
              <w:rPr>
                <w:szCs w:val="22"/>
              </w:rPr>
              <w:t>74.385</w:t>
            </w:r>
          </w:p>
        </w:tc>
      </w:tr>
      <w:tr>
        <w:trPr>
          <w:cantSplit/>
        </w:trPr>
        <w:tc>
          <w:tcPr>
            <w:tcW w:w="2159" w:type="dxa"/>
            <w:tcBorders>
              <w:top w:val="nil"/>
              <w:left w:val="nil"/>
              <w:bottom w:val="nil"/>
              <w:right w:val="nil"/>
            </w:tcBorders>
            <w:noWrap/>
          </w:tcPr>
          <w:p>
            <w:pPr>
              <w:pStyle w:val="yTableNAm"/>
            </w:pPr>
            <w:r>
              <w:t>Kellerberrin</w:t>
            </w:r>
          </w:p>
        </w:tc>
        <w:tc>
          <w:tcPr>
            <w:tcW w:w="1985" w:type="dxa"/>
            <w:tcBorders>
              <w:top w:val="nil"/>
              <w:left w:val="nil"/>
              <w:bottom w:val="nil"/>
              <w:right w:val="nil"/>
            </w:tcBorders>
            <w:noWrap/>
            <w:vAlign w:val="bottom"/>
          </w:tcPr>
          <w:p>
            <w:pPr>
              <w:pStyle w:val="yTableNAm"/>
              <w:ind w:right="600"/>
              <w:jc w:val="right"/>
            </w:pPr>
            <w:r>
              <w:rPr>
                <w:szCs w:val="22"/>
              </w:rPr>
              <w:t>24.663</w:t>
            </w:r>
          </w:p>
        </w:tc>
        <w:tc>
          <w:tcPr>
            <w:tcW w:w="1985" w:type="dxa"/>
            <w:tcBorders>
              <w:top w:val="nil"/>
              <w:left w:val="nil"/>
              <w:bottom w:val="nil"/>
              <w:right w:val="nil"/>
            </w:tcBorders>
            <w:noWrap/>
            <w:vAlign w:val="bottom"/>
          </w:tcPr>
          <w:p>
            <w:pPr>
              <w:pStyle w:val="yTableNAm"/>
              <w:ind w:right="600"/>
              <w:jc w:val="right"/>
            </w:pPr>
            <w:r>
              <w:rPr>
                <w:szCs w:val="22"/>
              </w:rPr>
              <w:t>321.946</w:t>
            </w:r>
          </w:p>
        </w:tc>
      </w:tr>
      <w:tr>
        <w:trPr>
          <w:cantSplit/>
        </w:trPr>
        <w:tc>
          <w:tcPr>
            <w:tcW w:w="2159" w:type="dxa"/>
            <w:tcBorders>
              <w:top w:val="nil"/>
              <w:left w:val="nil"/>
              <w:bottom w:val="nil"/>
              <w:right w:val="nil"/>
            </w:tcBorders>
            <w:noWrap/>
          </w:tcPr>
          <w:p>
            <w:pPr>
              <w:pStyle w:val="yTableNAm"/>
            </w:pPr>
            <w:r>
              <w:t>Kojonup</w:t>
            </w:r>
          </w:p>
        </w:tc>
        <w:tc>
          <w:tcPr>
            <w:tcW w:w="1985" w:type="dxa"/>
            <w:tcBorders>
              <w:top w:val="nil"/>
              <w:left w:val="nil"/>
              <w:bottom w:val="nil"/>
              <w:right w:val="nil"/>
            </w:tcBorders>
            <w:noWrap/>
            <w:vAlign w:val="bottom"/>
          </w:tcPr>
          <w:p>
            <w:pPr>
              <w:pStyle w:val="yTableNAm"/>
              <w:ind w:right="600"/>
              <w:jc w:val="right"/>
            </w:pPr>
            <w:r>
              <w:rPr>
                <w:szCs w:val="22"/>
              </w:rPr>
              <w:t>20.311</w:t>
            </w:r>
          </w:p>
        </w:tc>
        <w:tc>
          <w:tcPr>
            <w:tcW w:w="1985" w:type="dxa"/>
            <w:tcBorders>
              <w:top w:val="nil"/>
              <w:left w:val="nil"/>
              <w:bottom w:val="nil"/>
              <w:right w:val="nil"/>
            </w:tcBorders>
            <w:noWrap/>
            <w:vAlign w:val="bottom"/>
          </w:tcPr>
          <w:p>
            <w:pPr>
              <w:pStyle w:val="yTableNAm"/>
              <w:ind w:right="600"/>
              <w:jc w:val="right"/>
            </w:pPr>
            <w:r>
              <w:rPr>
                <w:szCs w:val="22"/>
              </w:rPr>
              <w:t>173.180</w:t>
            </w:r>
          </w:p>
        </w:tc>
      </w:tr>
      <w:tr>
        <w:trPr>
          <w:cantSplit/>
        </w:trPr>
        <w:tc>
          <w:tcPr>
            <w:tcW w:w="2159" w:type="dxa"/>
            <w:tcBorders>
              <w:top w:val="nil"/>
              <w:left w:val="nil"/>
              <w:bottom w:val="nil"/>
              <w:right w:val="nil"/>
            </w:tcBorders>
            <w:noWrap/>
          </w:tcPr>
          <w:p>
            <w:pPr>
              <w:pStyle w:val="yTableNAm"/>
            </w:pPr>
            <w:r>
              <w:t>Kulin</w:t>
            </w:r>
          </w:p>
        </w:tc>
        <w:tc>
          <w:tcPr>
            <w:tcW w:w="1985" w:type="dxa"/>
            <w:tcBorders>
              <w:top w:val="nil"/>
              <w:left w:val="nil"/>
              <w:bottom w:val="nil"/>
              <w:right w:val="nil"/>
            </w:tcBorders>
            <w:noWrap/>
            <w:vAlign w:val="bottom"/>
          </w:tcPr>
          <w:p>
            <w:pPr>
              <w:pStyle w:val="yTableNAm"/>
              <w:ind w:right="600"/>
              <w:jc w:val="right"/>
            </w:pPr>
            <w:r>
              <w:rPr>
                <w:szCs w:val="22"/>
              </w:rPr>
              <w:t>40.312</w:t>
            </w:r>
          </w:p>
        </w:tc>
        <w:tc>
          <w:tcPr>
            <w:tcW w:w="1985" w:type="dxa"/>
            <w:tcBorders>
              <w:top w:val="nil"/>
              <w:left w:val="nil"/>
              <w:bottom w:val="nil"/>
              <w:right w:val="nil"/>
            </w:tcBorders>
            <w:noWrap/>
            <w:vAlign w:val="bottom"/>
          </w:tcPr>
          <w:p>
            <w:pPr>
              <w:pStyle w:val="yTableNAm"/>
              <w:ind w:right="600"/>
              <w:jc w:val="right"/>
            </w:pPr>
            <w:r>
              <w:rPr>
                <w:szCs w:val="22"/>
              </w:rPr>
              <w:t>992.216</w:t>
            </w:r>
          </w:p>
        </w:tc>
      </w:tr>
      <w:tr>
        <w:trPr>
          <w:cantSplit/>
        </w:trPr>
        <w:tc>
          <w:tcPr>
            <w:tcW w:w="2159" w:type="dxa"/>
            <w:tcBorders>
              <w:top w:val="nil"/>
              <w:left w:val="nil"/>
              <w:bottom w:val="nil"/>
              <w:right w:val="nil"/>
            </w:tcBorders>
            <w:noWrap/>
          </w:tcPr>
          <w:p>
            <w:pPr>
              <w:pStyle w:val="yTableNAm"/>
            </w:pPr>
            <w:r>
              <w:t>Kununurra</w:t>
            </w:r>
          </w:p>
        </w:tc>
        <w:tc>
          <w:tcPr>
            <w:tcW w:w="1985" w:type="dxa"/>
            <w:tcBorders>
              <w:top w:val="nil"/>
              <w:left w:val="nil"/>
              <w:bottom w:val="nil"/>
              <w:right w:val="nil"/>
            </w:tcBorders>
            <w:noWrap/>
            <w:vAlign w:val="bottom"/>
          </w:tcPr>
          <w:p>
            <w:pPr>
              <w:pStyle w:val="yTableNAm"/>
              <w:ind w:right="600"/>
              <w:jc w:val="right"/>
            </w:pPr>
            <w:r>
              <w:rPr>
                <w:szCs w:val="22"/>
              </w:rPr>
              <w:t>7.389</w:t>
            </w:r>
          </w:p>
        </w:tc>
        <w:tc>
          <w:tcPr>
            <w:tcW w:w="1985" w:type="dxa"/>
            <w:tcBorders>
              <w:top w:val="nil"/>
              <w:left w:val="nil"/>
              <w:bottom w:val="nil"/>
              <w:right w:val="nil"/>
            </w:tcBorders>
            <w:noWrap/>
            <w:vAlign w:val="bottom"/>
          </w:tcPr>
          <w:p>
            <w:pPr>
              <w:pStyle w:val="yTableNAm"/>
              <w:ind w:right="600"/>
              <w:jc w:val="right"/>
            </w:pPr>
            <w:r>
              <w:rPr>
                <w:szCs w:val="22"/>
              </w:rPr>
              <w:t>20.893</w:t>
            </w:r>
          </w:p>
        </w:tc>
      </w:tr>
      <w:tr>
        <w:trPr>
          <w:cantSplit/>
        </w:trPr>
        <w:tc>
          <w:tcPr>
            <w:tcW w:w="2159" w:type="dxa"/>
            <w:tcBorders>
              <w:top w:val="nil"/>
              <w:left w:val="nil"/>
              <w:bottom w:val="nil"/>
              <w:right w:val="nil"/>
            </w:tcBorders>
            <w:noWrap/>
          </w:tcPr>
          <w:p>
            <w:pPr>
              <w:pStyle w:val="yTableNAm"/>
            </w:pPr>
            <w:r>
              <w:lastRenderedPageBreak/>
              <w:t>Lancelin</w:t>
            </w:r>
          </w:p>
        </w:tc>
        <w:tc>
          <w:tcPr>
            <w:tcW w:w="1985" w:type="dxa"/>
            <w:tcBorders>
              <w:top w:val="nil"/>
              <w:left w:val="nil"/>
              <w:bottom w:val="nil"/>
              <w:right w:val="nil"/>
            </w:tcBorders>
            <w:noWrap/>
            <w:vAlign w:val="bottom"/>
          </w:tcPr>
          <w:p>
            <w:pPr>
              <w:pStyle w:val="yTableNAm"/>
              <w:ind w:right="600"/>
              <w:jc w:val="right"/>
            </w:pPr>
            <w:r>
              <w:rPr>
                <w:szCs w:val="22"/>
              </w:rPr>
              <w:t>18.130</w:t>
            </w:r>
          </w:p>
        </w:tc>
        <w:tc>
          <w:tcPr>
            <w:tcW w:w="1985" w:type="dxa"/>
            <w:tcBorders>
              <w:top w:val="nil"/>
              <w:left w:val="nil"/>
              <w:bottom w:val="nil"/>
              <w:right w:val="nil"/>
            </w:tcBorders>
            <w:noWrap/>
            <w:vAlign w:val="bottom"/>
          </w:tcPr>
          <w:p>
            <w:pPr>
              <w:pStyle w:val="yTableNAm"/>
              <w:ind w:right="600"/>
              <w:jc w:val="right"/>
            </w:pPr>
            <w:r>
              <w:rPr>
                <w:szCs w:val="22"/>
              </w:rPr>
              <w:t>20.675</w:t>
            </w:r>
          </w:p>
        </w:tc>
      </w:tr>
      <w:tr>
        <w:trPr>
          <w:cantSplit/>
        </w:trPr>
        <w:tc>
          <w:tcPr>
            <w:tcW w:w="2159" w:type="dxa"/>
            <w:tcBorders>
              <w:top w:val="nil"/>
              <w:left w:val="nil"/>
              <w:bottom w:val="nil"/>
              <w:right w:val="nil"/>
            </w:tcBorders>
            <w:noWrap/>
          </w:tcPr>
          <w:p>
            <w:pPr>
              <w:pStyle w:val="yTableNAm"/>
            </w:pPr>
            <w:r>
              <w:t>Laverton</w:t>
            </w:r>
          </w:p>
        </w:tc>
        <w:tc>
          <w:tcPr>
            <w:tcW w:w="1985" w:type="dxa"/>
            <w:tcBorders>
              <w:top w:val="nil"/>
              <w:left w:val="nil"/>
              <w:bottom w:val="nil"/>
              <w:right w:val="nil"/>
            </w:tcBorders>
            <w:noWrap/>
            <w:vAlign w:val="bottom"/>
          </w:tcPr>
          <w:p>
            <w:pPr>
              <w:pStyle w:val="yTableNAm"/>
              <w:ind w:right="600"/>
              <w:jc w:val="right"/>
            </w:pPr>
            <w:r>
              <w:rPr>
                <w:szCs w:val="22"/>
              </w:rPr>
              <w:t>25.415</w:t>
            </w:r>
          </w:p>
        </w:tc>
        <w:tc>
          <w:tcPr>
            <w:tcW w:w="1985" w:type="dxa"/>
            <w:tcBorders>
              <w:top w:val="nil"/>
              <w:left w:val="nil"/>
              <w:bottom w:val="nil"/>
              <w:right w:val="nil"/>
            </w:tcBorders>
            <w:noWrap/>
            <w:vAlign w:val="bottom"/>
          </w:tcPr>
          <w:p>
            <w:pPr>
              <w:pStyle w:val="yTableNAm"/>
              <w:ind w:right="600"/>
              <w:jc w:val="right"/>
            </w:pPr>
            <w:r>
              <w:rPr>
                <w:szCs w:val="22"/>
              </w:rPr>
              <w:t>977.740</w:t>
            </w:r>
          </w:p>
        </w:tc>
      </w:tr>
      <w:tr>
        <w:trPr>
          <w:cantSplit/>
        </w:trPr>
        <w:tc>
          <w:tcPr>
            <w:tcW w:w="2159" w:type="dxa"/>
            <w:tcBorders>
              <w:top w:val="nil"/>
              <w:left w:val="nil"/>
              <w:bottom w:val="nil"/>
              <w:right w:val="nil"/>
            </w:tcBorders>
            <w:noWrap/>
          </w:tcPr>
          <w:p>
            <w:pPr>
              <w:pStyle w:val="yTableNAm"/>
            </w:pPr>
            <w:r>
              <w:t>Ledge Point</w:t>
            </w:r>
          </w:p>
        </w:tc>
        <w:tc>
          <w:tcPr>
            <w:tcW w:w="1985" w:type="dxa"/>
            <w:tcBorders>
              <w:top w:val="nil"/>
              <w:left w:val="nil"/>
              <w:bottom w:val="nil"/>
              <w:right w:val="nil"/>
            </w:tcBorders>
            <w:noWrap/>
            <w:vAlign w:val="bottom"/>
          </w:tcPr>
          <w:p>
            <w:pPr>
              <w:pStyle w:val="yTableNAm"/>
              <w:ind w:right="600"/>
              <w:jc w:val="right"/>
            </w:pPr>
            <w:r>
              <w:rPr>
                <w:szCs w:val="22"/>
              </w:rPr>
              <w:t>7.581</w:t>
            </w:r>
          </w:p>
        </w:tc>
        <w:tc>
          <w:tcPr>
            <w:tcW w:w="1985" w:type="dxa"/>
            <w:tcBorders>
              <w:top w:val="nil"/>
              <w:left w:val="nil"/>
              <w:bottom w:val="nil"/>
              <w:right w:val="nil"/>
            </w:tcBorders>
            <w:noWrap/>
            <w:vAlign w:val="bottom"/>
          </w:tcPr>
          <w:p>
            <w:pPr>
              <w:pStyle w:val="yTableNAm"/>
              <w:ind w:right="600"/>
              <w:jc w:val="right"/>
            </w:pPr>
            <w:r>
              <w:rPr>
                <w:szCs w:val="22"/>
              </w:rPr>
              <w:t>15.399</w:t>
            </w:r>
          </w:p>
        </w:tc>
      </w:tr>
      <w:tr>
        <w:trPr>
          <w:cantSplit/>
        </w:trPr>
        <w:tc>
          <w:tcPr>
            <w:tcW w:w="2159" w:type="dxa"/>
            <w:tcBorders>
              <w:top w:val="nil"/>
              <w:left w:val="nil"/>
              <w:bottom w:val="nil"/>
              <w:right w:val="nil"/>
            </w:tcBorders>
            <w:noWrap/>
          </w:tcPr>
          <w:p>
            <w:pPr>
              <w:pStyle w:val="yTableNAm"/>
            </w:pPr>
            <w:r>
              <w:t>Leeman</w:t>
            </w:r>
          </w:p>
        </w:tc>
        <w:tc>
          <w:tcPr>
            <w:tcW w:w="1985" w:type="dxa"/>
            <w:tcBorders>
              <w:top w:val="nil"/>
              <w:left w:val="nil"/>
              <w:bottom w:val="nil"/>
              <w:right w:val="nil"/>
            </w:tcBorders>
            <w:noWrap/>
            <w:vAlign w:val="bottom"/>
          </w:tcPr>
          <w:p>
            <w:pPr>
              <w:pStyle w:val="yTableNAm"/>
              <w:ind w:right="600"/>
              <w:jc w:val="right"/>
            </w:pPr>
            <w:r>
              <w:rPr>
                <w:szCs w:val="22"/>
              </w:rPr>
              <w:t>13.473</w:t>
            </w:r>
          </w:p>
        </w:tc>
        <w:tc>
          <w:tcPr>
            <w:tcW w:w="1985" w:type="dxa"/>
            <w:tcBorders>
              <w:top w:val="nil"/>
              <w:left w:val="nil"/>
              <w:bottom w:val="nil"/>
              <w:right w:val="nil"/>
            </w:tcBorders>
            <w:noWrap/>
            <w:vAlign w:val="bottom"/>
          </w:tcPr>
          <w:p>
            <w:pPr>
              <w:pStyle w:val="yTableNAm"/>
              <w:ind w:right="600"/>
              <w:jc w:val="right"/>
            </w:pPr>
            <w:r>
              <w:rPr>
                <w:szCs w:val="22"/>
              </w:rPr>
              <w:t>33.273</w:t>
            </w:r>
          </w:p>
        </w:tc>
      </w:tr>
      <w:tr>
        <w:trPr>
          <w:cantSplit/>
        </w:trPr>
        <w:tc>
          <w:tcPr>
            <w:tcW w:w="2159" w:type="dxa"/>
            <w:tcBorders>
              <w:top w:val="nil"/>
              <w:left w:val="nil"/>
              <w:bottom w:val="nil"/>
              <w:right w:val="nil"/>
            </w:tcBorders>
            <w:noWrap/>
          </w:tcPr>
          <w:p>
            <w:pPr>
              <w:pStyle w:val="yTableNAm"/>
            </w:pPr>
            <w:r>
              <w:t>Leonora</w:t>
            </w:r>
          </w:p>
        </w:tc>
        <w:tc>
          <w:tcPr>
            <w:tcW w:w="1985" w:type="dxa"/>
            <w:tcBorders>
              <w:top w:val="nil"/>
              <w:left w:val="nil"/>
              <w:bottom w:val="nil"/>
              <w:right w:val="nil"/>
            </w:tcBorders>
            <w:noWrap/>
            <w:vAlign w:val="bottom"/>
          </w:tcPr>
          <w:p>
            <w:pPr>
              <w:pStyle w:val="yTableNAm"/>
              <w:ind w:right="600"/>
              <w:jc w:val="right"/>
            </w:pPr>
            <w:r>
              <w:rPr>
                <w:szCs w:val="22"/>
              </w:rPr>
              <w:t>2.235</w:t>
            </w:r>
          </w:p>
        </w:tc>
        <w:tc>
          <w:tcPr>
            <w:tcW w:w="1985" w:type="dxa"/>
            <w:tcBorders>
              <w:top w:val="nil"/>
              <w:left w:val="nil"/>
              <w:bottom w:val="nil"/>
              <w:right w:val="nil"/>
            </w:tcBorders>
            <w:noWrap/>
            <w:vAlign w:val="bottom"/>
          </w:tcPr>
          <w:p>
            <w:pPr>
              <w:pStyle w:val="yTableNAm"/>
              <w:ind w:right="600"/>
              <w:jc w:val="right"/>
            </w:pPr>
            <w:r>
              <w:rPr>
                <w:szCs w:val="22"/>
              </w:rPr>
              <w:t>94.764</w:t>
            </w:r>
          </w:p>
        </w:tc>
      </w:tr>
      <w:tr>
        <w:trPr>
          <w:cantSplit/>
        </w:trPr>
        <w:tc>
          <w:tcPr>
            <w:tcW w:w="2159" w:type="dxa"/>
            <w:tcBorders>
              <w:top w:val="nil"/>
              <w:left w:val="nil"/>
              <w:bottom w:val="nil"/>
              <w:right w:val="nil"/>
            </w:tcBorders>
            <w:noWrap/>
          </w:tcPr>
          <w:p>
            <w:pPr>
              <w:pStyle w:val="yTableNAm"/>
            </w:pPr>
            <w:r>
              <w:t>Mandurah</w:t>
            </w:r>
          </w:p>
        </w:tc>
        <w:tc>
          <w:tcPr>
            <w:tcW w:w="1985" w:type="dxa"/>
            <w:tcBorders>
              <w:top w:val="nil"/>
              <w:left w:val="nil"/>
              <w:bottom w:val="nil"/>
              <w:right w:val="nil"/>
            </w:tcBorders>
            <w:noWrap/>
            <w:vAlign w:val="bottom"/>
          </w:tcPr>
          <w:p>
            <w:pPr>
              <w:pStyle w:val="yTableNAm"/>
              <w:ind w:right="600"/>
              <w:jc w:val="right"/>
            </w:pPr>
            <w:r>
              <w:rPr>
                <w:szCs w:val="22"/>
              </w:rPr>
              <w:t>6.876</w:t>
            </w:r>
          </w:p>
        </w:tc>
        <w:tc>
          <w:tcPr>
            <w:tcW w:w="1985" w:type="dxa"/>
            <w:tcBorders>
              <w:top w:val="nil"/>
              <w:left w:val="nil"/>
              <w:bottom w:val="nil"/>
              <w:right w:val="nil"/>
            </w:tcBorders>
            <w:noWrap/>
            <w:vAlign w:val="bottom"/>
          </w:tcPr>
          <w:p>
            <w:pPr>
              <w:pStyle w:val="yTableNAm"/>
              <w:ind w:right="600"/>
              <w:jc w:val="right"/>
            </w:pPr>
            <w:r>
              <w:rPr>
                <w:szCs w:val="22"/>
              </w:rPr>
              <w:t>7.229</w:t>
            </w:r>
          </w:p>
        </w:tc>
      </w:tr>
      <w:tr>
        <w:trPr>
          <w:cantSplit/>
        </w:trPr>
        <w:tc>
          <w:tcPr>
            <w:tcW w:w="2159" w:type="dxa"/>
            <w:tcBorders>
              <w:top w:val="nil"/>
              <w:left w:val="nil"/>
              <w:bottom w:val="nil"/>
              <w:right w:val="nil"/>
            </w:tcBorders>
            <w:noWrap/>
          </w:tcPr>
          <w:p>
            <w:pPr>
              <w:pStyle w:val="yTableNAm"/>
            </w:pPr>
            <w:r>
              <w:t>Manjimup</w:t>
            </w:r>
          </w:p>
        </w:tc>
        <w:tc>
          <w:tcPr>
            <w:tcW w:w="1985" w:type="dxa"/>
            <w:tcBorders>
              <w:top w:val="nil"/>
              <w:left w:val="nil"/>
              <w:bottom w:val="nil"/>
              <w:right w:val="nil"/>
            </w:tcBorders>
            <w:noWrap/>
            <w:vAlign w:val="bottom"/>
          </w:tcPr>
          <w:p>
            <w:pPr>
              <w:pStyle w:val="yTableNAm"/>
              <w:ind w:right="600"/>
              <w:jc w:val="right"/>
            </w:pPr>
            <w:r>
              <w:rPr>
                <w:szCs w:val="22"/>
              </w:rPr>
              <w:t>16.027</w:t>
            </w:r>
          </w:p>
        </w:tc>
        <w:tc>
          <w:tcPr>
            <w:tcW w:w="1985" w:type="dxa"/>
            <w:tcBorders>
              <w:top w:val="nil"/>
              <w:left w:val="nil"/>
              <w:bottom w:val="nil"/>
              <w:right w:val="nil"/>
            </w:tcBorders>
            <w:noWrap/>
            <w:vAlign w:val="bottom"/>
          </w:tcPr>
          <w:p>
            <w:pPr>
              <w:pStyle w:val="yTableNAm"/>
              <w:ind w:right="600"/>
              <w:jc w:val="right"/>
            </w:pPr>
            <w:r>
              <w:rPr>
                <w:szCs w:val="22"/>
              </w:rPr>
              <w:t>44.085</w:t>
            </w:r>
          </w:p>
        </w:tc>
      </w:tr>
      <w:tr>
        <w:trPr>
          <w:cantSplit/>
        </w:trPr>
        <w:tc>
          <w:tcPr>
            <w:tcW w:w="2159" w:type="dxa"/>
            <w:tcBorders>
              <w:top w:val="nil"/>
              <w:left w:val="nil"/>
              <w:bottom w:val="nil"/>
              <w:right w:val="nil"/>
            </w:tcBorders>
            <w:noWrap/>
          </w:tcPr>
          <w:p>
            <w:pPr>
              <w:pStyle w:val="yTableNAm"/>
            </w:pPr>
            <w:r>
              <w:t>Margaret River</w:t>
            </w:r>
          </w:p>
        </w:tc>
        <w:tc>
          <w:tcPr>
            <w:tcW w:w="1985" w:type="dxa"/>
            <w:tcBorders>
              <w:top w:val="nil"/>
              <w:left w:val="nil"/>
              <w:bottom w:val="nil"/>
              <w:right w:val="nil"/>
            </w:tcBorders>
            <w:noWrap/>
            <w:vAlign w:val="bottom"/>
          </w:tcPr>
          <w:p>
            <w:pPr>
              <w:pStyle w:val="yTableNAm"/>
              <w:ind w:right="600"/>
              <w:jc w:val="right"/>
            </w:pPr>
            <w:r>
              <w:rPr>
                <w:szCs w:val="22"/>
              </w:rPr>
              <w:t>12.014</w:t>
            </w:r>
          </w:p>
        </w:tc>
        <w:tc>
          <w:tcPr>
            <w:tcW w:w="1985" w:type="dxa"/>
            <w:tcBorders>
              <w:top w:val="nil"/>
              <w:left w:val="nil"/>
              <w:bottom w:val="nil"/>
              <w:right w:val="nil"/>
            </w:tcBorders>
            <w:noWrap/>
            <w:vAlign w:val="bottom"/>
          </w:tcPr>
          <w:p>
            <w:pPr>
              <w:pStyle w:val="yTableNAm"/>
              <w:ind w:right="600"/>
              <w:jc w:val="right"/>
            </w:pPr>
            <w:r>
              <w:rPr>
                <w:szCs w:val="22"/>
              </w:rPr>
              <w:t>20.470</w:t>
            </w:r>
          </w:p>
        </w:tc>
      </w:tr>
      <w:tr>
        <w:trPr>
          <w:cantSplit/>
        </w:trPr>
        <w:tc>
          <w:tcPr>
            <w:tcW w:w="2159" w:type="dxa"/>
            <w:tcBorders>
              <w:top w:val="nil"/>
              <w:left w:val="nil"/>
              <w:bottom w:val="nil"/>
              <w:right w:val="nil"/>
            </w:tcBorders>
            <w:noWrap/>
          </w:tcPr>
          <w:p>
            <w:pPr>
              <w:pStyle w:val="yTableNAm"/>
            </w:pPr>
            <w:r>
              <w:t>Meckering</w:t>
            </w:r>
          </w:p>
        </w:tc>
        <w:tc>
          <w:tcPr>
            <w:tcW w:w="1985" w:type="dxa"/>
            <w:tcBorders>
              <w:top w:val="nil"/>
              <w:left w:val="nil"/>
              <w:bottom w:val="nil"/>
              <w:right w:val="nil"/>
            </w:tcBorders>
            <w:noWrap/>
            <w:vAlign w:val="bottom"/>
          </w:tcPr>
          <w:p>
            <w:pPr>
              <w:pStyle w:val="yTableNAm"/>
              <w:ind w:right="600"/>
              <w:jc w:val="right"/>
            </w:pPr>
            <w:r>
              <w:rPr>
                <w:szCs w:val="22"/>
              </w:rPr>
              <w:t>91.048</w:t>
            </w:r>
          </w:p>
        </w:tc>
        <w:tc>
          <w:tcPr>
            <w:tcW w:w="1985" w:type="dxa"/>
            <w:tcBorders>
              <w:top w:val="nil"/>
              <w:left w:val="nil"/>
              <w:bottom w:val="nil"/>
              <w:right w:val="nil"/>
            </w:tcBorders>
            <w:noWrap/>
            <w:vAlign w:val="bottom"/>
          </w:tcPr>
          <w:p>
            <w:pPr>
              <w:pStyle w:val="yTableNAm"/>
              <w:ind w:right="600"/>
              <w:jc w:val="right"/>
            </w:pPr>
            <w:r>
              <w:rPr>
                <w:szCs w:val="22"/>
              </w:rPr>
              <w:t>531.836</w:t>
            </w:r>
          </w:p>
        </w:tc>
      </w:tr>
      <w:tr>
        <w:trPr>
          <w:cantSplit/>
        </w:trPr>
        <w:tc>
          <w:tcPr>
            <w:tcW w:w="2159" w:type="dxa"/>
            <w:tcBorders>
              <w:top w:val="nil"/>
              <w:left w:val="nil"/>
              <w:bottom w:val="nil"/>
              <w:right w:val="nil"/>
            </w:tcBorders>
            <w:noWrap/>
          </w:tcPr>
          <w:p>
            <w:pPr>
              <w:pStyle w:val="yTableNAm"/>
            </w:pPr>
            <w:r>
              <w:t>Merredin</w:t>
            </w:r>
          </w:p>
        </w:tc>
        <w:tc>
          <w:tcPr>
            <w:tcW w:w="1985" w:type="dxa"/>
            <w:tcBorders>
              <w:top w:val="nil"/>
              <w:left w:val="nil"/>
              <w:bottom w:val="nil"/>
              <w:right w:val="nil"/>
            </w:tcBorders>
            <w:noWrap/>
            <w:vAlign w:val="bottom"/>
          </w:tcPr>
          <w:p>
            <w:pPr>
              <w:pStyle w:val="yTableNAm"/>
              <w:ind w:right="600"/>
              <w:jc w:val="right"/>
            </w:pPr>
            <w:r>
              <w:rPr>
                <w:szCs w:val="22"/>
              </w:rPr>
              <w:t>14.789</w:t>
            </w:r>
          </w:p>
        </w:tc>
        <w:tc>
          <w:tcPr>
            <w:tcW w:w="1985" w:type="dxa"/>
            <w:tcBorders>
              <w:top w:val="nil"/>
              <w:left w:val="nil"/>
              <w:bottom w:val="nil"/>
              <w:right w:val="nil"/>
            </w:tcBorders>
            <w:noWrap/>
            <w:vAlign w:val="bottom"/>
          </w:tcPr>
          <w:p>
            <w:pPr>
              <w:pStyle w:val="yTableNAm"/>
              <w:ind w:right="600"/>
              <w:jc w:val="right"/>
            </w:pPr>
            <w:r>
              <w:rPr>
                <w:szCs w:val="22"/>
              </w:rPr>
              <w:t>96.246</w:t>
            </w:r>
          </w:p>
        </w:tc>
      </w:tr>
      <w:tr>
        <w:trPr>
          <w:cantSplit/>
        </w:trPr>
        <w:tc>
          <w:tcPr>
            <w:tcW w:w="2159" w:type="dxa"/>
            <w:tcBorders>
              <w:top w:val="nil"/>
              <w:left w:val="nil"/>
              <w:bottom w:val="nil"/>
              <w:right w:val="nil"/>
            </w:tcBorders>
            <w:noWrap/>
          </w:tcPr>
          <w:p>
            <w:pPr>
              <w:pStyle w:val="yTableNAm"/>
            </w:pPr>
            <w:r>
              <w:t>Mount Barker</w:t>
            </w:r>
          </w:p>
        </w:tc>
        <w:tc>
          <w:tcPr>
            <w:tcW w:w="1985" w:type="dxa"/>
            <w:tcBorders>
              <w:top w:val="nil"/>
              <w:left w:val="nil"/>
              <w:bottom w:val="nil"/>
              <w:right w:val="nil"/>
            </w:tcBorders>
            <w:noWrap/>
            <w:vAlign w:val="bottom"/>
          </w:tcPr>
          <w:p>
            <w:pPr>
              <w:pStyle w:val="yTableNAm"/>
              <w:ind w:right="600"/>
              <w:jc w:val="right"/>
            </w:pPr>
            <w:r>
              <w:rPr>
                <w:szCs w:val="22"/>
              </w:rPr>
              <w:t>16.341</w:t>
            </w:r>
          </w:p>
        </w:tc>
        <w:tc>
          <w:tcPr>
            <w:tcW w:w="1985" w:type="dxa"/>
            <w:tcBorders>
              <w:top w:val="nil"/>
              <w:left w:val="nil"/>
              <w:bottom w:val="nil"/>
              <w:right w:val="nil"/>
            </w:tcBorders>
            <w:noWrap/>
            <w:vAlign w:val="bottom"/>
          </w:tcPr>
          <w:p>
            <w:pPr>
              <w:pStyle w:val="yTableNAm"/>
              <w:ind w:right="600"/>
              <w:jc w:val="right"/>
            </w:pPr>
            <w:r>
              <w:rPr>
                <w:szCs w:val="22"/>
              </w:rPr>
              <w:t>44.016</w:t>
            </w:r>
          </w:p>
        </w:tc>
      </w:tr>
      <w:tr>
        <w:trPr>
          <w:cantSplit/>
        </w:trPr>
        <w:tc>
          <w:tcPr>
            <w:tcW w:w="2159" w:type="dxa"/>
            <w:tcBorders>
              <w:top w:val="nil"/>
              <w:left w:val="nil"/>
              <w:bottom w:val="nil"/>
              <w:right w:val="nil"/>
            </w:tcBorders>
            <w:noWrap/>
          </w:tcPr>
          <w:p>
            <w:pPr>
              <w:pStyle w:val="yTableNAm"/>
            </w:pPr>
            <w:r>
              <w:t>Mukinbudin</w:t>
            </w:r>
          </w:p>
        </w:tc>
        <w:tc>
          <w:tcPr>
            <w:tcW w:w="1985" w:type="dxa"/>
            <w:tcBorders>
              <w:top w:val="nil"/>
              <w:left w:val="nil"/>
              <w:bottom w:val="nil"/>
              <w:right w:val="nil"/>
            </w:tcBorders>
            <w:noWrap/>
            <w:vAlign w:val="bottom"/>
          </w:tcPr>
          <w:p>
            <w:pPr>
              <w:pStyle w:val="yTableNAm"/>
              <w:ind w:right="600"/>
              <w:jc w:val="right"/>
            </w:pPr>
            <w:r>
              <w:rPr>
                <w:szCs w:val="22"/>
              </w:rPr>
              <w:t>29.925</w:t>
            </w:r>
          </w:p>
        </w:tc>
        <w:tc>
          <w:tcPr>
            <w:tcW w:w="1985" w:type="dxa"/>
            <w:tcBorders>
              <w:top w:val="nil"/>
              <w:left w:val="nil"/>
              <w:bottom w:val="nil"/>
              <w:right w:val="nil"/>
            </w:tcBorders>
            <w:noWrap/>
            <w:vAlign w:val="bottom"/>
          </w:tcPr>
          <w:p>
            <w:pPr>
              <w:pStyle w:val="yTableNAm"/>
              <w:ind w:right="600"/>
              <w:jc w:val="right"/>
            </w:pPr>
            <w:r>
              <w:rPr>
                <w:szCs w:val="22"/>
              </w:rPr>
              <w:t>309.124</w:t>
            </w:r>
          </w:p>
        </w:tc>
      </w:tr>
      <w:tr>
        <w:trPr>
          <w:cantSplit/>
        </w:trPr>
        <w:tc>
          <w:tcPr>
            <w:tcW w:w="2159" w:type="dxa"/>
            <w:tcBorders>
              <w:top w:val="nil"/>
              <w:left w:val="nil"/>
              <w:bottom w:val="nil"/>
              <w:right w:val="nil"/>
            </w:tcBorders>
            <w:noWrap/>
          </w:tcPr>
          <w:p>
            <w:pPr>
              <w:pStyle w:val="yTableNAm"/>
            </w:pPr>
            <w:r>
              <w:t>Nannup</w:t>
            </w:r>
          </w:p>
        </w:tc>
        <w:tc>
          <w:tcPr>
            <w:tcW w:w="1985" w:type="dxa"/>
            <w:tcBorders>
              <w:top w:val="nil"/>
              <w:left w:val="nil"/>
              <w:bottom w:val="nil"/>
              <w:right w:val="nil"/>
            </w:tcBorders>
            <w:noWrap/>
            <w:vAlign w:val="bottom"/>
          </w:tcPr>
          <w:p>
            <w:pPr>
              <w:pStyle w:val="yTableNAm"/>
              <w:ind w:right="600"/>
              <w:jc w:val="right"/>
            </w:pPr>
            <w:r>
              <w:rPr>
                <w:szCs w:val="22"/>
              </w:rPr>
              <w:t>11.733</w:t>
            </w:r>
          </w:p>
        </w:tc>
        <w:tc>
          <w:tcPr>
            <w:tcW w:w="1985" w:type="dxa"/>
            <w:tcBorders>
              <w:top w:val="nil"/>
              <w:left w:val="nil"/>
              <w:bottom w:val="nil"/>
              <w:right w:val="nil"/>
            </w:tcBorders>
            <w:noWrap/>
            <w:vAlign w:val="bottom"/>
          </w:tcPr>
          <w:p>
            <w:pPr>
              <w:pStyle w:val="yTableNAm"/>
              <w:ind w:right="600"/>
              <w:jc w:val="right"/>
            </w:pPr>
            <w:r>
              <w:rPr>
                <w:szCs w:val="22"/>
              </w:rPr>
              <w:t>26.870</w:t>
            </w:r>
          </w:p>
        </w:tc>
      </w:tr>
      <w:tr>
        <w:trPr>
          <w:cantSplit/>
        </w:trPr>
        <w:tc>
          <w:tcPr>
            <w:tcW w:w="2159" w:type="dxa"/>
            <w:tcBorders>
              <w:top w:val="nil"/>
              <w:left w:val="nil"/>
              <w:bottom w:val="nil"/>
              <w:right w:val="nil"/>
            </w:tcBorders>
            <w:noWrap/>
          </w:tcPr>
          <w:p>
            <w:pPr>
              <w:pStyle w:val="yTableNAm"/>
            </w:pPr>
            <w:r>
              <w:t>Narembeen</w:t>
            </w:r>
          </w:p>
        </w:tc>
        <w:tc>
          <w:tcPr>
            <w:tcW w:w="1985" w:type="dxa"/>
            <w:tcBorders>
              <w:top w:val="nil"/>
              <w:left w:val="nil"/>
              <w:bottom w:val="nil"/>
              <w:right w:val="nil"/>
            </w:tcBorders>
            <w:noWrap/>
            <w:vAlign w:val="bottom"/>
          </w:tcPr>
          <w:p>
            <w:pPr>
              <w:pStyle w:val="yTableNAm"/>
              <w:ind w:right="600"/>
              <w:jc w:val="right"/>
            </w:pPr>
            <w:r>
              <w:rPr>
                <w:szCs w:val="22"/>
              </w:rPr>
              <w:t>23.031</w:t>
            </w:r>
          </w:p>
        </w:tc>
        <w:tc>
          <w:tcPr>
            <w:tcW w:w="1985" w:type="dxa"/>
            <w:tcBorders>
              <w:top w:val="nil"/>
              <w:left w:val="nil"/>
              <w:bottom w:val="nil"/>
              <w:right w:val="nil"/>
            </w:tcBorders>
            <w:noWrap/>
            <w:vAlign w:val="bottom"/>
          </w:tcPr>
          <w:p>
            <w:pPr>
              <w:pStyle w:val="yTableNAm"/>
              <w:ind w:right="600"/>
              <w:jc w:val="right"/>
            </w:pPr>
            <w:r>
              <w:rPr>
                <w:szCs w:val="22"/>
              </w:rPr>
              <w:t>367.847</w:t>
            </w:r>
          </w:p>
        </w:tc>
      </w:tr>
      <w:tr>
        <w:trPr>
          <w:cantSplit/>
        </w:trPr>
        <w:tc>
          <w:tcPr>
            <w:tcW w:w="2159" w:type="dxa"/>
            <w:tcBorders>
              <w:top w:val="nil"/>
              <w:left w:val="nil"/>
              <w:bottom w:val="nil"/>
              <w:right w:val="nil"/>
            </w:tcBorders>
            <w:noWrap/>
          </w:tcPr>
          <w:p>
            <w:pPr>
              <w:pStyle w:val="yTableNAm"/>
            </w:pPr>
            <w:r>
              <w:t>Narrogin</w:t>
            </w:r>
          </w:p>
        </w:tc>
        <w:tc>
          <w:tcPr>
            <w:tcW w:w="1985" w:type="dxa"/>
            <w:tcBorders>
              <w:top w:val="nil"/>
              <w:left w:val="nil"/>
              <w:bottom w:val="nil"/>
              <w:right w:val="nil"/>
            </w:tcBorders>
            <w:noWrap/>
            <w:vAlign w:val="bottom"/>
          </w:tcPr>
          <w:p>
            <w:pPr>
              <w:pStyle w:val="yTableNAm"/>
              <w:ind w:right="600"/>
              <w:jc w:val="right"/>
            </w:pPr>
            <w:r>
              <w:rPr>
                <w:szCs w:val="22"/>
              </w:rPr>
              <w:t>11.955</w:t>
            </w:r>
          </w:p>
        </w:tc>
        <w:tc>
          <w:tcPr>
            <w:tcW w:w="1985" w:type="dxa"/>
            <w:tcBorders>
              <w:top w:val="nil"/>
              <w:left w:val="nil"/>
              <w:bottom w:val="nil"/>
              <w:right w:val="nil"/>
            </w:tcBorders>
            <w:noWrap/>
            <w:vAlign w:val="bottom"/>
          </w:tcPr>
          <w:p>
            <w:pPr>
              <w:pStyle w:val="yTableNAm"/>
              <w:ind w:right="600"/>
              <w:jc w:val="right"/>
            </w:pPr>
            <w:r>
              <w:rPr>
                <w:szCs w:val="22"/>
              </w:rPr>
              <w:t>26.908</w:t>
            </w:r>
          </w:p>
        </w:tc>
      </w:tr>
      <w:tr>
        <w:trPr>
          <w:cantSplit/>
        </w:trPr>
        <w:tc>
          <w:tcPr>
            <w:tcW w:w="2159" w:type="dxa"/>
            <w:tcBorders>
              <w:top w:val="nil"/>
              <w:left w:val="nil"/>
              <w:bottom w:val="nil"/>
              <w:right w:val="nil"/>
            </w:tcBorders>
            <w:noWrap/>
          </w:tcPr>
          <w:p>
            <w:pPr>
              <w:pStyle w:val="yTableNAm"/>
            </w:pPr>
            <w:r>
              <w:t>Newdegate</w:t>
            </w:r>
          </w:p>
        </w:tc>
        <w:tc>
          <w:tcPr>
            <w:tcW w:w="1985" w:type="dxa"/>
            <w:tcBorders>
              <w:top w:val="nil"/>
              <w:left w:val="nil"/>
              <w:bottom w:val="nil"/>
              <w:right w:val="nil"/>
            </w:tcBorders>
            <w:noWrap/>
            <w:vAlign w:val="bottom"/>
          </w:tcPr>
          <w:p>
            <w:pPr>
              <w:pStyle w:val="yTableNAm"/>
              <w:ind w:right="600"/>
              <w:jc w:val="right"/>
            </w:pPr>
            <w:r>
              <w:rPr>
                <w:szCs w:val="22"/>
              </w:rPr>
              <w:t>36.007</w:t>
            </w:r>
          </w:p>
        </w:tc>
        <w:tc>
          <w:tcPr>
            <w:tcW w:w="1985" w:type="dxa"/>
            <w:tcBorders>
              <w:top w:val="nil"/>
              <w:left w:val="nil"/>
              <w:bottom w:val="nil"/>
              <w:right w:val="nil"/>
            </w:tcBorders>
            <w:noWrap/>
            <w:vAlign w:val="bottom"/>
          </w:tcPr>
          <w:p>
            <w:pPr>
              <w:pStyle w:val="yTableNAm"/>
              <w:ind w:right="600"/>
              <w:jc w:val="right"/>
            </w:pPr>
            <w:r>
              <w:rPr>
                <w:szCs w:val="22"/>
              </w:rPr>
              <w:t>522.372</w:t>
            </w:r>
          </w:p>
        </w:tc>
      </w:tr>
      <w:tr>
        <w:trPr>
          <w:cantSplit/>
        </w:trPr>
        <w:tc>
          <w:tcPr>
            <w:tcW w:w="2159" w:type="dxa"/>
            <w:tcBorders>
              <w:top w:val="nil"/>
              <w:left w:val="nil"/>
              <w:bottom w:val="nil"/>
              <w:right w:val="nil"/>
            </w:tcBorders>
            <w:noWrap/>
          </w:tcPr>
          <w:p>
            <w:pPr>
              <w:pStyle w:val="yTableNAm"/>
            </w:pPr>
            <w:r>
              <w:t>Newman</w:t>
            </w:r>
          </w:p>
        </w:tc>
        <w:tc>
          <w:tcPr>
            <w:tcW w:w="1985" w:type="dxa"/>
            <w:tcBorders>
              <w:top w:val="nil"/>
              <w:left w:val="nil"/>
              <w:bottom w:val="nil"/>
              <w:right w:val="nil"/>
            </w:tcBorders>
            <w:noWrap/>
            <w:vAlign w:val="bottom"/>
          </w:tcPr>
          <w:p>
            <w:pPr>
              <w:pStyle w:val="yTableNAm"/>
              <w:ind w:right="600"/>
              <w:jc w:val="right"/>
            </w:pPr>
            <w:r>
              <w:rPr>
                <w:szCs w:val="22"/>
              </w:rPr>
              <w:t>1.289</w:t>
            </w:r>
          </w:p>
        </w:tc>
        <w:tc>
          <w:tcPr>
            <w:tcW w:w="1985" w:type="dxa"/>
            <w:tcBorders>
              <w:top w:val="nil"/>
              <w:left w:val="nil"/>
              <w:bottom w:val="nil"/>
              <w:right w:val="nil"/>
            </w:tcBorders>
            <w:noWrap/>
            <w:vAlign w:val="bottom"/>
          </w:tcPr>
          <w:p>
            <w:pPr>
              <w:pStyle w:val="yTableNAm"/>
              <w:ind w:right="600"/>
              <w:jc w:val="right"/>
            </w:pPr>
            <w:r>
              <w:rPr>
                <w:szCs w:val="22"/>
              </w:rPr>
              <w:t>1.120</w:t>
            </w:r>
          </w:p>
        </w:tc>
      </w:tr>
      <w:tr>
        <w:trPr>
          <w:cantSplit/>
        </w:trPr>
        <w:tc>
          <w:tcPr>
            <w:tcW w:w="2159" w:type="dxa"/>
            <w:tcBorders>
              <w:top w:val="nil"/>
              <w:left w:val="nil"/>
              <w:bottom w:val="nil"/>
              <w:right w:val="nil"/>
            </w:tcBorders>
            <w:noWrap/>
          </w:tcPr>
          <w:p>
            <w:pPr>
              <w:pStyle w:val="yTableNAm"/>
            </w:pPr>
            <w:r>
              <w:t>Northam</w:t>
            </w:r>
          </w:p>
        </w:tc>
        <w:tc>
          <w:tcPr>
            <w:tcW w:w="1985" w:type="dxa"/>
            <w:tcBorders>
              <w:top w:val="nil"/>
              <w:left w:val="nil"/>
              <w:bottom w:val="nil"/>
              <w:right w:val="nil"/>
            </w:tcBorders>
            <w:noWrap/>
            <w:vAlign w:val="bottom"/>
          </w:tcPr>
          <w:p>
            <w:pPr>
              <w:pStyle w:val="yTableNAm"/>
              <w:ind w:right="600"/>
              <w:jc w:val="right"/>
            </w:pPr>
            <w:r>
              <w:rPr>
                <w:szCs w:val="22"/>
              </w:rPr>
              <w:t>13.842</w:t>
            </w:r>
          </w:p>
        </w:tc>
        <w:tc>
          <w:tcPr>
            <w:tcW w:w="1985" w:type="dxa"/>
            <w:tcBorders>
              <w:top w:val="nil"/>
              <w:left w:val="nil"/>
              <w:bottom w:val="nil"/>
              <w:right w:val="nil"/>
            </w:tcBorders>
            <w:noWrap/>
            <w:vAlign w:val="bottom"/>
          </w:tcPr>
          <w:p>
            <w:pPr>
              <w:pStyle w:val="yTableNAm"/>
              <w:ind w:right="600"/>
              <w:jc w:val="right"/>
            </w:pPr>
            <w:r>
              <w:rPr>
                <w:szCs w:val="22"/>
              </w:rPr>
              <w:t>48.391</w:t>
            </w:r>
          </w:p>
        </w:tc>
      </w:tr>
      <w:tr>
        <w:trPr>
          <w:cantSplit/>
        </w:trPr>
        <w:tc>
          <w:tcPr>
            <w:tcW w:w="2159" w:type="dxa"/>
            <w:tcBorders>
              <w:top w:val="nil"/>
              <w:left w:val="nil"/>
              <w:bottom w:val="nil"/>
              <w:right w:val="nil"/>
            </w:tcBorders>
            <w:noWrap/>
          </w:tcPr>
          <w:p>
            <w:pPr>
              <w:pStyle w:val="yTableNAm"/>
            </w:pPr>
            <w:r>
              <w:t>Onslow</w:t>
            </w:r>
          </w:p>
        </w:tc>
        <w:tc>
          <w:tcPr>
            <w:tcW w:w="1985" w:type="dxa"/>
            <w:tcBorders>
              <w:top w:val="nil"/>
              <w:left w:val="nil"/>
              <w:bottom w:val="nil"/>
              <w:right w:val="nil"/>
            </w:tcBorders>
            <w:noWrap/>
            <w:vAlign w:val="bottom"/>
          </w:tcPr>
          <w:p>
            <w:pPr>
              <w:pStyle w:val="yTableNAm"/>
              <w:ind w:right="600"/>
              <w:jc w:val="right"/>
            </w:pPr>
            <w:r>
              <w:rPr>
                <w:szCs w:val="22"/>
              </w:rPr>
              <w:t>3.903</w:t>
            </w:r>
          </w:p>
        </w:tc>
        <w:tc>
          <w:tcPr>
            <w:tcW w:w="1985" w:type="dxa"/>
            <w:tcBorders>
              <w:top w:val="nil"/>
              <w:left w:val="nil"/>
              <w:bottom w:val="nil"/>
              <w:right w:val="nil"/>
            </w:tcBorders>
            <w:noWrap/>
            <w:vAlign w:val="bottom"/>
          </w:tcPr>
          <w:p>
            <w:pPr>
              <w:pStyle w:val="yTableNAm"/>
              <w:ind w:right="600"/>
              <w:jc w:val="right"/>
            </w:pPr>
            <w:r>
              <w:rPr>
                <w:szCs w:val="22"/>
              </w:rPr>
              <w:t>10.099</w:t>
            </w:r>
          </w:p>
        </w:tc>
      </w:tr>
      <w:tr>
        <w:trPr>
          <w:cantSplit/>
        </w:trPr>
        <w:tc>
          <w:tcPr>
            <w:tcW w:w="2159" w:type="dxa"/>
            <w:tcBorders>
              <w:top w:val="nil"/>
              <w:left w:val="nil"/>
              <w:bottom w:val="nil"/>
              <w:right w:val="nil"/>
            </w:tcBorders>
            <w:noWrap/>
          </w:tcPr>
          <w:p>
            <w:pPr>
              <w:pStyle w:val="yTableNAm"/>
            </w:pPr>
            <w:r>
              <w:lastRenderedPageBreak/>
              <w:t>Pemberton</w:t>
            </w:r>
          </w:p>
        </w:tc>
        <w:tc>
          <w:tcPr>
            <w:tcW w:w="1985" w:type="dxa"/>
            <w:tcBorders>
              <w:top w:val="nil"/>
              <w:left w:val="nil"/>
              <w:bottom w:val="nil"/>
              <w:right w:val="nil"/>
            </w:tcBorders>
            <w:noWrap/>
            <w:vAlign w:val="bottom"/>
          </w:tcPr>
          <w:p>
            <w:pPr>
              <w:pStyle w:val="yTableNAm"/>
              <w:ind w:right="600"/>
              <w:jc w:val="right"/>
            </w:pPr>
            <w:r>
              <w:rPr>
                <w:szCs w:val="22"/>
              </w:rPr>
              <w:t>23.111</w:t>
            </w:r>
          </w:p>
        </w:tc>
        <w:tc>
          <w:tcPr>
            <w:tcW w:w="1985" w:type="dxa"/>
            <w:tcBorders>
              <w:top w:val="nil"/>
              <w:left w:val="nil"/>
              <w:bottom w:val="nil"/>
              <w:right w:val="nil"/>
            </w:tcBorders>
            <w:noWrap/>
            <w:vAlign w:val="bottom"/>
          </w:tcPr>
          <w:p>
            <w:pPr>
              <w:pStyle w:val="yTableNAm"/>
              <w:ind w:right="600"/>
              <w:jc w:val="right"/>
            </w:pPr>
            <w:r>
              <w:rPr>
                <w:szCs w:val="22"/>
              </w:rPr>
              <w:t>103.136</w:t>
            </w:r>
          </w:p>
        </w:tc>
      </w:tr>
      <w:tr>
        <w:trPr>
          <w:cantSplit/>
        </w:trPr>
        <w:tc>
          <w:tcPr>
            <w:tcW w:w="2159" w:type="dxa"/>
            <w:tcBorders>
              <w:top w:val="nil"/>
              <w:left w:val="nil"/>
              <w:bottom w:val="nil"/>
              <w:right w:val="nil"/>
            </w:tcBorders>
            <w:noWrap/>
          </w:tcPr>
          <w:p>
            <w:pPr>
              <w:pStyle w:val="yTableNAm"/>
            </w:pPr>
            <w:r>
              <w:t>Pingelly</w:t>
            </w:r>
          </w:p>
        </w:tc>
        <w:tc>
          <w:tcPr>
            <w:tcW w:w="1985" w:type="dxa"/>
            <w:tcBorders>
              <w:top w:val="nil"/>
              <w:left w:val="nil"/>
              <w:bottom w:val="nil"/>
              <w:right w:val="nil"/>
            </w:tcBorders>
            <w:noWrap/>
            <w:vAlign w:val="bottom"/>
          </w:tcPr>
          <w:p>
            <w:pPr>
              <w:pStyle w:val="yTableNAm"/>
              <w:ind w:right="600"/>
              <w:jc w:val="right"/>
            </w:pPr>
            <w:r>
              <w:rPr>
                <w:szCs w:val="22"/>
              </w:rPr>
              <w:t>18.158</w:t>
            </w:r>
          </w:p>
        </w:tc>
        <w:tc>
          <w:tcPr>
            <w:tcW w:w="1985" w:type="dxa"/>
            <w:tcBorders>
              <w:top w:val="nil"/>
              <w:left w:val="nil"/>
              <w:bottom w:val="nil"/>
              <w:right w:val="nil"/>
            </w:tcBorders>
            <w:noWrap/>
            <w:vAlign w:val="bottom"/>
          </w:tcPr>
          <w:p>
            <w:pPr>
              <w:pStyle w:val="yTableNAm"/>
              <w:ind w:right="600"/>
              <w:jc w:val="right"/>
            </w:pPr>
            <w:r>
              <w:rPr>
                <w:szCs w:val="22"/>
              </w:rPr>
              <w:t>149.693</w:t>
            </w:r>
          </w:p>
        </w:tc>
      </w:tr>
      <w:tr>
        <w:trPr>
          <w:cantSplit/>
        </w:trPr>
        <w:tc>
          <w:tcPr>
            <w:tcW w:w="2159" w:type="dxa"/>
            <w:tcBorders>
              <w:top w:val="nil"/>
              <w:left w:val="nil"/>
              <w:bottom w:val="nil"/>
              <w:right w:val="nil"/>
            </w:tcBorders>
            <w:noWrap/>
          </w:tcPr>
          <w:p>
            <w:pPr>
              <w:pStyle w:val="yTableNAm"/>
            </w:pPr>
            <w:r>
              <w:t>Pinjarra</w:t>
            </w:r>
          </w:p>
        </w:tc>
        <w:tc>
          <w:tcPr>
            <w:tcW w:w="1985" w:type="dxa"/>
            <w:tcBorders>
              <w:top w:val="nil"/>
              <w:left w:val="nil"/>
              <w:bottom w:val="nil"/>
              <w:right w:val="nil"/>
            </w:tcBorders>
            <w:noWrap/>
            <w:vAlign w:val="bottom"/>
          </w:tcPr>
          <w:p>
            <w:pPr>
              <w:pStyle w:val="yTableNAm"/>
              <w:ind w:right="600"/>
              <w:jc w:val="right"/>
            </w:pPr>
            <w:r>
              <w:rPr>
                <w:szCs w:val="22"/>
              </w:rPr>
              <w:t>9.415</w:t>
            </w:r>
          </w:p>
        </w:tc>
        <w:tc>
          <w:tcPr>
            <w:tcW w:w="1985" w:type="dxa"/>
            <w:tcBorders>
              <w:top w:val="nil"/>
              <w:left w:val="nil"/>
              <w:bottom w:val="nil"/>
              <w:right w:val="nil"/>
            </w:tcBorders>
            <w:noWrap/>
            <w:vAlign w:val="bottom"/>
          </w:tcPr>
          <w:p>
            <w:pPr>
              <w:pStyle w:val="yTableNAm"/>
              <w:ind w:right="600"/>
              <w:jc w:val="right"/>
            </w:pPr>
            <w:r>
              <w:rPr>
                <w:szCs w:val="22"/>
              </w:rPr>
              <w:t>11.691</w:t>
            </w:r>
          </w:p>
        </w:tc>
      </w:tr>
      <w:tr>
        <w:trPr>
          <w:cantSplit/>
        </w:trPr>
        <w:tc>
          <w:tcPr>
            <w:tcW w:w="2159" w:type="dxa"/>
            <w:tcBorders>
              <w:top w:val="nil"/>
              <w:left w:val="nil"/>
              <w:bottom w:val="nil"/>
              <w:right w:val="nil"/>
            </w:tcBorders>
            <w:noWrap/>
          </w:tcPr>
          <w:p>
            <w:pPr>
              <w:pStyle w:val="yTableNAm"/>
            </w:pPr>
            <w:r>
              <w:t>Port Hedland</w:t>
            </w:r>
          </w:p>
        </w:tc>
        <w:tc>
          <w:tcPr>
            <w:tcW w:w="1985" w:type="dxa"/>
            <w:tcBorders>
              <w:top w:val="nil"/>
              <w:left w:val="nil"/>
              <w:bottom w:val="nil"/>
              <w:right w:val="nil"/>
            </w:tcBorders>
            <w:noWrap/>
            <w:vAlign w:val="bottom"/>
          </w:tcPr>
          <w:p>
            <w:pPr>
              <w:pStyle w:val="yTableNAm"/>
              <w:ind w:right="600"/>
              <w:jc w:val="right"/>
            </w:pPr>
            <w:r>
              <w:rPr>
                <w:szCs w:val="22"/>
              </w:rPr>
              <w:t>6.509</w:t>
            </w:r>
          </w:p>
        </w:tc>
        <w:tc>
          <w:tcPr>
            <w:tcW w:w="1985" w:type="dxa"/>
            <w:tcBorders>
              <w:top w:val="nil"/>
              <w:left w:val="nil"/>
              <w:bottom w:val="nil"/>
              <w:right w:val="nil"/>
            </w:tcBorders>
            <w:noWrap/>
            <w:vAlign w:val="bottom"/>
          </w:tcPr>
          <w:p>
            <w:pPr>
              <w:pStyle w:val="yTableNAm"/>
              <w:ind w:right="600"/>
              <w:jc w:val="right"/>
            </w:pPr>
            <w:r>
              <w:rPr>
                <w:szCs w:val="22"/>
              </w:rPr>
              <w:t>22.677</w:t>
            </w:r>
          </w:p>
        </w:tc>
      </w:tr>
      <w:tr>
        <w:trPr>
          <w:cantSplit/>
        </w:trPr>
        <w:tc>
          <w:tcPr>
            <w:tcW w:w="2159" w:type="dxa"/>
            <w:tcBorders>
              <w:top w:val="nil"/>
              <w:left w:val="nil"/>
              <w:bottom w:val="nil"/>
              <w:right w:val="nil"/>
            </w:tcBorders>
            <w:noWrap/>
          </w:tcPr>
          <w:p>
            <w:pPr>
              <w:pStyle w:val="yTableNAm"/>
            </w:pPr>
            <w:r>
              <w:t>Prevelly</w:t>
            </w:r>
          </w:p>
        </w:tc>
        <w:tc>
          <w:tcPr>
            <w:tcW w:w="1985" w:type="dxa"/>
            <w:tcBorders>
              <w:top w:val="nil"/>
              <w:left w:val="nil"/>
              <w:bottom w:val="nil"/>
              <w:right w:val="nil"/>
            </w:tcBorders>
            <w:noWrap/>
            <w:vAlign w:val="bottom"/>
          </w:tcPr>
          <w:p>
            <w:pPr>
              <w:pStyle w:val="yTableNAm"/>
              <w:ind w:right="600"/>
              <w:jc w:val="right"/>
            </w:pPr>
            <w:r>
              <w:rPr>
                <w:szCs w:val="22"/>
              </w:rPr>
              <w:t>8.773</w:t>
            </w:r>
          </w:p>
        </w:tc>
        <w:tc>
          <w:tcPr>
            <w:tcW w:w="1985" w:type="dxa"/>
            <w:tcBorders>
              <w:top w:val="nil"/>
              <w:left w:val="nil"/>
              <w:bottom w:val="nil"/>
              <w:right w:val="nil"/>
            </w:tcBorders>
            <w:noWrap/>
            <w:vAlign w:val="bottom"/>
          </w:tcPr>
          <w:p>
            <w:pPr>
              <w:pStyle w:val="yTableNAm"/>
              <w:ind w:right="600"/>
              <w:jc w:val="right"/>
            </w:pPr>
            <w:r>
              <w:rPr>
                <w:szCs w:val="22"/>
              </w:rPr>
              <w:t>12.840</w:t>
            </w:r>
          </w:p>
        </w:tc>
      </w:tr>
      <w:tr>
        <w:trPr>
          <w:cantSplit/>
        </w:trPr>
        <w:tc>
          <w:tcPr>
            <w:tcW w:w="2159" w:type="dxa"/>
            <w:tcBorders>
              <w:top w:val="nil"/>
              <w:left w:val="nil"/>
              <w:bottom w:val="nil"/>
              <w:right w:val="nil"/>
            </w:tcBorders>
            <w:noWrap/>
          </w:tcPr>
          <w:p>
            <w:pPr>
              <w:pStyle w:val="yTableNAm"/>
            </w:pPr>
            <w:r>
              <w:t>Quairading</w:t>
            </w:r>
          </w:p>
        </w:tc>
        <w:tc>
          <w:tcPr>
            <w:tcW w:w="1985" w:type="dxa"/>
            <w:tcBorders>
              <w:top w:val="nil"/>
              <w:left w:val="nil"/>
              <w:bottom w:val="nil"/>
              <w:right w:val="nil"/>
            </w:tcBorders>
            <w:noWrap/>
            <w:vAlign w:val="bottom"/>
          </w:tcPr>
          <w:p>
            <w:pPr>
              <w:pStyle w:val="yTableNAm"/>
              <w:ind w:right="600"/>
              <w:jc w:val="right"/>
            </w:pPr>
            <w:r>
              <w:rPr>
                <w:szCs w:val="22"/>
              </w:rPr>
              <w:t>23.746</w:t>
            </w:r>
          </w:p>
        </w:tc>
        <w:tc>
          <w:tcPr>
            <w:tcW w:w="1985" w:type="dxa"/>
            <w:tcBorders>
              <w:top w:val="nil"/>
              <w:left w:val="nil"/>
              <w:bottom w:val="nil"/>
              <w:right w:val="nil"/>
            </w:tcBorders>
            <w:noWrap/>
            <w:vAlign w:val="bottom"/>
          </w:tcPr>
          <w:p>
            <w:pPr>
              <w:pStyle w:val="yTableNAm"/>
              <w:ind w:right="600"/>
              <w:jc w:val="right"/>
            </w:pPr>
            <w:r>
              <w:rPr>
                <w:szCs w:val="22"/>
              </w:rPr>
              <w:t>127.445</w:t>
            </w:r>
          </w:p>
        </w:tc>
      </w:tr>
      <w:tr>
        <w:trPr>
          <w:cantSplit/>
        </w:trPr>
        <w:tc>
          <w:tcPr>
            <w:tcW w:w="2159" w:type="dxa"/>
            <w:tcBorders>
              <w:top w:val="nil"/>
              <w:left w:val="nil"/>
              <w:bottom w:val="nil"/>
              <w:right w:val="nil"/>
            </w:tcBorders>
            <w:noWrap/>
          </w:tcPr>
          <w:p>
            <w:pPr>
              <w:pStyle w:val="yTableNAm"/>
            </w:pPr>
            <w:r>
              <w:t>Roebourne</w:t>
            </w:r>
          </w:p>
        </w:tc>
        <w:tc>
          <w:tcPr>
            <w:tcW w:w="1985" w:type="dxa"/>
            <w:tcBorders>
              <w:top w:val="nil"/>
              <w:left w:val="nil"/>
              <w:bottom w:val="nil"/>
              <w:right w:val="nil"/>
            </w:tcBorders>
            <w:noWrap/>
            <w:vAlign w:val="bottom"/>
          </w:tcPr>
          <w:p>
            <w:pPr>
              <w:pStyle w:val="yTableNAm"/>
              <w:ind w:right="600"/>
              <w:jc w:val="right"/>
            </w:pPr>
            <w:r>
              <w:rPr>
                <w:szCs w:val="22"/>
              </w:rPr>
              <w:t>22.130</w:t>
            </w:r>
          </w:p>
        </w:tc>
        <w:tc>
          <w:tcPr>
            <w:tcW w:w="1985" w:type="dxa"/>
            <w:tcBorders>
              <w:top w:val="nil"/>
              <w:left w:val="nil"/>
              <w:bottom w:val="nil"/>
              <w:right w:val="nil"/>
            </w:tcBorders>
            <w:noWrap/>
            <w:vAlign w:val="bottom"/>
          </w:tcPr>
          <w:p>
            <w:pPr>
              <w:pStyle w:val="yTableNAm"/>
              <w:ind w:right="600"/>
              <w:jc w:val="right"/>
            </w:pPr>
            <w:r>
              <w:rPr>
                <w:szCs w:val="22"/>
              </w:rPr>
              <w:t>467.834</w:t>
            </w:r>
          </w:p>
        </w:tc>
      </w:tr>
      <w:tr>
        <w:trPr>
          <w:cantSplit/>
        </w:trPr>
        <w:tc>
          <w:tcPr>
            <w:tcW w:w="2159" w:type="dxa"/>
            <w:tcBorders>
              <w:top w:val="nil"/>
              <w:left w:val="nil"/>
              <w:bottom w:val="nil"/>
              <w:right w:val="nil"/>
            </w:tcBorders>
            <w:noWrap/>
          </w:tcPr>
          <w:p>
            <w:pPr>
              <w:pStyle w:val="yTableNAm"/>
            </w:pPr>
            <w:r>
              <w:t>Seabird</w:t>
            </w:r>
          </w:p>
        </w:tc>
        <w:tc>
          <w:tcPr>
            <w:tcW w:w="1985" w:type="dxa"/>
            <w:tcBorders>
              <w:top w:val="nil"/>
              <w:left w:val="nil"/>
              <w:bottom w:val="nil"/>
              <w:right w:val="nil"/>
            </w:tcBorders>
            <w:noWrap/>
            <w:vAlign w:val="bottom"/>
          </w:tcPr>
          <w:p>
            <w:pPr>
              <w:pStyle w:val="yTableNAm"/>
              <w:ind w:right="600"/>
              <w:jc w:val="right"/>
            </w:pPr>
            <w:r>
              <w:rPr>
                <w:szCs w:val="22"/>
              </w:rPr>
              <w:t>61.956</w:t>
            </w:r>
          </w:p>
        </w:tc>
        <w:tc>
          <w:tcPr>
            <w:tcW w:w="1985" w:type="dxa"/>
            <w:tcBorders>
              <w:top w:val="nil"/>
              <w:left w:val="nil"/>
              <w:bottom w:val="nil"/>
              <w:right w:val="nil"/>
            </w:tcBorders>
            <w:noWrap/>
            <w:vAlign w:val="bottom"/>
          </w:tcPr>
          <w:p>
            <w:pPr>
              <w:pStyle w:val="yTableNAm"/>
              <w:ind w:right="600"/>
              <w:jc w:val="right"/>
            </w:pPr>
            <w:r>
              <w:rPr>
                <w:szCs w:val="22"/>
              </w:rPr>
              <w:t>198.381</w:t>
            </w:r>
          </w:p>
        </w:tc>
      </w:tr>
      <w:tr>
        <w:trPr>
          <w:cantSplit/>
        </w:trPr>
        <w:tc>
          <w:tcPr>
            <w:tcW w:w="2159" w:type="dxa"/>
            <w:tcBorders>
              <w:top w:val="nil"/>
              <w:left w:val="nil"/>
              <w:bottom w:val="nil"/>
              <w:right w:val="nil"/>
            </w:tcBorders>
            <w:noWrap/>
          </w:tcPr>
          <w:p>
            <w:pPr>
              <w:pStyle w:val="yTableNAm"/>
            </w:pPr>
            <w:r>
              <w:t>Tambellup</w:t>
            </w:r>
          </w:p>
        </w:tc>
        <w:tc>
          <w:tcPr>
            <w:tcW w:w="1985" w:type="dxa"/>
            <w:tcBorders>
              <w:top w:val="nil"/>
              <w:left w:val="nil"/>
              <w:bottom w:val="nil"/>
              <w:right w:val="nil"/>
            </w:tcBorders>
            <w:noWrap/>
            <w:vAlign w:val="bottom"/>
          </w:tcPr>
          <w:p>
            <w:pPr>
              <w:pStyle w:val="yTableNAm"/>
              <w:ind w:right="600"/>
              <w:jc w:val="right"/>
            </w:pPr>
            <w:r>
              <w:rPr>
                <w:szCs w:val="22"/>
              </w:rPr>
              <w:t>52.013</w:t>
            </w:r>
          </w:p>
        </w:tc>
        <w:tc>
          <w:tcPr>
            <w:tcW w:w="1985" w:type="dxa"/>
            <w:tcBorders>
              <w:top w:val="nil"/>
              <w:left w:val="nil"/>
              <w:bottom w:val="nil"/>
              <w:right w:val="nil"/>
            </w:tcBorders>
            <w:noWrap/>
            <w:vAlign w:val="bottom"/>
          </w:tcPr>
          <w:p>
            <w:pPr>
              <w:pStyle w:val="yTableNAm"/>
              <w:ind w:right="600"/>
              <w:jc w:val="right"/>
            </w:pPr>
            <w:r>
              <w:rPr>
                <w:szCs w:val="22"/>
              </w:rPr>
              <w:t>730.769</w:t>
            </w:r>
          </w:p>
        </w:tc>
      </w:tr>
      <w:tr>
        <w:trPr>
          <w:cantSplit/>
        </w:trPr>
        <w:tc>
          <w:tcPr>
            <w:tcW w:w="2159" w:type="dxa"/>
            <w:tcBorders>
              <w:top w:val="nil"/>
              <w:left w:val="nil"/>
              <w:bottom w:val="nil"/>
              <w:right w:val="nil"/>
            </w:tcBorders>
            <w:noWrap/>
          </w:tcPr>
          <w:p>
            <w:pPr>
              <w:pStyle w:val="yTableNAm"/>
            </w:pPr>
            <w:r>
              <w:t>Three Springs</w:t>
            </w:r>
          </w:p>
        </w:tc>
        <w:tc>
          <w:tcPr>
            <w:tcW w:w="1985" w:type="dxa"/>
            <w:tcBorders>
              <w:top w:val="nil"/>
              <w:left w:val="nil"/>
              <w:bottom w:val="nil"/>
              <w:right w:val="nil"/>
            </w:tcBorders>
            <w:noWrap/>
            <w:vAlign w:val="bottom"/>
          </w:tcPr>
          <w:p>
            <w:pPr>
              <w:pStyle w:val="yTableNAm"/>
              <w:ind w:right="600"/>
              <w:jc w:val="right"/>
            </w:pPr>
            <w:r>
              <w:rPr>
                <w:szCs w:val="22"/>
              </w:rPr>
              <w:t>4.922</w:t>
            </w:r>
          </w:p>
        </w:tc>
        <w:tc>
          <w:tcPr>
            <w:tcW w:w="1985" w:type="dxa"/>
            <w:tcBorders>
              <w:top w:val="nil"/>
              <w:left w:val="nil"/>
              <w:bottom w:val="nil"/>
              <w:right w:val="nil"/>
            </w:tcBorders>
            <w:noWrap/>
            <w:vAlign w:val="bottom"/>
          </w:tcPr>
          <w:p>
            <w:pPr>
              <w:pStyle w:val="yTableNAm"/>
              <w:ind w:right="600"/>
              <w:jc w:val="right"/>
            </w:pPr>
            <w:r>
              <w:rPr>
                <w:szCs w:val="22"/>
              </w:rPr>
              <w:t>69.876</w:t>
            </w:r>
          </w:p>
        </w:tc>
      </w:tr>
      <w:tr>
        <w:trPr>
          <w:cantSplit/>
        </w:trPr>
        <w:tc>
          <w:tcPr>
            <w:tcW w:w="2159" w:type="dxa"/>
            <w:tcBorders>
              <w:top w:val="nil"/>
              <w:left w:val="nil"/>
              <w:bottom w:val="nil"/>
              <w:right w:val="nil"/>
            </w:tcBorders>
            <w:noWrap/>
          </w:tcPr>
          <w:p>
            <w:pPr>
              <w:pStyle w:val="yTableNAm"/>
            </w:pPr>
            <w:r>
              <w:t>Toodyay</w:t>
            </w:r>
          </w:p>
        </w:tc>
        <w:tc>
          <w:tcPr>
            <w:tcW w:w="1985" w:type="dxa"/>
            <w:tcBorders>
              <w:top w:val="nil"/>
              <w:left w:val="nil"/>
              <w:bottom w:val="nil"/>
              <w:right w:val="nil"/>
            </w:tcBorders>
            <w:noWrap/>
            <w:vAlign w:val="bottom"/>
          </w:tcPr>
          <w:p>
            <w:pPr>
              <w:pStyle w:val="yTableNAm"/>
              <w:ind w:right="600"/>
              <w:jc w:val="right"/>
            </w:pPr>
            <w:r>
              <w:rPr>
                <w:szCs w:val="22"/>
              </w:rPr>
              <w:t>7.887</w:t>
            </w:r>
          </w:p>
        </w:tc>
        <w:tc>
          <w:tcPr>
            <w:tcW w:w="1985" w:type="dxa"/>
            <w:tcBorders>
              <w:top w:val="nil"/>
              <w:left w:val="nil"/>
              <w:bottom w:val="nil"/>
              <w:right w:val="nil"/>
            </w:tcBorders>
            <w:noWrap/>
            <w:vAlign w:val="bottom"/>
          </w:tcPr>
          <w:p>
            <w:pPr>
              <w:pStyle w:val="yTableNAm"/>
              <w:ind w:right="600"/>
              <w:jc w:val="right"/>
            </w:pPr>
            <w:r>
              <w:rPr>
                <w:szCs w:val="22"/>
              </w:rPr>
              <w:t>30.056</w:t>
            </w:r>
          </w:p>
        </w:tc>
      </w:tr>
      <w:tr>
        <w:trPr>
          <w:cantSplit/>
        </w:trPr>
        <w:tc>
          <w:tcPr>
            <w:tcW w:w="2159" w:type="dxa"/>
            <w:tcBorders>
              <w:top w:val="nil"/>
              <w:left w:val="nil"/>
              <w:bottom w:val="nil"/>
              <w:right w:val="nil"/>
            </w:tcBorders>
            <w:noWrap/>
          </w:tcPr>
          <w:p>
            <w:pPr>
              <w:pStyle w:val="yTableNAm"/>
            </w:pPr>
            <w:r>
              <w:t>Wagin</w:t>
            </w:r>
          </w:p>
        </w:tc>
        <w:tc>
          <w:tcPr>
            <w:tcW w:w="1985" w:type="dxa"/>
            <w:tcBorders>
              <w:top w:val="nil"/>
              <w:left w:val="nil"/>
              <w:bottom w:val="nil"/>
              <w:right w:val="nil"/>
            </w:tcBorders>
            <w:noWrap/>
            <w:vAlign w:val="bottom"/>
          </w:tcPr>
          <w:p>
            <w:pPr>
              <w:pStyle w:val="yTableNAm"/>
              <w:ind w:right="600"/>
              <w:jc w:val="right"/>
            </w:pPr>
            <w:r>
              <w:rPr>
                <w:szCs w:val="22"/>
              </w:rPr>
              <w:t>14.420</w:t>
            </w:r>
          </w:p>
        </w:tc>
        <w:tc>
          <w:tcPr>
            <w:tcW w:w="1985" w:type="dxa"/>
            <w:tcBorders>
              <w:top w:val="nil"/>
              <w:left w:val="nil"/>
              <w:bottom w:val="nil"/>
              <w:right w:val="nil"/>
            </w:tcBorders>
            <w:noWrap/>
            <w:vAlign w:val="bottom"/>
          </w:tcPr>
          <w:p>
            <w:pPr>
              <w:pStyle w:val="yTableNAm"/>
              <w:ind w:right="600"/>
              <w:jc w:val="right"/>
            </w:pPr>
            <w:r>
              <w:rPr>
                <w:szCs w:val="22"/>
              </w:rPr>
              <w:t>114.532</w:t>
            </w:r>
          </w:p>
        </w:tc>
      </w:tr>
      <w:tr>
        <w:trPr>
          <w:cantSplit/>
        </w:trPr>
        <w:tc>
          <w:tcPr>
            <w:tcW w:w="2159" w:type="dxa"/>
            <w:tcBorders>
              <w:top w:val="nil"/>
              <w:left w:val="nil"/>
              <w:bottom w:val="nil"/>
              <w:right w:val="nil"/>
            </w:tcBorders>
            <w:noWrap/>
          </w:tcPr>
          <w:p>
            <w:pPr>
              <w:pStyle w:val="yTableNAm"/>
            </w:pPr>
            <w:r>
              <w:t>Walpole</w:t>
            </w:r>
          </w:p>
        </w:tc>
        <w:tc>
          <w:tcPr>
            <w:tcW w:w="1985" w:type="dxa"/>
            <w:tcBorders>
              <w:top w:val="nil"/>
              <w:left w:val="nil"/>
              <w:bottom w:val="nil"/>
              <w:right w:val="nil"/>
            </w:tcBorders>
            <w:noWrap/>
            <w:vAlign w:val="bottom"/>
          </w:tcPr>
          <w:p>
            <w:pPr>
              <w:pStyle w:val="yTableNAm"/>
              <w:ind w:right="600"/>
              <w:jc w:val="right"/>
            </w:pPr>
            <w:r>
              <w:rPr>
                <w:szCs w:val="22"/>
              </w:rPr>
              <w:t>14.964</w:t>
            </w:r>
          </w:p>
        </w:tc>
        <w:tc>
          <w:tcPr>
            <w:tcW w:w="1985" w:type="dxa"/>
            <w:tcBorders>
              <w:top w:val="nil"/>
              <w:left w:val="nil"/>
              <w:bottom w:val="nil"/>
              <w:right w:val="nil"/>
            </w:tcBorders>
            <w:noWrap/>
            <w:vAlign w:val="bottom"/>
          </w:tcPr>
          <w:p>
            <w:pPr>
              <w:pStyle w:val="yTableNAm"/>
              <w:ind w:right="600"/>
              <w:jc w:val="right"/>
            </w:pPr>
            <w:r>
              <w:rPr>
                <w:szCs w:val="22"/>
              </w:rPr>
              <w:t>44.029</w:t>
            </w:r>
          </w:p>
        </w:tc>
      </w:tr>
      <w:tr>
        <w:trPr>
          <w:cantSplit/>
        </w:trPr>
        <w:tc>
          <w:tcPr>
            <w:tcW w:w="2159" w:type="dxa"/>
            <w:tcBorders>
              <w:top w:val="nil"/>
              <w:left w:val="nil"/>
              <w:bottom w:val="nil"/>
              <w:right w:val="nil"/>
            </w:tcBorders>
            <w:noWrap/>
          </w:tcPr>
          <w:p>
            <w:pPr>
              <w:pStyle w:val="yTableNAm"/>
            </w:pPr>
            <w:r>
              <w:t>Waroona</w:t>
            </w:r>
          </w:p>
        </w:tc>
        <w:tc>
          <w:tcPr>
            <w:tcW w:w="1985" w:type="dxa"/>
            <w:tcBorders>
              <w:top w:val="nil"/>
              <w:left w:val="nil"/>
              <w:bottom w:val="nil"/>
              <w:right w:val="nil"/>
            </w:tcBorders>
            <w:noWrap/>
            <w:vAlign w:val="bottom"/>
          </w:tcPr>
          <w:p>
            <w:pPr>
              <w:pStyle w:val="yTableNAm"/>
              <w:ind w:right="600"/>
              <w:jc w:val="right"/>
            </w:pPr>
            <w:r>
              <w:rPr>
                <w:szCs w:val="22"/>
              </w:rPr>
              <w:t>9.187</w:t>
            </w:r>
          </w:p>
        </w:tc>
        <w:tc>
          <w:tcPr>
            <w:tcW w:w="1985" w:type="dxa"/>
            <w:tcBorders>
              <w:top w:val="nil"/>
              <w:left w:val="nil"/>
              <w:bottom w:val="nil"/>
              <w:right w:val="nil"/>
            </w:tcBorders>
            <w:noWrap/>
            <w:vAlign w:val="bottom"/>
          </w:tcPr>
          <w:p>
            <w:pPr>
              <w:pStyle w:val="yTableNAm"/>
              <w:ind w:right="600"/>
              <w:jc w:val="right"/>
            </w:pPr>
            <w:r>
              <w:rPr>
                <w:szCs w:val="22"/>
              </w:rPr>
              <w:t>22.597</w:t>
            </w:r>
          </w:p>
        </w:tc>
      </w:tr>
      <w:tr>
        <w:trPr>
          <w:cantSplit/>
        </w:trPr>
        <w:tc>
          <w:tcPr>
            <w:tcW w:w="2159" w:type="dxa"/>
            <w:tcBorders>
              <w:top w:val="nil"/>
              <w:left w:val="nil"/>
              <w:bottom w:val="nil"/>
              <w:right w:val="nil"/>
            </w:tcBorders>
            <w:noWrap/>
          </w:tcPr>
          <w:p>
            <w:pPr>
              <w:pStyle w:val="yTableNAm"/>
            </w:pPr>
            <w:r>
              <w:t>Wickham</w:t>
            </w:r>
          </w:p>
        </w:tc>
        <w:tc>
          <w:tcPr>
            <w:tcW w:w="1985" w:type="dxa"/>
            <w:tcBorders>
              <w:top w:val="nil"/>
              <w:left w:val="nil"/>
              <w:bottom w:val="nil"/>
              <w:right w:val="nil"/>
            </w:tcBorders>
            <w:noWrap/>
            <w:vAlign w:val="bottom"/>
          </w:tcPr>
          <w:p>
            <w:pPr>
              <w:pStyle w:val="yTableNAm"/>
              <w:ind w:right="600"/>
              <w:jc w:val="right"/>
            </w:pPr>
            <w:r>
              <w:rPr>
                <w:szCs w:val="22"/>
              </w:rPr>
              <w:t>8.174</w:t>
            </w:r>
          </w:p>
        </w:tc>
        <w:tc>
          <w:tcPr>
            <w:tcW w:w="1985" w:type="dxa"/>
            <w:tcBorders>
              <w:top w:val="nil"/>
              <w:left w:val="nil"/>
              <w:bottom w:val="nil"/>
              <w:right w:val="nil"/>
            </w:tcBorders>
            <w:noWrap/>
            <w:vAlign w:val="bottom"/>
          </w:tcPr>
          <w:p>
            <w:pPr>
              <w:pStyle w:val="yTableNAm"/>
              <w:ind w:right="600"/>
              <w:jc w:val="right"/>
            </w:pPr>
            <w:r>
              <w:rPr>
                <w:szCs w:val="22"/>
              </w:rPr>
              <w:t>141.559</w:t>
            </w:r>
          </w:p>
        </w:tc>
      </w:tr>
      <w:tr>
        <w:trPr>
          <w:cantSplit/>
        </w:trPr>
        <w:tc>
          <w:tcPr>
            <w:tcW w:w="2159" w:type="dxa"/>
            <w:tcBorders>
              <w:top w:val="nil"/>
              <w:left w:val="nil"/>
              <w:bottom w:val="nil"/>
              <w:right w:val="nil"/>
            </w:tcBorders>
            <w:noWrap/>
          </w:tcPr>
          <w:p>
            <w:pPr>
              <w:pStyle w:val="yTableNAm"/>
            </w:pPr>
            <w:r>
              <w:t>Williams</w:t>
            </w:r>
          </w:p>
        </w:tc>
        <w:tc>
          <w:tcPr>
            <w:tcW w:w="1985" w:type="dxa"/>
            <w:tcBorders>
              <w:top w:val="nil"/>
              <w:left w:val="nil"/>
              <w:bottom w:val="nil"/>
              <w:right w:val="nil"/>
            </w:tcBorders>
            <w:noWrap/>
            <w:vAlign w:val="bottom"/>
          </w:tcPr>
          <w:p>
            <w:pPr>
              <w:pStyle w:val="yTableNAm"/>
              <w:ind w:right="600"/>
              <w:jc w:val="right"/>
            </w:pPr>
            <w:r>
              <w:rPr>
                <w:szCs w:val="22"/>
              </w:rPr>
              <w:t>25.345</w:t>
            </w:r>
          </w:p>
        </w:tc>
        <w:tc>
          <w:tcPr>
            <w:tcW w:w="1985" w:type="dxa"/>
            <w:tcBorders>
              <w:top w:val="nil"/>
              <w:left w:val="nil"/>
              <w:bottom w:val="nil"/>
              <w:right w:val="nil"/>
            </w:tcBorders>
            <w:noWrap/>
            <w:vAlign w:val="bottom"/>
          </w:tcPr>
          <w:p>
            <w:pPr>
              <w:pStyle w:val="yTableNAm"/>
              <w:ind w:right="600"/>
              <w:jc w:val="right"/>
            </w:pPr>
            <w:r>
              <w:rPr>
                <w:szCs w:val="22"/>
              </w:rPr>
              <w:t>124.030</w:t>
            </w:r>
          </w:p>
        </w:tc>
      </w:tr>
      <w:tr>
        <w:trPr>
          <w:cantSplit/>
        </w:trPr>
        <w:tc>
          <w:tcPr>
            <w:tcW w:w="2159" w:type="dxa"/>
            <w:tcBorders>
              <w:top w:val="nil"/>
              <w:left w:val="nil"/>
              <w:bottom w:val="nil"/>
              <w:right w:val="nil"/>
            </w:tcBorders>
            <w:noWrap/>
          </w:tcPr>
          <w:p>
            <w:pPr>
              <w:pStyle w:val="yTableNAm"/>
            </w:pPr>
            <w:r>
              <w:t>Wiluna</w:t>
            </w:r>
          </w:p>
        </w:tc>
        <w:tc>
          <w:tcPr>
            <w:tcW w:w="1985" w:type="dxa"/>
            <w:tcBorders>
              <w:top w:val="nil"/>
              <w:left w:val="nil"/>
              <w:bottom w:val="nil"/>
              <w:right w:val="nil"/>
            </w:tcBorders>
            <w:noWrap/>
            <w:vAlign w:val="bottom"/>
          </w:tcPr>
          <w:p>
            <w:pPr>
              <w:pStyle w:val="yTableNAm"/>
              <w:ind w:right="600"/>
              <w:jc w:val="right"/>
            </w:pPr>
            <w:r>
              <w:rPr>
                <w:szCs w:val="22"/>
              </w:rPr>
              <w:t>16.535</w:t>
            </w:r>
          </w:p>
        </w:tc>
        <w:tc>
          <w:tcPr>
            <w:tcW w:w="1985" w:type="dxa"/>
            <w:tcBorders>
              <w:top w:val="nil"/>
              <w:left w:val="nil"/>
              <w:bottom w:val="nil"/>
              <w:right w:val="nil"/>
            </w:tcBorders>
            <w:noWrap/>
            <w:vAlign w:val="bottom"/>
          </w:tcPr>
          <w:p>
            <w:pPr>
              <w:pStyle w:val="yTableNAm"/>
              <w:ind w:right="600"/>
              <w:jc w:val="right"/>
            </w:pPr>
            <w:r>
              <w:rPr>
                <w:szCs w:val="22"/>
              </w:rPr>
              <w:t>15.825</w:t>
            </w:r>
          </w:p>
        </w:tc>
      </w:tr>
      <w:tr>
        <w:trPr>
          <w:cantSplit/>
        </w:trPr>
        <w:tc>
          <w:tcPr>
            <w:tcW w:w="2159" w:type="dxa"/>
            <w:tcBorders>
              <w:top w:val="nil"/>
              <w:left w:val="nil"/>
              <w:bottom w:val="nil"/>
              <w:right w:val="nil"/>
            </w:tcBorders>
            <w:noWrap/>
          </w:tcPr>
          <w:p>
            <w:pPr>
              <w:pStyle w:val="yTableNAm"/>
            </w:pPr>
            <w:r>
              <w:t>Wongan Hills</w:t>
            </w:r>
          </w:p>
        </w:tc>
        <w:tc>
          <w:tcPr>
            <w:tcW w:w="1985" w:type="dxa"/>
            <w:tcBorders>
              <w:top w:val="nil"/>
              <w:left w:val="nil"/>
              <w:bottom w:val="nil"/>
              <w:right w:val="nil"/>
            </w:tcBorders>
            <w:noWrap/>
            <w:vAlign w:val="bottom"/>
          </w:tcPr>
          <w:p>
            <w:pPr>
              <w:pStyle w:val="yTableNAm"/>
              <w:ind w:right="600"/>
              <w:jc w:val="right"/>
            </w:pPr>
            <w:r>
              <w:rPr>
                <w:szCs w:val="22"/>
              </w:rPr>
              <w:t>15.255</w:t>
            </w:r>
          </w:p>
        </w:tc>
        <w:tc>
          <w:tcPr>
            <w:tcW w:w="1985" w:type="dxa"/>
            <w:tcBorders>
              <w:top w:val="nil"/>
              <w:left w:val="nil"/>
              <w:bottom w:val="nil"/>
              <w:right w:val="nil"/>
            </w:tcBorders>
            <w:noWrap/>
            <w:vAlign w:val="bottom"/>
          </w:tcPr>
          <w:p>
            <w:pPr>
              <w:pStyle w:val="yTableNAm"/>
              <w:ind w:right="600"/>
              <w:jc w:val="right"/>
            </w:pPr>
            <w:r>
              <w:rPr>
                <w:szCs w:val="22"/>
              </w:rPr>
              <w:t>68.971</w:t>
            </w:r>
          </w:p>
        </w:tc>
      </w:tr>
      <w:tr>
        <w:trPr>
          <w:cantSplit/>
        </w:trPr>
        <w:tc>
          <w:tcPr>
            <w:tcW w:w="2159" w:type="dxa"/>
            <w:tcBorders>
              <w:top w:val="nil"/>
              <w:left w:val="nil"/>
              <w:bottom w:val="nil"/>
              <w:right w:val="nil"/>
            </w:tcBorders>
            <w:noWrap/>
          </w:tcPr>
          <w:p>
            <w:pPr>
              <w:pStyle w:val="yTableNAm"/>
            </w:pPr>
            <w:r>
              <w:t>Wundowie</w:t>
            </w:r>
          </w:p>
        </w:tc>
        <w:tc>
          <w:tcPr>
            <w:tcW w:w="1985" w:type="dxa"/>
            <w:tcBorders>
              <w:top w:val="nil"/>
              <w:left w:val="nil"/>
              <w:bottom w:val="nil"/>
              <w:right w:val="nil"/>
            </w:tcBorders>
            <w:noWrap/>
            <w:vAlign w:val="bottom"/>
          </w:tcPr>
          <w:p>
            <w:pPr>
              <w:pStyle w:val="yTableNAm"/>
              <w:ind w:right="600"/>
              <w:jc w:val="right"/>
            </w:pPr>
            <w:r>
              <w:rPr>
                <w:szCs w:val="22"/>
              </w:rPr>
              <w:t>18.655</w:t>
            </w:r>
          </w:p>
        </w:tc>
        <w:tc>
          <w:tcPr>
            <w:tcW w:w="1985" w:type="dxa"/>
            <w:tcBorders>
              <w:top w:val="nil"/>
              <w:left w:val="nil"/>
              <w:bottom w:val="nil"/>
              <w:right w:val="nil"/>
            </w:tcBorders>
            <w:noWrap/>
            <w:vAlign w:val="bottom"/>
          </w:tcPr>
          <w:p>
            <w:pPr>
              <w:pStyle w:val="yTableNAm"/>
              <w:ind w:right="600"/>
              <w:jc w:val="right"/>
            </w:pPr>
            <w:r>
              <w:rPr>
                <w:szCs w:val="22"/>
              </w:rPr>
              <w:t>56.798</w:t>
            </w:r>
          </w:p>
        </w:tc>
      </w:tr>
      <w:tr>
        <w:trPr>
          <w:cantSplit/>
        </w:trPr>
        <w:tc>
          <w:tcPr>
            <w:tcW w:w="2159" w:type="dxa"/>
            <w:tcBorders>
              <w:top w:val="nil"/>
              <w:left w:val="nil"/>
              <w:bottom w:val="nil"/>
              <w:right w:val="nil"/>
            </w:tcBorders>
            <w:noWrap/>
          </w:tcPr>
          <w:p>
            <w:pPr>
              <w:pStyle w:val="yTableNAm"/>
            </w:pPr>
            <w:r>
              <w:lastRenderedPageBreak/>
              <w:t>Wyalkatchem</w:t>
            </w:r>
          </w:p>
        </w:tc>
        <w:tc>
          <w:tcPr>
            <w:tcW w:w="1985" w:type="dxa"/>
            <w:tcBorders>
              <w:top w:val="nil"/>
              <w:left w:val="nil"/>
              <w:bottom w:val="nil"/>
              <w:right w:val="nil"/>
            </w:tcBorders>
            <w:noWrap/>
            <w:vAlign w:val="bottom"/>
          </w:tcPr>
          <w:p>
            <w:pPr>
              <w:pStyle w:val="yTableNAm"/>
              <w:ind w:right="600"/>
              <w:jc w:val="right"/>
            </w:pPr>
            <w:r>
              <w:rPr>
                <w:szCs w:val="22"/>
              </w:rPr>
              <w:t>28.075</w:t>
            </w:r>
          </w:p>
        </w:tc>
        <w:tc>
          <w:tcPr>
            <w:tcW w:w="1985" w:type="dxa"/>
            <w:tcBorders>
              <w:top w:val="nil"/>
              <w:left w:val="nil"/>
              <w:bottom w:val="nil"/>
              <w:right w:val="nil"/>
            </w:tcBorders>
            <w:noWrap/>
            <w:vAlign w:val="bottom"/>
          </w:tcPr>
          <w:p>
            <w:pPr>
              <w:pStyle w:val="yTableNAm"/>
              <w:ind w:right="600"/>
              <w:jc w:val="right"/>
            </w:pPr>
            <w:r>
              <w:rPr>
                <w:szCs w:val="22"/>
              </w:rPr>
              <w:t>332.707</w:t>
            </w:r>
          </w:p>
        </w:tc>
      </w:tr>
      <w:tr>
        <w:trPr>
          <w:cantSplit/>
        </w:trPr>
        <w:tc>
          <w:tcPr>
            <w:tcW w:w="2159" w:type="dxa"/>
            <w:tcBorders>
              <w:top w:val="nil"/>
              <w:left w:val="nil"/>
              <w:bottom w:val="nil"/>
              <w:right w:val="nil"/>
            </w:tcBorders>
            <w:noWrap/>
          </w:tcPr>
          <w:p>
            <w:pPr>
              <w:pStyle w:val="yTableNAm"/>
            </w:pPr>
            <w:r>
              <w:t>Wyndham</w:t>
            </w:r>
          </w:p>
        </w:tc>
        <w:tc>
          <w:tcPr>
            <w:tcW w:w="1985" w:type="dxa"/>
            <w:tcBorders>
              <w:top w:val="nil"/>
              <w:left w:val="nil"/>
              <w:bottom w:val="nil"/>
              <w:right w:val="nil"/>
            </w:tcBorders>
            <w:noWrap/>
            <w:vAlign w:val="bottom"/>
          </w:tcPr>
          <w:p>
            <w:pPr>
              <w:pStyle w:val="yTableNAm"/>
              <w:ind w:right="600"/>
              <w:jc w:val="right"/>
            </w:pPr>
            <w:r>
              <w:rPr>
                <w:szCs w:val="22"/>
              </w:rPr>
              <w:t>39.395</w:t>
            </w:r>
          </w:p>
        </w:tc>
        <w:tc>
          <w:tcPr>
            <w:tcW w:w="1985" w:type="dxa"/>
            <w:tcBorders>
              <w:top w:val="nil"/>
              <w:left w:val="nil"/>
              <w:bottom w:val="nil"/>
              <w:right w:val="nil"/>
            </w:tcBorders>
            <w:noWrap/>
            <w:vAlign w:val="bottom"/>
          </w:tcPr>
          <w:p>
            <w:pPr>
              <w:pStyle w:val="yTableNAm"/>
              <w:ind w:right="600"/>
              <w:jc w:val="right"/>
            </w:pPr>
            <w:r>
              <w:rPr>
                <w:szCs w:val="22"/>
              </w:rPr>
              <w:t>328.799</w:t>
            </w:r>
          </w:p>
        </w:tc>
      </w:tr>
      <w:tr>
        <w:trPr>
          <w:cantSplit/>
        </w:trPr>
        <w:tc>
          <w:tcPr>
            <w:tcW w:w="2159" w:type="dxa"/>
            <w:tcBorders>
              <w:top w:val="nil"/>
              <w:left w:val="nil"/>
              <w:bottom w:val="nil"/>
              <w:right w:val="nil"/>
            </w:tcBorders>
            <w:noWrap/>
          </w:tcPr>
          <w:p>
            <w:pPr>
              <w:pStyle w:val="yTableNAm"/>
            </w:pPr>
            <w:r>
              <w:t>York</w:t>
            </w:r>
          </w:p>
        </w:tc>
        <w:tc>
          <w:tcPr>
            <w:tcW w:w="1985" w:type="dxa"/>
            <w:tcBorders>
              <w:top w:val="nil"/>
              <w:left w:val="nil"/>
              <w:bottom w:val="nil"/>
              <w:right w:val="nil"/>
            </w:tcBorders>
            <w:noWrap/>
            <w:vAlign w:val="bottom"/>
          </w:tcPr>
          <w:p>
            <w:pPr>
              <w:pStyle w:val="yTableNAm"/>
              <w:ind w:right="600"/>
              <w:jc w:val="right"/>
            </w:pPr>
            <w:r>
              <w:rPr>
                <w:szCs w:val="22"/>
              </w:rPr>
              <w:t>1.603</w:t>
            </w:r>
          </w:p>
        </w:tc>
        <w:tc>
          <w:tcPr>
            <w:tcW w:w="1985" w:type="dxa"/>
            <w:tcBorders>
              <w:top w:val="nil"/>
              <w:left w:val="nil"/>
              <w:bottom w:val="nil"/>
              <w:right w:val="nil"/>
            </w:tcBorders>
            <w:noWrap/>
            <w:vAlign w:val="bottom"/>
          </w:tcPr>
          <w:p>
            <w:pPr>
              <w:pStyle w:val="yTableNAm"/>
              <w:ind w:right="600"/>
              <w:jc w:val="right"/>
            </w:pPr>
            <w:r>
              <w:rPr>
                <w:szCs w:val="22"/>
              </w:rPr>
              <w:t>5.357</w:t>
            </w:r>
          </w:p>
        </w:tc>
      </w:tr>
      <w:tr>
        <w:trPr>
          <w:cantSplit/>
        </w:trPr>
        <w:tc>
          <w:tcPr>
            <w:tcW w:w="2159" w:type="dxa"/>
            <w:tcBorders>
              <w:top w:val="nil"/>
              <w:left w:val="nil"/>
              <w:bottom w:val="single" w:sz="4" w:space="0" w:color="auto"/>
              <w:right w:val="nil"/>
            </w:tcBorders>
            <w:noWrap/>
          </w:tcPr>
          <w:p>
            <w:pPr>
              <w:pStyle w:val="yTableNAm"/>
            </w:pPr>
            <w:r>
              <w:t>Yunderup</w:t>
            </w:r>
          </w:p>
        </w:tc>
        <w:tc>
          <w:tcPr>
            <w:tcW w:w="1985" w:type="dxa"/>
            <w:tcBorders>
              <w:top w:val="nil"/>
              <w:left w:val="nil"/>
              <w:bottom w:val="single" w:sz="4" w:space="0" w:color="auto"/>
              <w:right w:val="nil"/>
            </w:tcBorders>
            <w:noWrap/>
            <w:vAlign w:val="bottom"/>
          </w:tcPr>
          <w:p>
            <w:pPr>
              <w:pStyle w:val="yTableNAm"/>
              <w:ind w:right="600"/>
              <w:jc w:val="right"/>
            </w:pPr>
            <w:r>
              <w:rPr>
                <w:szCs w:val="22"/>
              </w:rPr>
              <w:t>5.357</w:t>
            </w:r>
          </w:p>
        </w:tc>
        <w:tc>
          <w:tcPr>
            <w:tcW w:w="1985" w:type="dxa"/>
            <w:tcBorders>
              <w:top w:val="nil"/>
              <w:left w:val="nil"/>
              <w:bottom w:val="single" w:sz="4" w:space="0" w:color="auto"/>
              <w:right w:val="nil"/>
            </w:tcBorders>
            <w:noWrap/>
            <w:vAlign w:val="bottom"/>
          </w:tcPr>
          <w:p>
            <w:pPr>
              <w:pStyle w:val="yTableNAm"/>
              <w:ind w:right="600"/>
              <w:jc w:val="right"/>
            </w:pPr>
            <w:r>
              <w:rPr>
                <w:szCs w:val="22"/>
              </w:rPr>
              <w:t>6.941</w:t>
            </w:r>
          </w:p>
        </w:tc>
      </w:tr>
    </w:tbl>
    <w:p>
      <w:pPr>
        <w:pStyle w:val="yFootnotesection"/>
      </w:pPr>
      <w:bookmarkStart w:id="439" w:name="_Toc169797252"/>
      <w:bookmarkStart w:id="440" w:name="_Toc169797407"/>
      <w:bookmarkStart w:id="441" w:name="_Toc169797562"/>
      <w:bookmarkStart w:id="442" w:name="_Toc170138901"/>
      <w:r>
        <w:tab/>
        <w:t>[Division 1 inserted: SL 2024/117 r. 9.]</w:t>
      </w:r>
    </w:p>
    <w:p>
      <w:pPr>
        <w:pStyle w:val="yHeading3"/>
      </w:pPr>
      <w:bookmarkStart w:id="443" w:name="_Toc170203762"/>
      <w:bookmarkStart w:id="444" w:name="_Toc170209257"/>
      <w:r>
        <w:rPr>
          <w:rStyle w:val="CharSDivNo"/>
        </w:rPr>
        <w:t>Division 2</w:t>
      </w:r>
      <w:r>
        <w:t> — </w:t>
      </w:r>
      <w:r>
        <w:rPr>
          <w:rStyle w:val="CharSDivText"/>
        </w:rPr>
        <w:t>Combined charges for certain non</w:t>
      </w:r>
      <w:r>
        <w:rPr>
          <w:rStyle w:val="CharSDivText"/>
        </w:rPr>
        <w:noBreakHyphen/>
        <w:t>residential property</w:t>
      </w:r>
      <w:bookmarkEnd w:id="439"/>
      <w:bookmarkEnd w:id="440"/>
      <w:bookmarkEnd w:id="441"/>
      <w:bookmarkEnd w:id="442"/>
      <w:bookmarkEnd w:id="443"/>
      <w:bookmarkEnd w:id="444"/>
    </w:p>
    <w:p>
      <w:pPr>
        <w:pStyle w:val="yFootnoteheading"/>
      </w:pPr>
      <w:r>
        <w:tab/>
        <w:t>[Heading inserted: SL 2024/117 r. 9.]</w:t>
      </w:r>
    </w:p>
    <w:p>
      <w:pPr>
        <w:pStyle w:val="yHeading4"/>
      </w:pPr>
      <w:bookmarkStart w:id="445" w:name="_Toc169797253"/>
      <w:bookmarkStart w:id="446" w:name="_Toc169797408"/>
      <w:bookmarkStart w:id="447" w:name="_Toc169797563"/>
      <w:bookmarkStart w:id="448" w:name="_Toc170138902"/>
      <w:bookmarkStart w:id="449" w:name="_Toc170203763"/>
      <w:bookmarkStart w:id="450" w:name="_Toc170209258"/>
      <w:r>
        <w:t>Subdivision 1 — Preliminary</w:t>
      </w:r>
      <w:bookmarkEnd w:id="445"/>
      <w:bookmarkEnd w:id="446"/>
      <w:bookmarkEnd w:id="447"/>
      <w:bookmarkEnd w:id="448"/>
      <w:bookmarkEnd w:id="449"/>
      <w:bookmarkEnd w:id="450"/>
    </w:p>
    <w:p>
      <w:pPr>
        <w:pStyle w:val="yFootnoteheading"/>
      </w:pPr>
      <w:r>
        <w:tab/>
        <w:t>[Heading inserted: SL 2024/117 r. 9.]</w:t>
      </w:r>
    </w:p>
    <w:p>
      <w:pPr>
        <w:pStyle w:val="yHeading5"/>
      </w:pPr>
      <w:bookmarkStart w:id="451" w:name="_Toc169797254"/>
      <w:bookmarkStart w:id="452" w:name="_Toc169797564"/>
      <w:bookmarkStart w:id="453" w:name="_Toc170209259"/>
      <w:r>
        <w:t>13.</w:t>
      </w:r>
      <w:r>
        <w:tab/>
        <w:t>Combined charges for 2024/25 and subsequent years</w:t>
      </w:r>
      <w:bookmarkEnd w:id="451"/>
      <w:bookmarkEnd w:id="452"/>
      <w:bookmarkEnd w:id="453"/>
    </w:p>
    <w:p>
      <w:pPr>
        <w:pStyle w:val="ySubsection"/>
      </w:pPr>
      <w:r>
        <w:tab/>
      </w:r>
      <w:r>
        <w:tab/>
        <w:t>The charges set out in this Division apply for sewerage services provided and wastewater discharged in the 2024/25 financial year and each subsequent year.</w:t>
      </w:r>
    </w:p>
    <w:p>
      <w:pPr>
        <w:pStyle w:val="yHeading4"/>
      </w:pPr>
      <w:bookmarkStart w:id="454" w:name="_Toc169797255"/>
      <w:bookmarkStart w:id="455" w:name="_Toc169797410"/>
      <w:bookmarkStart w:id="456" w:name="_Toc169797565"/>
      <w:bookmarkStart w:id="457" w:name="_Toc170138904"/>
      <w:bookmarkStart w:id="458" w:name="_Toc170203765"/>
      <w:bookmarkStart w:id="459" w:name="_Toc170209260"/>
      <w:r>
        <w:t>Subdivision 2 — Combined charges: metropolitan</w:t>
      </w:r>
      <w:bookmarkEnd w:id="454"/>
      <w:bookmarkEnd w:id="455"/>
      <w:bookmarkEnd w:id="456"/>
      <w:bookmarkEnd w:id="457"/>
      <w:bookmarkEnd w:id="458"/>
      <w:bookmarkEnd w:id="459"/>
    </w:p>
    <w:p>
      <w:pPr>
        <w:pStyle w:val="yFootnoteheading"/>
      </w:pPr>
      <w:r>
        <w:tab/>
        <w:t>[Heading inserted: SL 2024/117 r. 9.]</w:t>
      </w:r>
    </w:p>
    <w:p>
      <w:pPr>
        <w:pStyle w:val="yHeading5"/>
      </w:pPr>
      <w:bookmarkStart w:id="460" w:name="_Toc169797256"/>
      <w:bookmarkStart w:id="461" w:name="_Toc169797566"/>
      <w:bookmarkStart w:id="462" w:name="_Toc170209261"/>
      <w:r>
        <w:t>14.</w:t>
      </w:r>
      <w:r>
        <w:tab/>
        <w:t>Metropolitan non</w:t>
      </w:r>
      <w:r>
        <w:noBreakHyphen/>
        <w:t>residential</w:t>
      </w:r>
      <w:bookmarkEnd w:id="460"/>
      <w:bookmarkEnd w:id="461"/>
      <w:bookmarkEnd w:id="462"/>
    </w:p>
    <w:p>
      <w:pPr>
        <w:pStyle w:val="ySubsection"/>
      </w:pPr>
      <w:r>
        <w:tab/>
      </w:r>
      <w:r>
        <w:tab/>
        <w:t>For land in the metropolitan area that —</w:t>
      </w:r>
    </w:p>
    <w:p>
      <w:pPr>
        <w:pStyle w:val="yIndenta"/>
      </w:pPr>
      <w:r>
        <w:tab/>
        <w:t>(a)</w:t>
      </w:r>
      <w:r>
        <w:tab/>
        <w:t>is not contained in a residential property; and</w:t>
      </w:r>
    </w:p>
    <w:p>
      <w:pPr>
        <w:pStyle w:val="yIndenta"/>
      </w:pPr>
      <w:r>
        <w:tab/>
        <w:t>(b)</w:t>
      </w:r>
      <w:r>
        <w:tab/>
        <w:t>is not covered by item 3, 4, 5, 6, 15, 16, 17 or 18,</w:t>
      </w:r>
    </w:p>
    <w:p>
      <w:pPr>
        <w:pStyle w:val="ySubsection"/>
      </w:pPr>
      <w:r>
        <w:tab/>
      </w:r>
      <w:r>
        <w:tab/>
        <w:t>the charge is —</w:t>
      </w:r>
    </w:p>
    <w:p>
      <w:pPr>
        <w:pStyle w:val="Equation"/>
        <w:spacing w:before="120"/>
        <w:ind w:left="879"/>
        <w:rPr>
          <w:b/>
          <w:sz w:val="22"/>
        </w:rPr>
      </w:pPr>
      <m:oMathPara>
        <m:oMathParaPr>
          <m:jc m:val="left"/>
        </m:oMathParaPr>
        <m:oMath>
          <m:r>
            <m:rPr>
              <m:sty m:val="b"/>
            </m:rPr>
            <w:rPr>
              <w:rFonts w:ascii="Cambria Math" w:hAnsi="Cambria Math"/>
              <w:sz w:val="22"/>
            </w:rPr>
            <m:t>P+Q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4" w:hanging="425"/>
      </w:pPr>
      <w:r>
        <w:rPr>
          <w:b/>
        </w:rPr>
        <w:lastRenderedPageBreak/>
        <w:t>P</w:t>
      </w:r>
      <w:r>
        <w:tab/>
        <w:t>is the service charge calculated in accordance with item 19;</w:t>
      </w:r>
    </w:p>
    <w:p>
      <w:pPr>
        <w:pStyle w:val="yMiscellaneousBody"/>
        <w:tabs>
          <w:tab w:val="left" w:pos="284"/>
          <w:tab w:val="left" w:pos="1985"/>
        </w:tabs>
        <w:ind w:left="1304" w:hanging="425"/>
      </w:pPr>
      <w:r>
        <w:rPr>
          <w:b/>
        </w:rPr>
        <w:t>Q</w:t>
      </w:r>
      <w:r>
        <w:tab/>
        <w:t>is the discharge charge calculated in accordance with item 20.</w:t>
      </w:r>
    </w:p>
    <w:p>
      <w:pPr>
        <w:pStyle w:val="yHeading5"/>
      </w:pPr>
      <w:bookmarkStart w:id="463" w:name="_Toc169797257"/>
      <w:bookmarkStart w:id="464" w:name="_Toc169797567"/>
      <w:bookmarkStart w:id="465" w:name="_Toc170209262"/>
      <w:r>
        <w:t>15.</w:t>
      </w:r>
      <w:r>
        <w:tab/>
        <w:t>Metropolitan government trading organisation and non</w:t>
      </w:r>
      <w:r>
        <w:noBreakHyphen/>
        <w:t>commercial government property</w:t>
      </w:r>
      <w:bookmarkEnd w:id="463"/>
      <w:bookmarkEnd w:id="464"/>
      <w:bookmarkEnd w:id="465"/>
    </w:p>
    <w:p>
      <w:pPr>
        <w:pStyle w:val="ySubsection"/>
      </w:pPr>
      <w:r>
        <w:tab/>
        <w:t>(1)</w:t>
      </w:r>
      <w:r>
        <w:tab/>
        <w:t>For land in the metropolitan area held by a government trading organisation or a public authority that holds non</w:t>
      </w:r>
      <w:r>
        <w:noBreakHyphen/>
        <w:t>commercial government property, the charge is —</w:t>
      </w:r>
    </w:p>
    <w:p>
      <w:pPr>
        <w:pStyle w:val="Equation"/>
        <w:spacing w:before="120"/>
        <w:ind w:left="879"/>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Y</w:t>
      </w:r>
      <w:r>
        <w:tab/>
        <w:t>is the charge according to the number of connected major fixtures calculated in accordance with item 19;</w:t>
      </w:r>
    </w:p>
    <w:p>
      <w:pPr>
        <w:pStyle w:val="yMiscellaneousBody"/>
        <w:tabs>
          <w:tab w:val="left" w:pos="284"/>
          <w:tab w:val="left" w:pos="1985"/>
        </w:tabs>
        <w:ind w:left="1305" w:hanging="425"/>
      </w:pPr>
      <w:r>
        <w:rPr>
          <w:b/>
        </w:rPr>
        <w:t>Q</w:t>
      </w:r>
      <w:r>
        <w:tab/>
        <w:t>is the discharge charge calculated in accordance with item 20.</w:t>
      </w:r>
    </w:p>
    <w:p>
      <w:pPr>
        <w:pStyle w:val="ySubsection"/>
      </w:pPr>
      <w:r>
        <w:tab/>
        <w:t>(2)</w:t>
      </w:r>
      <w:r>
        <w:tab/>
        <w:t>Sub</w:t>
      </w:r>
      <w:r>
        <w:noBreakHyphen/>
        <w:t>item (1) does not apply to public land.</w:t>
      </w:r>
    </w:p>
    <w:p>
      <w:pPr>
        <w:pStyle w:val="yHeading5"/>
      </w:pPr>
      <w:bookmarkStart w:id="466" w:name="_Toc169797258"/>
      <w:bookmarkStart w:id="467" w:name="_Toc169797568"/>
      <w:bookmarkStart w:id="468" w:name="_Toc170209263"/>
      <w:r>
        <w:t>16.</w:t>
      </w:r>
      <w:r>
        <w:tab/>
        <w:t>Metropolitan non</w:t>
      </w:r>
      <w:r>
        <w:noBreakHyphen/>
        <w:t>strata titled caravan park with long</w:t>
      </w:r>
      <w:r>
        <w:noBreakHyphen/>
        <w:t>term residential caravan bays</w:t>
      </w:r>
      <w:bookmarkEnd w:id="466"/>
      <w:bookmarkEnd w:id="467"/>
      <w:bookmarkEnd w:id="468"/>
    </w:p>
    <w:p>
      <w:pPr>
        <w:pStyle w:val="ySubsection"/>
      </w:pPr>
      <w:r>
        <w:tab/>
      </w:r>
      <w:r>
        <w:tab/>
        <w:t>For a caravan park in the metropolitan area that —</w:t>
      </w:r>
    </w:p>
    <w:p>
      <w:pPr>
        <w:pStyle w:val="yIndenta"/>
      </w:pPr>
      <w:r>
        <w:tab/>
        <w:t>(a)</w:t>
      </w:r>
      <w:r>
        <w:tab/>
        <w:t>does not consist wholly of strata</w:t>
      </w:r>
      <w:r>
        <w:noBreakHyphen/>
        <w:t>titled caravan bays; and</w:t>
      </w:r>
    </w:p>
    <w:p>
      <w:pPr>
        <w:pStyle w:val="yIndenta"/>
        <w:keepNext/>
      </w:pPr>
      <w:r>
        <w:tab/>
        <w:t>(b)</w:t>
      </w:r>
      <w:r>
        <w:tab/>
        <w:t>has long</w:t>
      </w:r>
      <w:r>
        <w:noBreakHyphen/>
        <w:t>term residential caravan bays,</w:t>
      </w:r>
    </w:p>
    <w:p>
      <w:pPr>
        <w:pStyle w:val="ySubsection"/>
        <w:keepNext/>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AA</m:t>
          </m:r>
          <m:r>
            <m:rPr>
              <m:sty m:val="p"/>
            </m:rPr>
            <w:rPr>
              <w:rFonts w:ascii="Cambria Math" w:hAnsi="Cambria Math"/>
              <w:sz w:val="22"/>
            </w:rPr>
            <m:t>+</m:t>
          </m:r>
          <m:r>
            <m:rPr>
              <m:sty m:val="b"/>
            </m:rPr>
            <w:rPr>
              <w:rFonts w:ascii="Cambria Math" w:hAnsi="Cambria Math"/>
              <w:sz w:val="22"/>
            </w:rPr>
            <m:t>AB</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AA</w:t>
      </w:r>
      <w:r>
        <w:tab/>
        <w:t xml:space="preserve">is </w:t>
      </w:r>
      <w:r>
        <w:rPr>
          <w:szCs w:val="22"/>
        </w:rPr>
        <w:t xml:space="preserve">$369.46 </w:t>
      </w:r>
      <w:r>
        <w:t>for each long</w:t>
      </w:r>
      <w:r>
        <w:noBreakHyphen/>
        <w:t>term residential caravan bay;</w:t>
      </w:r>
    </w:p>
    <w:p>
      <w:pPr>
        <w:pStyle w:val="yMiscellaneousBody"/>
        <w:tabs>
          <w:tab w:val="left" w:pos="284"/>
          <w:tab w:val="left" w:pos="1985"/>
        </w:tabs>
        <w:ind w:left="1305" w:hanging="425"/>
      </w:pPr>
      <w:r>
        <w:rPr>
          <w:b/>
        </w:rPr>
        <w:t>AB</w:t>
      </w:r>
      <w:r>
        <w:tab/>
        <w:t>is, for those parts of the caravan park not contained in long</w:t>
      </w:r>
      <w:r>
        <w:noBreakHyphen/>
        <w:t xml:space="preserve">term residential caravan bays — </w:t>
      </w:r>
    </w:p>
    <w:p>
      <w:pPr>
        <w:pStyle w:val="Equation"/>
        <w:keepNext/>
        <w:spacing w:before="120"/>
        <w:ind w:left="880"/>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ind w:left="1305" w:hanging="425"/>
      </w:pPr>
      <w:r>
        <w:t xml:space="preserve">where — </w:t>
      </w:r>
    </w:p>
    <w:p>
      <w:pPr>
        <w:pStyle w:val="yMiscellaneousBody"/>
        <w:tabs>
          <w:tab w:val="left" w:pos="284"/>
          <w:tab w:val="left" w:pos="1985"/>
        </w:tabs>
        <w:ind w:left="1305" w:hanging="425"/>
      </w:pPr>
      <w:r>
        <w:rPr>
          <w:b/>
          <w:bCs/>
        </w:rPr>
        <w:t>Y</w:t>
      </w:r>
      <w:r>
        <w:rPr>
          <w:bCs/>
        </w:rPr>
        <w:tab/>
        <w:t xml:space="preserve">is the </w:t>
      </w:r>
      <w:r>
        <w:rPr>
          <w:bCs/>
          <w:szCs w:val="22"/>
        </w:rPr>
        <w:t>charge</w:t>
      </w:r>
      <w:r>
        <w:rPr>
          <w:bCs/>
        </w:rPr>
        <w:t xml:space="preserve"> according to the number of connected </w:t>
      </w:r>
      <w:r>
        <w:t>major fixtures calculated in accordance with item 19;</w:t>
      </w:r>
    </w:p>
    <w:p>
      <w:pPr>
        <w:pStyle w:val="yMiscellaneousBody"/>
        <w:tabs>
          <w:tab w:val="left" w:pos="284"/>
          <w:tab w:val="left" w:pos="1985"/>
        </w:tabs>
        <w:ind w:left="1305" w:hanging="425"/>
        <w:rPr>
          <w:bCs/>
        </w:rPr>
      </w:pPr>
      <w:r>
        <w:rPr>
          <w:b/>
        </w:rPr>
        <w:lastRenderedPageBreak/>
        <w:t>Q</w:t>
      </w:r>
      <w:r>
        <w:tab/>
        <w:t>is the</w:t>
      </w:r>
      <w:r>
        <w:rPr>
          <w:bCs/>
        </w:rPr>
        <w:t xml:space="preserve"> discharge charge calculated in accordance with item 20.</w:t>
      </w:r>
    </w:p>
    <w:p>
      <w:pPr>
        <w:pStyle w:val="yHeading5"/>
      </w:pPr>
      <w:bookmarkStart w:id="469" w:name="_Toc169797259"/>
      <w:bookmarkStart w:id="470" w:name="_Toc169797569"/>
      <w:bookmarkStart w:id="471" w:name="_Toc170209264"/>
      <w:r>
        <w:t>17.</w:t>
      </w:r>
      <w:r>
        <w:tab/>
        <w:t>Metropolitan nursing home</w:t>
      </w:r>
      <w:bookmarkEnd w:id="469"/>
      <w:bookmarkEnd w:id="470"/>
      <w:bookmarkEnd w:id="471"/>
    </w:p>
    <w:p>
      <w:pPr>
        <w:pStyle w:val="ySubsection"/>
      </w:pPr>
      <w:r>
        <w:tab/>
      </w:r>
      <w:r>
        <w:tab/>
        <w:t>For a nursing home in the metropolitan area, other than a nursing home that is, or is part of, an aged home, 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Q</w:t>
      </w:r>
      <w:r>
        <w:tab/>
        <w:t>is the discharge charge calculated in accordance with item 20;</w:t>
      </w:r>
    </w:p>
    <w:p>
      <w:pPr>
        <w:pStyle w:val="yMiscellaneousBody"/>
        <w:tabs>
          <w:tab w:val="left" w:pos="284"/>
          <w:tab w:val="left" w:pos="1985"/>
        </w:tabs>
        <w:ind w:left="1305" w:hanging="425"/>
      </w:pPr>
      <w:r>
        <w:rPr>
          <w:b/>
        </w:rPr>
        <w:t>T</w:t>
      </w:r>
      <w:r>
        <w:tab/>
        <w:t xml:space="preserve">is </w:t>
      </w:r>
      <m:oMath>
        <m:r>
          <m:rPr>
            <m:sty m:val="b"/>
          </m:rPr>
          <w:rPr>
            <w:rFonts w:ascii="Cambria Math" w:hAnsi="Cambria Math"/>
          </w:rPr>
          <m:t>U</m:t>
        </m:r>
        <m:r>
          <m:rPr>
            <m:sty m:val="p"/>
          </m:rPr>
          <w:rPr>
            <w:rFonts w:ascii="Cambria Math" w:hAnsi="Cambria Math"/>
          </w:rPr>
          <m:t>×</m:t>
        </m:r>
        <m:r>
          <m:rPr>
            <m:sty m:val="b"/>
          </m:rPr>
          <w:rPr>
            <w:rFonts w:ascii="Cambria Math" w:hAnsi="Cambria Math"/>
          </w:rPr>
          <m:t>V</m:t>
        </m:r>
      </m:oMath>
      <w:r>
        <w:t>;</w:t>
      </w:r>
    </w:p>
    <w:p>
      <w:pPr>
        <w:pStyle w:val="yMiscellaneousBody"/>
        <w:tabs>
          <w:tab w:val="left" w:pos="284"/>
          <w:tab w:val="left" w:pos="1985"/>
        </w:tabs>
        <w:ind w:left="1305" w:hanging="425"/>
      </w:pPr>
      <w:r>
        <w:rPr>
          <w:b/>
        </w:rPr>
        <w:t>U</w:t>
      </w:r>
      <w:r>
        <w:tab/>
        <w:t>is the number of beds in the nursing home;</w:t>
      </w:r>
    </w:p>
    <w:p>
      <w:pPr>
        <w:pStyle w:val="yMiscellaneousBody"/>
        <w:tabs>
          <w:tab w:val="left" w:pos="284"/>
          <w:tab w:val="left" w:pos="1985"/>
        </w:tabs>
        <w:ind w:left="1305" w:hanging="425"/>
      </w:pPr>
      <w:r>
        <w:rPr>
          <w:b/>
        </w:rPr>
        <w:t>V</w:t>
      </w:r>
      <w:r>
        <w:tab/>
        <w:t>is</w:t>
      </w:r>
      <w:r>
        <w:rPr>
          <w:szCs w:val="22"/>
        </w:rPr>
        <w:t xml:space="preserve"> $209.06.</w:t>
      </w:r>
    </w:p>
    <w:p>
      <w:pPr>
        <w:pStyle w:val="yHeading5"/>
      </w:pPr>
      <w:bookmarkStart w:id="472" w:name="_Toc169797260"/>
      <w:bookmarkStart w:id="473" w:name="_Toc169797570"/>
      <w:bookmarkStart w:id="474" w:name="_Toc170209265"/>
      <w:r>
        <w:t>18.</w:t>
      </w:r>
      <w:r>
        <w:tab/>
        <w:t>Certain metropolitan units</w:t>
      </w:r>
      <w:bookmarkEnd w:id="472"/>
      <w:bookmarkEnd w:id="473"/>
      <w:bookmarkEnd w:id="474"/>
      <w:r>
        <w:t xml:space="preserve"> </w:t>
      </w:r>
    </w:p>
    <w:p>
      <w:pPr>
        <w:pStyle w:val="ySubsection"/>
      </w:pPr>
      <w:r>
        <w:tab/>
      </w:r>
      <w:r>
        <w:tab/>
        <w:t>For land in the metropolitan area —</w:t>
      </w:r>
    </w:p>
    <w:p>
      <w:pPr>
        <w:pStyle w:val="yIndenta"/>
      </w:pPr>
      <w:r>
        <w:tab/>
        <w:t>(a)</w:t>
      </w:r>
      <w:r>
        <w:tab/>
        <w:t>that is contained in a lot; and</w:t>
      </w:r>
    </w:p>
    <w:p>
      <w:pPr>
        <w:pStyle w:val="yIndenta"/>
      </w:pPr>
      <w:r>
        <w:tab/>
        <w:t>(b)</w:t>
      </w:r>
      <w:r>
        <w:tab/>
        <w:t>that is classified as non</w:t>
      </w:r>
      <w:r>
        <w:noBreakHyphen/>
        <w:t>residential; and</w:t>
      </w:r>
    </w:p>
    <w:p>
      <w:pPr>
        <w:pStyle w:val="yIndenta"/>
      </w:pPr>
      <w:r>
        <w:tab/>
        <w:t>(c)</w:t>
      </w:r>
      <w:r>
        <w:tab/>
        <w:t>that is not covered by item 5 or 6; and</w:t>
      </w:r>
    </w:p>
    <w:p>
      <w:pPr>
        <w:pStyle w:val="yIndenta"/>
      </w:pPr>
      <w:r>
        <w:tab/>
        <w:t>(d)</w:t>
      </w:r>
      <w:r>
        <w:tab/>
        <w:t>that shares one or more major fixtures, that discharge into a sewer of the Water Corporation, with other such land and has no other major fixtures that discharge into such a sewer; and</w:t>
      </w:r>
    </w:p>
    <w:p>
      <w:pPr>
        <w:pStyle w:val="yIndenta"/>
      </w:pPr>
      <w:r>
        <w:tab/>
        <w:t>(e)</w:t>
      </w:r>
      <w:r>
        <w:tab/>
        <w:t>for which the number of major fixtures shared by all units on the relevant scheme plan for a strata titles scheme or a community titles scheme is less than the number of those units,</w:t>
      </w:r>
    </w:p>
    <w:p>
      <w:pPr>
        <w:pStyle w:val="ySubsection"/>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T</w:t>
      </w:r>
      <w:r>
        <w:tab/>
        <w:t xml:space="preserve">is </w:t>
      </w:r>
      <w:r>
        <w:rPr>
          <w:szCs w:val="22"/>
        </w:rPr>
        <w:t>$718.23</w:t>
      </w:r>
      <w:r>
        <w:t>;</w:t>
      </w:r>
    </w:p>
    <w:p>
      <w:pPr>
        <w:pStyle w:val="yMiscellaneousBody"/>
        <w:tabs>
          <w:tab w:val="left" w:pos="284"/>
          <w:tab w:val="left" w:pos="1985"/>
        </w:tabs>
        <w:ind w:left="1305" w:hanging="425"/>
      </w:pPr>
      <w:r>
        <w:rPr>
          <w:b/>
        </w:rPr>
        <w:t>Q</w:t>
      </w:r>
      <w:r>
        <w:tab/>
        <w:t>is the discharge charge calculated in accordance with item 20.</w:t>
      </w:r>
    </w:p>
    <w:p>
      <w:pPr>
        <w:pStyle w:val="yHeading4"/>
      </w:pPr>
      <w:bookmarkStart w:id="475" w:name="_Toc169797261"/>
      <w:bookmarkStart w:id="476" w:name="_Toc169797416"/>
      <w:bookmarkStart w:id="477" w:name="_Toc169797571"/>
      <w:bookmarkStart w:id="478" w:name="_Toc170138910"/>
      <w:bookmarkStart w:id="479" w:name="_Toc170203771"/>
      <w:bookmarkStart w:id="480" w:name="_Toc170209266"/>
      <w:r>
        <w:lastRenderedPageBreak/>
        <w:t>Subdivision 3 — Calculation of certain factors for Subdivision 2</w:t>
      </w:r>
      <w:bookmarkEnd w:id="475"/>
      <w:bookmarkEnd w:id="476"/>
      <w:bookmarkEnd w:id="477"/>
      <w:bookmarkEnd w:id="478"/>
      <w:bookmarkEnd w:id="479"/>
      <w:bookmarkEnd w:id="480"/>
    </w:p>
    <w:p>
      <w:pPr>
        <w:pStyle w:val="yFootnoteheading"/>
      </w:pPr>
      <w:r>
        <w:tab/>
        <w:t>[Heading inserted: SL 2024/117 r. 9.]</w:t>
      </w:r>
    </w:p>
    <w:p>
      <w:pPr>
        <w:pStyle w:val="yHeading5"/>
      </w:pPr>
      <w:bookmarkStart w:id="481" w:name="_Toc169797262"/>
      <w:bookmarkStart w:id="482" w:name="_Toc169797572"/>
      <w:bookmarkStart w:id="483" w:name="_Toc170209267"/>
      <w:r>
        <w:t>19.</w:t>
      </w:r>
      <w:r>
        <w:tab/>
        <w:t>Service charge</w:t>
      </w:r>
      <w:bookmarkEnd w:id="481"/>
      <w:bookmarkEnd w:id="482"/>
      <w:bookmarkEnd w:id="483"/>
    </w:p>
    <w:p>
      <w:pPr>
        <w:pStyle w:val="ySubsection"/>
      </w:pPr>
      <w:r>
        <w:tab/>
      </w:r>
      <w:r>
        <w:tab/>
        <w:t>The service charge (</w:t>
      </w:r>
      <w:r>
        <w:rPr>
          <w:b/>
          <w:i/>
        </w:rPr>
        <w:t>P</w:t>
      </w:r>
      <w:r>
        <w:t>) is the charge, according to the number of major fixtures for the land, that is the sum of the charges for each fixture as set out in the Table.</w:t>
      </w:r>
    </w:p>
    <w:p>
      <w:pPr>
        <w:pStyle w:val="yTHeadingNAm"/>
      </w:pPr>
      <w:r>
        <w:t>Table of major fixture</w:t>
      </w:r>
      <w:r>
        <w:noBreakHyphen/>
        <w:t>based charges</w:t>
      </w:r>
    </w:p>
    <w:tbl>
      <w:tblPr>
        <w:tblW w:w="0" w:type="auto"/>
        <w:tblInd w:w="1560" w:type="dxa"/>
        <w:tblLayout w:type="fixed"/>
        <w:tblCellMar>
          <w:left w:w="28" w:type="dxa"/>
          <w:right w:w="28" w:type="dxa"/>
        </w:tblCellMar>
        <w:tblLook w:val="0000" w:firstRow="0" w:lastRow="0" w:firstColumn="0" w:lastColumn="0" w:noHBand="0" w:noVBand="0"/>
      </w:tblPr>
      <w:tblGrid>
        <w:gridCol w:w="2154"/>
        <w:gridCol w:w="2268"/>
      </w:tblGrid>
      <w:tr>
        <w:trPr>
          <w:tblHeader/>
        </w:trPr>
        <w:tc>
          <w:tcPr>
            <w:tcW w:w="2154" w:type="dxa"/>
            <w:tcBorders>
              <w:top w:val="single" w:sz="4" w:space="0" w:color="auto"/>
              <w:bottom w:val="single" w:sz="4" w:space="0" w:color="auto"/>
            </w:tcBorders>
            <w:noWrap/>
          </w:tcPr>
          <w:p>
            <w:pPr>
              <w:pStyle w:val="yTableNAm"/>
              <w:jc w:val="center"/>
              <w:rPr>
                <w:b/>
              </w:rPr>
            </w:pPr>
          </w:p>
        </w:tc>
        <w:tc>
          <w:tcPr>
            <w:tcW w:w="2268" w:type="dxa"/>
            <w:tcBorders>
              <w:top w:val="single" w:sz="4" w:space="0" w:color="auto"/>
              <w:bottom w:val="single" w:sz="4" w:space="0" w:color="auto"/>
            </w:tcBorders>
            <w:noWrap/>
          </w:tcPr>
          <w:p>
            <w:pPr>
              <w:pStyle w:val="yTableNAm"/>
              <w:jc w:val="center"/>
            </w:pPr>
            <w:r>
              <w:rPr>
                <w:b/>
              </w:rPr>
              <w:t>Charge</w:t>
            </w:r>
            <w:r>
              <w:rPr>
                <w:b/>
              </w:rPr>
              <w:br/>
              <w:t>$</w:t>
            </w:r>
          </w:p>
        </w:tc>
      </w:tr>
      <w:tr>
        <w:tc>
          <w:tcPr>
            <w:tcW w:w="2154" w:type="dxa"/>
            <w:noWrap/>
            <w:tcMar>
              <w:left w:w="482" w:type="dxa"/>
            </w:tcMar>
          </w:tcPr>
          <w:p>
            <w:pPr>
              <w:pStyle w:val="yTableNAmLeft-065cm"/>
              <w:ind w:left="56"/>
              <w:jc w:val="both"/>
            </w:pPr>
            <w:r>
              <w:t>1</w:t>
            </w:r>
            <w:r>
              <w:rPr>
                <w:vertAlign w:val="superscript"/>
              </w:rPr>
              <w:t>st</w:t>
            </w:r>
            <w:r>
              <w:tab/>
              <w:t>fixture</w:t>
            </w:r>
          </w:p>
        </w:tc>
        <w:tc>
          <w:tcPr>
            <w:tcW w:w="2268" w:type="dxa"/>
            <w:noWrap/>
          </w:tcPr>
          <w:p>
            <w:pPr>
              <w:pStyle w:val="yTableNAm"/>
              <w:jc w:val="center"/>
            </w:pPr>
            <w:r>
              <w:t>1 155.37</w:t>
            </w:r>
          </w:p>
        </w:tc>
      </w:tr>
      <w:tr>
        <w:tc>
          <w:tcPr>
            <w:tcW w:w="2154" w:type="dxa"/>
            <w:noWrap/>
            <w:tcMar>
              <w:left w:w="482" w:type="dxa"/>
            </w:tcMar>
          </w:tcPr>
          <w:p>
            <w:pPr>
              <w:pStyle w:val="yTableNAmLeft-065cm"/>
              <w:ind w:left="56"/>
              <w:jc w:val="both"/>
            </w:pPr>
            <w:r>
              <w:t>2</w:t>
            </w:r>
            <w:r>
              <w:rPr>
                <w:vertAlign w:val="superscript"/>
              </w:rPr>
              <w:t>nd</w:t>
            </w:r>
            <w:r>
              <w:tab/>
              <w:t>fixture</w:t>
            </w:r>
          </w:p>
        </w:tc>
        <w:tc>
          <w:tcPr>
            <w:tcW w:w="2268" w:type="dxa"/>
            <w:noWrap/>
          </w:tcPr>
          <w:p>
            <w:pPr>
              <w:pStyle w:val="yTableNAm"/>
              <w:jc w:val="center"/>
            </w:pPr>
            <w:r>
              <w:t>494.56</w:t>
            </w:r>
          </w:p>
        </w:tc>
      </w:tr>
      <w:tr>
        <w:tc>
          <w:tcPr>
            <w:tcW w:w="2154" w:type="dxa"/>
            <w:noWrap/>
            <w:tcMar>
              <w:left w:w="482" w:type="dxa"/>
            </w:tcMar>
          </w:tcPr>
          <w:p>
            <w:pPr>
              <w:pStyle w:val="yTableNAmLeft-065cm"/>
              <w:ind w:left="56"/>
              <w:jc w:val="both"/>
            </w:pPr>
            <w:r>
              <w:t>3</w:t>
            </w:r>
            <w:r>
              <w:rPr>
                <w:vertAlign w:val="superscript"/>
              </w:rPr>
              <w:t>rd</w:t>
            </w:r>
            <w:r>
              <w:tab/>
              <w:t>fixture</w:t>
            </w:r>
          </w:p>
        </w:tc>
        <w:tc>
          <w:tcPr>
            <w:tcW w:w="2268" w:type="dxa"/>
            <w:noWrap/>
          </w:tcPr>
          <w:p>
            <w:pPr>
              <w:pStyle w:val="yTableNAm"/>
              <w:jc w:val="center"/>
            </w:pPr>
            <w:r>
              <w:t>660.48</w:t>
            </w:r>
          </w:p>
        </w:tc>
      </w:tr>
      <w:tr>
        <w:tc>
          <w:tcPr>
            <w:tcW w:w="2154" w:type="dxa"/>
            <w:tcBorders>
              <w:bottom w:val="single" w:sz="4" w:space="0" w:color="auto"/>
            </w:tcBorders>
            <w:noWrap/>
            <w:tcMar>
              <w:left w:w="482" w:type="dxa"/>
            </w:tcMar>
          </w:tcPr>
          <w:p>
            <w:pPr>
              <w:pStyle w:val="yTableNAmLeft-065cm"/>
              <w:ind w:left="56"/>
            </w:pPr>
            <w:r>
              <w:t>4</w:t>
            </w:r>
            <w:r>
              <w:rPr>
                <w:vertAlign w:val="superscript"/>
              </w:rPr>
              <w:t>th</w:t>
            </w:r>
            <w:r>
              <w:tab/>
              <w:t>and subsequent fixtures</w:t>
            </w:r>
          </w:p>
        </w:tc>
        <w:tc>
          <w:tcPr>
            <w:tcW w:w="2268" w:type="dxa"/>
            <w:tcBorders>
              <w:bottom w:val="single" w:sz="4" w:space="0" w:color="auto"/>
            </w:tcBorders>
            <w:noWrap/>
          </w:tcPr>
          <w:p>
            <w:pPr>
              <w:pStyle w:val="yTableNAm"/>
              <w:jc w:val="center"/>
            </w:pPr>
            <w:r>
              <w:rPr>
                <w:szCs w:val="22"/>
              </w:rPr>
              <w:t>718.23</w:t>
            </w:r>
          </w:p>
        </w:tc>
      </w:tr>
    </w:tbl>
    <w:p>
      <w:pPr>
        <w:pStyle w:val="yHeading5"/>
      </w:pPr>
      <w:bookmarkStart w:id="484" w:name="_Toc169797263"/>
      <w:bookmarkStart w:id="485" w:name="_Toc169797573"/>
      <w:bookmarkStart w:id="486" w:name="_Toc170209268"/>
      <w:r>
        <w:t>20.</w:t>
      </w:r>
      <w:r>
        <w:tab/>
        <w:t>Discharge charge</w:t>
      </w:r>
      <w:bookmarkEnd w:id="484"/>
      <w:bookmarkEnd w:id="485"/>
      <w:bookmarkEnd w:id="486"/>
    </w:p>
    <w:p>
      <w:pPr>
        <w:pStyle w:val="ySubsection"/>
        <w:keepNext/>
        <w:tabs>
          <w:tab w:val="right" w:leader="dot" w:pos="6804"/>
        </w:tabs>
      </w:pPr>
      <w:r>
        <w:rPr>
          <w:szCs w:val="22"/>
        </w:rPr>
        <w:tab/>
      </w:r>
      <w:r>
        <w:rPr>
          <w:szCs w:val="22"/>
        </w:rPr>
        <w:tab/>
        <w:t xml:space="preserve">The </w:t>
      </w:r>
      <w:r>
        <w:t>discharge</w:t>
      </w:r>
      <w:r>
        <w:rPr>
          <w:szCs w:val="22"/>
        </w:rPr>
        <w:t xml:space="preserve"> charge (</w:t>
      </w:r>
      <w:r>
        <w:rPr>
          <w:b/>
          <w:i/>
          <w:szCs w:val="22"/>
        </w:rPr>
        <w:t>Q</w:t>
      </w:r>
      <w:r>
        <w:rPr>
          <w:szCs w:val="22"/>
        </w:rPr>
        <w:t>) is —</w:t>
      </w:r>
    </w:p>
    <w:p>
      <w:pPr>
        <w:pStyle w:val="yMiscellaneousBody"/>
        <w:tabs>
          <w:tab w:val="left" w:pos="284"/>
          <w:tab w:val="right" w:leader="dot" w:pos="6804"/>
        </w:tabs>
        <w:ind w:left="1021" w:hanging="142"/>
        <w:rPr>
          <w:szCs w:val="22"/>
        </w:rPr>
      </w:pPr>
      <w:r>
        <w:rPr>
          <w:szCs w:val="22"/>
        </w:rPr>
        <w:t xml:space="preserve">if </w:t>
      </w:r>
      <m:oMath>
        <m:r>
          <m:rPr>
            <m:sty m:val="p"/>
          </m:rPr>
          <w:rPr>
            <w:rFonts w:ascii="Cambria Math" w:hAnsi="Cambria Math"/>
            <w:szCs w:val="22"/>
          </w:rPr>
          <m:t>(</m:t>
        </m:r>
        <m:r>
          <m:rPr>
            <m:sty m:val="b"/>
          </m:rPr>
          <w:rPr>
            <w:rFonts w:ascii="Cambria Math" w:hAnsi="Cambria Math"/>
            <w:szCs w:val="22"/>
          </w:rPr>
          <m:t>F</m:t>
        </m:r>
        <m:r>
          <m:rPr>
            <m:sty m:val="p"/>
          </m:rPr>
          <w:rPr>
            <w:rFonts w:ascii="Cambria Math" w:hAnsi="Cambria Math"/>
            <w:szCs w:val="22"/>
          </w:rPr>
          <m:t>×</m:t>
        </m:r>
        <m:r>
          <m:rPr>
            <m:sty m:val="b"/>
          </m:rPr>
          <w:rPr>
            <w:rFonts w:ascii="Cambria Math" w:hAnsi="Cambria Math"/>
            <w:szCs w:val="22"/>
          </w:rPr>
          <m:t>G</m:t>
        </m:r>
        <m:r>
          <m:rPr>
            <m:sty m:val="p"/>
          </m:rPr>
          <w:rPr>
            <w:rFonts w:ascii="Cambria Math" w:hAnsi="Cambria Math"/>
            <w:szCs w:val="22"/>
          </w:rPr>
          <m:t>)≤</m:t>
        </m:r>
        <m:r>
          <m:rPr>
            <m:sty m:val="b"/>
          </m:rPr>
          <w:rPr>
            <w:rFonts w:ascii="Cambria Math" w:hAnsi="Cambria Math"/>
            <w:szCs w:val="22"/>
          </w:rPr>
          <m:t>H</m:t>
        </m:r>
      </m:oMath>
      <w:r>
        <w:rPr>
          <w:szCs w:val="22"/>
        </w:rPr>
        <w:t>,</w:t>
      </w:r>
    </w:p>
    <w:p>
      <w:pPr>
        <w:pStyle w:val="yMiscellaneousBody"/>
        <w:tabs>
          <w:tab w:val="left" w:pos="284"/>
          <w:tab w:val="left" w:pos="1985"/>
          <w:tab w:val="right" w:leader="dot" w:pos="6804"/>
        </w:tabs>
        <w:ind w:left="1021" w:hanging="142"/>
      </w:pPr>
      <w:r>
        <w:tab/>
        <w:t>then nil</w:t>
      </w:r>
    </w:p>
    <w:p>
      <w:pPr>
        <w:pStyle w:val="yMiscellaneousBody"/>
        <w:tabs>
          <w:tab w:val="left" w:pos="284"/>
          <w:tab w:val="right" w:leader="dot" w:pos="6804"/>
        </w:tabs>
        <w:ind w:left="1021" w:hanging="142"/>
        <w:rPr>
          <w:szCs w:val="22"/>
        </w:rPr>
      </w:pPr>
      <w:r>
        <w:rPr>
          <w:szCs w:val="22"/>
        </w:rPr>
        <w:t xml:space="preserve">or if </w:t>
      </w:r>
      <m:oMath>
        <m:r>
          <m:rPr>
            <m:sty m:val="p"/>
          </m:rPr>
          <w:rPr>
            <w:rFonts w:ascii="Cambria Math" w:hAnsi="Cambria Math"/>
            <w:szCs w:val="22"/>
          </w:rPr>
          <m:t>(</m:t>
        </m:r>
        <m:r>
          <m:rPr>
            <m:sty m:val="b"/>
          </m:rPr>
          <w:rPr>
            <w:rFonts w:ascii="Cambria Math" w:hAnsi="Cambria Math"/>
            <w:szCs w:val="22"/>
          </w:rPr>
          <m:t>F</m:t>
        </m:r>
        <m:r>
          <m:rPr>
            <m:sty m:val="p"/>
          </m:rPr>
          <w:rPr>
            <w:rFonts w:ascii="Cambria Math" w:hAnsi="Cambria Math"/>
            <w:szCs w:val="22"/>
          </w:rPr>
          <m:t>×</m:t>
        </m:r>
        <m:r>
          <m:rPr>
            <m:sty m:val="b"/>
          </m:rPr>
          <w:rPr>
            <w:rFonts w:ascii="Cambria Math" w:hAnsi="Cambria Math"/>
            <w:szCs w:val="22"/>
          </w:rPr>
          <m:t>G</m:t>
        </m:r>
        <m:r>
          <m:rPr>
            <m:sty m:val="p"/>
          </m:rPr>
          <w:rPr>
            <w:rFonts w:ascii="Cambria Math" w:hAnsi="Cambria Math"/>
            <w:szCs w:val="22"/>
          </w:rPr>
          <m:t>)&gt;</m:t>
        </m:r>
        <m:r>
          <m:rPr>
            <m:sty m:val="b"/>
          </m:rPr>
          <w:rPr>
            <w:rFonts w:ascii="Cambria Math" w:hAnsi="Cambria Math"/>
            <w:szCs w:val="22"/>
          </w:rPr>
          <m:t>H</m:t>
        </m:r>
      </m:oMath>
      <w:r>
        <w:rPr>
          <w:szCs w:val="22"/>
        </w:rPr>
        <w:t>,</w:t>
      </w:r>
    </w:p>
    <w:p>
      <w:pPr>
        <w:pStyle w:val="yMiscellaneousBody"/>
        <w:tabs>
          <w:tab w:val="left" w:pos="284"/>
          <w:tab w:val="left" w:pos="1985"/>
          <w:tab w:val="right" w:leader="dot" w:pos="6804"/>
        </w:tabs>
        <w:ind w:left="1021" w:hanging="142"/>
      </w:pPr>
      <w:r>
        <w:tab/>
        <w:t xml:space="preserve">then </w:t>
      </w:r>
      <m:oMath>
        <m:r>
          <m:rPr>
            <m:sty m:val="p"/>
          </m:rPr>
          <w:rPr>
            <w:rFonts w:ascii="Cambria Math" w:hAnsi="Cambria Math"/>
          </w:rPr>
          <m:t>(</m:t>
        </m:r>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H)×I</m:t>
        </m:r>
      </m:oMath>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F</w:t>
      </w:r>
      <w:r>
        <w:rPr>
          <w:b/>
        </w:rPr>
        <w:tab/>
      </w:r>
      <w:r>
        <w:t>is the volume of water supplied to the land in the current consumption year;</w:t>
      </w:r>
    </w:p>
    <w:p>
      <w:pPr>
        <w:pStyle w:val="yMiscellaneousBody"/>
        <w:tabs>
          <w:tab w:val="left" w:pos="284"/>
          <w:tab w:val="left" w:pos="1985"/>
        </w:tabs>
        <w:ind w:left="1305" w:hanging="425"/>
      </w:pPr>
      <w:r>
        <w:rPr>
          <w:b/>
        </w:rPr>
        <w:t>G</w:t>
      </w:r>
      <w:r>
        <w:tab/>
        <w:t>is the discharge factor applicable for the land for the current discharge year;</w:t>
      </w:r>
    </w:p>
    <w:p>
      <w:pPr>
        <w:pStyle w:val="yMiscellaneousBody"/>
        <w:tabs>
          <w:tab w:val="left" w:pos="284"/>
          <w:tab w:val="left" w:pos="1985"/>
        </w:tabs>
        <w:ind w:left="1305" w:hanging="425"/>
      </w:pPr>
      <w:r>
        <w:rPr>
          <w:b/>
        </w:rPr>
        <w:t>H</w:t>
      </w:r>
      <w:r>
        <w:tab/>
        <w:t>is the discharge allowance for the current discharge year worked out in accordance with item 21;</w:t>
      </w:r>
    </w:p>
    <w:p>
      <w:pPr>
        <w:pStyle w:val="yMiscellaneousBody"/>
        <w:keepNext/>
        <w:tabs>
          <w:tab w:val="left" w:pos="284"/>
          <w:tab w:val="left" w:pos="1701"/>
          <w:tab w:val="right" w:leader="dot" w:pos="6804"/>
        </w:tabs>
        <w:ind w:left="1276" w:hanging="397"/>
      </w:pPr>
      <w:r>
        <w:rPr>
          <w:b/>
          <w:szCs w:val="22"/>
        </w:rPr>
        <w:lastRenderedPageBreak/>
        <w:t>I</w:t>
      </w:r>
      <w:r>
        <w:rPr>
          <w:szCs w:val="22"/>
        </w:rPr>
        <w:tab/>
        <w:t>is $4.246</w:t>
      </w:r>
      <w:r>
        <w:t>,</w:t>
      </w:r>
    </w:p>
    <w:p>
      <w:pPr>
        <w:pStyle w:val="yMiscellaneousBody"/>
        <w:tabs>
          <w:tab w:val="left" w:pos="284"/>
          <w:tab w:val="left" w:pos="1985"/>
        </w:tabs>
        <w:ind w:left="879"/>
      </w:pPr>
      <w:r>
        <w:t xml:space="preserve">and </w:t>
      </w:r>
      <m:oMath>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m:t>
        </m:r>
      </m:oMath>
      <w:r>
        <w:t xml:space="preserve"> is rounded down to the nearest whole number.</w:t>
      </w:r>
    </w:p>
    <w:p>
      <w:pPr>
        <w:pStyle w:val="yHeading5"/>
      </w:pPr>
      <w:bookmarkStart w:id="487" w:name="_Toc169797264"/>
      <w:bookmarkStart w:id="488" w:name="_Toc169797574"/>
      <w:bookmarkStart w:id="489" w:name="_Toc170209269"/>
      <w:r>
        <w:t>21.</w:t>
      </w:r>
      <w:r>
        <w:tab/>
        <w:t>Discharge allowance</w:t>
      </w:r>
      <w:bookmarkEnd w:id="487"/>
      <w:bookmarkEnd w:id="488"/>
      <w:bookmarkEnd w:id="489"/>
    </w:p>
    <w:p>
      <w:pPr>
        <w:pStyle w:val="ySubsection"/>
      </w:pPr>
      <w:r>
        <w:tab/>
        <w:t>(1)</w:t>
      </w:r>
      <w:r>
        <w:tab/>
        <w:t>The discharge allowance for the current discharge year is —</w:t>
      </w:r>
    </w:p>
    <w:p>
      <w:pPr>
        <w:pStyle w:val="yIndenta"/>
      </w:pPr>
      <w:r>
        <w:tab/>
        <w:t>(a)</w:t>
      </w:r>
      <w:r>
        <w:tab/>
        <w:t>for land to which item 14 applies that is not covered by paragraph (e) — 200 kL;</w:t>
      </w:r>
    </w:p>
    <w:p>
      <w:pPr>
        <w:pStyle w:val="yIndenta"/>
      </w:pPr>
      <w:r>
        <w:tab/>
        <w:t>(b)</w:t>
      </w:r>
      <w:r>
        <w:tab/>
        <w:t>for land held by a government trading organisation or by a public authority that holds non</w:t>
      </w:r>
      <w:r>
        <w:noBreakHyphen/>
        <w:t>commercial government property — 200 kL;</w:t>
      </w:r>
    </w:p>
    <w:p>
      <w:pPr>
        <w:pStyle w:val="yIndenta"/>
      </w:pPr>
      <w:r>
        <w:tab/>
        <w:t>(c)</w:t>
      </w:r>
      <w:r>
        <w:tab/>
        <w:t>for a caravan park referred to in item 16, the amount (in kL) calculated in accordance with the formula in sub</w:t>
      </w:r>
      <w:r>
        <w:noBreakHyphen/>
        <w:t>item (2);</w:t>
      </w:r>
    </w:p>
    <w:p>
      <w:pPr>
        <w:pStyle w:val="yIndenta"/>
      </w:pPr>
      <w:r>
        <w:tab/>
        <w:t>(d)</w:t>
      </w:r>
      <w:r>
        <w:tab/>
        <w:t>for a nursing home referred to in item 17 — 75 kL per bed;</w:t>
      </w:r>
    </w:p>
    <w:p>
      <w:pPr>
        <w:pStyle w:val="yIndenta"/>
      </w:pPr>
      <w:r>
        <w:tab/>
        <w:t>(e)</w:t>
      </w:r>
      <w:r>
        <w:tab/>
        <w:t>for properties that share a metered property water supply connection — 200 kL for each property.</w:t>
      </w:r>
    </w:p>
    <w:p>
      <w:pPr>
        <w:pStyle w:val="ySubsection"/>
        <w:keepNext/>
      </w:pPr>
      <w:r>
        <w:tab/>
        <w:t>(2)</w:t>
      </w:r>
      <w:r>
        <w:tab/>
        <w:t>The formula for the purposes of sub</w:t>
      </w:r>
      <w:r>
        <w:noBreakHyphen/>
        <w:t>item (1)(c) is —</w:t>
      </w:r>
    </w:p>
    <w:p>
      <w:pPr>
        <w:pStyle w:val="Equation"/>
        <w:spacing w:before="120"/>
        <w:ind w:left="879"/>
        <w:rPr>
          <w:sz w:val="22"/>
        </w:rPr>
      </w:pPr>
      <m:oMathPara>
        <m:oMathParaPr>
          <m:jc m:val="left"/>
        </m:oMathParaPr>
        <m:oMath>
          <m:r>
            <m:rPr>
              <m:sty m:val="b"/>
            </m:rPr>
            <w:rPr>
              <w:rFonts w:ascii="Cambria Math" w:hAnsi="Cambria Math"/>
              <w:sz w:val="22"/>
            </w:rPr>
            <m:t>200kL</m:t>
          </m:r>
          <m:r>
            <m:rPr>
              <m:sty m:val="p"/>
            </m:rPr>
            <w:rPr>
              <w:rFonts w:ascii="Cambria Math" w:hAnsi="Cambria Math"/>
              <w:sz w:val="22"/>
            </w:rPr>
            <m:t>+</m:t>
          </m:r>
          <m:r>
            <m:rPr>
              <m:sty m:val="b"/>
            </m:rPr>
            <w:rPr>
              <w:rFonts w:ascii="Cambria Math" w:hAnsi="Cambria Math"/>
              <w:sz w:val="22"/>
            </w:rPr>
            <m:t>M</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4" w:hanging="425"/>
      </w:pPr>
      <w:r>
        <w:rPr>
          <w:b/>
        </w:rPr>
        <w:t>M</w:t>
      </w:r>
      <w:r>
        <w:tab/>
        <w:t xml:space="preserve">is 75 kL for </w:t>
      </w:r>
      <w:r>
        <w:rPr>
          <w:szCs w:val="22"/>
        </w:rPr>
        <w:t>each</w:t>
      </w:r>
      <w:r>
        <w:t xml:space="preserve"> long</w:t>
      </w:r>
      <w:r>
        <w:noBreakHyphen/>
        <w:t>term residential caravan bay.</w:t>
      </w:r>
    </w:p>
    <w:p>
      <w:pPr>
        <w:pStyle w:val="yHeading4"/>
      </w:pPr>
      <w:bookmarkStart w:id="490" w:name="_Toc169797265"/>
      <w:bookmarkStart w:id="491" w:name="_Toc169797420"/>
      <w:bookmarkStart w:id="492" w:name="_Toc169797575"/>
      <w:bookmarkStart w:id="493" w:name="_Toc170138914"/>
      <w:bookmarkStart w:id="494" w:name="_Toc170203775"/>
      <w:bookmarkStart w:id="495" w:name="_Toc170209270"/>
      <w:r>
        <w:t>Subdivision 4 — Combined charges: non</w:t>
      </w:r>
      <w:r>
        <w:noBreakHyphen/>
        <w:t>metropolitan</w:t>
      </w:r>
      <w:bookmarkEnd w:id="490"/>
      <w:bookmarkEnd w:id="491"/>
      <w:bookmarkEnd w:id="492"/>
      <w:bookmarkEnd w:id="493"/>
      <w:bookmarkEnd w:id="494"/>
      <w:bookmarkEnd w:id="495"/>
    </w:p>
    <w:p>
      <w:pPr>
        <w:pStyle w:val="yFootnoteheading"/>
      </w:pPr>
      <w:r>
        <w:tab/>
        <w:t>[Heading inserted: SL 2024/117 r. 9.]</w:t>
      </w:r>
    </w:p>
    <w:p>
      <w:pPr>
        <w:pStyle w:val="yHeading5"/>
      </w:pPr>
      <w:bookmarkStart w:id="496" w:name="_Toc169797266"/>
      <w:bookmarkStart w:id="497" w:name="_Toc169797576"/>
      <w:bookmarkStart w:id="498" w:name="_Toc170209271"/>
      <w:r>
        <w:t>22.</w:t>
      </w:r>
      <w:r>
        <w:tab/>
        <w:t>Non</w:t>
      </w:r>
      <w:r>
        <w:noBreakHyphen/>
        <w:t>metropolitan non</w:t>
      </w:r>
      <w:r>
        <w:noBreakHyphen/>
        <w:t>residential</w:t>
      </w:r>
      <w:bookmarkEnd w:id="496"/>
      <w:bookmarkEnd w:id="497"/>
      <w:bookmarkEnd w:id="498"/>
    </w:p>
    <w:p>
      <w:pPr>
        <w:pStyle w:val="ySubsection"/>
      </w:pPr>
      <w:r>
        <w:tab/>
      </w:r>
      <w:r>
        <w:tab/>
        <w:t>For land in the non</w:t>
      </w:r>
      <w:r>
        <w:noBreakHyphen/>
        <w:t>metropolitan area that —</w:t>
      </w:r>
    </w:p>
    <w:p>
      <w:pPr>
        <w:pStyle w:val="yIndenta"/>
      </w:pPr>
      <w:r>
        <w:tab/>
        <w:t>(a)</w:t>
      </w:r>
      <w:r>
        <w:tab/>
        <w:t>is classified as non</w:t>
      </w:r>
      <w:r>
        <w:noBreakHyphen/>
        <w:t>residential property; and</w:t>
      </w:r>
    </w:p>
    <w:p>
      <w:pPr>
        <w:pStyle w:val="yIndenta"/>
      </w:pPr>
      <w:r>
        <w:tab/>
        <w:t>(b)</w:t>
      </w:r>
      <w:r>
        <w:tab/>
        <w:t>is not covered by item 5, 6, 10, 23, 24, 25 or 26,</w:t>
      </w:r>
    </w:p>
    <w:p>
      <w:pPr>
        <w:pStyle w:val="ySubsection"/>
      </w:pPr>
      <w:r>
        <w:tab/>
      </w:r>
      <w:r>
        <w:tab/>
        <w:t>the charge is —</w:t>
      </w:r>
    </w:p>
    <w:p>
      <w:pPr>
        <w:pStyle w:val="yMiscellaneousBody"/>
        <w:tabs>
          <w:tab w:val="left" w:pos="284"/>
          <w:tab w:val="right" w:leader="dot" w:pos="6804"/>
        </w:tabs>
        <w:ind w:left="1021" w:hanging="142"/>
      </w:pPr>
      <w:r>
        <w:rPr>
          <w:szCs w:val="22"/>
        </w:rPr>
        <w:t>if</w:t>
      </w:r>
      <w:r>
        <w:t xml:space="preserve"> </w:t>
      </w:r>
      <m:oMath>
        <m:r>
          <m:rPr>
            <m:sty m:val="p"/>
          </m:rPr>
          <w:rPr>
            <w:rFonts w:ascii="Cambria Math" w:hAnsi="Cambria Math"/>
          </w:rPr>
          <m:t>(</m:t>
        </m:r>
        <m:r>
          <m:rPr>
            <m:sty m:val="b"/>
          </m:rPr>
          <w:rPr>
            <w:rFonts w:ascii="Cambria Math" w:hAnsi="Cambria Math"/>
          </w:rPr>
          <m:t>P+Q</m:t>
        </m:r>
        <m:r>
          <m:rPr>
            <m:sty m:val="p"/>
          </m:rPr>
          <w:rPr>
            <w:rFonts w:ascii="Cambria Math" w:hAnsi="Cambria Math"/>
          </w:rPr>
          <m:t>)≤</m:t>
        </m:r>
        <m:r>
          <m:rPr>
            <m:sty m:val="b"/>
          </m:rPr>
          <w:rPr>
            <w:rFonts w:ascii="Cambria Math" w:hAnsi="Cambria Math"/>
          </w:rPr>
          <m:t>R</m:t>
        </m:r>
      </m:oMath>
      <w:r>
        <w:t>,</w:t>
      </w:r>
    </w:p>
    <w:p>
      <w:pPr>
        <w:pStyle w:val="yMiscellaneousBody"/>
        <w:tabs>
          <w:tab w:val="left" w:pos="284"/>
          <w:tab w:val="left" w:pos="1985"/>
          <w:tab w:val="right" w:leader="dot" w:pos="6804"/>
        </w:tabs>
        <w:ind w:left="1021" w:hanging="142"/>
      </w:pPr>
      <w:r>
        <w:tab/>
        <w:t xml:space="preserve">then </w:t>
      </w:r>
      <m:oMath>
        <m:r>
          <m:rPr>
            <m:sty m:val="b"/>
          </m:rPr>
          <w:rPr>
            <w:rFonts w:ascii="Cambria Math" w:hAnsi="Cambria Math"/>
          </w:rPr>
          <m:t>P+Q</m:t>
        </m:r>
      </m:oMath>
    </w:p>
    <w:p>
      <w:pPr>
        <w:pStyle w:val="yMiscellaneousBody"/>
        <w:keepNext/>
        <w:tabs>
          <w:tab w:val="left" w:pos="284"/>
          <w:tab w:val="right" w:leader="dot" w:pos="6804"/>
        </w:tabs>
        <w:ind w:left="1021" w:hanging="142"/>
      </w:pPr>
      <w:r>
        <w:rPr>
          <w:szCs w:val="22"/>
        </w:rPr>
        <w:lastRenderedPageBreak/>
        <w:t>or</w:t>
      </w:r>
      <w:r>
        <w:t xml:space="preserve"> if </w:t>
      </w:r>
      <m:oMath>
        <m:r>
          <m:rPr>
            <m:sty m:val="p"/>
          </m:rPr>
          <w:rPr>
            <w:rFonts w:ascii="Cambria Math" w:hAnsi="Cambria Math"/>
          </w:rPr>
          <m:t>(</m:t>
        </m:r>
        <m:r>
          <m:rPr>
            <m:sty m:val="b"/>
          </m:rPr>
          <w:rPr>
            <w:rFonts w:ascii="Cambria Math" w:hAnsi="Cambria Math"/>
          </w:rPr>
          <m:t>P+Q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282" w:hanging="142"/>
        <w:rPr>
          <w:rFonts w:ascii="Cambria Math" w:hAnsi="Cambria Math"/>
          <w:b/>
          <w:bCs/>
        </w:rPr>
      </w:pPr>
      <m:oMath>
        <m:r>
          <m:rPr>
            <m:sty m:val="b"/>
          </m:rPr>
          <w:rPr>
            <w:rFonts w:ascii="Cambria Math" w:hAnsi="Cambria Math"/>
          </w:rPr>
          <m:t>N≤W</m:t>
        </m:r>
      </m:oMath>
      <w:r>
        <w:rPr>
          <w:rFonts w:ascii="Cambria Math" w:hAnsi="Cambria Math"/>
          <w:b/>
          <w:bCs/>
        </w:rPr>
        <w:t>,</w:t>
      </w:r>
    </w:p>
    <w:p>
      <w:pPr>
        <w:pStyle w:val="yMiscellaneousBody"/>
        <w:tabs>
          <w:tab w:val="left" w:pos="284"/>
          <w:tab w:val="left" w:pos="1985"/>
          <w:tab w:val="right" w:leader="dot" w:pos="6804"/>
        </w:tabs>
        <w:ind w:left="1424" w:hanging="142"/>
      </w:pPr>
      <w:r>
        <w:tab/>
        <w:t xml:space="preserve">then </w:t>
      </w:r>
      <w:r>
        <w:rPr>
          <w:b/>
        </w:rPr>
        <w:t>R</w:t>
      </w:r>
    </w:p>
    <w:p>
      <w:pPr>
        <w:pStyle w:val="yMiscellaneousBody"/>
        <w:tabs>
          <w:tab w:val="left" w:pos="284"/>
          <w:tab w:val="left" w:pos="1985"/>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P+Q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424" w:hanging="142"/>
        <w:rPr>
          <w:rFonts w:ascii="Cambria Math" w:hAnsi="Cambria Math"/>
          <w:b/>
          <w:bCs/>
        </w:rPr>
      </w:pPr>
      <m:oMath>
        <m:r>
          <m:rPr>
            <m:sty m:val="b"/>
          </m:rPr>
          <w:rPr>
            <w:rFonts w:ascii="Cambria Math" w:hAnsi="Cambria Math"/>
          </w:rPr>
          <m:t>N&gt;W</m:t>
        </m:r>
      </m:oMath>
      <w:r>
        <w:rPr>
          <w:rFonts w:ascii="Cambria Math" w:hAnsi="Cambria Math"/>
          <w:b/>
          <w:bCs/>
        </w:rPr>
        <w:t>,</w:t>
      </w:r>
    </w:p>
    <w:p>
      <w:pPr>
        <w:pStyle w:val="yMiscellaneousBody"/>
        <w:tabs>
          <w:tab w:val="left" w:pos="284"/>
          <w:tab w:val="left" w:pos="1985"/>
          <w:tab w:val="right" w:leader="dot" w:pos="6804"/>
        </w:tabs>
        <w:ind w:left="1566" w:hanging="142"/>
      </w:pPr>
      <w:r>
        <w:tab/>
        <w:t xml:space="preserve">then </w:t>
      </w:r>
      <m:oMath>
        <m:r>
          <m:rPr>
            <m:sty m:val="b"/>
          </m:rPr>
          <w:rPr>
            <w:rFonts w:ascii="Cambria Math" w:hAnsi="Cambria Math"/>
          </w:rPr>
          <m:t>R</m:t>
        </m:r>
        <m:r>
          <m:rPr>
            <m:sty m:val="p"/>
          </m:rPr>
          <w:rPr>
            <w:rFonts w:ascii="Cambria Math" w:hAnsi="Cambria Math"/>
          </w:rPr>
          <m:t>+((</m:t>
        </m:r>
        <m:r>
          <m:rPr>
            <m:sty m:val="b"/>
          </m:rPr>
          <w:rPr>
            <w:rFonts w:ascii="Cambria Math" w:hAnsi="Cambria Math"/>
          </w:rPr>
          <m:t>N</m:t>
        </m:r>
        <m:r>
          <m:rPr>
            <m:sty m:val="p"/>
          </m:rPr>
          <w:rPr>
            <w:rFonts w:ascii="Cambria Math" w:hAnsi="Cambria Math"/>
          </w:rPr>
          <m:t>-</m:t>
        </m:r>
        <m:r>
          <m:rPr>
            <m:sty m:val="b"/>
          </m:rPr>
          <w:rPr>
            <w:rFonts w:ascii="Cambria Math" w:hAnsi="Cambria Math"/>
          </w:rPr>
          <m:t>W</m:t>
        </m:r>
        <m:r>
          <m:rPr>
            <m:sty m:val="p"/>
          </m:rPr>
          <w:rPr>
            <w:rFonts w:ascii="Cambria Math" w:hAnsi="Cambria Math"/>
          </w:rPr>
          <m:t>)×</m:t>
        </m:r>
        <m:r>
          <m:rPr>
            <m:sty m:val="b"/>
          </m:rPr>
          <w:rPr>
            <w:rFonts w:ascii="Cambria Math" w:hAnsi="Cambria Math"/>
          </w:rPr>
          <m:t>I</m:t>
        </m:r>
        <m:r>
          <m:rPr>
            <m:sty m:val="p"/>
          </m:rPr>
          <w:rPr>
            <w:rFonts w:ascii="Cambria Math" w:hAnsi="Cambria Math"/>
          </w:rPr>
          <m:t>)</m:t>
        </m:r>
      </m:oMath>
    </w:p>
    <w:p>
      <w:pPr>
        <w:pStyle w:val="yMiscellaneousBody"/>
        <w:tabs>
          <w:tab w:val="left" w:pos="284"/>
          <w:tab w:val="right" w:leader="dot" w:pos="6804"/>
        </w:tabs>
        <w:ind w:left="1282" w:hanging="142"/>
      </w:pPr>
      <w:r>
        <w:t xml:space="preserve">where — </w:t>
      </w:r>
    </w:p>
    <w:p>
      <w:pPr>
        <w:pStyle w:val="yMiscellaneousBody"/>
        <w:tabs>
          <w:tab w:val="left" w:pos="284"/>
          <w:tab w:val="left" w:pos="1985"/>
        </w:tabs>
        <w:ind w:left="1566" w:hanging="425"/>
      </w:pPr>
      <w:r>
        <w:rPr>
          <w:b/>
        </w:rPr>
        <w:t>P</w:t>
      </w:r>
      <w:r>
        <w:tab/>
        <w:t>is the service charge calculated in accordance with item 27;</w:t>
      </w:r>
    </w:p>
    <w:p>
      <w:pPr>
        <w:pStyle w:val="yMiscellaneousBody"/>
        <w:tabs>
          <w:tab w:val="left" w:pos="284"/>
          <w:tab w:val="left" w:pos="1985"/>
        </w:tabs>
        <w:ind w:left="1566" w:hanging="425"/>
      </w:pPr>
      <w:r>
        <w:rPr>
          <w:b/>
        </w:rPr>
        <w:t>Q</w:t>
      </w:r>
      <w:r>
        <w:tab/>
        <w:t>is the discharge charge calculated in accordance with item 28;</w:t>
      </w:r>
    </w:p>
    <w:p>
      <w:pPr>
        <w:pStyle w:val="yMiscellaneousBody"/>
        <w:tabs>
          <w:tab w:val="left" w:pos="284"/>
          <w:tab w:val="left" w:pos="1985"/>
        </w:tabs>
        <w:ind w:left="1566" w:hanging="425"/>
      </w:pPr>
      <w:r>
        <w:rPr>
          <w:b/>
        </w:rPr>
        <w:t>R</w:t>
      </w:r>
      <w:r>
        <w:tab/>
        <w:t>is the maximum charge calculated in accordance with item 30;</w:t>
      </w:r>
    </w:p>
    <w:p>
      <w:pPr>
        <w:pStyle w:val="yMiscellaneousBody"/>
        <w:tabs>
          <w:tab w:val="left" w:pos="284"/>
          <w:tab w:val="left" w:pos="1985"/>
        </w:tabs>
        <w:ind w:left="1566" w:hanging="425"/>
      </w:pPr>
      <w:r>
        <w:rPr>
          <w:b/>
        </w:rPr>
        <w:t>N</w:t>
      </w:r>
      <w:r>
        <w:tab/>
        <w:t>is the discharge volume for the current discharge year;</w:t>
      </w:r>
    </w:p>
    <w:p>
      <w:pPr>
        <w:pStyle w:val="yMiscellaneousBody"/>
        <w:tabs>
          <w:tab w:val="left" w:pos="284"/>
          <w:tab w:val="left" w:pos="1985"/>
        </w:tabs>
        <w:ind w:left="1566" w:hanging="425"/>
      </w:pPr>
      <w:r>
        <w:rPr>
          <w:b/>
        </w:rPr>
        <w:t>W</w:t>
      </w:r>
      <w:r>
        <w:tab/>
        <w:t>is the discharge volume for the most recently completed discharge year;</w:t>
      </w:r>
    </w:p>
    <w:p>
      <w:pPr>
        <w:pStyle w:val="yMiscellaneousBody"/>
        <w:tabs>
          <w:tab w:val="left" w:pos="284"/>
          <w:tab w:val="left" w:pos="1985"/>
        </w:tabs>
        <w:ind w:left="1566" w:hanging="425"/>
      </w:pPr>
      <w:r>
        <w:rPr>
          <w:b/>
        </w:rPr>
        <w:t>I</w:t>
      </w:r>
      <w:r>
        <w:tab/>
        <w:t>is $4.246.</w:t>
      </w:r>
    </w:p>
    <w:p>
      <w:pPr>
        <w:pStyle w:val="yHeading5"/>
      </w:pPr>
      <w:bookmarkStart w:id="499" w:name="_Toc169797267"/>
      <w:bookmarkStart w:id="500" w:name="_Toc169797577"/>
      <w:bookmarkStart w:id="501" w:name="_Toc170209272"/>
      <w:r>
        <w:t>23.</w:t>
      </w:r>
      <w:r>
        <w:tab/>
        <w:t>Non</w:t>
      </w:r>
      <w:r>
        <w:noBreakHyphen/>
        <w:t>metropolitan non</w:t>
      </w:r>
      <w:r>
        <w:noBreakHyphen/>
        <w:t>strata titled caravan park with long</w:t>
      </w:r>
      <w:r>
        <w:noBreakHyphen/>
        <w:t>term residential caravan bays</w:t>
      </w:r>
      <w:bookmarkEnd w:id="499"/>
      <w:bookmarkEnd w:id="500"/>
      <w:bookmarkEnd w:id="501"/>
    </w:p>
    <w:p>
      <w:pPr>
        <w:pStyle w:val="ySubsection"/>
      </w:pPr>
      <w:r>
        <w:tab/>
      </w:r>
      <w:r>
        <w:tab/>
        <w:t>For a caravan park in the non</w:t>
      </w:r>
      <w:r>
        <w:noBreakHyphen/>
        <w:t xml:space="preserve">metropolitan area that — </w:t>
      </w:r>
    </w:p>
    <w:p>
      <w:pPr>
        <w:pStyle w:val="yIndenta"/>
      </w:pPr>
      <w:r>
        <w:tab/>
        <w:t>(a)</w:t>
      </w:r>
      <w:r>
        <w:tab/>
        <w:t>does not consist wholly of strata</w:t>
      </w:r>
      <w:r>
        <w:noBreakHyphen/>
        <w:t>titled caravan bays; and</w:t>
      </w:r>
    </w:p>
    <w:p>
      <w:pPr>
        <w:pStyle w:val="yIndenta"/>
      </w:pPr>
      <w:r>
        <w:tab/>
        <w:t>(b)</w:t>
      </w:r>
      <w:r>
        <w:tab/>
        <w:t>has long</w:t>
      </w:r>
      <w:r>
        <w:noBreakHyphen/>
        <w:t>term residential caravan bays,</w:t>
      </w:r>
    </w:p>
    <w:p>
      <w:pPr>
        <w:pStyle w:val="ySubsection"/>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AA</m:t>
          </m:r>
          <m:r>
            <m:rPr>
              <m:sty m:val="p"/>
            </m:rPr>
            <w:rPr>
              <w:rFonts w:ascii="Cambria Math" w:hAnsi="Cambria Math"/>
              <w:sz w:val="22"/>
            </w:rPr>
            <m:t>+</m:t>
          </m:r>
          <m:r>
            <m:rPr>
              <m:sty m:val="b"/>
            </m:rPr>
            <w:rPr>
              <w:rFonts w:ascii="Cambria Math" w:hAnsi="Cambria Math"/>
              <w:sz w:val="22"/>
            </w:rPr>
            <m:t>AB</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AA</w:t>
      </w:r>
      <w:r>
        <w:tab/>
        <w:t xml:space="preserve"> is</w:t>
      </w:r>
      <w:r>
        <w:rPr>
          <w:szCs w:val="22"/>
        </w:rPr>
        <w:t xml:space="preserve"> $369.46 </w:t>
      </w:r>
      <w:r>
        <w:t>for each long</w:t>
      </w:r>
      <w:r>
        <w:noBreakHyphen/>
        <w:t>term residential caravan bay;</w:t>
      </w:r>
    </w:p>
    <w:p>
      <w:pPr>
        <w:pStyle w:val="yMiscellaneousBody"/>
        <w:keepNext/>
        <w:tabs>
          <w:tab w:val="left" w:pos="284"/>
          <w:tab w:val="left" w:pos="1985"/>
        </w:tabs>
        <w:ind w:left="1305" w:hanging="425"/>
      </w:pPr>
      <w:r>
        <w:rPr>
          <w:b/>
        </w:rPr>
        <w:lastRenderedPageBreak/>
        <w:t>AB</w:t>
      </w:r>
      <w:r>
        <w:tab/>
        <w:t xml:space="preserve">is, for those parts of </w:t>
      </w:r>
      <w:r>
        <w:rPr>
          <w:szCs w:val="22"/>
        </w:rPr>
        <w:t>the</w:t>
      </w:r>
      <w:r>
        <w:t xml:space="preserve"> caravan park not consisting of long</w:t>
      </w:r>
      <w:r>
        <w:noBreakHyphen/>
        <w:t xml:space="preserve">term residential caravan bays — </w:t>
      </w:r>
    </w:p>
    <w:p>
      <w:pPr>
        <w:pStyle w:val="yMiscellaneousBody"/>
        <w:keepNext/>
        <w:tabs>
          <w:tab w:val="left" w:pos="284"/>
          <w:tab w:val="right" w:leader="dot" w:pos="6804"/>
        </w:tabs>
        <w:ind w:left="1021" w:hanging="142"/>
      </w:pPr>
      <w:r>
        <w:rPr>
          <w:szCs w:val="22"/>
        </w:rPr>
        <w:t>if</w:t>
      </w:r>
      <w:r>
        <w:t xml:space="preserve"> </w:t>
      </w:r>
      <m:oMath>
        <m:r>
          <m:rPr>
            <m:sty m:val="p"/>
          </m:rPr>
          <w:rPr>
            <w:rFonts w:ascii="Cambria Math" w:hAnsi="Cambria Math"/>
          </w:rPr>
          <m:t>(</m:t>
        </m:r>
        <m:r>
          <m:rPr>
            <m:sty m:val="b"/>
          </m:rPr>
          <w:rPr>
            <w:rFonts w:ascii="Cambria Math" w:hAnsi="Cambria Math"/>
          </w:rPr>
          <m:t>Y+Q</m:t>
        </m:r>
        <m:r>
          <m:rPr>
            <m:sty m:val="p"/>
          </m:rPr>
          <w:rPr>
            <w:rFonts w:ascii="Cambria Math" w:hAnsi="Cambria Math"/>
          </w:rPr>
          <m:t>)≤</m:t>
        </m:r>
        <m:r>
          <m:rPr>
            <m:sty m:val="b"/>
          </m:rPr>
          <w:rPr>
            <w:rFonts w:ascii="Cambria Math" w:hAnsi="Cambria Math"/>
          </w:rPr>
          <m:t>R</m:t>
        </m:r>
      </m:oMath>
      <w:r>
        <w:t>,</w:t>
      </w:r>
    </w:p>
    <w:p>
      <w:pPr>
        <w:pStyle w:val="yMiscellaneousBody"/>
        <w:tabs>
          <w:tab w:val="left" w:pos="284"/>
          <w:tab w:val="left" w:pos="1985"/>
          <w:tab w:val="right" w:leader="dot" w:pos="6804"/>
        </w:tabs>
        <w:ind w:left="1021" w:hanging="142"/>
      </w:pPr>
      <w:r>
        <w:tab/>
        <w:t xml:space="preserve">then </w:t>
      </w:r>
      <m:oMath>
        <m:r>
          <m:rPr>
            <m:sty m:val="b"/>
          </m:rPr>
          <w:rPr>
            <w:rFonts w:ascii="Cambria Math" w:hAnsi="Cambria Math"/>
          </w:rPr>
          <m:t>Y+Q</m:t>
        </m:r>
      </m:oMath>
    </w:p>
    <w:p>
      <w:pPr>
        <w:pStyle w:val="yMiscellaneousBody"/>
        <w:tabs>
          <w:tab w:val="left" w:pos="284"/>
          <w:tab w:val="left" w:pos="1985"/>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Y+Q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163" w:hanging="142"/>
        <w:rPr>
          <w:rFonts w:ascii="Cambria Math" w:hAnsi="Cambria Math"/>
          <w:bCs/>
        </w:rPr>
      </w:pPr>
      <m:oMath>
        <m:r>
          <m:rPr>
            <m:sty m:val="b"/>
          </m:rPr>
          <w:rPr>
            <w:rFonts w:ascii="Cambria Math" w:hAnsi="Cambria Math"/>
          </w:rPr>
          <m:t>N≤W</m:t>
        </m:r>
      </m:oMath>
      <w:r>
        <w:rPr>
          <w:rFonts w:ascii="Cambria Math" w:hAnsi="Cambria Math"/>
          <w:bCs/>
        </w:rPr>
        <w:t>,</w:t>
      </w:r>
    </w:p>
    <w:p>
      <w:pPr>
        <w:pStyle w:val="yMiscellaneousBody"/>
        <w:tabs>
          <w:tab w:val="left" w:pos="284"/>
          <w:tab w:val="left" w:pos="1985"/>
          <w:tab w:val="right" w:leader="dot" w:pos="6804"/>
        </w:tabs>
        <w:ind w:left="1163" w:hanging="142"/>
        <w:rPr>
          <w:b/>
        </w:rPr>
      </w:pPr>
      <w:r>
        <w:tab/>
        <w:t xml:space="preserve">then </w:t>
      </w:r>
      <w:r>
        <w:rPr>
          <w:b/>
        </w:rPr>
        <w:t>R</w:t>
      </w:r>
    </w:p>
    <w:p>
      <w:pPr>
        <w:pStyle w:val="yMiscellaneousBody"/>
        <w:tabs>
          <w:tab w:val="left" w:pos="284"/>
          <w:tab w:val="left" w:pos="1985"/>
          <w:tab w:val="right" w:leader="dot" w:pos="6804"/>
        </w:tabs>
        <w:ind w:left="1021" w:hanging="142"/>
        <w:rPr>
          <w:b/>
        </w:rPr>
      </w:pPr>
      <w:r>
        <w:t xml:space="preserve">or if </w:t>
      </w:r>
      <m:oMath>
        <m:r>
          <m:rPr>
            <m:sty m:val="p"/>
          </m:rPr>
          <w:rPr>
            <w:rFonts w:ascii="Cambria Math" w:hAnsi="Cambria Math"/>
          </w:rPr>
          <m:t>(</m:t>
        </m:r>
        <m:r>
          <m:rPr>
            <m:sty m:val="b"/>
          </m:rPr>
          <w:rPr>
            <w:rFonts w:ascii="Cambria Math" w:hAnsi="Cambria Math"/>
          </w:rPr>
          <m:t>Y+Q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163" w:hanging="142"/>
      </w:pPr>
      <m:oMath>
        <m:r>
          <m:rPr>
            <m:sty m:val="b"/>
          </m:rPr>
          <w:rPr>
            <w:rFonts w:ascii="Cambria Math" w:hAnsi="Cambria Math"/>
          </w:rPr>
          <m:t>N</m:t>
        </m:r>
        <m:r>
          <m:rPr>
            <m:sty m:val="p"/>
          </m:rPr>
          <w:rPr>
            <w:rFonts w:ascii="Cambria Math" w:hAnsi="Cambria Math"/>
          </w:rPr>
          <m:t>&gt;</m:t>
        </m:r>
        <m:r>
          <m:rPr>
            <m:sty m:val="b"/>
          </m:rPr>
          <w:rPr>
            <w:rFonts w:ascii="Cambria Math" w:hAnsi="Cambria Math"/>
          </w:rPr>
          <m:t>W</m:t>
        </m:r>
      </m:oMath>
      <w:r>
        <w:t>,</w:t>
      </w:r>
    </w:p>
    <w:p>
      <w:pPr>
        <w:pStyle w:val="yMiscellaneousBody"/>
        <w:tabs>
          <w:tab w:val="left" w:pos="284"/>
          <w:tab w:val="left" w:pos="1985"/>
          <w:tab w:val="right" w:leader="dot" w:pos="6804"/>
        </w:tabs>
        <w:ind w:left="1163" w:hanging="142"/>
      </w:pPr>
      <w:r>
        <w:tab/>
        <w:t xml:space="preserve">then </w:t>
      </w:r>
      <m:oMath>
        <m:r>
          <m:rPr>
            <m:sty m:val="b"/>
          </m:rPr>
          <w:rPr>
            <w:rFonts w:ascii="Cambria Math" w:hAnsi="Cambria Math"/>
          </w:rPr>
          <m:t>R</m:t>
        </m:r>
        <m:r>
          <m:rPr>
            <m:sty m:val="p"/>
          </m:rPr>
          <w:rPr>
            <w:rFonts w:ascii="Cambria Math" w:hAnsi="Cambria Math"/>
          </w:rPr>
          <m:t>+((</m:t>
        </m:r>
        <m:r>
          <m:rPr>
            <m:sty m:val="b"/>
          </m:rPr>
          <w:rPr>
            <w:rFonts w:ascii="Cambria Math" w:hAnsi="Cambria Math"/>
          </w:rPr>
          <m:t>N</m:t>
        </m:r>
        <m:r>
          <m:rPr>
            <m:sty m:val="p"/>
          </m:rPr>
          <w:rPr>
            <w:rFonts w:ascii="Cambria Math" w:hAnsi="Cambria Math"/>
          </w:rPr>
          <m:t>-</m:t>
        </m:r>
        <m:r>
          <m:rPr>
            <m:sty m:val="b"/>
          </m:rPr>
          <w:rPr>
            <w:rFonts w:ascii="Cambria Math" w:hAnsi="Cambria Math"/>
          </w:rPr>
          <m:t>W</m:t>
        </m:r>
        <m:r>
          <m:rPr>
            <m:sty m:val="p"/>
          </m:rPr>
          <w:rPr>
            <w:rFonts w:ascii="Cambria Math" w:hAnsi="Cambria Math"/>
          </w:rPr>
          <m:t>)×</m:t>
        </m:r>
        <m:r>
          <m:rPr>
            <m:sty m:val="b"/>
          </m:rPr>
          <w:rPr>
            <w:rFonts w:ascii="Cambria Math" w:hAnsi="Cambria Math"/>
          </w:rPr>
          <m:t>I</m:t>
        </m:r>
        <m:r>
          <m:rPr>
            <m:sty m:val="p"/>
          </m:rPr>
          <w:rPr>
            <w:rFonts w:ascii="Cambria Math" w:hAnsi="Cambria Math"/>
          </w:rPr>
          <m:t>)</m:t>
        </m:r>
      </m:oMath>
    </w:p>
    <w:p>
      <w:pPr>
        <w:pStyle w:val="yMiscellaneousBody"/>
        <w:tabs>
          <w:tab w:val="left" w:pos="284"/>
          <w:tab w:val="right" w:leader="dot" w:pos="6804"/>
        </w:tabs>
        <w:ind w:left="1163" w:hanging="142"/>
      </w:pPr>
      <w:r>
        <w:t xml:space="preserve">where — </w:t>
      </w:r>
    </w:p>
    <w:p>
      <w:pPr>
        <w:pStyle w:val="yMiscellaneousBody"/>
        <w:tabs>
          <w:tab w:val="left" w:pos="284"/>
          <w:tab w:val="left" w:pos="1985"/>
        </w:tabs>
        <w:ind w:left="1446" w:hanging="425"/>
      </w:pPr>
      <w:r>
        <w:rPr>
          <w:b/>
        </w:rPr>
        <w:t>Y</w:t>
      </w:r>
      <w:r>
        <w:tab/>
        <w:t xml:space="preserve">is the charge according to the number of major </w:t>
      </w:r>
      <w:r>
        <w:rPr>
          <w:szCs w:val="22"/>
        </w:rPr>
        <w:t>fixtures</w:t>
      </w:r>
      <w:r>
        <w:t xml:space="preserve"> for the relevant part of the caravan park, that is, “</w:t>
      </w:r>
      <w:r>
        <w:rPr>
          <w:b/>
        </w:rPr>
        <w:t>C</w:t>
      </w:r>
      <w:r>
        <w:t>” in item 27;</w:t>
      </w:r>
    </w:p>
    <w:p>
      <w:pPr>
        <w:pStyle w:val="yMiscellaneousBody"/>
        <w:tabs>
          <w:tab w:val="left" w:pos="284"/>
          <w:tab w:val="left" w:pos="1985"/>
        </w:tabs>
        <w:ind w:left="1446" w:hanging="425"/>
      </w:pPr>
      <w:r>
        <w:rPr>
          <w:b/>
        </w:rPr>
        <w:t>Q</w:t>
      </w:r>
      <w:r>
        <w:tab/>
        <w:t xml:space="preserve">is </w:t>
      </w:r>
      <w:r>
        <w:rPr>
          <w:szCs w:val="22"/>
        </w:rPr>
        <w:t>the</w:t>
      </w:r>
      <w:r>
        <w:t xml:space="preserve"> discharge charge calculated in accordance with item 28;</w:t>
      </w:r>
    </w:p>
    <w:p>
      <w:pPr>
        <w:pStyle w:val="yMiscellaneousBody"/>
        <w:tabs>
          <w:tab w:val="left" w:pos="284"/>
          <w:tab w:val="left" w:pos="1985"/>
        </w:tabs>
        <w:ind w:left="1446" w:hanging="425"/>
      </w:pPr>
      <w:r>
        <w:rPr>
          <w:b/>
        </w:rPr>
        <w:t>R</w:t>
      </w:r>
      <w:r>
        <w:tab/>
        <w:t>is the maximum charge calculated in accordance with item 30;</w:t>
      </w:r>
    </w:p>
    <w:p>
      <w:pPr>
        <w:pStyle w:val="yMiscellaneousBody"/>
        <w:tabs>
          <w:tab w:val="left" w:pos="284"/>
          <w:tab w:val="left" w:pos="1985"/>
        </w:tabs>
        <w:ind w:left="1446" w:hanging="425"/>
      </w:pPr>
      <w:r>
        <w:rPr>
          <w:b/>
        </w:rPr>
        <w:t>N</w:t>
      </w:r>
      <w:r>
        <w:tab/>
        <w:t>is the discharge volume for the current discharge year;</w:t>
      </w:r>
    </w:p>
    <w:p>
      <w:pPr>
        <w:pStyle w:val="yMiscellaneousBody"/>
        <w:tabs>
          <w:tab w:val="left" w:pos="284"/>
          <w:tab w:val="left" w:pos="1985"/>
        </w:tabs>
        <w:ind w:left="1446" w:hanging="425"/>
      </w:pPr>
      <w:r>
        <w:rPr>
          <w:b/>
        </w:rPr>
        <w:t>W</w:t>
      </w:r>
      <w:r>
        <w:tab/>
        <w:t xml:space="preserve">is the discharge volume for the most recently </w:t>
      </w:r>
      <w:r>
        <w:rPr>
          <w:szCs w:val="22"/>
        </w:rPr>
        <w:t>completed</w:t>
      </w:r>
      <w:r>
        <w:t xml:space="preserve"> discharge year;</w:t>
      </w:r>
    </w:p>
    <w:p>
      <w:pPr>
        <w:pStyle w:val="yMiscellaneousBody"/>
        <w:tabs>
          <w:tab w:val="left" w:pos="284"/>
          <w:tab w:val="left" w:pos="1985"/>
        </w:tabs>
        <w:ind w:left="1446" w:hanging="425"/>
      </w:pPr>
      <w:r>
        <w:rPr>
          <w:b/>
        </w:rPr>
        <w:t>I</w:t>
      </w:r>
      <w:r>
        <w:rPr>
          <w:b/>
        </w:rPr>
        <w:tab/>
      </w:r>
      <w:r>
        <w:t>is</w:t>
      </w:r>
      <w:r>
        <w:rPr>
          <w:szCs w:val="22"/>
        </w:rPr>
        <w:t xml:space="preserve"> </w:t>
      </w:r>
      <w:r>
        <w:t>$4.246.</w:t>
      </w:r>
    </w:p>
    <w:p>
      <w:pPr>
        <w:pStyle w:val="yHeading5"/>
      </w:pPr>
      <w:bookmarkStart w:id="502" w:name="_Toc169797268"/>
      <w:bookmarkStart w:id="503" w:name="_Toc169797578"/>
      <w:bookmarkStart w:id="504" w:name="_Toc170209273"/>
      <w:r>
        <w:t>24.</w:t>
      </w:r>
      <w:r>
        <w:tab/>
        <w:t>Non</w:t>
      </w:r>
      <w:r>
        <w:noBreakHyphen/>
        <w:t>metropolitan nursing home</w:t>
      </w:r>
      <w:bookmarkEnd w:id="502"/>
      <w:bookmarkEnd w:id="503"/>
      <w:bookmarkEnd w:id="504"/>
    </w:p>
    <w:p>
      <w:pPr>
        <w:pStyle w:val="ySubsection"/>
      </w:pPr>
      <w:r>
        <w:tab/>
      </w:r>
      <w:r>
        <w:tab/>
        <w:t>For a nursing home in the non</w:t>
      </w:r>
      <w:r>
        <w:noBreakHyphen/>
        <w:t>metropolitan area, other than a nursing home that is, or is part of, an aged home, the charge is —</w:t>
      </w:r>
    </w:p>
    <w:p>
      <w:pPr>
        <w:pStyle w:val="Equation"/>
        <w:spacing w:before="120"/>
        <w:ind w:left="879"/>
        <w:rPr>
          <w:b/>
          <w:noProof w:val="0"/>
          <w:sz w:val="22"/>
        </w:rPr>
      </w:pPr>
      <m:oMathPara>
        <m:oMathParaPr>
          <m:jc m:val="left"/>
        </m:oMathParaPr>
        <m:oMath>
          <m:r>
            <m:rPr>
              <m:sty m:val="b"/>
            </m:rPr>
            <w:rPr>
              <w:rFonts w:ascii="Cambria Math" w:hAnsi="Cambria Math"/>
              <w:noProof w:val="0"/>
              <w:sz w:val="22"/>
            </w:rPr>
            <m:t>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Q</w:t>
      </w:r>
      <w:r>
        <w:tab/>
        <w:t>is the discharge charge calculated in accordance with item 28;</w:t>
      </w:r>
    </w:p>
    <w:p>
      <w:pPr>
        <w:pStyle w:val="yMiscellaneousBody"/>
        <w:tabs>
          <w:tab w:val="left" w:pos="284"/>
          <w:tab w:val="left" w:pos="1985"/>
        </w:tabs>
        <w:ind w:left="1305" w:hanging="425"/>
      </w:pPr>
      <w:r>
        <w:rPr>
          <w:b/>
        </w:rPr>
        <w:t>T</w:t>
      </w:r>
      <w:r>
        <w:tab/>
        <w:t xml:space="preserve">is </w:t>
      </w:r>
      <m:oMath>
        <m:r>
          <m:rPr>
            <m:sty m:val="b"/>
          </m:rPr>
          <w:rPr>
            <w:rFonts w:ascii="Cambria Math" w:hAnsi="Cambria Math"/>
          </w:rPr>
          <m:t>U×V</m:t>
        </m:r>
      </m:oMath>
      <w:r>
        <w:t>;</w:t>
      </w:r>
    </w:p>
    <w:p>
      <w:pPr>
        <w:pStyle w:val="yMiscellaneousBody"/>
        <w:tabs>
          <w:tab w:val="left" w:pos="284"/>
          <w:tab w:val="left" w:pos="1985"/>
        </w:tabs>
        <w:ind w:left="1305" w:hanging="425"/>
      </w:pPr>
      <w:r>
        <w:rPr>
          <w:b/>
        </w:rPr>
        <w:lastRenderedPageBreak/>
        <w:t>U</w:t>
      </w:r>
      <w:r>
        <w:tab/>
        <w:t>is the number of beds in the nursing home;</w:t>
      </w:r>
    </w:p>
    <w:p>
      <w:pPr>
        <w:pStyle w:val="yMiscellaneousBody"/>
        <w:tabs>
          <w:tab w:val="left" w:pos="284"/>
          <w:tab w:val="left" w:pos="1985"/>
        </w:tabs>
        <w:ind w:left="1305" w:hanging="425"/>
      </w:pPr>
      <w:r>
        <w:rPr>
          <w:b/>
        </w:rPr>
        <w:t>V</w:t>
      </w:r>
      <w:r>
        <w:tab/>
        <w:t>is</w:t>
      </w:r>
      <w:r>
        <w:rPr>
          <w:szCs w:val="22"/>
        </w:rPr>
        <w:t xml:space="preserve"> $209.06.</w:t>
      </w:r>
    </w:p>
    <w:p>
      <w:pPr>
        <w:pStyle w:val="yHeading5"/>
      </w:pPr>
      <w:bookmarkStart w:id="505" w:name="_Toc169797269"/>
      <w:bookmarkStart w:id="506" w:name="_Toc169797579"/>
      <w:bookmarkStart w:id="507" w:name="_Toc170209274"/>
      <w:r>
        <w:t>25.</w:t>
      </w:r>
      <w:r>
        <w:tab/>
        <w:t>Certain non</w:t>
      </w:r>
      <w:r>
        <w:noBreakHyphen/>
        <w:t>metropolitan units</w:t>
      </w:r>
      <w:bookmarkEnd w:id="505"/>
      <w:bookmarkEnd w:id="506"/>
      <w:bookmarkEnd w:id="507"/>
      <w:r>
        <w:t xml:space="preserve"> </w:t>
      </w:r>
    </w:p>
    <w:p>
      <w:pPr>
        <w:pStyle w:val="ySubsection"/>
        <w:keepNext/>
      </w:pPr>
      <w:r>
        <w:tab/>
      </w:r>
      <w:r>
        <w:tab/>
        <w:t>For land in the non</w:t>
      </w:r>
      <w:r>
        <w:noBreakHyphen/>
        <w:t xml:space="preserve">metropolitan area — </w:t>
      </w:r>
    </w:p>
    <w:p>
      <w:pPr>
        <w:pStyle w:val="yIndenta"/>
      </w:pPr>
      <w:r>
        <w:tab/>
        <w:t>(a)</w:t>
      </w:r>
      <w:r>
        <w:tab/>
        <w:t>that is contained in a lot; and</w:t>
      </w:r>
    </w:p>
    <w:p>
      <w:pPr>
        <w:pStyle w:val="yIndenta"/>
      </w:pPr>
      <w:r>
        <w:tab/>
        <w:t>(b)</w:t>
      </w:r>
      <w:r>
        <w:tab/>
        <w:t>that is classified as non</w:t>
      </w:r>
      <w:r>
        <w:noBreakHyphen/>
        <w:t>residential; and</w:t>
      </w:r>
    </w:p>
    <w:p>
      <w:pPr>
        <w:pStyle w:val="yIndenta"/>
      </w:pPr>
      <w:r>
        <w:tab/>
        <w:t>(c)</w:t>
      </w:r>
      <w:r>
        <w:tab/>
        <w:t>that is not covered by item 5 or 6; and</w:t>
      </w:r>
    </w:p>
    <w:p>
      <w:pPr>
        <w:pStyle w:val="yIndenta"/>
      </w:pPr>
      <w:r>
        <w:tab/>
        <w:t>(d)</w:t>
      </w:r>
      <w:r>
        <w:tab/>
        <w:t>that shares one or more major fixtures, that discharge into a sewer of the Water Corporation, with other such land and has no other major fixtures that discharge into such a sewer; and</w:t>
      </w:r>
    </w:p>
    <w:p>
      <w:pPr>
        <w:pStyle w:val="yIndenta"/>
      </w:pPr>
      <w:r>
        <w:tab/>
        <w:t>(e)</w:t>
      </w:r>
      <w:r>
        <w:tab/>
        <w:t>for which the number of major fixtures shared by all units on the relevant scheme plan for a strata titles scheme or a community titles scheme is less than the number of those units,</w:t>
      </w:r>
    </w:p>
    <w:p>
      <w:pPr>
        <w:pStyle w:val="ySubsection"/>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T</w:t>
      </w:r>
      <w:r>
        <w:tab/>
        <w:t>is</w:t>
      </w:r>
      <w:r>
        <w:rPr>
          <w:szCs w:val="22"/>
        </w:rPr>
        <w:t xml:space="preserve"> $718.23</w:t>
      </w:r>
      <w:r>
        <w:t>;</w:t>
      </w:r>
    </w:p>
    <w:p>
      <w:pPr>
        <w:pStyle w:val="yMiscellaneousBody"/>
        <w:tabs>
          <w:tab w:val="left" w:pos="284"/>
          <w:tab w:val="left" w:pos="1985"/>
        </w:tabs>
        <w:ind w:left="1305" w:hanging="425"/>
      </w:pPr>
      <w:r>
        <w:rPr>
          <w:b/>
        </w:rPr>
        <w:t>Q</w:t>
      </w:r>
      <w:r>
        <w:tab/>
        <w:t xml:space="preserve">is the </w:t>
      </w:r>
      <w:r>
        <w:rPr>
          <w:szCs w:val="22"/>
        </w:rPr>
        <w:t>discharge</w:t>
      </w:r>
      <w:r>
        <w:t xml:space="preserve"> charge calculated in accordance with item 28.</w:t>
      </w:r>
    </w:p>
    <w:p>
      <w:pPr>
        <w:pStyle w:val="yHeading5"/>
      </w:pPr>
      <w:bookmarkStart w:id="508" w:name="_Toc169797270"/>
      <w:bookmarkStart w:id="509" w:name="_Toc169797580"/>
      <w:bookmarkStart w:id="510" w:name="_Toc170209275"/>
      <w:r>
        <w:t>26.</w:t>
      </w:r>
      <w:r>
        <w:tab/>
        <w:t>Non</w:t>
      </w:r>
      <w:r>
        <w:noBreakHyphen/>
        <w:t>metropolitan government trading organisation and non</w:t>
      </w:r>
      <w:r>
        <w:noBreakHyphen/>
        <w:t>commercial government property</w:t>
      </w:r>
      <w:bookmarkEnd w:id="508"/>
      <w:bookmarkEnd w:id="509"/>
      <w:bookmarkEnd w:id="510"/>
    </w:p>
    <w:p>
      <w:pPr>
        <w:pStyle w:val="ySubsection"/>
      </w:pPr>
      <w:r>
        <w:tab/>
        <w:t>(1)</w:t>
      </w:r>
      <w:r>
        <w:tab/>
        <w:t>For land in the non</w:t>
      </w:r>
      <w:r>
        <w:noBreakHyphen/>
        <w:t>metropolitan area held by a government trading organisation or a public authority that holds non</w:t>
      </w:r>
      <w:r>
        <w:noBreakHyphen/>
        <w:t xml:space="preserve">commercial government property, the charge is — </w:t>
      </w:r>
    </w:p>
    <w:p>
      <w:pPr>
        <w:pStyle w:val="Equation"/>
        <w:spacing w:before="120"/>
        <w:ind w:left="879"/>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Y</w:t>
      </w:r>
      <w:r>
        <w:tab/>
        <w:t xml:space="preserve">is </w:t>
      </w:r>
      <w:r>
        <w:rPr>
          <w:szCs w:val="22"/>
        </w:rPr>
        <w:t xml:space="preserve">the charge </w:t>
      </w:r>
      <w:r>
        <w:t>according</w:t>
      </w:r>
      <w:r>
        <w:rPr>
          <w:szCs w:val="22"/>
        </w:rPr>
        <w:t xml:space="preserve"> to the number of connected </w:t>
      </w:r>
      <w:r>
        <w:t>major</w:t>
      </w:r>
      <w:r>
        <w:rPr>
          <w:szCs w:val="22"/>
        </w:rPr>
        <w:t xml:space="preserve"> fixtures for the land, that is, “</w:t>
      </w:r>
      <w:r>
        <w:rPr>
          <w:b/>
          <w:szCs w:val="22"/>
        </w:rPr>
        <w:t>C</w:t>
      </w:r>
      <w:r>
        <w:rPr>
          <w:szCs w:val="22"/>
        </w:rPr>
        <w:t>” in item 27</w:t>
      </w:r>
      <w:r>
        <w:t>;</w:t>
      </w:r>
    </w:p>
    <w:p>
      <w:pPr>
        <w:pStyle w:val="yMiscellaneousBody"/>
        <w:tabs>
          <w:tab w:val="left" w:pos="284"/>
          <w:tab w:val="left" w:pos="1985"/>
        </w:tabs>
        <w:ind w:left="1305" w:hanging="425"/>
      </w:pPr>
      <w:r>
        <w:rPr>
          <w:b/>
        </w:rPr>
        <w:t>Q</w:t>
      </w:r>
      <w:r>
        <w:tab/>
        <w:t>is the discharge charge calculated in accordance with item 28.</w:t>
      </w:r>
    </w:p>
    <w:p>
      <w:pPr>
        <w:pStyle w:val="ySubsection"/>
        <w:tabs>
          <w:tab w:val="right" w:leader="dot" w:pos="6804"/>
        </w:tabs>
      </w:pPr>
      <w:r>
        <w:lastRenderedPageBreak/>
        <w:tab/>
        <w:t>(2)</w:t>
      </w:r>
      <w:r>
        <w:tab/>
        <w:t>Sub</w:t>
      </w:r>
      <w:r>
        <w:noBreakHyphen/>
        <w:t>item (1) does not apply to public land.</w:t>
      </w:r>
    </w:p>
    <w:p>
      <w:pPr>
        <w:pStyle w:val="yHeading4"/>
      </w:pPr>
      <w:bookmarkStart w:id="511" w:name="_Toc169797271"/>
      <w:bookmarkStart w:id="512" w:name="_Toc169797426"/>
      <w:bookmarkStart w:id="513" w:name="_Toc169797581"/>
      <w:bookmarkStart w:id="514" w:name="_Toc170138920"/>
      <w:bookmarkStart w:id="515" w:name="_Toc170203781"/>
      <w:bookmarkStart w:id="516" w:name="_Toc170209276"/>
      <w:r>
        <w:t>Subdivision 5 — Calculation of certain factors for Subdivision 4</w:t>
      </w:r>
      <w:bookmarkEnd w:id="511"/>
      <w:bookmarkEnd w:id="512"/>
      <w:bookmarkEnd w:id="513"/>
      <w:bookmarkEnd w:id="514"/>
      <w:bookmarkEnd w:id="515"/>
      <w:bookmarkEnd w:id="516"/>
    </w:p>
    <w:p>
      <w:pPr>
        <w:pStyle w:val="yFootnoteheading"/>
      </w:pPr>
      <w:r>
        <w:tab/>
        <w:t>[Heading inserted: SL 2024/117 r. 9.]</w:t>
      </w:r>
    </w:p>
    <w:p>
      <w:pPr>
        <w:pStyle w:val="yHeading5"/>
      </w:pPr>
      <w:bookmarkStart w:id="517" w:name="_Toc169797272"/>
      <w:bookmarkStart w:id="518" w:name="_Toc169797582"/>
      <w:bookmarkStart w:id="519" w:name="_Toc170209277"/>
      <w:r>
        <w:t>27.</w:t>
      </w:r>
      <w:r>
        <w:tab/>
        <w:t>Service charge</w:t>
      </w:r>
      <w:bookmarkEnd w:id="517"/>
      <w:bookmarkEnd w:id="518"/>
      <w:bookmarkEnd w:id="519"/>
    </w:p>
    <w:p>
      <w:pPr>
        <w:pStyle w:val="ySubsection"/>
      </w:pPr>
      <w:r>
        <w:tab/>
      </w:r>
      <w:r>
        <w:tab/>
        <w:t>The service charge (</w:t>
      </w:r>
      <w:r>
        <w:rPr>
          <w:b/>
          <w:i/>
        </w:rPr>
        <w:t>P</w:t>
      </w:r>
      <w:r>
        <w:t>) is —</w:t>
      </w:r>
    </w:p>
    <w:p>
      <w:pPr>
        <w:pStyle w:val="yMiscellaneousBody"/>
        <w:tabs>
          <w:tab w:val="left" w:pos="284"/>
          <w:tab w:val="right" w:leader="dot" w:pos="6804"/>
        </w:tabs>
        <w:ind w:left="1021" w:hanging="142"/>
      </w:pPr>
      <w:r>
        <w:t xml:space="preserve">if </w:t>
      </w:r>
      <m:oMath>
        <m:r>
          <m:rPr>
            <m:sty m:val="b"/>
          </m:rPr>
          <w:rPr>
            <w:rFonts w:ascii="Cambria Math" w:hAnsi="Cambria Math"/>
          </w:rPr>
          <m:t>R</m:t>
        </m:r>
        <m:r>
          <m:rPr>
            <m:sty m:val="p"/>
          </m:rPr>
          <w:rPr>
            <w:rFonts w:ascii="Cambria Math" w:hAnsi="Cambria Math"/>
          </w:rPr>
          <m:t>≤(</m:t>
        </m:r>
        <m:r>
          <m:rPr>
            <m:sty m:val="b"/>
          </m:rPr>
          <w:rPr>
            <w:rFonts w:ascii="Cambria Math" w:hAnsi="Cambria Math"/>
          </w:rPr>
          <m:t>C+D</m:t>
        </m:r>
        <m:r>
          <m:rPr>
            <m:sty m:val="p"/>
          </m:rPr>
          <w:rPr>
            <w:rFonts w:ascii="Cambria Math" w:hAnsi="Cambria Math"/>
          </w:rPr>
          <m:t>)</m:t>
        </m:r>
      </m:oMath>
      <w:r>
        <w:t>,</w:t>
      </w:r>
    </w:p>
    <w:p>
      <w:pPr>
        <w:pStyle w:val="yMiscellaneousBody"/>
        <w:tabs>
          <w:tab w:val="left" w:pos="284"/>
          <w:tab w:val="left" w:pos="1985"/>
          <w:tab w:val="right" w:leader="dot" w:pos="6804"/>
        </w:tabs>
        <w:ind w:left="1021" w:hanging="142"/>
      </w:pPr>
      <w:r>
        <w:tab/>
        <w:t xml:space="preserve">then </w:t>
      </w:r>
      <w:r>
        <w:rPr>
          <w:b/>
        </w:rPr>
        <w:t>R</w:t>
      </w:r>
    </w:p>
    <w:p>
      <w:pPr>
        <w:pStyle w:val="yMiscellaneousBody"/>
        <w:tabs>
          <w:tab w:val="left" w:pos="284"/>
          <w:tab w:val="right" w:leader="dot" w:pos="6804"/>
        </w:tabs>
        <w:ind w:left="1021" w:hanging="142"/>
      </w:pPr>
      <w:r>
        <w:t xml:space="preserve">or if </w:t>
      </w:r>
      <m:oMath>
        <m:r>
          <m:rPr>
            <m:sty m:val="b"/>
          </m:rPr>
          <w:rPr>
            <w:rFonts w:ascii="Cambria Math" w:hAnsi="Cambria Math"/>
          </w:rPr>
          <m:t>R</m:t>
        </m:r>
        <m:r>
          <m:rPr>
            <m:sty m:val="p"/>
          </m:rPr>
          <w:rPr>
            <w:rFonts w:ascii="Cambria Math" w:hAnsi="Cambria Math"/>
          </w:rPr>
          <m:t>&gt;(</m:t>
        </m:r>
        <m:r>
          <m:rPr>
            <m:sty m:val="b"/>
          </m:rPr>
          <w:rPr>
            <w:rFonts w:ascii="Cambria Math" w:hAnsi="Cambria Math"/>
          </w:rPr>
          <m:t>C+D</m:t>
        </m:r>
        <m:r>
          <m:rPr>
            <m:sty m:val="p"/>
          </m:rPr>
          <w:rPr>
            <w:rFonts w:ascii="Cambria Math" w:hAnsi="Cambria Math"/>
          </w:rPr>
          <m:t>)</m:t>
        </m:r>
      </m:oMath>
      <w:r>
        <w:t>,</w:t>
      </w:r>
    </w:p>
    <w:p>
      <w:pPr>
        <w:pStyle w:val="yMiscellaneousBody"/>
        <w:tabs>
          <w:tab w:val="left" w:pos="284"/>
          <w:tab w:val="left" w:pos="1985"/>
          <w:tab w:val="right" w:leader="dot" w:pos="6804"/>
        </w:tabs>
        <w:ind w:left="1021" w:hanging="142"/>
      </w:pPr>
      <w:r>
        <w:tab/>
        <w:t xml:space="preserve">then </w:t>
      </w:r>
      <w:r>
        <w:rPr>
          <w:b/>
        </w:rPr>
        <w:t>C</w:t>
      </w:r>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R</w:t>
      </w:r>
      <w:r>
        <w:tab/>
        <w:t>is the maximum charge calculated in accordance with item 30;</w:t>
      </w:r>
    </w:p>
    <w:p>
      <w:pPr>
        <w:pStyle w:val="yMiscellaneousBody"/>
        <w:tabs>
          <w:tab w:val="left" w:pos="284"/>
          <w:tab w:val="left" w:pos="1985"/>
        </w:tabs>
        <w:ind w:left="1305" w:hanging="425"/>
      </w:pPr>
      <w:r>
        <w:rPr>
          <w:b/>
        </w:rPr>
        <w:t>C</w:t>
      </w:r>
      <w:r>
        <w:tab/>
        <w:t>is the charge, according to the number of major fixtures for the land, that is the sum of the charges for each fixture as set out in the Table;</w:t>
      </w:r>
    </w:p>
    <w:p>
      <w:pPr>
        <w:pStyle w:val="yMiscellaneousBody"/>
        <w:tabs>
          <w:tab w:val="left" w:pos="284"/>
          <w:tab w:val="left" w:pos="1985"/>
        </w:tabs>
        <w:ind w:left="1305" w:hanging="425"/>
      </w:pPr>
      <w:r>
        <w:rPr>
          <w:b/>
        </w:rPr>
        <w:t>D</w:t>
      </w:r>
      <w:r>
        <w:tab/>
        <w:t>is the discharge charge calculated in accordance with item 28.</w:t>
      </w:r>
    </w:p>
    <w:p>
      <w:pPr>
        <w:pStyle w:val="yTHeadingNAm"/>
      </w:pPr>
      <w:r>
        <w:t>Table of major fixture</w:t>
      </w:r>
      <w:r>
        <w:noBreakHyphen/>
        <w:t>based charges</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cantSplit/>
          <w:tblHeader/>
        </w:trPr>
        <w:tc>
          <w:tcPr>
            <w:tcW w:w="2268" w:type="dxa"/>
            <w:tcBorders>
              <w:top w:val="single" w:sz="4" w:space="0" w:color="auto"/>
              <w:bottom w:val="single" w:sz="4" w:space="0" w:color="auto"/>
            </w:tcBorders>
            <w:noWrap/>
          </w:tcPr>
          <w:p>
            <w:pPr>
              <w:pStyle w:val="yTableNAm"/>
              <w:jc w:val="center"/>
            </w:pPr>
          </w:p>
        </w:tc>
        <w:tc>
          <w:tcPr>
            <w:tcW w:w="2268" w:type="dxa"/>
            <w:tcBorders>
              <w:top w:val="single" w:sz="4" w:space="0" w:color="auto"/>
              <w:bottom w:val="single" w:sz="4" w:space="0" w:color="auto"/>
            </w:tcBorders>
            <w:noWrap/>
          </w:tcPr>
          <w:p>
            <w:pPr>
              <w:pStyle w:val="yTableNAm"/>
              <w:jc w:val="center"/>
            </w:pPr>
            <w:r>
              <w:rPr>
                <w:b/>
              </w:rPr>
              <w:t>Charge</w:t>
            </w:r>
            <w:r>
              <w:rPr>
                <w:b/>
              </w:rPr>
              <w:br/>
              <w:t>$</w:t>
            </w:r>
          </w:p>
        </w:tc>
      </w:tr>
      <w:tr>
        <w:trPr>
          <w:cantSplit/>
        </w:trPr>
        <w:tc>
          <w:tcPr>
            <w:tcW w:w="2268" w:type="dxa"/>
            <w:noWrap/>
            <w:tcMar>
              <w:left w:w="284" w:type="dxa"/>
            </w:tcMar>
          </w:tcPr>
          <w:p>
            <w:pPr>
              <w:pStyle w:val="yTableNAmLeft-065cm"/>
            </w:pPr>
            <w:r>
              <w:t>1</w:t>
            </w:r>
            <w:r>
              <w:rPr>
                <w:vertAlign w:val="superscript"/>
              </w:rPr>
              <w:t>st</w:t>
            </w:r>
            <w:r>
              <w:tab/>
              <w:t>fixture</w:t>
            </w:r>
          </w:p>
        </w:tc>
        <w:tc>
          <w:tcPr>
            <w:tcW w:w="2268" w:type="dxa"/>
            <w:noWrap/>
          </w:tcPr>
          <w:p>
            <w:pPr>
              <w:pStyle w:val="yTableNAm"/>
              <w:jc w:val="center"/>
            </w:pPr>
            <w:r>
              <w:t>1 155.37</w:t>
            </w:r>
          </w:p>
        </w:tc>
      </w:tr>
      <w:tr>
        <w:trPr>
          <w:cantSplit/>
        </w:trPr>
        <w:tc>
          <w:tcPr>
            <w:tcW w:w="2268" w:type="dxa"/>
            <w:noWrap/>
            <w:tcMar>
              <w:left w:w="284" w:type="dxa"/>
            </w:tcMar>
          </w:tcPr>
          <w:p>
            <w:pPr>
              <w:pStyle w:val="yTableNAmLeft-065cm"/>
            </w:pPr>
            <w:r>
              <w:t>2</w:t>
            </w:r>
            <w:r>
              <w:rPr>
                <w:vertAlign w:val="superscript"/>
              </w:rPr>
              <w:t>nd</w:t>
            </w:r>
            <w:r>
              <w:tab/>
              <w:t>fixture</w:t>
            </w:r>
          </w:p>
        </w:tc>
        <w:tc>
          <w:tcPr>
            <w:tcW w:w="2268" w:type="dxa"/>
            <w:noWrap/>
          </w:tcPr>
          <w:p>
            <w:pPr>
              <w:pStyle w:val="yTableNAm"/>
              <w:jc w:val="center"/>
            </w:pPr>
            <w:r>
              <w:t>494.56</w:t>
            </w:r>
          </w:p>
        </w:tc>
      </w:tr>
      <w:tr>
        <w:trPr>
          <w:cantSplit/>
        </w:trPr>
        <w:tc>
          <w:tcPr>
            <w:tcW w:w="2268" w:type="dxa"/>
            <w:noWrap/>
            <w:tcMar>
              <w:left w:w="284" w:type="dxa"/>
            </w:tcMar>
          </w:tcPr>
          <w:p>
            <w:pPr>
              <w:pStyle w:val="yTableNAmLeft-065cm"/>
            </w:pPr>
            <w:r>
              <w:t>3</w:t>
            </w:r>
            <w:r>
              <w:rPr>
                <w:vertAlign w:val="superscript"/>
              </w:rPr>
              <w:t>rd</w:t>
            </w:r>
            <w:r>
              <w:tab/>
              <w:t>fixture</w:t>
            </w:r>
          </w:p>
        </w:tc>
        <w:tc>
          <w:tcPr>
            <w:tcW w:w="2268" w:type="dxa"/>
            <w:noWrap/>
          </w:tcPr>
          <w:p>
            <w:pPr>
              <w:pStyle w:val="yTableNAm"/>
              <w:jc w:val="center"/>
            </w:pPr>
            <w:r>
              <w:t>660.48</w:t>
            </w:r>
          </w:p>
        </w:tc>
      </w:tr>
      <w:tr>
        <w:trPr>
          <w:cantSplit/>
        </w:trPr>
        <w:tc>
          <w:tcPr>
            <w:tcW w:w="2268" w:type="dxa"/>
            <w:tcBorders>
              <w:bottom w:val="single" w:sz="4" w:space="0" w:color="auto"/>
            </w:tcBorders>
            <w:noWrap/>
            <w:tcMar>
              <w:left w:w="284" w:type="dxa"/>
            </w:tcMar>
          </w:tcPr>
          <w:p>
            <w:pPr>
              <w:pStyle w:val="yTableNAmLeft-065cm"/>
            </w:pPr>
            <w:r>
              <w:t>4</w:t>
            </w:r>
            <w:r>
              <w:rPr>
                <w:vertAlign w:val="superscript"/>
              </w:rPr>
              <w:t>th</w:t>
            </w:r>
            <w:r>
              <w:tab/>
              <w:t>and subsequent fixtures</w:t>
            </w:r>
          </w:p>
        </w:tc>
        <w:tc>
          <w:tcPr>
            <w:tcW w:w="2268" w:type="dxa"/>
            <w:tcBorders>
              <w:bottom w:val="single" w:sz="4" w:space="0" w:color="auto"/>
            </w:tcBorders>
            <w:noWrap/>
            <w:vAlign w:val="bottom"/>
          </w:tcPr>
          <w:p>
            <w:pPr>
              <w:pStyle w:val="yTableNAm"/>
              <w:jc w:val="center"/>
            </w:pPr>
            <w:r>
              <w:rPr>
                <w:szCs w:val="22"/>
              </w:rPr>
              <w:t>718.23</w:t>
            </w:r>
          </w:p>
        </w:tc>
      </w:tr>
    </w:tbl>
    <w:p>
      <w:pPr>
        <w:pStyle w:val="yHeading5"/>
      </w:pPr>
      <w:bookmarkStart w:id="520" w:name="_Toc169797273"/>
      <w:bookmarkStart w:id="521" w:name="_Toc169797583"/>
      <w:bookmarkStart w:id="522" w:name="_Toc170209278"/>
      <w:r>
        <w:lastRenderedPageBreak/>
        <w:t>28.</w:t>
      </w:r>
      <w:r>
        <w:tab/>
        <w:t>Discharge charge</w:t>
      </w:r>
      <w:bookmarkEnd w:id="520"/>
      <w:bookmarkEnd w:id="521"/>
      <w:bookmarkEnd w:id="522"/>
    </w:p>
    <w:p>
      <w:pPr>
        <w:pStyle w:val="ySubsection"/>
        <w:keepNext/>
      </w:pPr>
      <w:r>
        <w:tab/>
      </w:r>
      <w:r>
        <w:tab/>
        <w:t>The discharge charge (</w:t>
      </w:r>
      <w:r>
        <w:rPr>
          <w:b/>
          <w:i/>
        </w:rPr>
        <w:t>Q</w:t>
      </w:r>
      <w:r>
        <w:t>) is —</w:t>
      </w:r>
    </w:p>
    <w:p>
      <w:pPr>
        <w:pStyle w:val="yMiscellaneousBody"/>
        <w:keepNext/>
        <w:tabs>
          <w:tab w:val="left" w:pos="284"/>
          <w:tab w:val="right" w:leader="dot" w:pos="6804"/>
        </w:tabs>
        <w:ind w:left="1021" w:hanging="142"/>
      </w:pPr>
      <w:r>
        <w:t xml:space="preserve">if </w:t>
      </w:r>
      <m:oMath>
        <m:r>
          <m:rPr>
            <m:sty m:val="p"/>
          </m:rPr>
          <w:rPr>
            <w:rFonts w:ascii="Cambria Math" w:hAnsi="Cambria Math"/>
          </w:rPr>
          <m:t>(</m:t>
        </m:r>
        <m:r>
          <m:rPr>
            <m:sty m:val="b"/>
          </m:rPr>
          <w:rPr>
            <w:rFonts w:ascii="Cambria Math" w:hAnsi="Cambria Math"/>
          </w:rPr>
          <m:t>F</m:t>
        </m:r>
        <m:r>
          <m:rPr>
            <m:sty m:val="p"/>
          </m:rPr>
          <w:rPr>
            <w:rFonts w:ascii="Cambria Math" w:hAnsi="Cambria Math"/>
          </w:rPr>
          <m:t>×</m:t>
        </m:r>
        <m:r>
          <m:rPr>
            <m:sty m:val="b"/>
          </m:rPr>
          <w:rPr>
            <w:rFonts w:ascii="Cambria Math" w:hAnsi="Cambria Math"/>
          </w:rPr>
          <m:t>G</m:t>
        </m:r>
        <m:r>
          <m:rPr>
            <m:sty m:val="p"/>
          </m:rPr>
          <w:rPr>
            <w:rFonts w:ascii="Cambria Math" w:hAnsi="Cambria Math"/>
          </w:rPr>
          <m:t>)≤</m:t>
        </m:r>
        <m:r>
          <m:rPr>
            <m:sty m:val="b"/>
          </m:rPr>
          <w:rPr>
            <w:rFonts w:ascii="Cambria Math" w:hAnsi="Cambria Math"/>
          </w:rPr>
          <m:t>H</m:t>
        </m:r>
      </m:oMath>
      <w:r>
        <w:t>,</w:t>
      </w:r>
    </w:p>
    <w:p>
      <w:pPr>
        <w:pStyle w:val="yMiscellaneousBody"/>
        <w:tabs>
          <w:tab w:val="left" w:pos="284"/>
          <w:tab w:val="left" w:pos="1985"/>
          <w:tab w:val="right" w:leader="dot" w:pos="6804"/>
        </w:tabs>
        <w:ind w:left="1021" w:hanging="142"/>
      </w:pPr>
      <w:r>
        <w:tab/>
        <w:t>then nil</w:t>
      </w:r>
    </w:p>
    <w:p>
      <w:pPr>
        <w:pStyle w:val="yMiscellaneousBody"/>
        <w:tabs>
          <w:tab w:val="left" w:pos="284"/>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F</m:t>
        </m:r>
        <m:r>
          <m:rPr>
            <m:sty m:val="p"/>
          </m:rPr>
          <w:rPr>
            <w:rFonts w:ascii="Cambria Math" w:hAnsi="Cambria Math"/>
          </w:rPr>
          <m:t>×</m:t>
        </m:r>
        <m:r>
          <m:rPr>
            <m:sty m:val="b"/>
          </m:rPr>
          <w:rPr>
            <w:rFonts w:ascii="Cambria Math" w:hAnsi="Cambria Math"/>
          </w:rPr>
          <m:t>G</m:t>
        </m:r>
        <m:r>
          <m:rPr>
            <m:sty m:val="p"/>
          </m:rPr>
          <w:rPr>
            <w:rFonts w:ascii="Cambria Math" w:hAnsi="Cambria Math"/>
          </w:rPr>
          <m:t>)&gt;</m:t>
        </m:r>
        <m:r>
          <m:rPr>
            <m:sty m:val="b"/>
          </m:rPr>
          <w:rPr>
            <w:rFonts w:ascii="Cambria Math" w:hAnsi="Cambria Math"/>
          </w:rPr>
          <m:t>H</m:t>
        </m:r>
      </m:oMath>
      <w:r>
        <w:t>,</w:t>
      </w:r>
    </w:p>
    <w:p>
      <w:pPr>
        <w:pStyle w:val="yMiscellaneousBody"/>
        <w:tabs>
          <w:tab w:val="left" w:pos="284"/>
          <w:tab w:val="left" w:pos="1985"/>
          <w:tab w:val="right" w:leader="dot" w:pos="6804"/>
        </w:tabs>
        <w:ind w:left="1021" w:hanging="142"/>
      </w:pPr>
      <w:r>
        <w:tab/>
        <w:t xml:space="preserve">then </w:t>
      </w:r>
      <m:oMath>
        <m:r>
          <m:rPr>
            <m:sty m:val="p"/>
          </m:rPr>
          <w:rPr>
            <w:rFonts w:ascii="Cambria Math" w:hAnsi="Cambria Math"/>
          </w:rPr>
          <m:t>(</m:t>
        </m:r>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H)×I</m:t>
        </m:r>
      </m:oMath>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F</w:t>
      </w:r>
      <w:r>
        <w:tab/>
        <w:t>is the volume of water supplied to the land in the current consumption year;</w:t>
      </w:r>
    </w:p>
    <w:p>
      <w:pPr>
        <w:pStyle w:val="yMiscellaneousBody"/>
        <w:tabs>
          <w:tab w:val="left" w:pos="284"/>
          <w:tab w:val="left" w:pos="1985"/>
        </w:tabs>
        <w:ind w:left="1305" w:hanging="425"/>
      </w:pPr>
      <w:r>
        <w:rPr>
          <w:b/>
        </w:rPr>
        <w:t>G</w:t>
      </w:r>
      <w:r>
        <w:tab/>
        <w:t>is the discharge factor applicable for the land for the current discharge year;</w:t>
      </w:r>
    </w:p>
    <w:p>
      <w:pPr>
        <w:pStyle w:val="yMiscellaneousBody"/>
        <w:tabs>
          <w:tab w:val="left" w:pos="284"/>
          <w:tab w:val="left" w:pos="1985"/>
        </w:tabs>
        <w:ind w:left="1305" w:hanging="425"/>
      </w:pPr>
      <w:r>
        <w:rPr>
          <w:b/>
        </w:rPr>
        <w:t>H</w:t>
      </w:r>
      <w:r>
        <w:tab/>
        <w:t>is the discharge allowance for the current discharge year worked out in accordance with item 29;</w:t>
      </w:r>
    </w:p>
    <w:p>
      <w:pPr>
        <w:pStyle w:val="yMiscellaneousBody"/>
        <w:tabs>
          <w:tab w:val="left" w:pos="284"/>
          <w:tab w:val="left" w:pos="1985"/>
        </w:tabs>
        <w:ind w:left="1305" w:hanging="425"/>
      </w:pPr>
      <w:r>
        <w:rPr>
          <w:b/>
        </w:rPr>
        <w:t>I</w:t>
      </w:r>
      <w:r>
        <w:tab/>
        <w:t>is</w:t>
      </w:r>
      <w:r>
        <w:rPr>
          <w:szCs w:val="22"/>
        </w:rPr>
        <w:t xml:space="preserve"> </w:t>
      </w:r>
      <w:r>
        <w:t>$4.246,</w:t>
      </w:r>
    </w:p>
    <w:p>
      <w:pPr>
        <w:pStyle w:val="yMiscellaneousBody"/>
        <w:tabs>
          <w:tab w:val="left" w:pos="284"/>
          <w:tab w:val="left" w:pos="1985"/>
        </w:tabs>
        <w:ind w:left="879"/>
      </w:pPr>
      <w:r>
        <w:t xml:space="preserve">and </w:t>
      </w:r>
      <m:oMath>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m:t>
        </m:r>
      </m:oMath>
      <w:r>
        <w:t xml:space="preserve"> is rounded down to the nearest whole number.</w:t>
      </w:r>
    </w:p>
    <w:p>
      <w:pPr>
        <w:pStyle w:val="yHeading5"/>
      </w:pPr>
      <w:bookmarkStart w:id="523" w:name="_Toc169797274"/>
      <w:bookmarkStart w:id="524" w:name="_Toc169797584"/>
      <w:bookmarkStart w:id="525" w:name="_Toc170209279"/>
      <w:r>
        <w:t>29.</w:t>
      </w:r>
      <w:r>
        <w:tab/>
        <w:t>Discharge allowance</w:t>
      </w:r>
      <w:bookmarkEnd w:id="523"/>
      <w:bookmarkEnd w:id="524"/>
      <w:bookmarkEnd w:id="525"/>
    </w:p>
    <w:p>
      <w:pPr>
        <w:pStyle w:val="ySubsection"/>
      </w:pPr>
      <w:r>
        <w:tab/>
        <w:t>(1)</w:t>
      </w:r>
      <w:r>
        <w:tab/>
        <w:t>The discharge allowance for the current discharge year is —</w:t>
      </w:r>
    </w:p>
    <w:p>
      <w:pPr>
        <w:pStyle w:val="yIndenta"/>
      </w:pPr>
      <w:r>
        <w:tab/>
        <w:t>(a)</w:t>
      </w:r>
      <w:r>
        <w:tab/>
        <w:t>for land to which item 22 applies that is not covered by paragraph (e) — 200 kL;</w:t>
      </w:r>
    </w:p>
    <w:p>
      <w:pPr>
        <w:pStyle w:val="yIndenta"/>
      </w:pPr>
      <w:r>
        <w:tab/>
        <w:t>(b)</w:t>
      </w:r>
      <w:r>
        <w:tab/>
        <w:t>for land held by a government trading organisation or by a public authority that holds non</w:t>
      </w:r>
      <w:r>
        <w:noBreakHyphen/>
        <w:t>commercial government property — 200 kL;</w:t>
      </w:r>
    </w:p>
    <w:p>
      <w:pPr>
        <w:pStyle w:val="yIndenta"/>
      </w:pPr>
      <w:r>
        <w:tab/>
        <w:t>(c)</w:t>
      </w:r>
      <w:r>
        <w:tab/>
        <w:t>for a caravan park referred to in item 23 — the amount (in kL) calculated in accordance with the formula in sub</w:t>
      </w:r>
      <w:r>
        <w:noBreakHyphen/>
        <w:t>item (2);</w:t>
      </w:r>
    </w:p>
    <w:p>
      <w:pPr>
        <w:pStyle w:val="yIndenta"/>
      </w:pPr>
      <w:r>
        <w:tab/>
        <w:t>(d)</w:t>
      </w:r>
      <w:r>
        <w:tab/>
        <w:t>for a nursing home referred to in item 24 — 75 kL per bed;</w:t>
      </w:r>
    </w:p>
    <w:p>
      <w:pPr>
        <w:pStyle w:val="yIndenta"/>
      </w:pPr>
      <w:r>
        <w:tab/>
        <w:t>(e)</w:t>
      </w:r>
      <w:r>
        <w:tab/>
        <w:t>for properties that share a metered property water supply connection — 200 kL for each property.</w:t>
      </w:r>
    </w:p>
    <w:p>
      <w:pPr>
        <w:pStyle w:val="ySubsection"/>
        <w:keepNext/>
      </w:pPr>
      <w:r>
        <w:lastRenderedPageBreak/>
        <w:tab/>
        <w:t>(2)</w:t>
      </w:r>
      <w:r>
        <w:tab/>
        <w:t>The formula for the purposes of sub</w:t>
      </w:r>
      <w:r>
        <w:noBreakHyphen/>
        <w:t>item (1)(c) is —</w:t>
      </w:r>
    </w:p>
    <w:p>
      <w:pPr>
        <w:pStyle w:val="Equation"/>
        <w:spacing w:before="120"/>
        <w:ind w:left="879"/>
        <w:rPr>
          <w:b/>
          <w:sz w:val="22"/>
        </w:rPr>
      </w:pPr>
      <m:oMathPara>
        <m:oMathParaPr>
          <m:jc m:val="left"/>
        </m:oMathParaPr>
        <m:oMath>
          <m:r>
            <m:rPr>
              <m:sty m:val="b"/>
            </m:rPr>
            <w:rPr>
              <w:rFonts w:ascii="Cambria Math" w:hAnsi="Cambria Math"/>
              <w:sz w:val="22"/>
            </w:rPr>
            <m:t>200 kL</m:t>
          </m:r>
          <m:r>
            <m:rPr>
              <m:sty m:val="p"/>
            </m:rPr>
            <w:rPr>
              <w:rFonts w:ascii="Cambria Math" w:hAnsi="Cambria Math"/>
              <w:sz w:val="22"/>
            </w:rPr>
            <m:t>+</m:t>
          </m:r>
          <m:r>
            <m:rPr>
              <m:sty m:val="b"/>
            </m:rPr>
            <w:rPr>
              <w:rFonts w:ascii="Cambria Math" w:hAnsi="Cambria Math"/>
              <w:sz w:val="22"/>
            </w:rPr>
            <m:t>M</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right" w:leader="dot" w:pos="6804"/>
        </w:tabs>
        <w:ind w:left="1304" w:hanging="425"/>
      </w:pPr>
      <w:r>
        <w:rPr>
          <w:b/>
        </w:rPr>
        <w:t>M</w:t>
      </w:r>
      <w:r>
        <w:tab/>
        <w:t>is 75 kL of water for each long</w:t>
      </w:r>
      <w:r>
        <w:noBreakHyphen/>
        <w:t>term residential caravan bay.</w:t>
      </w:r>
    </w:p>
    <w:p>
      <w:pPr>
        <w:pStyle w:val="yHeading5"/>
      </w:pPr>
      <w:bookmarkStart w:id="526" w:name="_Toc169797275"/>
      <w:bookmarkStart w:id="527" w:name="_Toc169797585"/>
      <w:bookmarkStart w:id="528" w:name="_Toc170209280"/>
      <w:r>
        <w:t>30.</w:t>
      </w:r>
      <w:r>
        <w:tab/>
        <w:t>Maximum charge</w:t>
      </w:r>
      <w:bookmarkEnd w:id="526"/>
      <w:bookmarkEnd w:id="527"/>
      <w:bookmarkEnd w:id="528"/>
    </w:p>
    <w:p>
      <w:pPr>
        <w:pStyle w:val="ySubsection"/>
        <w:keepNext/>
      </w:pPr>
      <w:r>
        <w:tab/>
      </w:r>
      <w:r>
        <w:tab/>
        <w:t>The maximum charge (</w:t>
      </w:r>
      <w:r>
        <w:rPr>
          <w:b/>
          <w:i/>
        </w:rPr>
        <w:t>R</w:t>
      </w:r>
      <w:r>
        <w:t>) is —</w:t>
      </w:r>
    </w:p>
    <w:p>
      <w:pPr>
        <w:pStyle w:val="yMiscellaneousBody"/>
        <w:tabs>
          <w:tab w:val="left" w:pos="284"/>
          <w:tab w:val="right" w:leader="dot" w:pos="6804"/>
        </w:tabs>
        <w:ind w:left="1282" w:hanging="142"/>
      </w:pPr>
      <w:r>
        <w:t xml:space="preserve">if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m:rPr>
            <m:sty m:val="b"/>
          </m:rPr>
          <w:rPr>
            <w:rFonts w:ascii="Cambria Math" w:hAnsi="Cambria Math"/>
          </w:rPr>
          <m:t>A</m:t>
        </m:r>
        <m:r>
          <m:rPr>
            <m:sty m:val="p"/>
          </m:rPr>
          <w:rPr>
            <w:rFonts w:ascii="Cambria Math" w:hAnsi="Cambria Math"/>
          </w:rPr>
          <m:t>&gt;</m:t>
        </m:r>
        <m:r>
          <m:rPr>
            <m:sty m:val="b"/>
          </m:rPr>
          <w:rPr>
            <w:rFonts w:ascii="Cambria Math" w:hAnsi="Cambria Math"/>
          </w:rPr>
          <m:t>B</m:t>
        </m:r>
      </m:oMath>
      <w:r>
        <w:t>,</w:t>
      </w:r>
    </w:p>
    <w:p>
      <w:pPr>
        <w:pStyle w:val="yMiscellaneousBody"/>
        <w:tabs>
          <w:tab w:val="left" w:pos="284"/>
          <w:tab w:val="left" w:pos="1985"/>
          <w:tab w:val="right" w:leader="dot" w:pos="6804"/>
        </w:tabs>
        <w:ind w:left="1282" w:hanging="142"/>
      </w:pPr>
      <w:r>
        <w:tab/>
        <w:t xml:space="preserve">then — </w:t>
      </w:r>
    </w:p>
    <w:p>
      <w:pPr>
        <w:pStyle w:val="yMiscellaneousBody"/>
        <w:tabs>
          <w:tab w:val="left" w:pos="284"/>
          <w:tab w:val="right" w:leader="dot" w:pos="6804"/>
        </w:tabs>
        <w:ind w:left="1282" w:hanging="142"/>
      </w:pPr>
      <w:r>
        <w:t xml:space="preserve">if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)&gt;(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r>
        <w:t>,</w:t>
      </w:r>
    </w:p>
    <w:p>
      <w:pPr>
        <w:pStyle w:val="yMiscellaneousBody"/>
        <w:tabs>
          <w:tab w:val="left" w:pos="284"/>
          <w:tab w:val="left" w:pos="1985"/>
          <w:tab w:val="right" w:leader="dot" w:pos="6804"/>
        </w:tabs>
        <w:ind w:left="1282" w:hanging="142"/>
      </w:pPr>
      <w:r>
        <w:tab/>
        <w:t xml:space="preserve">then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m:t>
        </m:r>
      </m:oMath>
    </w:p>
    <w:p>
      <w:pPr>
        <w:pStyle w:val="yMiscellaneousBody"/>
        <w:tabs>
          <w:tab w:val="left" w:pos="284"/>
          <w:tab w:val="right" w:leader="dot" w:pos="6804"/>
        </w:tabs>
        <w:ind w:left="1282" w:hanging="142"/>
      </w:pPr>
      <w:r>
        <w:t xml:space="preserve">or if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r>
        <w:t>,</w:t>
      </w:r>
    </w:p>
    <w:p>
      <w:pPr>
        <w:pStyle w:val="yMiscellaneousBody"/>
        <w:tabs>
          <w:tab w:val="left" w:pos="284"/>
          <w:tab w:val="left" w:pos="1985"/>
          <w:tab w:val="right" w:leader="dot" w:pos="6804"/>
        </w:tabs>
        <w:ind w:left="1282" w:hanging="142"/>
      </w:pPr>
      <w:r>
        <w:tab/>
        <w:t xml:space="preserve">then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p>
    <w:p>
      <w:pPr>
        <w:pStyle w:val="yMiscellaneousBody"/>
        <w:tabs>
          <w:tab w:val="left" w:pos="284"/>
          <w:tab w:val="right" w:leader="dot" w:pos="6804"/>
        </w:tabs>
        <w:ind w:left="1282" w:hanging="142"/>
      </w:pPr>
      <w:r>
        <w:t xml:space="preserve">or if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oMath>
      <w:r>
        <w:t>,</w:t>
      </w:r>
    </w:p>
    <w:p>
      <w:pPr>
        <w:pStyle w:val="yMiscellaneousBody"/>
        <w:tabs>
          <w:tab w:val="left" w:pos="284"/>
          <w:tab w:val="left" w:pos="1985"/>
          <w:tab w:val="right" w:leader="dot" w:pos="6804"/>
        </w:tabs>
        <w:ind w:left="1282" w:hanging="142"/>
      </w:pPr>
      <w:r>
        <w:tab/>
        <w:t xml:space="preserve">then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oMath>
    </w:p>
    <w:p>
      <w:pPr>
        <w:pStyle w:val="yMiscellaneousBody"/>
        <w:tabs>
          <w:tab w:val="left" w:pos="284"/>
          <w:tab w:val="left" w:pos="1985"/>
        </w:tabs>
        <w:ind w:left="1305" w:hanging="425"/>
      </w:pPr>
      <w:r>
        <w:t xml:space="preserve">where — </w:t>
      </w:r>
    </w:p>
    <w:p>
      <w:pPr>
        <w:pStyle w:val="yMiscellaneousBody"/>
        <w:tabs>
          <w:tab w:val="left" w:pos="284"/>
          <w:tab w:val="left" w:pos="1985"/>
        </w:tabs>
        <w:ind w:left="1305" w:hanging="425"/>
      </w:pPr>
      <w:r>
        <w:rPr>
          <w:b/>
        </w:rPr>
        <w:t>P</w:t>
      </w:r>
      <w:r>
        <w:rPr>
          <w:b/>
        </w:rPr>
        <w:tab/>
      </w:r>
      <w:r>
        <w:t>is the service charge calculated in accordance with item 27;</w:t>
      </w:r>
    </w:p>
    <w:p>
      <w:pPr>
        <w:pStyle w:val="yMiscellaneousBody"/>
        <w:tabs>
          <w:tab w:val="left" w:pos="284"/>
          <w:tab w:val="left" w:pos="1985"/>
        </w:tabs>
        <w:ind w:left="1305" w:hanging="425"/>
      </w:pPr>
      <w:r>
        <w:rPr>
          <w:b/>
        </w:rPr>
        <w:t>Q</w:t>
      </w:r>
      <w:r>
        <w:rPr>
          <w:b/>
        </w:rPr>
        <w:tab/>
      </w:r>
      <w:r>
        <w:t>is the discharge charge calculated in accordance with item 28;</w:t>
      </w:r>
    </w:p>
    <w:p>
      <w:pPr>
        <w:pStyle w:val="yMiscellaneousBody"/>
        <w:tabs>
          <w:tab w:val="left" w:pos="284"/>
          <w:tab w:val="left" w:pos="1985"/>
        </w:tabs>
        <w:ind w:left="1305" w:hanging="425"/>
      </w:pPr>
      <w:r>
        <w:rPr>
          <w:b/>
        </w:rPr>
        <w:t>A</w:t>
      </w:r>
      <w:r>
        <w:rPr>
          <w:b/>
        </w:rPr>
        <w:tab/>
      </w:r>
      <w:r>
        <w:t>is the charge payable, for the previous financial year, under the item in Subdivision 4 for which this item is being applied;</w:t>
      </w:r>
    </w:p>
    <w:p>
      <w:pPr>
        <w:pStyle w:val="yMiscellaneousBody"/>
        <w:tabs>
          <w:tab w:val="left" w:pos="284"/>
          <w:tab w:val="left" w:pos="1985"/>
        </w:tabs>
        <w:ind w:left="1305" w:hanging="425"/>
      </w:pPr>
      <w:r>
        <w:rPr>
          <w:b/>
        </w:rPr>
        <w:t>S</w:t>
      </w:r>
      <w:r>
        <w:rPr>
          <w:b/>
        </w:rPr>
        <w:tab/>
      </w:r>
      <w:r>
        <w:t>is 1.1250;</w:t>
      </w:r>
    </w:p>
    <w:p>
      <w:pPr>
        <w:pStyle w:val="yMiscellaneousBody"/>
        <w:tabs>
          <w:tab w:val="left" w:pos="284"/>
          <w:tab w:val="left" w:pos="1985"/>
        </w:tabs>
        <w:ind w:left="1305" w:hanging="425"/>
      </w:pPr>
      <w:r>
        <w:rPr>
          <w:b/>
        </w:rPr>
        <w:t>B</w:t>
      </w:r>
      <w:r>
        <w:rPr>
          <w:b/>
        </w:rPr>
        <w:tab/>
      </w:r>
      <w:r>
        <w:t>is $166.67.</w:t>
      </w:r>
    </w:p>
    <w:p>
      <w:pPr>
        <w:pStyle w:val="yFootnotesection"/>
      </w:pPr>
      <w:r>
        <w:tab/>
        <w:t>[Division 2 inserted: SL 2024/117 r. 9.]</w:t>
      </w:r>
    </w:p>
    <w:p>
      <w:pPr>
        <w:pStyle w:val="yHeading3"/>
      </w:pPr>
      <w:bookmarkStart w:id="529" w:name="_Toc169797276"/>
      <w:bookmarkStart w:id="530" w:name="_Toc169797431"/>
      <w:bookmarkStart w:id="531" w:name="_Toc169797586"/>
      <w:bookmarkStart w:id="532" w:name="_Toc170138925"/>
      <w:bookmarkStart w:id="533" w:name="_Toc170203786"/>
      <w:bookmarkStart w:id="534" w:name="_Toc170209281"/>
      <w:r>
        <w:rPr>
          <w:rStyle w:val="CharSDivNo"/>
        </w:rPr>
        <w:lastRenderedPageBreak/>
        <w:t>Division 3</w:t>
      </w:r>
      <w:r>
        <w:t> — </w:t>
      </w:r>
      <w:r>
        <w:rPr>
          <w:rStyle w:val="CharSDivText"/>
        </w:rPr>
        <w:t>Discharge charges: trade waste and effluent</w:t>
      </w:r>
      <w:bookmarkEnd w:id="529"/>
      <w:bookmarkEnd w:id="530"/>
      <w:bookmarkEnd w:id="531"/>
      <w:bookmarkEnd w:id="532"/>
      <w:bookmarkEnd w:id="533"/>
      <w:bookmarkEnd w:id="534"/>
    </w:p>
    <w:p>
      <w:pPr>
        <w:pStyle w:val="yFootnoteheading"/>
        <w:keepNext/>
      </w:pPr>
      <w:r>
        <w:tab/>
        <w:t>[Heading inserted: SL 2024/117 r. 9.]</w:t>
      </w:r>
    </w:p>
    <w:p>
      <w:pPr>
        <w:pStyle w:val="yHeading5"/>
      </w:pPr>
      <w:bookmarkStart w:id="535" w:name="_Toc169797277"/>
      <w:bookmarkStart w:id="536" w:name="_Toc169797587"/>
      <w:bookmarkStart w:id="537" w:name="_Toc170209282"/>
      <w:r>
        <w:t>31.</w:t>
      </w:r>
      <w:r>
        <w:tab/>
        <w:t>Discharge charges for 2024/25 and subsequent years</w:t>
      </w:r>
      <w:bookmarkEnd w:id="535"/>
      <w:bookmarkEnd w:id="536"/>
      <w:bookmarkEnd w:id="537"/>
    </w:p>
    <w:p>
      <w:pPr>
        <w:pStyle w:val="ySubsection"/>
      </w:pPr>
      <w:r>
        <w:tab/>
      </w:r>
      <w:r>
        <w:tab/>
        <w:t>The charges set out in this Division apply for trade waste or effluent discharged in the 2024/25 financial year and each subsequent year.</w:t>
      </w:r>
    </w:p>
    <w:p>
      <w:pPr>
        <w:pStyle w:val="yHeading5"/>
      </w:pPr>
      <w:bookmarkStart w:id="538" w:name="_Toc169797278"/>
      <w:bookmarkStart w:id="539" w:name="_Toc169797588"/>
      <w:bookmarkStart w:id="540" w:name="_Toc170209283"/>
      <w:r>
        <w:t>32.</w:t>
      </w:r>
      <w:r>
        <w:tab/>
        <w:t>Trade waste discharged into sewer under approval</w:t>
      </w:r>
      <w:bookmarkEnd w:id="538"/>
      <w:bookmarkEnd w:id="539"/>
      <w:bookmarkEnd w:id="540"/>
    </w:p>
    <w:p>
      <w:pPr>
        <w:pStyle w:val="ySubsection"/>
      </w:pPr>
      <w:r>
        <w:tab/>
        <w:t>(1)</w:t>
      </w:r>
      <w:r>
        <w:tab/>
        <w:t xml:space="preserve">In this item — </w:t>
      </w:r>
    </w:p>
    <w:p>
      <w:pPr>
        <w:pStyle w:val="yDefstart"/>
      </w:pPr>
      <w:r>
        <w:tab/>
      </w:r>
      <w:r>
        <w:rPr>
          <w:rStyle w:val="CharDefText"/>
        </w:rPr>
        <w:t>B.O.D.</w:t>
      </w:r>
      <w:r>
        <w:t xml:space="preserve"> means biochemical oxygen demand;</w:t>
      </w:r>
    </w:p>
    <w:p>
      <w:pPr>
        <w:pStyle w:val="yDefstart"/>
      </w:pPr>
      <w:r>
        <w:tab/>
      </w:r>
      <w:r>
        <w:rPr>
          <w:rStyle w:val="CharDefText"/>
        </w:rPr>
        <w:t>c/kg</w:t>
      </w:r>
      <w:r>
        <w:t xml:space="preserve"> means cents </w:t>
      </w:r>
      <w:r>
        <w:rPr>
          <w:szCs w:val="22"/>
        </w:rPr>
        <w:t>per</w:t>
      </w:r>
      <w:r>
        <w:t xml:space="preserve"> kilogram;</w:t>
      </w:r>
    </w:p>
    <w:p>
      <w:pPr>
        <w:pStyle w:val="yDefstart"/>
      </w:pPr>
      <w:r>
        <w:tab/>
      </w:r>
      <w:r>
        <w:rPr>
          <w:rStyle w:val="CharDefText"/>
        </w:rPr>
        <w:t>c/kL</w:t>
      </w:r>
      <w:r>
        <w:t xml:space="preserve"> means cents </w:t>
      </w:r>
      <w:r>
        <w:rPr>
          <w:szCs w:val="22"/>
        </w:rPr>
        <w:t>per</w:t>
      </w:r>
      <w:r>
        <w:t xml:space="preserve"> kilolitre.</w:t>
      </w:r>
    </w:p>
    <w:p>
      <w:pPr>
        <w:pStyle w:val="ySubsection"/>
      </w:pPr>
      <w:r>
        <w:tab/>
        <w:t>(2)</w:t>
      </w:r>
      <w:r>
        <w:tab/>
        <w:t>For trade waste discharged into a sewer of the Water Corporation under an approval of the Water Corporation, the charge is —</w:t>
      </w:r>
    </w:p>
    <w:p>
      <w:pPr>
        <w:pStyle w:val="yIndenta"/>
        <w:tabs>
          <w:tab w:val="right" w:leader="dot" w:pos="6804"/>
        </w:tabs>
      </w:pPr>
      <w:r>
        <w:tab/>
        <w:t>(a)</w:t>
      </w:r>
      <w:r>
        <w:tab/>
        <w:t xml:space="preserve">for volume </w:t>
      </w:r>
      <w:r>
        <w:tab/>
        <w:t>164.5 c/kL</w:t>
      </w:r>
    </w:p>
    <w:p>
      <w:pPr>
        <w:pStyle w:val="yIndenta"/>
        <w:tabs>
          <w:tab w:val="right" w:leader="dot" w:pos="6804"/>
        </w:tabs>
      </w:pPr>
      <w:r>
        <w:tab/>
        <w:t>(b)</w:t>
      </w:r>
      <w:r>
        <w:tab/>
        <w:t>for B.O.D. with a concentration of —</w:t>
      </w:r>
    </w:p>
    <w:p>
      <w:pPr>
        <w:pStyle w:val="yIndenti0"/>
        <w:tabs>
          <w:tab w:val="right" w:leader="dot" w:pos="6804"/>
        </w:tabs>
      </w:pPr>
      <w:r>
        <w:tab/>
        <w:t>(i)</w:t>
      </w:r>
      <w:r>
        <w:tab/>
        <w:t xml:space="preserve">up to 5 kg/kL </w:t>
      </w:r>
      <w:r>
        <w:tab/>
        <w:t>137.3 c/kg</w:t>
      </w:r>
    </w:p>
    <w:p>
      <w:pPr>
        <w:pStyle w:val="yIndenti0"/>
        <w:tabs>
          <w:tab w:val="right" w:leader="dot" w:pos="6804"/>
        </w:tabs>
      </w:pPr>
      <w:r>
        <w:tab/>
        <w:t>(ii)</w:t>
      </w:r>
      <w:r>
        <w:tab/>
        <w:t xml:space="preserve">over 5 kg/kL </w:t>
      </w:r>
      <w:r>
        <w:tab/>
        <w:t>280.2 c/kg</w:t>
      </w:r>
    </w:p>
    <w:p>
      <w:pPr>
        <w:pStyle w:val="yIndenta"/>
        <w:tabs>
          <w:tab w:val="right" w:leader="dot" w:pos="6804"/>
        </w:tabs>
      </w:pPr>
      <w:r>
        <w:tab/>
        <w:t>(c)</w:t>
      </w:r>
      <w:r>
        <w:tab/>
        <w:t>for suspended solids with a concentration of —</w:t>
      </w:r>
    </w:p>
    <w:p>
      <w:pPr>
        <w:pStyle w:val="yIndenti0"/>
        <w:tabs>
          <w:tab w:val="right" w:leader="dot" w:pos="6804"/>
        </w:tabs>
      </w:pPr>
      <w:r>
        <w:tab/>
        <w:t>(i)</w:t>
      </w:r>
      <w:r>
        <w:tab/>
        <w:t xml:space="preserve">up to 2 kg/kL </w:t>
      </w:r>
      <w:r>
        <w:tab/>
        <w:t>187.2 c/kg</w:t>
      </w:r>
    </w:p>
    <w:p>
      <w:pPr>
        <w:pStyle w:val="yIndenti0"/>
        <w:tabs>
          <w:tab w:val="right" w:leader="dot" w:pos="6804"/>
        </w:tabs>
      </w:pPr>
      <w:r>
        <w:tab/>
        <w:t>(ii)</w:t>
      </w:r>
      <w:r>
        <w:tab/>
        <w:t xml:space="preserve">over 2 kg/kL </w:t>
      </w:r>
      <w:r>
        <w:tab/>
        <w:t>376.6 c/kg</w:t>
      </w:r>
    </w:p>
    <w:p>
      <w:pPr>
        <w:pStyle w:val="yIndenta"/>
        <w:tabs>
          <w:tab w:val="right" w:leader="dot" w:pos="6804"/>
        </w:tabs>
      </w:pPr>
      <w:r>
        <w:tab/>
        <w:t>(d)</w:t>
      </w:r>
      <w:r>
        <w:tab/>
        <w:t>for oil and grease with a concentration of —</w:t>
      </w:r>
    </w:p>
    <w:p>
      <w:pPr>
        <w:pStyle w:val="yIndenti0"/>
        <w:tabs>
          <w:tab w:val="right" w:leader="dot" w:pos="6804"/>
        </w:tabs>
      </w:pPr>
      <w:r>
        <w:tab/>
        <w:t>(i)</w:t>
      </w:r>
      <w:r>
        <w:tab/>
        <w:t xml:space="preserve">up to 0.3 kg/kL </w:t>
      </w:r>
      <w:r>
        <w:tab/>
        <w:t>169.0 c/kg</w:t>
      </w:r>
    </w:p>
    <w:p>
      <w:pPr>
        <w:pStyle w:val="yIndenti0"/>
        <w:tabs>
          <w:tab w:val="right" w:leader="dot" w:pos="6804"/>
        </w:tabs>
      </w:pPr>
      <w:r>
        <w:tab/>
        <w:t>(ii)</w:t>
      </w:r>
      <w:r>
        <w:tab/>
        <w:t xml:space="preserve">over 0.3 kg/kL but </w:t>
      </w:r>
      <w:r>
        <w:br/>
        <w:t xml:space="preserve">not over 0.6 kg/kL </w:t>
      </w:r>
      <w:r>
        <w:tab/>
        <w:t>331.3 c/kg</w:t>
      </w:r>
    </w:p>
    <w:p>
      <w:pPr>
        <w:pStyle w:val="yIndenti0"/>
        <w:tabs>
          <w:tab w:val="right" w:leader="dot" w:pos="6804"/>
        </w:tabs>
      </w:pPr>
      <w:r>
        <w:tab/>
        <w:t>(iii)</w:t>
      </w:r>
      <w:r>
        <w:tab/>
        <w:t xml:space="preserve">over 0.6 kg/kL </w:t>
      </w:r>
      <w:r>
        <w:tab/>
        <w:t>668.2 c/kg</w:t>
      </w:r>
    </w:p>
    <w:p>
      <w:pPr>
        <w:pStyle w:val="yIndenta"/>
        <w:tabs>
          <w:tab w:val="right" w:leader="dot" w:pos="6804"/>
        </w:tabs>
      </w:pPr>
      <w:r>
        <w:tab/>
        <w:t>(e)</w:t>
      </w:r>
      <w:r>
        <w:tab/>
        <w:t>for acidity to pH 6 (expressed as calcium carbonate) —</w:t>
      </w:r>
    </w:p>
    <w:p>
      <w:pPr>
        <w:pStyle w:val="yIndenti0"/>
        <w:tabs>
          <w:tab w:val="right" w:leader="dot" w:pos="6804"/>
        </w:tabs>
      </w:pPr>
      <w:r>
        <w:tab/>
        <w:t>(i)</w:t>
      </w:r>
      <w:r>
        <w:tab/>
        <w:t xml:space="preserve">up to 0.1 kg/kL </w:t>
      </w:r>
      <w:r>
        <w:tab/>
        <w:t>46.5 c/kg</w:t>
      </w:r>
    </w:p>
    <w:p>
      <w:pPr>
        <w:pStyle w:val="yIndenti0"/>
        <w:tabs>
          <w:tab w:val="right" w:leader="dot" w:pos="6804"/>
        </w:tabs>
      </w:pPr>
      <w:r>
        <w:tab/>
        <w:t>(ii)</w:t>
      </w:r>
      <w:r>
        <w:tab/>
        <w:t xml:space="preserve">over 0.1 kg/kL but </w:t>
      </w:r>
      <w:r>
        <w:br/>
        <w:t xml:space="preserve">not over 0.3 kg/kL </w:t>
      </w:r>
      <w:r>
        <w:tab/>
        <w:t>97.6 c/kg</w:t>
      </w:r>
    </w:p>
    <w:p>
      <w:pPr>
        <w:pStyle w:val="yIndenti0"/>
        <w:tabs>
          <w:tab w:val="right" w:leader="dot" w:pos="6804"/>
        </w:tabs>
      </w:pPr>
      <w:r>
        <w:tab/>
        <w:t>(iii)</w:t>
      </w:r>
      <w:r>
        <w:tab/>
        <w:t xml:space="preserve">over 0.3 kg/kL </w:t>
      </w:r>
      <w:r>
        <w:tab/>
        <w:t>194.0 c/kg</w:t>
      </w:r>
    </w:p>
    <w:p>
      <w:pPr>
        <w:pStyle w:val="yIndenta"/>
        <w:keepNext/>
        <w:tabs>
          <w:tab w:val="right" w:leader="dot" w:pos="6804"/>
        </w:tabs>
      </w:pPr>
      <w:r>
        <w:lastRenderedPageBreak/>
        <w:tab/>
        <w:t>(f)</w:t>
      </w:r>
      <w:r>
        <w:tab/>
        <w:t>for alkalinity to pH 10 (expressed as calcium carbonate) —</w:t>
      </w:r>
    </w:p>
    <w:p>
      <w:pPr>
        <w:pStyle w:val="yIndenti0"/>
        <w:tabs>
          <w:tab w:val="right" w:leader="dot" w:pos="6804"/>
        </w:tabs>
      </w:pPr>
      <w:r>
        <w:tab/>
        <w:t>(i)</w:t>
      </w:r>
      <w:r>
        <w:tab/>
        <w:t xml:space="preserve">up to 0.1 kg/kL </w:t>
      </w:r>
      <w:r>
        <w:tab/>
        <w:t>14.7 c/kg</w:t>
      </w:r>
    </w:p>
    <w:p>
      <w:pPr>
        <w:pStyle w:val="yIndenti0"/>
        <w:tabs>
          <w:tab w:val="right" w:leader="dot" w:pos="6804"/>
        </w:tabs>
      </w:pPr>
      <w:r>
        <w:tab/>
        <w:t>(ii)</w:t>
      </w:r>
      <w:r>
        <w:tab/>
        <w:t xml:space="preserve">over 0.1 kg/kL but </w:t>
      </w:r>
      <w:r>
        <w:br/>
        <w:t xml:space="preserve">not over 0.2 kg/kL </w:t>
      </w:r>
      <w:r>
        <w:tab/>
        <w:t>35.2 c/kg</w:t>
      </w:r>
    </w:p>
    <w:p>
      <w:pPr>
        <w:pStyle w:val="yIndenti0"/>
        <w:tabs>
          <w:tab w:val="right" w:leader="dot" w:pos="6804"/>
        </w:tabs>
      </w:pPr>
      <w:r>
        <w:tab/>
        <w:t>(iii)</w:t>
      </w:r>
      <w:r>
        <w:tab/>
        <w:t xml:space="preserve">over 0.2 kg/kL </w:t>
      </w:r>
      <w:r>
        <w:tab/>
        <w:t>70.3 c/kg</w:t>
      </w:r>
    </w:p>
    <w:p>
      <w:pPr>
        <w:pStyle w:val="yIndenta"/>
        <w:tabs>
          <w:tab w:val="right" w:leader="dot" w:pos="6804"/>
        </w:tabs>
      </w:pPr>
      <w:r>
        <w:tab/>
        <w:t>(g)</w:t>
      </w:r>
      <w:r>
        <w:tab/>
        <w:t xml:space="preserve">for nitrogen </w:t>
      </w:r>
      <w:r>
        <w:tab/>
        <w:t>149.7 c/kg</w:t>
      </w:r>
    </w:p>
    <w:p>
      <w:pPr>
        <w:pStyle w:val="yIndenta"/>
        <w:tabs>
          <w:tab w:val="right" w:leader="dot" w:pos="6804"/>
        </w:tabs>
      </w:pPr>
      <w:r>
        <w:tab/>
        <w:t>(h)</w:t>
      </w:r>
      <w:r>
        <w:tab/>
        <w:t xml:space="preserve">for phosphorus </w:t>
      </w:r>
      <w:r>
        <w:tab/>
        <w:t>42.0 c/kg</w:t>
      </w:r>
    </w:p>
    <w:p>
      <w:pPr>
        <w:pStyle w:val="yIndenta"/>
        <w:tabs>
          <w:tab w:val="right" w:leader="dot" w:pos="6804"/>
        </w:tabs>
        <w:rPr>
          <w:szCs w:val="22"/>
        </w:rPr>
      </w:pPr>
      <w:r>
        <w:tab/>
        <w:t>(i)</w:t>
      </w:r>
      <w:r>
        <w:tab/>
        <w:t>for sulphate</w:t>
      </w:r>
      <w:r>
        <w:rPr>
          <w:szCs w:val="22"/>
        </w:rPr>
        <w:t xml:space="preserve"> with a concentration of —</w:t>
      </w:r>
    </w:p>
    <w:p>
      <w:pPr>
        <w:pStyle w:val="yIndenti0"/>
        <w:tabs>
          <w:tab w:val="right" w:leader="dot" w:pos="6804"/>
        </w:tabs>
      </w:pPr>
      <w:r>
        <w:tab/>
        <w:t>(i)</w:t>
      </w:r>
      <w:r>
        <w:tab/>
        <w:t xml:space="preserve">up to 0.05 kg/kL </w:t>
      </w:r>
      <w:r>
        <w:tab/>
        <w:t>no charge</w:t>
      </w:r>
    </w:p>
    <w:p>
      <w:pPr>
        <w:pStyle w:val="yIndenti0"/>
        <w:tabs>
          <w:tab w:val="right" w:leader="dot" w:pos="6804"/>
        </w:tabs>
      </w:pPr>
      <w:r>
        <w:tab/>
        <w:t>(ii)</w:t>
      </w:r>
      <w:r>
        <w:tab/>
        <w:t xml:space="preserve">over 0.05 kg/kL </w:t>
      </w:r>
      <w:r>
        <w:tab/>
        <w:t>79.4 c/kg</w:t>
      </w:r>
    </w:p>
    <w:p>
      <w:pPr>
        <w:pStyle w:val="yIndenta"/>
        <w:keepNext/>
        <w:tabs>
          <w:tab w:val="right" w:leader="dot" w:pos="6804"/>
        </w:tabs>
      </w:pPr>
      <w:r>
        <w:rPr>
          <w:szCs w:val="22"/>
        </w:rPr>
        <w:tab/>
        <w:t>(j)</w:t>
      </w:r>
      <w:r>
        <w:rPr>
          <w:szCs w:val="22"/>
        </w:rPr>
        <w:tab/>
        <w:t xml:space="preserve">for </w:t>
      </w:r>
      <w:r>
        <w:t>total</w:t>
      </w:r>
      <w:r>
        <w:rPr>
          <w:szCs w:val="22"/>
        </w:rPr>
        <w:t xml:space="preserve"> </w:t>
      </w:r>
      <w:r>
        <w:t>dissolved</w:t>
      </w:r>
      <w:r>
        <w:rPr>
          <w:szCs w:val="22"/>
        </w:rPr>
        <w:t xml:space="preserve"> </w:t>
      </w:r>
      <w:r>
        <w:t>salts</w:t>
      </w:r>
      <w:r>
        <w:rPr>
          <w:szCs w:val="22"/>
        </w:rPr>
        <w:t xml:space="preserve"> with a </w:t>
      </w:r>
      <w:r>
        <w:t>concentration</w:t>
      </w:r>
      <w:r>
        <w:rPr>
          <w:szCs w:val="22"/>
        </w:rPr>
        <w:t xml:space="preserve"> of —</w:t>
      </w:r>
    </w:p>
    <w:p>
      <w:pPr>
        <w:pStyle w:val="yIndenti0"/>
        <w:tabs>
          <w:tab w:val="right" w:leader="dot" w:pos="6804"/>
        </w:tabs>
      </w:pPr>
      <w:r>
        <w:tab/>
        <w:t>(i)</w:t>
      </w:r>
      <w:r>
        <w:tab/>
        <w:t xml:space="preserve">up to 1 kg/kL </w:t>
      </w:r>
      <w:r>
        <w:tab/>
        <w:t>no charge</w:t>
      </w:r>
    </w:p>
    <w:p>
      <w:pPr>
        <w:pStyle w:val="yIndenti0"/>
        <w:tabs>
          <w:tab w:val="right" w:leader="dot" w:pos="6804"/>
        </w:tabs>
      </w:pPr>
      <w:r>
        <w:tab/>
        <w:t>(ii)</w:t>
      </w:r>
      <w:r>
        <w:tab/>
        <w:t xml:space="preserve">over 1 kg/kL but not </w:t>
      </w:r>
      <w:r>
        <w:br/>
        <w:t xml:space="preserve">over 3 kg/kL </w:t>
      </w:r>
      <w:r>
        <w:tab/>
        <w:t>0.1 c/kg</w:t>
      </w:r>
    </w:p>
    <w:p>
      <w:pPr>
        <w:pStyle w:val="yIndenti0"/>
        <w:tabs>
          <w:tab w:val="right" w:leader="dot" w:pos="6804"/>
        </w:tabs>
      </w:pPr>
      <w:r>
        <w:tab/>
        <w:t>(iii)</w:t>
      </w:r>
      <w:r>
        <w:tab/>
        <w:t xml:space="preserve">over 3 kg/kL but not </w:t>
      </w:r>
      <w:r>
        <w:br/>
        <w:t xml:space="preserve">over 6 kg/kL </w:t>
      </w:r>
      <w:r>
        <w:tab/>
        <w:t>4.4 c/kg</w:t>
      </w:r>
    </w:p>
    <w:p>
      <w:pPr>
        <w:pStyle w:val="yIndenti0"/>
        <w:tabs>
          <w:tab w:val="right" w:leader="dot" w:pos="6804"/>
        </w:tabs>
      </w:pPr>
      <w:r>
        <w:tab/>
        <w:t>(iv)</w:t>
      </w:r>
      <w:r>
        <w:tab/>
        <w:t xml:space="preserve">over 6 kg/kL </w:t>
      </w:r>
      <w:r>
        <w:tab/>
        <w:t>15.8 c/kg</w:t>
      </w:r>
    </w:p>
    <w:p>
      <w:pPr>
        <w:pStyle w:val="yIndenta"/>
        <w:tabs>
          <w:tab w:val="right" w:leader="dot" w:pos="6804"/>
        </w:tabs>
      </w:pPr>
      <w:r>
        <w:rPr>
          <w:szCs w:val="22"/>
        </w:rPr>
        <w:tab/>
        <w:t>(k)</w:t>
      </w:r>
      <w:r>
        <w:rPr>
          <w:szCs w:val="22"/>
        </w:rPr>
        <w:tab/>
        <w:t xml:space="preserve">for chromium </w:t>
      </w:r>
      <w:r>
        <w:t>with</w:t>
      </w:r>
      <w:r>
        <w:rPr>
          <w:szCs w:val="22"/>
        </w:rPr>
        <w:t xml:space="preserve"> a discharge rate of —</w:t>
      </w:r>
    </w:p>
    <w:p>
      <w:pPr>
        <w:pStyle w:val="yIndenti0"/>
        <w:tabs>
          <w:tab w:val="right" w:leader="dot" w:pos="6804"/>
        </w:tabs>
      </w:pPr>
      <w:r>
        <w:tab/>
        <w:t>(i)</w:t>
      </w:r>
      <w:r>
        <w:tab/>
        <w:t xml:space="preserve">up to 0.03 kg/day </w:t>
      </w:r>
      <w:r>
        <w:tab/>
        <w:t>1 243.3 c/kg</w:t>
      </w:r>
    </w:p>
    <w:p>
      <w:pPr>
        <w:pStyle w:val="yIndenti0"/>
        <w:tabs>
          <w:tab w:val="right" w:leader="dot" w:pos="6804"/>
        </w:tabs>
      </w:pPr>
      <w:r>
        <w:tab/>
        <w:t>(ii)</w:t>
      </w:r>
      <w:r>
        <w:tab/>
        <w:t xml:space="preserve">over 0.03 kg/day but not </w:t>
      </w:r>
      <w:r>
        <w:br/>
        <w:t xml:space="preserve">over 1 kg/day </w:t>
      </w:r>
      <w:r>
        <w:tab/>
        <w:t>2 479.9 c/kg</w:t>
      </w:r>
    </w:p>
    <w:p>
      <w:pPr>
        <w:pStyle w:val="yIndenti0"/>
        <w:tabs>
          <w:tab w:val="right" w:leader="dot" w:pos="6804"/>
        </w:tabs>
      </w:pPr>
      <w:r>
        <w:tab/>
        <w:t>(iii)</w:t>
      </w:r>
      <w:r>
        <w:tab/>
        <w:t xml:space="preserve">over 1 kg/day </w:t>
      </w:r>
      <w:r>
        <w:tab/>
        <w:t>9 936.6 c/kg</w:t>
      </w:r>
    </w:p>
    <w:p>
      <w:pPr>
        <w:pStyle w:val="yIndenta"/>
        <w:tabs>
          <w:tab w:val="right" w:leader="dot" w:pos="6804"/>
        </w:tabs>
      </w:pPr>
      <w:r>
        <w:rPr>
          <w:szCs w:val="22"/>
        </w:rPr>
        <w:tab/>
        <w:t>(l)</w:t>
      </w:r>
      <w:r>
        <w:rPr>
          <w:szCs w:val="22"/>
        </w:rPr>
        <w:tab/>
        <w:t xml:space="preserve">for </w:t>
      </w:r>
      <w:r>
        <w:t>copper</w:t>
      </w:r>
      <w:r>
        <w:rPr>
          <w:szCs w:val="22"/>
        </w:rPr>
        <w:t xml:space="preserve"> with a discharge rate of —</w:t>
      </w:r>
    </w:p>
    <w:p>
      <w:pPr>
        <w:pStyle w:val="yIndenti0"/>
        <w:tabs>
          <w:tab w:val="right" w:leader="dot" w:pos="6804"/>
        </w:tabs>
      </w:pPr>
      <w:r>
        <w:tab/>
        <w:t>(i)</w:t>
      </w:r>
      <w:r>
        <w:tab/>
        <w:t xml:space="preserve">up to 0.03 kg/day </w:t>
      </w:r>
      <w:r>
        <w:tab/>
        <w:t>1 243.3 c/kg</w:t>
      </w:r>
    </w:p>
    <w:p>
      <w:pPr>
        <w:pStyle w:val="yIndenti0"/>
        <w:tabs>
          <w:tab w:val="right" w:leader="dot" w:pos="6804"/>
        </w:tabs>
      </w:pPr>
      <w:r>
        <w:tab/>
        <w:t>(ii)</w:t>
      </w:r>
      <w:r>
        <w:tab/>
        <w:t xml:space="preserve">over 0.03 kg/day but </w:t>
      </w:r>
      <w:r>
        <w:br/>
        <w:t xml:space="preserve">not over 0.12 kg/day </w:t>
      </w:r>
      <w:r>
        <w:tab/>
        <w:t>2 479.9 c/kg</w:t>
      </w:r>
    </w:p>
    <w:p>
      <w:pPr>
        <w:pStyle w:val="yIndenti0"/>
        <w:tabs>
          <w:tab w:val="right" w:leader="dot" w:pos="6804"/>
        </w:tabs>
      </w:pPr>
      <w:r>
        <w:tab/>
        <w:t>(iii)</w:t>
      </w:r>
      <w:r>
        <w:tab/>
        <w:t xml:space="preserve">over 0.12 kg/day </w:t>
      </w:r>
      <w:r>
        <w:tab/>
        <w:t>9 936.6 c/kg</w:t>
      </w:r>
    </w:p>
    <w:p>
      <w:pPr>
        <w:pStyle w:val="yIndenta"/>
        <w:tabs>
          <w:tab w:val="right" w:leader="dot" w:pos="6804"/>
        </w:tabs>
      </w:pPr>
      <w:r>
        <w:rPr>
          <w:szCs w:val="22"/>
        </w:rPr>
        <w:tab/>
        <w:t>(m)</w:t>
      </w:r>
      <w:r>
        <w:rPr>
          <w:szCs w:val="22"/>
        </w:rPr>
        <w:tab/>
        <w:t>for lead with a discharge rate of —</w:t>
      </w:r>
    </w:p>
    <w:p>
      <w:pPr>
        <w:pStyle w:val="yIndenti0"/>
        <w:tabs>
          <w:tab w:val="right" w:leader="dot" w:pos="6804"/>
        </w:tabs>
      </w:pPr>
      <w:r>
        <w:tab/>
        <w:t>(i)</w:t>
      </w:r>
      <w:r>
        <w:tab/>
        <w:t xml:space="preserve">up to 0.03 kg/day </w:t>
      </w:r>
      <w:r>
        <w:tab/>
        <w:t>1 243.3 c/kg</w:t>
      </w:r>
    </w:p>
    <w:p>
      <w:pPr>
        <w:pStyle w:val="yIndenti0"/>
        <w:tabs>
          <w:tab w:val="right" w:leader="dot" w:pos="6804"/>
        </w:tabs>
      </w:pPr>
      <w:r>
        <w:tab/>
        <w:t>(ii)</w:t>
      </w:r>
      <w:r>
        <w:tab/>
        <w:t xml:space="preserve">over 0.03 kg/day but </w:t>
      </w:r>
      <w:r>
        <w:br/>
        <w:t xml:space="preserve">not over 0.3 kg/day </w:t>
      </w:r>
      <w:r>
        <w:tab/>
        <w:t>2 479.9 c/kg</w:t>
      </w:r>
    </w:p>
    <w:p>
      <w:pPr>
        <w:pStyle w:val="yIndenti0"/>
        <w:tabs>
          <w:tab w:val="right" w:leader="dot" w:pos="6804"/>
        </w:tabs>
      </w:pPr>
      <w:r>
        <w:tab/>
        <w:t>(iii)</w:t>
      </w:r>
      <w:r>
        <w:tab/>
        <w:t xml:space="preserve">over 0.3 kg/day </w:t>
      </w:r>
      <w:r>
        <w:tab/>
        <w:t>9 936.6 c/kg</w:t>
      </w:r>
    </w:p>
    <w:p>
      <w:pPr>
        <w:pStyle w:val="yIndenta"/>
        <w:tabs>
          <w:tab w:val="right" w:leader="dot" w:pos="6804"/>
        </w:tabs>
      </w:pPr>
      <w:r>
        <w:lastRenderedPageBreak/>
        <w:tab/>
        <w:t>(n)</w:t>
      </w:r>
      <w:r>
        <w:tab/>
        <w:t xml:space="preserve">for nickel with a </w:t>
      </w:r>
      <w:r>
        <w:rPr>
          <w:szCs w:val="22"/>
        </w:rPr>
        <w:t>discharge</w:t>
      </w:r>
      <w:r>
        <w:t xml:space="preserve"> rate of —</w:t>
      </w:r>
    </w:p>
    <w:p>
      <w:pPr>
        <w:pStyle w:val="yIndenti0"/>
        <w:tabs>
          <w:tab w:val="right" w:leader="dot" w:pos="6804"/>
        </w:tabs>
      </w:pPr>
      <w:r>
        <w:tab/>
        <w:t>(i)</w:t>
      </w:r>
      <w:r>
        <w:tab/>
        <w:t xml:space="preserve">up to 0.006 kg/day </w:t>
      </w:r>
      <w:r>
        <w:tab/>
        <w:t>1 243.3 c/kg</w:t>
      </w:r>
    </w:p>
    <w:p>
      <w:pPr>
        <w:pStyle w:val="yIndenti0"/>
        <w:tabs>
          <w:tab w:val="right" w:leader="dot" w:pos="6804"/>
        </w:tabs>
      </w:pPr>
      <w:r>
        <w:tab/>
        <w:t>(ii)</w:t>
      </w:r>
      <w:r>
        <w:tab/>
        <w:t xml:space="preserve">over 0.006 kg/day but </w:t>
      </w:r>
      <w:r>
        <w:br/>
        <w:t xml:space="preserve">not over 0.15 kg/day </w:t>
      </w:r>
      <w:r>
        <w:tab/>
        <w:t>2 479.9 c/kg</w:t>
      </w:r>
    </w:p>
    <w:p>
      <w:pPr>
        <w:pStyle w:val="yIndenti0"/>
        <w:tabs>
          <w:tab w:val="right" w:leader="dot" w:pos="6804"/>
        </w:tabs>
      </w:pPr>
      <w:r>
        <w:tab/>
        <w:t>(iii)</w:t>
      </w:r>
      <w:r>
        <w:tab/>
        <w:t xml:space="preserve">over 0.15 kg/day </w:t>
      </w:r>
      <w:r>
        <w:tab/>
        <w:t>9 936.6 c/kg</w:t>
      </w:r>
    </w:p>
    <w:p>
      <w:pPr>
        <w:pStyle w:val="yIndenta"/>
        <w:keepNext/>
        <w:tabs>
          <w:tab w:val="right" w:leader="dot" w:pos="6804"/>
        </w:tabs>
      </w:pPr>
      <w:r>
        <w:tab/>
        <w:t>(o)</w:t>
      </w:r>
      <w:r>
        <w:tab/>
        <w:t xml:space="preserve">for zinc </w:t>
      </w:r>
      <w:r>
        <w:rPr>
          <w:szCs w:val="22"/>
        </w:rPr>
        <w:t>with</w:t>
      </w:r>
      <w:r>
        <w:t xml:space="preserve"> a discharge rate of —</w:t>
      </w:r>
    </w:p>
    <w:p>
      <w:pPr>
        <w:pStyle w:val="yIndenti0"/>
        <w:keepNext/>
        <w:tabs>
          <w:tab w:val="right" w:leader="dot" w:pos="6804"/>
        </w:tabs>
      </w:pPr>
      <w:r>
        <w:tab/>
        <w:t>(i)</w:t>
      </w:r>
      <w:r>
        <w:tab/>
        <w:t xml:space="preserve">up to 0.05 kg/day </w:t>
      </w:r>
      <w:r>
        <w:tab/>
        <w:t>1 243.3 c/kg</w:t>
      </w:r>
    </w:p>
    <w:p>
      <w:pPr>
        <w:pStyle w:val="yIndenti0"/>
        <w:tabs>
          <w:tab w:val="right" w:leader="dot" w:pos="6804"/>
        </w:tabs>
      </w:pPr>
      <w:r>
        <w:tab/>
        <w:t>(ii)</w:t>
      </w:r>
      <w:r>
        <w:tab/>
        <w:t xml:space="preserve">over 0.05 kg/day but </w:t>
      </w:r>
      <w:r>
        <w:br/>
        <w:t xml:space="preserve">not over 0.5 kg/day </w:t>
      </w:r>
      <w:r>
        <w:tab/>
        <w:t>2 479.9 c/kg</w:t>
      </w:r>
    </w:p>
    <w:p>
      <w:pPr>
        <w:pStyle w:val="yIndenti0"/>
        <w:tabs>
          <w:tab w:val="right" w:leader="dot" w:pos="6804"/>
        </w:tabs>
      </w:pPr>
      <w:r>
        <w:tab/>
        <w:t>(iii)</w:t>
      </w:r>
      <w:r>
        <w:tab/>
        <w:t xml:space="preserve">over 0.5 kg/day </w:t>
      </w:r>
      <w:r>
        <w:tab/>
        <w:t>9 936.6 c/kg</w:t>
      </w:r>
    </w:p>
    <w:p>
      <w:pPr>
        <w:pStyle w:val="yIndenta"/>
      </w:pPr>
      <w:r>
        <w:tab/>
        <w:t>(p)</w:t>
      </w:r>
      <w:r>
        <w:tab/>
        <w:t xml:space="preserve">for arsenic </w:t>
      </w:r>
      <w:r>
        <w:rPr>
          <w:szCs w:val="22"/>
        </w:rPr>
        <w:t>with</w:t>
      </w:r>
      <w:r>
        <w:t xml:space="preserve"> a discharge rate of —</w:t>
      </w:r>
    </w:p>
    <w:p>
      <w:pPr>
        <w:pStyle w:val="yIndenti0"/>
        <w:tabs>
          <w:tab w:val="right" w:leader="dot" w:pos="6804"/>
        </w:tabs>
      </w:pPr>
      <w:r>
        <w:tab/>
        <w:t>(i)</w:t>
      </w:r>
      <w:r>
        <w:tab/>
        <w:t xml:space="preserve">up to 0.001 kg/day </w:t>
      </w:r>
      <w:r>
        <w:tab/>
        <w:t>1 243.3 c/kg</w:t>
      </w:r>
    </w:p>
    <w:p>
      <w:pPr>
        <w:pStyle w:val="yIndenti0"/>
        <w:tabs>
          <w:tab w:val="right" w:leader="dot" w:pos="6804"/>
        </w:tabs>
      </w:pPr>
      <w:r>
        <w:tab/>
        <w:t>(ii)</w:t>
      </w:r>
      <w:r>
        <w:tab/>
        <w:t xml:space="preserve">over 0.001 kg/day but </w:t>
      </w:r>
      <w:r>
        <w:br/>
        <w:t xml:space="preserve">not over 0.04 kg/day </w:t>
      </w:r>
      <w:r>
        <w:tab/>
        <w:t>12 417.6 c/kg</w:t>
      </w:r>
    </w:p>
    <w:p>
      <w:pPr>
        <w:pStyle w:val="yIndenti0"/>
        <w:tabs>
          <w:tab w:val="right" w:leader="dot" w:pos="6804"/>
        </w:tabs>
      </w:pPr>
      <w:r>
        <w:tab/>
        <w:t>(iii)</w:t>
      </w:r>
      <w:r>
        <w:tab/>
        <w:t xml:space="preserve">over 0.04 kg/day </w:t>
      </w:r>
      <w:r>
        <w:tab/>
        <w:t>124 173.9 c/kg</w:t>
      </w:r>
    </w:p>
    <w:p>
      <w:pPr>
        <w:pStyle w:val="yIndenta"/>
        <w:tabs>
          <w:tab w:val="right" w:leader="dot" w:pos="6804"/>
        </w:tabs>
      </w:pPr>
      <w:r>
        <w:tab/>
        <w:t>(q)</w:t>
      </w:r>
      <w:r>
        <w:tab/>
        <w:t>for cadmium with a discharge rate of —</w:t>
      </w:r>
    </w:p>
    <w:p>
      <w:pPr>
        <w:pStyle w:val="yIndenti0"/>
        <w:tabs>
          <w:tab w:val="right" w:leader="dot" w:pos="6804"/>
        </w:tabs>
      </w:pPr>
      <w:r>
        <w:tab/>
        <w:t>(i)</w:t>
      </w:r>
      <w:r>
        <w:tab/>
        <w:t xml:space="preserve">up to 0.001 kg/day </w:t>
      </w:r>
      <w:r>
        <w:tab/>
        <w:t>1 243.3 c/kg</w:t>
      </w:r>
    </w:p>
    <w:p>
      <w:pPr>
        <w:pStyle w:val="yIndenti0"/>
        <w:tabs>
          <w:tab w:val="right" w:leader="dot" w:pos="6804"/>
        </w:tabs>
      </w:pPr>
      <w:r>
        <w:tab/>
        <w:t>(ii)</w:t>
      </w:r>
      <w:r>
        <w:tab/>
        <w:t xml:space="preserve">over 0.001 kg/day but </w:t>
      </w:r>
      <w:r>
        <w:br/>
        <w:t xml:space="preserve">not over 0.015 kg/day </w:t>
      </w:r>
      <w:r>
        <w:tab/>
        <w:t>12 417.6 c/kg</w:t>
      </w:r>
    </w:p>
    <w:p>
      <w:pPr>
        <w:pStyle w:val="yIndenti0"/>
        <w:tabs>
          <w:tab w:val="right" w:leader="dot" w:pos="6804"/>
        </w:tabs>
      </w:pPr>
      <w:r>
        <w:tab/>
        <w:t>(iii)</w:t>
      </w:r>
      <w:r>
        <w:tab/>
        <w:t xml:space="preserve">over 0.015 kg/day </w:t>
      </w:r>
      <w:r>
        <w:tab/>
        <w:t>124 173.9 c/kg</w:t>
      </w:r>
    </w:p>
    <w:p>
      <w:pPr>
        <w:pStyle w:val="yIndenta"/>
        <w:tabs>
          <w:tab w:val="right" w:leader="dot" w:pos="6804"/>
        </w:tabs>
      </w:pPr>
      <w:r>
        <w:tab/>
        <w:t>(r)</w:t>
      </w:r>
      <w:r>
        <w:tab/>
        <w:t>for molybdenum or selenium with a discharge rate of —</w:t>
      </w:r>
    </w:p>
    <w:p>
      <w:pPr>
        <w:pStyle w:val="yIndenti0"/>
        <w:tabs>
          <w:tab w:val="right" w:leader="dot" w:pos="6804"/>
        </w:tabs>
      </w:pPr>
      <w:r>
        <w:tab/>
        <w:t>(i)</w:t>
      </w:r>
      <w:r>
        <w:tab/>
        <w:t xml:space="preserve">up to 0.001 kg/day </w:t>
      </w:r>
      <w:r>
        <w:tab/>
        <w:t>1 243.3 c/kg</w:t>
      </w:r>
    </w:p>
    <w:p>
      <w:pPr>
        <w:pStyle w:val="yIndenti0"/>
        <w:tabs>
          <w:tab w:val="right" w:leader="dot" w:pos="6804"/>
        </w:tabs>
      </w:pPr>
      <w:r>
        <w:tab/>
        <w:t>(ii)</w:t>
      </w:r>
      <w:r>
        <w:tab/>
        <w:t xml:space="preserve">over 0.001 kg/day but </w:t>
      </w:r>
      <w:r>
        <w:br/>
        <w:t xml:space="preserve">not over 0.02 kg/day </w:t>
      </w:r>
      <w:r>
        <w:tab/>
        <w:t>12 417.6 c/kg</w:t>
      </w:r>
    </w:p>
    <w:p>
      <w:pPr>
        <w:pStyle w:val="yIndenti0"/>
        <w:tabs>
          <w:tab w:val="right" w:leader="dot" w:pos="6804"/>
        </w:tabs>
      </w:pPr>
      <w:r>
        <w:tab/>
        <w:t>(iii)</w:t>
      </w:r>
      <w:r>
        <w:tab/>
        <w:t xml:space="preserve">over 0.02 kg/day </w:t>
      </w:r>
      <w:r>
        <w:tab/>
        <w:t>124 173.9 c/kg</w:t>
      </w:r>
    </w:p>
    <w:p>
      <w:pPr>
        <w:pStyle w:val="yIndenta"/>
        <w:keepNext/>
        <w:tabs>
          <w:tab w:val="right" w:leader="dot" w:pos="6804"/>
        </w:tabs>
      </w:pPr>
      <w:r>
        <w:tab/>
        <w:t>(s)</w:t>
      </w:r>
      <w:r>
        <w:tab/>
        <w:t>for silver with a discharge rate of —</w:t>
      </w:r>
    </w:p>
    <w:p>
      <w:pPr>
        <w:pStyle w:val="yIndenti0"/>
        <w:tabs>
          <w:tab w:val="right" w:leader="dot" w:pos="6804"/>
        </w:tabs>
      </w:pPr>
      <w:r>
        <w:tab/>
        <w:t>(i)</w:t>
      </w:r>
      <w:r>
        <w:tab/>
        <w:t xml:space="preserve">up to 0.002 kg/day </w:t>
      </w:r>
      <w:r>
        <w:tab/>
        <w:t>1 243.3 c/kg</w:t>
      </w:r>
    </w:p>
    <w:p>
      <w:pPr>
        <w:pStyle w:val="yIndenti0"/>
        <w:tabs>
          <w:tab w:val="right" w:leader="dot" w:pos="6804"/>
        </w:tabs>
      </w:pPr>
      <w:r>
        <w:tab/>
        <w:t>(ii)</w:t>
      </w:r>
      <w:r>
        <w:tab/>
        <w:t xml:space="preserve">over 0.002 kg/day but </w:t>
      </w:r>
      <w:r>
        <w:br/>
        <w:t xml:space="preserve">not over 0.01 kg/day </w:t>
      </w:r>
      <w:r>
        <w:tab/>
        <w:t>12 417.6 c/kg</w:t>
      </w:r>
    </w:p>
    <w:p>
      <w:pPr>
        <w:pStyle w:val="yIndenti0"/>
        <w:tabs>
          <w:tab w:val="right" w:leader="dot" w:pos="6804"/>
        </w:tabs>
      </w:pPr>
      <w:r>
        <w:tab/>
        <w:t>(iii)</w:t>
      </w:r>
      <w:r>
        <w:tab/>
        <w:t xml:space="preserve">over 0.01 kg/day </w:t>
      </w:r>
      <w:r>
        <w:tab/>
        <w:t>124 173.9 c/kg</w:t>
      </w:r>
    </w:p>
    <w:p>
      <w:pPr>
        <w:pStyle w:val="yIndenta"/>
        <w:tabs>
          <w:tab w:val="right" w:leader="dot" w:pos="6804"/>
        </w:tabs>
      </w:pPr>
      <w:r>
        <w:tab/>
        <w:t>(t)</w:t>
      </w:r>
      <w:r>
        <w:tab/>
        <w:t>for mercury with a discharge rate of —</w:t>
      </w:r>
    </w:p>
    <w:p>
      <w:pPr>
        <w:pStyle w:val="yIndenti0"/>
        <w:tabs>
          <w:tab w:val="right" w:leader="dot" w:pos="6804"/>
        </w:tabs>
      </w:pPr>
      <w:r>
        <w:tab/>
        <w:t>(i)</w:t>
      </w:r>
      <w:r>
        <w:tab/>
        <w:t xml:space="preserve">up to 0.0001 kg/day </w:t>
      </w:r>
      <w:r>
        <w:tab/>
        <w:t>1 243.3 c/kg</w:t>
      </w:r>
    </w:p>
    <w:p>
      <w:pPr>
        <w:pStyle w:val="yIndenti0"/>
        <w:tabs>
          <w:tab w:val="right" w:leader="dot" w:pos="6804"/>
        </w:tabs>
      </w:pPr>
      <w:r>
        <w:lastRenderedPageBreak/>
        <w:tab/>
        <w:t>(ii)</w:t>
      </w:r>
      <w:r>
        <w:tab/>
        <w:t xml:space="preserve">over 0.0001 kg/day but </w:t>
      </w:r>
      <w:r>
        <w:br/>
        <w:t xml:space="preserve">not over 0.001 kg/day </w:t>
      </w:r>
      <w:r>
        <w:tab/>
        <w:t>124 173.9 c/kg</w:t>
      </w:r>
    </w:p>
    <w:p>
      <w:pPr>
        <w:pStyle w:val="yIndenti0"/>
        <w:tabs>
          <w:tab w:val="right" w:leader="dot" w:pos="6804"/>
        </w:tabs>
      </w:pPr>
      <w:r>
        <w:tab/>
        <w:t>(iii)</w:t>
      </w:r>
      <w:r>
        <w:tab/>
        <w:t xml:space="preserve">over 0.001 kg/day </w:t>
      </w:r>
      <w:r>
        <w:tab/>
        <w:t>931 339.1 c/kg</w:t>
      </w:r>
    </w:p>
    <w:p>
      <w:pPr>
        <w:pStyle w:val="yHeading5"/>
      </w:pPr>
      <w:bookmarkStart w:id="541" w:name="_Toc169797279"/>
      <w:bookmarkStart w:id="542" w:name="_Toc169797589"/>
      <w:bookmarkStart w:id="543" w:name="_Toc170209284"/>
      <w:r>
        <w:t>33.</w:t>
      </w:r>
      <w:r>
        <w:tab/>
        <w:t>Effluent discharged from septic tank effluent pumping system into sewer</w:t>
      </w:r>
      <w:bookmarkEnd w:id="541"/>
      <w:bookmarkEnd w:id="542"/>
      <w:bookmarkEnd w:id="543"/>
    </w:p>
    <w:p>
      <w:pPr>
        <w:pStyle w:val="ySubsection"/>
        <w:tabs>
          <w:tab w:val="right" w:leader="dot" w:pos="6804"/>
        </w:tabs>
      </w:pPr>
      <w:r>
        <w:tab/>
      </w:r>
      <w:r>
        <w:tab/>
        <w:t xml:space="preserve">For effluent discharged from a </w:t>
      </w:r>
      <w:r>
        <w:br/>
        <w:t xml:space="preserve">septic tank effluent pumping system </w:t>
      </w:r>
      <w:r>
        <w:br/>
        <w:t xml:space="preserve">into a sewer of the Water Corporation, </w:t>
      </w:r>
      <w:r>
        <w:br/>
        <w:t xml:space="preserve">the charge is </w:t>
      </w:r>
      <w:r>
        <w:tab/>
        <w:t>188.3 cents/kL</w:t>
      </w:r>
    </w:p>
    <w:p>
      <w:pPr>
        <w:pStyle w:val="yFootnotesection"/>
      </w:pPr>
      <w:r>
        <w:tab/>
        <w:t>[Division 3 inserted: SL 2024/117 r. 9.]</w:t>
      </w:r>
    </w:p>
    <w:p>
      <w:pPr>
        <w:pStyle w:val="yScheduleHeading"/>
      </w:pPr>
      <w:bookmarkStart w:id="544" w:name="_Toc169797280"/>
      <w:bookmarkStart w:id="545" w:name="_Toc169797435"/>
      <w:bookmarkStart w:id="546" w:name="_Toc169797590"/>
      <w:bookmarkStart w:id="547" w:name="_Toc170138929"/>
      <w:bookmarkStart w:id="548" w:name="_Toc170203790"/>
      <w:bookmarkStart w:id="549" w:name="_Toc170209285"/>
      <w:r>
        <w:rPr>
          <w:rStyle w:val="CharSchNo"/>
        </w:rPr>
        <w:lastRenderedPageBreak/>
        <w:t>Schedule 5</w:t>
      </w:r>
      <w:r>
        <w:rPr>
          <w:rStyle w:val="CharSDivNo"/>
        </w:rPr>
        <w:t> </w:t>
      </w:r>
      <w:r>
        <w:t>—</w:t>
      </w:r>
      <w:r>
        <w:rPr>
          <w:rStyle w:val="CharSDivText"/>
        </w:rPr>
        <w:t> </w:t>
      </w:r>
      <w:r>
        <w:rPr>
          <w:rStyle w:val="CharSchText"/>
        </w:rPr>
        <w:t>Drainage charges for Water Corporation</w:t>
      </w:r>
      <w:bookmarkEnd w:id="544"/>
      <w:bookmarkEnd w:id="545"/>
      <w:bookmarkEnd w:id="546"/>
      <w:bookmarkEnd w:id="547"/>
      <w:bookmarkEnd w:id="548"/>
      <w:bookmarkEnd w:id="549"/>
    </w:p>
    <w:p>
      <w:pPr>
        <w:pStyle w:val="yShoulderClause"/>
      </w:pPr>
      <w:r>
        <w:t>[r. 24 and 47]</w:t>
      </w:r>
    </w:p>
    <w:p>
      <w:pPr>
        <w:pStyle w:val="yFootnoteheading"/>
      </w:pPr>
      <w:r>
        <w:tab/>
        <w:t>[Heading inserted: SL 2024/117 r. 9.]</w:t>
      </w:r>
    </w:p>
    <w:p>
      <w:pPr>
        <w:pStyle w:val="yHeading5"/>
      </w:pPr>
      <w:bookmarkStart w:id="550" w:name="_Toc169797281"/>
      <w:bookmarkStart w:id="551" w:name="_Toc169797591"/>
      <w:bookmarkStart w:id="552" w:name="_Toc170209286"/>
      <w:r>
        <w:t>1.</w:t>
      </w:r>
      <w:r>
        <w:tab/>
        <w:t>Drainage charges for 2024/25 and subsequent years</w:t>
      </w:r>
      <w:bookmarkEnd w:id="550"/>
      <w:bookmarkEnd w:id="551"/>
      <w:bookmarkEnd w:id="552"/>
    </w:p>
    <w:p>
      <w:pPr>
        <w:pStyle w:val="ySubsection"/>
      </w:pPr>
      <w:r>
        <w:tab/>
      </w:r>
      <w:r>
        <w:tab/>
      </w:r>
      <w:r>
        <w:rPr>
          <w:szCs w:val="22"/>
        </w:rPr>
        <w:t>The</w:t>
      </w:r>
      <w:r>
        <w:t xml:space="preserve"> charges set out in this Schedule apply for drainage </w:t>
      </w:r>
      <w:r>
        <w:rPr>
          <w:szCs w:val="22"/>
        </w:rPr>
        <w:t>services</w:t>
      </w:r>
      <w:r>
        <w:t xml:space="preserve"> provided in the 2024/25</w:t>
      </w:r>
      <w:r>
        <w:rPr>
          <w:szCs w:val="22"/>
        </w:rPr>
        <w:t xml:space="preserve"> </w:t>
      </w:r>
      <w:r>
        <w:t>financial year and each subsequent year.</w:t>
      </w:r>
    </w:p>
    <w:p>
      <w:pPr>
        <w:pStyle w:val="yHeading5"/>
      </w:pPr>
      <w:bookmarkStart w:id="553" w:name="_Toc169797282"/>
      <w:bookmarkStart w:id="554" w:name="_Toc169797592"/>
      <w:bookmarkStart w:id="555" w:name="_Toc170209287"/>
      <w:r>
        <w:t>2.</w:t>
      </w:r>
      <w:r>
        <w:tab/>
        <w:t>Strata</w:t>
      </w:r>
      <w:r>
        <w:noBreakHyphen/>
        <w:t>titled long</w:t>
      </w:r>
      <w:r>
        <w:noBreakHyphen/>
        <w:t>term residential caravan bays and park homes</w:t>
      </w:r>
      <w:bookmarkEnd w:id="553"/>
      <w:bookmarkEnd w:id="554"/>
      <w:bookmarkEnd w:id="555"/>
    </w:p>
    <w:p>
      <w:pPr>
        <w:pStyle w:val="ySubsection"/>
        <w:tabs>
          <w:tab w:val="right" w:leader="dot" w:pos="6804"/>
        </w:tabs>
      </w:pPr>
      <w:r>
        <w:tab/>
      </w:r>
      <w:r>
        <w:tab/>
        <w:t>For a strata</w:t>
      </w:r>
      <w:r>
        <w:noBreakHyphen/>
        <w:t>titled caravan bay, a long</w:t>
      </w:r>
      <w:r>
        <w:noBreakHyphen/>
        <w:t xml:space="preserve">term </w:t>
      </w:r>
      <w:r>
        <w:br/>
        <w:t xml:space="preserve">residential caravan bay or a park home, the </w:t>
      </w:r>
      <w:r>
        <w:br/>
        <w:t xml:space="preserve">charge is </w:t>
      </w:r>
      <w:r>
        <w:tab/>
        <w:t>$41.02</w:t>
      </w:r>
    </w:p>
    <w:p>
      <w:pPr>
        <w:pStyle w:val="yHeading5"/>
      </w:pPr>
      <w:bookmarkStart w:id="556" w:name="_Toc169797283"/>
      <w:bookmarkStart w:id="557" w:name="_Toc169797593"/>
      <w:bookmarkStart w:id="558" w:name="_Toc170209288"/>
      <w:r>
        <w:t>3.</w:t>
      </w:r>
      <w:r>
        <w:tab/>
        <w:t>Storage units or parking bays in strata titles scheme or community titles scheme</w:t>
      </w:r>
      <w:bookmarkEnd w:id="556"/>
      <w:bookmarkEnd w:id="557"/>
      <w:bookmarkEnd w:id="558"/>
      <w:r>
        <w:t xml:space="preserve"> </w:t>
      </w:r>
    </w:p>
    <w:p>
      <w:pPr>
        <w:pStyle w:val="ySubsection"/>
        <w:tabs>
          <w:tab w:val="right" w:leader="dot" w:pos="6804"/>
        </w:tabs>
      </w:pPr>
      <w:r>
        <w:tab/>
      </w:r>
      <w:r>
        <w:tab/>
        <w:t xml:space="preserve">For a lot that is used for storage purposes or as a </w:t>
      </w:r>
      <w:r>
        <w:br/>
        <w:t>parking bay, in a strata titles scheme or a</w:t>
      </w:r>
      <w:r>
        <w:br/>
        <w:t xml:space="preserve">community titles scheme, the charge is </w:t>
      </w:r>
      <w:r>
        <w:tab/>
        <w:t>$15.80</w:t>
      </w:r>
    </w:p>
    <w:p>
      <w:pPr>
        <w:pStyle w:val="yHeading5"/>
      </w:pPr>
      <w:bookmarkStart w:id="559" w:name="_Toc169797284"/>
      <w:bookmarkStart w:id="560" w:name="_Toc169797594"/>
      <w:bookmarkStart w:id="561" w:name="_Toc170209289"/>
      <w:r>
        <w:t>4.</w:t>
      </w:r>
      <w:r>
        <w:tab/>
        <w:t>Residential or semi</w:t>
      </w:r>
      <w:r>
        <w:noBreakHyphen/>
        <w:t>rural residential</w:t>
      </w:r>
      <w:bookmarkEnd w:id="559"/>
      <w:bookmarkEnd w:id="560"/>
      <w:bookmarkEnd w:id="561"/>
    </w:p>
    <w:p>
      <w:pPr>
        <w:pStyle w:val="ySubsection"/>
        <w:tabs>
          <w:tab w:val="right" w:leader="dot" w:pos="6804"/>
        </w:tabs>
      </w:pPr>
      <w:r>
        <w:tab/>
        <w:t>(1)</w:t>
      </w:r>
      <w:r>
        <w:tab/>
        <w:t xml:space="preserve">For land that is classified as residential or </w:t>
      </w:r>
      <w:r>
        <w:br/>
        <w:t>semi</w:t>
      </w:r>
      <w:r>
        <w:noBreakHyphen/>
        <w:t xml:space="preserve">rural residential, the charge, per </w:t>
      </w:r>
      <w:r>
        <w:br/>
        <w:t xml:space="preserve">dwelling on the land, is </w:t>
      </w:r>
      <w:r>
        <w:tab/>
        <w:t>0.588 cents/$</w:t>
      </w:r>
    </w:p>
    <w:p>
      <w:pPr>
        <w:pStyle w:val="ySubsectionRight"/>
      </w:pPr>
      <w:r>
        <w:t>of GRV</w:t>
      </w:r>
    </w:p>
    <w:p>
      <w:pPr>
        <w:pStyle w:val="ySubsection"/>
        <w:tabs>
          <w:tab w:val="right" w:leader="dot" w:pos="6804"/>
        </w:tabs>
      </w:pPr>
      <w:r>
        <w:tab/>
        <w:t>(2)</w:t>
      </w:r>
      <w:r>
        <w:tab/>
        <w:t xml:space="preserve">The minimum charge per dwelling under </w:t>
      </w:r>
      <w:r>
        <w:br/>
        <w:t xml:space="preserve">this item is </w:t>
      </w:r>
      <w:r>
        <w:tab/>
      </w:r>
      <w:r>
        <w:rPr>
          <w:szCs w:val="22"/>
        </w:rPr>
        <w:t>$135.65</w:t>
      </w:r>
    </w:p>
    <w:p>
      <w:pPr>
        <w:pStyle w:val="yHeading5"/>
      </w:pPr>
      <w:bookmarkStart w:id="562" w:name="_Toc169797285"/>
      <w:bookmarkStart w:id="563" w:name="_Toc169797595"/>
      <w:bookmarkStart w:id="564" w:name="_Toc170209290"/>
      <w:r>
        <w:t>5.</w:t>
      </w:r>
      <w:r>
        <w:tab/>
        <w:t>Vacant land</w:t>
      </w:r>
      <w:bookmarkEnd w:id="562"/>
      <w:bookmarkEnd w:id="563"/>
      <w:bookmarkEnd w:id="564"/>
    </w:p>
    <w:p>
      <w:pPr>
        <w:pStyle w:val="ySubsection"/>
        <w:tabs>
          <w:tab w:val="right" w:leader="dot" w:pos="6804"/>
        </w:tabs>
      </w:pPr>
      <w:r>
        <w:tab/>
        <w:t>(1)</w:t>
      </w:r>
      <w:r>
        <w:tab/>
      </w:r>
      <w:r>
        <w:rPr>
          <w:szCs w:val="22"/>
        </w:rPr>
        <w:t xml:space="preserve">For </w:t>
      </w:r>
      <w:r>
        <w:t>land</w:t>
      </w:r>
      <w:r>
        <w:rPr>
          <w:szCs w:val="22"/>
        </w:rPr>
        <w:t xml:space="preserve"> </w:t>
      </w:r>
      <w:r>
        <w:t>that</w:t>
      </w:r>
      <w:r>
        <w:rPr>
          <w:szCs w:val="22"/>
        </w:rPr>
        <w:t xml:space="preserve"> is </w:t>
      </w:r>
      <w:r>
        <w:t>classified</w:t>
      </w:r>
      <w:r>
        <w:rPr>
          <w:szCs w:val="22"/>
        </w:rPr>
        <w:t xml:space="preserve"> as vacant land, </w:t>
      </w:r>
      <w:r>
        <w:rPr>
          <w:szCs w:val="22"/>
        </w:rPr>
        <w:br/>
        <w:t xml:space="preserve">the </w:t>
      </w:r>
      <w:r>
        <w:t>charge</w:t>
      </w:r>
      <w:r>
        <w:rPr>
          <w:szCs w:val="22"/>
        </w:rPr>
        <w:t xml:space="preserve"> is </w:t>
      </w:r>
      <w:r>
        <w:rPr>
          <w:szCs w:val="22"/>
        </w:rPr>
        <w:tab/>
      </w:r>
      <w:r>
        <w:t>0.726 cents/$</w:t>
      </w:r>
    </w:p>
    <w:p>
      <w:pPr>
        <w:pStyle w:val="ySubsectionRight"/>
      </w:pPr>
      <w:r>
        <w:t>of GRV</w:t>
      </w:r>
    </w:p>
    <w:p>
      <w:pPr>
        <w:pStyle w:val="ySubsection"/>
        <w:tabs>
          <w:tab w:val="right" w:leader="dot" w:pos="6804"/>
        </w:tabs>
      </w:pPr>
      <w:r>
        <w:tab/>
        <w:t>(2)</w:t>
      </w:r>
      <w:r>
        <w:tab/>
        <w:t xml:space="preserve">The minimum charge under this item is </w:t>
      </w:r>
      <w:r>
        <w:tab/>
      </w:r>
      <w:r>
        <w:rPr>
          <w:szCs w:val="22"/>
        </w:rPr>
        <w:t>$135.65</w:t>
      </w:r>
    </w:p>
    <w:p>
      <w:pPr>
        <w:pStyle w:val="yHeading5"/>
      </w:pPr>
      <w:bookmarkStart w:id="565" w:name="_Toc169797286"/>
      <w:bookmarkStart w:id="566" w:name="_Toc169797596"/>
      <w:bookmarkStart w:id="567" w:name="_Toc170209291"/>
      <w:r>
        <w:lastRenderedPageBreak/>
        <w:t>6.</w:t>
      </w:r>
      <w:r>
        <w:tab/>
        <w:t>Non</w:t>
      </w:r>
      <w:r>
        <w:noBreakHyphen/>
        <w:t>residential (except strata titled caravan bays and storage units or parking bays in strata titles scheme or community titles scheme)</w:t>
      </w:r>
      <w:bookmarkEnd w:id="565"/>
      <w:bookmarkEnd w:id="566"/>
      <w:bookmarkEnd w:id="567"/>
    </w:p>
    <w:p>
      <w:pPr>
        <w:pStyle w:val="ySubsection"/>
        <w:tabs>
          <w:tab w:val="right" w:leader="dot" w:pos="6804"/>
        </w:tabs>
      </w:pPr>
      <w:r>
        <w:tab/>
        <w:t>(1)</w:t>
      </w:r>
      <w:r>
        <w:tab/>
      </w:r>
      <w:r>
        <w:rPr>
          <w:szCs w:val="22"/>
        </w:rPr>
        <w:t xml:space="preserve">For land that </w:t>
      </w:r>
      <w:r>
        <w:t>is</w:t>
      </w:r>
      <w:r>
        <w:rPr>
          <w:szCs w:val="22"/>
        </w:rPr>
        <w:t xml:space="preserve"> </w:t>
      </w:r>
      <w:r>
        <w:t>classified</w:t>
      </w:r>
      <w:r>
        <w:rPr>
          <w:szCs w:val="22"/>
        </w:rPr>
        <w:t xml:space="preserve"> as </w:t>
      </w:r>
      <w:r>
        <w:rPr>
          <w:szCs w:val="22"/>
        </w:rPr>
        <w:br/>
        <w:t>non</w:t>
      </w:r>
      <w:r>
        <w:rPr>
          <w:szCs w:val="22"/>
        </w:rPr>
        <w:noBreakHyphen/>
      </w:r>
      <w:r>
        <w:t>residential</w:t>
      </w:r>
      <w:r>
        <w:rPr>
          <w:szCs w:val="22"/>
        </w:rPr>
        <w:t xml:space="preserve"> and not covered by </w:t>
      </w:r>
      <w:r>
        <w:rPr>
          <w:szCs w:val="22"/>
        </w:rPr>
        <w:br/>
        <w:t xml:space="preserve">item 2 or 3, the charge is </w:t>
      </w:r>
      <w:r>
        <w:rPr>
          <w:szCs w:val="22"/>
        </w:rPr>
        <w:tab/>
      </w:r>
      <w:r>
        <w:t>0.377 cents/$</w:t>
      </w:r>
    </w:p>
    <w:p>
      <w:pPr>
        <w:pStyle w:val="ySubsectionRight"/>
      </w:pPr>
      <w:r>
        <w:t>of GRV</w:t>
      </w:r>
    </w:p>
    <w:p>
      <w:pPr>
        <w:pStyle w:val="ySubsection"/>
        <w:tabs>
          <w:tab w:val="right" w:leader="dot" w:pos="6804"/>
        </w:tabs>
        <w:rPr>
          <w:szCs w:val="22"/>
        </w:rPr>
      </w:pPr>
      <w:r>
        <w:tab/>
        <w:t>(2)</w:t>
      </w:r>
      <w:r>
        <w:tab/>
        <w:t xml:space="preserve">The minimum </w:t>
      </w:r>
      <w:r>
        <w:rPr>
          <w:szCs w:val="22"/>
        </w:rPr>
        <w:t>charge</w:t>
      </w:r>
      <w:r>
        <w:t xml:space="preserve"> under this item is </w:t>
      </w:r>
      <w:r>
        <w:tab/>
      </w:r>
      <w:r>
        <w:rPr>
          <w:szCs w:val="22"/>
        </w:rPr>
        <w:t>$136.63</w:t>
      </w:r>
    </w:p>
    <w:p>
      <w:pPr>
        <w:pStyle w:val="yHeading5"/>
      </w:pPr>
      <w:bookmarkStart w:id="568" w:name="_Toc169797287"/>
      <w:bookmarkStart w:id="569" w:name="_Toc169797597"/>
      <w:bookmarkStart w:id="570" w:name="_Toc170209292"/>
      <w:r>
        <w:t>7.</w:t>
      </w:r>
      <w:r>
        <w:tab/>
        <w:t>Concessional land</w:t>
      </w:r>
      <w:bookmarkEnd w:id="568"/>
      <w:bookmarkEnd w:id="569"/>
      <w:bookmarkEnd w:id="570"/>
    </w:p>
    <w:p>
      <w:pPr>
        <w:pStyle w:val="ySubsection"/>
      </w:pPr>
      <w:r>
        <w:tab/>
      </w:r>
      <w:r>
        <w:tab/>
        <w:t>For concessional land, the charge is the charge set out in item 6, less a discount of 100%.</w:t>
      </w:r>
    </w:p>
    <w:p>
      <w:pPr>
        <w:pStyle w:val="yFootnotesection"/>
      </w:pPr>
      <w:r>
        <w:tab/>
        <w:t>[Schedule 5 inserted: SL 2024/117 r. 9.]</w:t>
      </w:r>
    </w:p>
    <w:p>
      <w:pPr>
        <w:pStyle w:val="yScheduleHeading"/>
      </w:pPr>
      <w:bookmarkStart w:id="571" w:name="_Toc169797288"/>
      <w:bookmarkStart w:id="572" w:name="_Toc169797443"/>
      <w:bookmarkStart w:id="573" w:name="_Toc169797598"/>
      <w:bookmarkStart w:id="574" w:name="_Toc170138937"/>
      <w:bookmarkStart w:id="575" w:name="_Toc170203798"/>
      <w:bookmarkStart w:id="576" w:name="_Toc170209293"/>
      <w:r>
        <w:rPr>
          <w:rStyle w:val="CharSchNo"/>
        </w:rPr>
        <w:lastRenderedPageBreak/>
        <w:t>Schedule 6</w:t>
      </w:r>
      <w:r>
        <w:rPr>
          <w:rStyle w:val="CharSDivNo"/>
        </w:rPr>
        <w:t> </w:t>
      </w:r>
      <w:r>
        <w:t>—</w:t>
      </w:r>
      <w:r>
        <w:rPr>
          <w:rStyle w:val="CharSDivText"/>
        </w:rPr>
        <w:t> </w:t>
      </w:r>
      <w:r>
        <w:rPr>
          <w:rStyle w:val="CharSchText"/>
        </w:rPr>
        <w:t>Irrigation charges for Water Corporation (Ord Irrigation District)</w:t>
      </w:r>
      <w:bookmarkEnd w:id="571"/>
      <w:bookmarkEnd w:id="572"/>
      <w:bookmarkEnd w:id="573"/>
      <w:bookmarkEnd w:id="574"/>
      <w:bookmarkEnd w:id="575"/>
      <w:bookmarkEnd w:id="576"/>
    </w:p>
    <w:p>
      <w:pPr>
        <w:pStyle w:val="yShoulderClause"/>
      </w:pPr>
      <w:r>
        <w:t>[r. 50]</w:t>
      </w:r>
    </w:p>
    <w:p>
      <w:pPr>
        <w:pStyle w:val="yFootnoteheading"/>
      </w:pPr>
      <w:r>
        <w:tab/>
        <w:t>[Heading inserted: SL 2024/117 r. 9.]</w:t>
      </w:r>
    </w:p>
    <w:p>
      <w:pPr>
        <w:pStyle w:val="yHeading5"/>
      </w:pPr>
      <w:bookmarkStart w:id="577" w:name="_Toc169797289"/>
      <w:bookmarkStart w:id="578" w:name="_Toc169797599"/>
      <w:bookmarkStart w:id="579" w:name="_Toc170209294"/>
      <w:r>
        <w:t>1.</w:t>
      </w:r>
      <w:r>
        <w:tab/>
        <w:t>Irrigation charges for 2024/25 and subsequent years</w:t>
      </w:r>
      <w:bookmarkEnd w:id="577"/>
      <w:bookmarkEnd w:id="578"/>
      <w:bookmarkEnd w:id="579"/>
    </w:p>
    <w:p>
      <w:pPr>
        <w:pStyle w:val="ySubsection"/>
      </w:pPr>
      <w:r>
        <w:tab/>
      </w:r>
      <w:r>
        <w:tab/>
        <w:t>The charges set out in this Schedule apply for irrigation services provided in the</w:t>
      </w:r>
      <w:r>
        <w:rPr>
          <w:szCs w:val="22"/>
        </w:rPr>
        <w:t xml:space="preserve"> </w:t>
      </w:r>
      <w:r>
        <w:t>2024/25 financial year and each subsequent year.</w:t>
      </w:r>
    </w:p>
    <w:p>
      <w:pPr>
        <w:pStyle w:val="yHeading5"/>
      </w:pPr>
      <w:bookmarkStart w:id="580" w:name="_Toc169797290"/>
      <w:bookmarkStart w:id="581" w:name="_Toc169797600"/>
      <w:bookmarkStart w:id="582" w:name="_Toc170209295"/>
      <w:r>
        <w:t>2.</w:t>
      </w:r>
      <w:r>
        <w:tab/>
        <w:t>Water provided as irrigation service</w:t>
      </w:r>
      <w:bookmarkEnd w:id="580"/>
      <w:bookmarkEnd w:id="581"/>
      <w:bookmarkEnd w:id="582"/>
    </w:p>
    <w:p>
      <w:pPr>
        <w:pStyle w:val="ySubsection"/>
      </w:pPr>
      <w:r>
        <w:tab/>
      </w:r>
      <w:r>
        <w:tab/>
        <w:t>For land to which water is supplied from irrigation works of the Water Corporation in the Ord Irrigation District, the charge is —</w:t>
      </w:r>
    </w:p>
    <w:p>
      <w:pPr>
        <w:pStyle w:val="yIndenta"/>
        <w:tabs>
          <w:tab w:val="right" w:leader="dot" w:pos="6804"/>
        </w:tabs>
      </w:pPr>
      <w:r>
        <w:tab/>
        <w:t>(a)</w:t>
      </w:r>
      <w:r>
        <w:tab/>
        <w:t>if the maximum area of</w:t>
      </w:r>
      <w:r>
        <w:br/>
        <w:t>land is not more than</w:t>
      </w:r>
      <w:r>
        <w:br/>
        <w:t xml:space="preserve">1 hectare </w:t>
      </w:r>
      <w:r>
        <w:tab/>
        <w:t>$330.11</w:t>
      </w:r>
    </w:p>
    <w:p>
      <w:pPr>
        <w:pStyle w:val="yIndenta"/>
        <w:tabs>
          <w:tab w:val="right" w:leader="dot" w:pos="6804"/>
        </w:tabs>
      </w:pPr>
      <w:r>
        <w:tab/>
        <w:t>(b)</w:t>
      </w:r>
      <w:r>
        <w:tab/>
        <w:t>if the maximum area of</w:t>
      </w:r>
      <w:r>
        <w:br/>
        <w:t>land is more than</w:t>
      </w:r>
      <w:r>
        <w:br/>
        <w:t xml:space="preserve">1 hectare </w:t>
      </w:r>
      <w:r>
        <w:tab/>
        <w:t>$330.11 per ha (pro rata)</w:t>
      </w:r>
    </w:p>
    <w:p>
      <w:pPr>
        <w:pStyle w:val="yFootnotesection"/>
      </w:pPr>
      <w:r>
        <w:tab/>
        <w:t>[Schedule 6 inserted: SL 2024/117 r. 9.]</w:t>
      </w:r>
    </w:p>
    <w:p>
      <w:pPr>
        <w:pStyle w:val="yScheduleHeading"/>
      </w:pPr>
      <w:bookmarkStart w:id="583" w:name="_Toc169797291"/>
      <w:bookmarkStart w:id="584" w:name="_Toc169797446"/>
      <w:bookmarkStart w:id="585" w:name="_Toc169797601"/>
      <w:bookmarkStart w:id="586" w:name="_Toc170138940"/>
      <w:bookmarkStart w:id="587" w:name="_Toc170203801"/>
      <w:bookmarkStart w:id="588" w:name="_Toc170209296"/>
      <w:r>
        <w:rPr>
          <w:rStyle w:val="CharSchNo"/>
        </w:rPr>
        <w:lastRenderedPageBreak/>
        <w:t>Schedule 7</w:t>
      </w:r>
      <w:r>
        <w:rPr>
          <w:rStyle w:val="CharSDivNo"/>
        </w:rPr>
        <w:t> </w:t>
      </w:r>
      <w:r>
        <w:t>—</w:t>
      </w:r>
      <w:r>
        <w:rPr>
          <w:rStyle w:val="CharSDivText"/>
        </w:rPr>
        <w:t> </w:t>
      </w:r>
      <w:r>
        <w:rPr>
          <w:rStyle w:val="CharSchText"/>
        </w:rPr>
        <w:t>Miscellaneous charges for Water Corporation</w:t>
      </w:r>
      <w:bookmarkEnd w:id="583"/>
      <w:bookmarkEnd w:id="584"/>
      <w:bookmarkEnd w:id="585"/>
      <w:bookmarkEnd w:id="586"/>
      <w:bookmarkEnd w:id="587"/>
      <w:bookmarkEnd w:id="588"/>
    </w:p>
    <w:p>
      <w:pPr>
        <w:pStyle w:val="yShoulderClause"/>
        <w:keepNext/>
      </w:pPr>
      <w:r>
        <w:t>[r. 51]</w:t>
      </w:r>
    </w:p>
    <w:p>
      <w:pPr>
        <w:pStyle w:val="yFootnoteheading"/>
      </w:pPr>
      <w:r>
        <w:tab/>
        <w:t>[Heading inserted: SL 2024/117 r. 9.]</w:t>
      </w:r>
    </w:p>
    <w:p>
      <w:pPr>
        <w:pStyle w:val="yHeading5"/>
      </w:pPr>
      <w:bookmarkStart w:id="589" w:name="_Toc169797292"/>
      <w:bookmarkStart w:id="590" w:name="_Toc169797602"/>
      <w:bookmarkStart w:id="591" w:name="_Toc170209297"/>
      <w:r>
        <w:t>1.</w:t>
      </w:r>
      <w:r>
        <w:tab/>
        <w:t>Requests for sub</w:t>
      </w:r>
      <w:r>
        <w:noBreakHyphen/>
        <w:t>meter installations: multi</w:t>
      </w:r>
      <w:r>
        <w:noBreakHyphen/>
        <w:t>unit developments</w:t>
      </w:r>
      <w:bookmarkEnd w:id="589"/>
      <w:bookmarkEnd w:id="590"/>
      <w:bookmarkEnd w:id="591"/>
    </w:p>
    <w:p>
      <w:pPr>
        <w:pStyle w:val="ySubsection"/>
        <w:tabs>
          <w:tab w:val="right" w:leader="dot" w:pos="6804"/>
        </w:tabs>
      </w:pPr>
      <w:r>
        <w:tab/>
      </w:r>
      <w:r>
        <w:tab/>
        <w:t>For assessing a request to supply and connect</w:t>
      </w:r>
      <w:r>
        <w:br/>
        <w:t>one or more sub</w:t>
      </w:r>
      <w:r>
        <w:noBreakHyphen/>
        <w:t>meters to a pipe supplying</w:t>
      </w:r>
      <w:r>
        <w:br/>
        <w:t>water to a unit in a multi</w:t>
      </w:r>
      <w:r>
        <w:noBreakHyphen/>
        <w:t>unit development</w:t>
      </w:r>
      <w:r>
        <w:br/>
        <w:t xml:space="preserve">under the </w:t>
      </w:r>
      <w:r>
        <w:rPr>
          <w:i/>
        </w:rPr>
        <w:t>Water Services Regulations 2013</w:t>
      </w:r>
      <w:r>
        <w:t xml:space="preserve"> </w:t>
      </w:r>
      <w:r>
        <w:br/>
        <w:t xml:space="preserve">regulation 23A(2), the charge is </w:t>
      </w:r>
      <w:r>
        <w:tab/>
      </w:r>
      <w:r>
        <w:rPr>
          <w:szCs w:val="22"/>
        </w:rPr>
        <w:t>$127.21</w:t>
      </w:r>
    </w:p>
    <w:p>
      <w:pPr>
        <w:pStyle w:val="yHeading5"/>
      </w:pPr>
      <w:bookmarkStart w:id="592" w:name="_Toc169797293"/>
      <w:bookmarkStart w:id="593" w:name="_Toc169797603"/>
      <w:bookmarkStart w:id="594" w:name="_Toc170209298"/>
      <w:r>
        <w:t>2.</w:t>
      </w:r>
      <w:r>
        <w:tab/>
        <w:t>Sub</w:t>
      </w:r>
      <w:r>
        <w:noBreakHyphen/>
        <w:t>meter installations: multi</w:t>
      </w:r>
      <w:r>
        <w:noBreakHyphen/>
        <w:t>unit developments</w:t>
      </w:r>
      <w:bookmarkEnd w:id="592"/>
      <w:bookmarkEnd w:id="593"/>
      <w:bookmarkEnd w:id="594"/>
    </w:p>
    <w:p>
      <w:pPr>
        <w:pStyle w:val="ySubsection"/>
        <w:tabs>
          <w:tab w:val="right" w:leader="dot" w:pos="6804"/>
        </w:tabs>
      </w:pPr>
      <w:r>
        <w:tab/>
      </w:r>
      <w:r>
        <w:tab/>
        <w:t>For supplying and connecting a sub</w:t>
      </w:r>
      <w:r>
        <w:noBreakHyphen/>
        <w:t xml:space="preserve">meter to </w:t>
      </w:r>
      <w:r>
        <w:br/>
        <w:t xml:space="preserve">a pipe supplying water to a unit in a </w:t>
      </w:r>
      <w:r>
        <w:br/>
        <w:t>multi</w:t>
      </w:r>
      <w:r>
        <w:noBreakHyphen/>
        <w:t xml:space="preserve">unit development under the </w:t>
      </w:r>
      <w:r>
        <w:br/>
      </w:r>
      <w:r>
        <w:rPr>
          <w:i/>
        </w:rPr>
        <w:t>Water Services Regulations 2013</w:t>
      </w:r>
      <w:r>
        <w:t xml:space="preserve"> </w:t>
      </w:r>
      <w:r>
        <w:br/>
      </w:r>
      <w:r>
        <w:rPr>
          <w:szCs w:val="22"/>
        </w:rPr>
        <w:t>regulation 23A(3)</w:t>
      </w:r>
      <w:r>
        <w:t xml:space="preserve">, the charge is </w:t>
      </w:r>
      <w:r>
        <w:tab/>
      </w:r>
      <w:r>
        <w:rPr>
          <w:szCs w:val="22"/>
        </w:rPr>
        <w:t>$198.96</w:t>
      </w:r>
    </w:p>
    <w:p>
      <w:pPr>
        <w:pStyle w:val="yHeading5"/>
      </w:pPr>
      <w:bookmarkStart w:id="595" w:name="_Toc169797294"/>
      <w:bookmarkStart w:id="596" w:name="_Toc169797604"/>
      <w:bookmarkStart w:id="597" w:name="_Toc170209299"/>
      <w:r>
        <w:t>3.</w:t>
      </w:r>
      <w:r>
        <w:tab/>
        <w:t>Testing meters</w:t>
      </w:r>
      <w:bookmarkEnd w:id="595"/>
      <w:bookmarkEnd w:id="596"/>
      <w:bookmarkEnd w:id="597"/>
    </w:p>
    <w:p>
      <w:pPr>
        <w:pStyle w:val="ySubsection"/>
      </w:pPr>
      <w:r>
        <w:tab/>
      </w:r>
      <w:r>
        <w:tab/>
        <w:t xml:space="preserve">For testing a meter under the </w:t>
      </w:r>
      <w:r>
        <w:rPr>
          <w:i/>
        </w:rPr>
        <w:t>Water Services Regulations 2013</w:t>
      </w:r>
      <w:r>
        <w:t xml:space="preserve"> regulation 26(3), the charge, according to the size of the meter, is —</w:t>
      </w:r>
    </w:p>
    <w:p>
      <w:pPr>
        <w:pStyle w:val="yMiscellaneousBody"/>
        <w:tabs>
          <w:tab w:val="right" w:leader="dot" w:pos="6804"/>
        </w:tabs>
        <w:ind w:left="993"/>
      </w:pPr>
      <w:r>
        <w:t>20</w:t>
      </w:r>
      <w:r>
        <w:noBreakHyphen/>
        <w:t xml:space="preserve">25 mm </w:t>
      </w:r>
      <w:r>
        <w:tab/>
      </w:r>
      <w:r>
        <w:rPr>
          <w:szCs w:val="22"/>
        </w:rPr>
        <w:t>$125.93</w:t>
      </w:r>
    </w:p>
    <w:p>
      <w:pPr>
        <w:pStyle w:val="yMiscellaneousBody"/>
        <w:tabs>
          <w:tab w:val="right" w:leader="dot" w:pos="6804"/>
        </w:tabs>
        <w:ind w:left="993"/>
      </w:pPr>
      <w:r>
        <w:t xml:space="preserve">more than 25 mm </w:t>
      </w:r>
      <w:r>
        <w:tab/>
        <w:t>an amount</w:t>
      </w:r>
    </w:p>
    <w:p>
      <w:pPr>
        <w:pStyle w:val="ySubsectionRight"/>
      </w:pPr>
      <w:r>
        <w:tab/>
        <w:t>equal to the</w:t>
      </w:r>
      <w:r>
        <w:br/>
        <w:t>cost of testing</w:t>
      </w:r>
    </w:p>
    <w:p>
      <w:pPr>
        <w:pStyle w:val="yHeading5"/>
      </w:pPr>
      <w:bookmarkStart w:id="598" w:name="_Toc169797295"/>
      <w:bookmarkStart w:id="599" w:name="_Toc169797605"/>
      <w:bookmarkStart w:id="600" w:name="_Toc170209300"/>
      <w:r>
        <w:t>4.</w:t>
      </w:r>
      <w:r>
        <w:tab/>
        <w:t>Installing water supply connection</w:t>
      </w:r>
      <w:bookmarkEnd w:id="598"/>
      <w:bookmarkEnd w:id="599"/>
      <w:bookmarkEnd w:id="600"/>
    </w:p>
    <w:p>
      <w:pPr>
        <w:pStyle w:val="ySubsection"/>
        <w:keepNext/>
      </w:pPr>
      <w:r>
        <w:tab/>
        <w:t>(1)</w:t>
      </w:r>
      <w:r>
        <w:tab/>
        <w:t>For installing a water supply connection in relation to land in the metropolitan area (other than in the central business districts), the charge, according to the size of the connection, is —</w:t>
      </w:r>
    </w:p>
    <w:p>
      <w:pPr>
        <w:pStyle w:val="yMiscellaneousBody"/>
        <w:tabs>
          <w:tab w:val="right" w:leader="dot" w:pos="6804"/>
        </w:tabs>
        <w:ind w:left="993"/>
      </w:pPr>
      <w:r>
        <w:t xml:space="preserve">20 mm </w:t>
      </w:r>
      <w:r>
        <w:tab/>
        <w:t>$1 782.13</w:t>
      </w:r>
    </w:p>
    <w:p>
      <w:pPr>
        <w:pStyle w:val="yMiscellaneousBody"/>
        <w:tabs>
          <w:tab w:val="right" w:leader="dot" w:pos="6804"/>
        </w:tabs>
        <w:ind w:left="993"/>
      </w:pPr>
      <w:r>
        <w:t xml:space="preserve">25 mm </w:t>
      </w:r>
      <w:r>
        <w:tab/>
        <w:t>$2 283.66</w:t>
      </w:r>
    </w:p>
    <w:p>
      <w:pPr>
        <w:pStyle w:val="yMiscellaneousBody"/>
        <w:tabs>
          <w:tab w:val="right" w:leader="dot" w:pos="6804"/>
        </w:tabs>
        <w:ind w:left="993"/>
      </w:pPr>
      <w:r>
        <w:lastRenderedPageBreak/>
        <w:t xml:space="preserve">40 mm </w:t>
      </w:r>
      <w:r>
        <w:tab/>
        <w:t>$4 039.00</w:t>
      </w:r>
    </w:p>
    <w:p>
      <w:pPr>
        <w:pStyle w:val="yMiscellaneousBody"/>
        <w:tabs>
          <w:tab w:val="right" w:leader="dot" w:pos="6804"/>
        </w:tabs>
        <w:ind w:left="993"/>
      </w:pPr>
      <w:r>
        <w:t xml:space="preserve">50 mm </w:t>
      </w:r>
      <w:r>
        <w:tab/>
        <w:t>$5 436.42</w:t>
      </w:r>
    </w:p>
    <w:p>
      <w:pPr>
        <w:pStyle w:val="yMiscellaneousBody"/>
        <w:tabs>
          <w:tab w:val="right" w:leader="dot" w:pos="6804"/>
        </w:tabs>
        <w:ind w:left="993"/>
      </w:pPr>
      <w:r>
        <w:t>80</w:t>
      </w:r>
      <w:r>
        <w:noBreakHyphen/>
        <w:t xml:space="preserve">100 mm </w:t>
      </w:r>
      <w:r>
        <w:tab/>
        <w:t>$9 276.09</w:t>
      </w:r>
    </w:p>
    <w:p>
      <w:pPr>
        <w:pStyle w:val="yMiscellaneousBody"/>
        <w:tabs>
          <w:tab w:val="right" w:leader="dot" w:pos="6804"/>
        </w:tabs>
        <w:ind w:left="993"/>
      </w:pPr>
      <w:r>
        <w:t xml:space="preserve">150 mm </w:t>
      </w:r>
      <w:r>
        <w:tab/>
        <w:t>$12 193.09</w:t>
      </w:r>
    </w:p>
    <w:p>
      <w:pPr>
        <w:pStyle w:val="yMiscellaneousBody"/>
        <w:tabs>
          <w:tab w:val="right" w:leader="dot" w:pos="6804"/>
        </w:tabs>
        <w:ind w:left="993"/>
      </w:pPr>
      <w:r>
        <w:t xml:space="preserve">more than 150 mm </w:t>
      </w:r>
      <w:r>
        <w:tab/>
        <w:t>an amount</w:t>
      </w:r>
    </w:p>
    <w:p>
      <w:pPr>
        <w:pStyle w:val="yMiscellaneousBody"/>
        <w:tabs>
          <w:tab w:val="right" w:pos="6804"/>
        </w:tabs>
        <w:spacing w:before="0"/>
      </w:pPr>
      <w:r>
        <w:tab/>
        <w:t>equal to the</w:t>
      </w:r>
      <w:r>
        <w:br/>
      </w:r>
      <w:r>
        <w:tab/>
        <w:t>cost of</w:t>
      </w:r>
      <w:r>
        <w:br/>
      </w:r>
      <w:r>
        <w:tab/>
        <w:t>installation</w:t>
      </w:r>
    </w:p>
    <w:p>
      <w:pPr>
        <w:pStyle w:val="yMiscellaneousBody"/>
        <w:tabs>
          <w:tab w:val="left" w:pos="910"/>
          <w:tab w:val="right" w:leader="dot" w:pos="6804"/>
        </w:tabs>
        <w:ind w:left="896" w:hanging="560"/>
      </w:pPr>
      <w:r>
        <w:t>(2)</w:t>
      </w:r>
      <w:r>
        <w:tab/>
        <w:t>For installing a water supply connection in</w:t>
      </w:r>
      <w:r>
        <w:br/>
        <w:t>relation to land in the metropolitan area in</w:t>
      </w:r>
      <w:r>
        <w:br/>
        <w:t xml:space="preserve">the central business districts, the charge is </w:t>
      </w:r>
      <w:r>
        <w:tab/>
        <w:t>an amount</w:t>
      </w:r>
    </w:p>
    <w:p>
      <w:pPr>
        <w:pStyle w:val="yMiscellaneousBody"/>
        <w:tabs>
          <w:tab w:val="right" w:pos="6804"/>
        </w:tabs>
        <w:spacing w:before="0"/>
      </w:pPr>
      <w:r>
        <w:tab/>
        <w:t>equal to the</w:t>
      </w:r>
      <w:r>
        <w:br/>
      </w:r>
      <w:r>
        <w:tab/>
        <w:t>cost of</w:t>
      </w:r>
      <w:r>
        <w:br/>
      </w:r>
      <w:r>
        <w:tab/>
        <w:t>installation</w:t>
      </w:r>
    </w:p>
    <w:p>
      <w:pPr>
        <w:pStyle w:val="yMiscellaneousBody"/>
        <w:tabs>
          <w:tab w:val="left" w:pos="910"/>
          <w:tab w:val="right" w:leader="dot" w:pos="6804"/>
        </w:tabs>
        <w:ind w:left="896" w:hanging="560"/>
      </w:pPr>
      <w:r>
        <w:t>(3)</w:t>
      </w:r>
      <w:r>
        <w:tab/>
        <w:t>For installing a water supply connection in</w:t>
      </w:r>
      <w:r>
        <w:br/>
        <w:t>relation to land in the non</w:t>
      </w:r>
      <w:r>
        <w:noBreakHyphen/>
        <w:t>metropolitan</w:t>
      </w:r>
      <w:r>
        <w:br/>
        <w:t xml:space="preserve">area, the charge is </w:t>
      </w:r>
      <w:r>
        <w:tab/>
        <w:t>an amount</w:t>
      </w:r>
    </w:p>
    <w:p>
      <w:pPr>
        <w:pStyle w:val="yMiscellaneousBody"/>
        <w:tabs>
          <w:tab w:val="right" w:pos="6804"/>
        </w:tabs>
        <w:spacing w:before="0"/>
      </w:pPr>
      <w:r>
        <w:tab/>
        <w:t>equal to the</w:t>
      </w:r>
      <w:r>
        <w:br/>
      </w:r>
      <w:r>
        <w:tab/>
        <w:t>cost of</w:t>
      </w:r>
      <w:r>
        <w:br/>
      </w:r>
      <w:r>
        <w:tab/>
        <w:t>installation</w:t>
      </w:r>
    </w:p>
    <w:p>
      <w:pPr>
        <w:pStyle w:val="yHeading5"/>
      </w:pPr>
      <w:bookmarkStart w:id="601" w:name="_Toc169797296"/>
      <w:bookmarkStart w:id="602" w:name="_Toc169797606"/>
      <w:bookmarkStart w:id="603" w:name="_Toc170209301"/>
      <w:r>
        <w:t>5.</w:t>
      </w:r>
      <w:r>
        <w:tab/>
        <w:t>Activating water supply connection</w:t>
      </w:r>
      <w:bookmarkEnd w:id="601"/>
      <w:bookmarkEnd w:id="602"/>
      <w:bookmarkEnd w:id="603"/>
    </w:p>
    <w:p>
      <w:pPr>
        <w:pStyle w:val="ySubsection"/>
        <w:tabs>
          <w:tab w:val="right" w:leader="dot" w:pos="6804"/>
        </w:tabs>
      </w:pPr>
      <w:r>
        <w:tab/>
        <w:t>(1)</w:t>
      </w:r>
      <w:r>
        <w:tab/>
        <w:t xml:space="preserve">For activating a water supply connection </w:t>
      </w:r>
      <w:r>
        <w:br/>
        <w:t xml:space="preserve">to land, whether or not at the same time </w:t>
      </w:r>
      <w:r>
        <w:br/>
        <w:t xml:space="preserve">as installing the connection, the charge is </w:t>
      </w:r>
      <w:r>
        <w:tab/>
      </w:r>
      <w:r>
        <w:rPr>
          <w:szCs w:val="22"/>
        </w:rPr>
        <w:t>$210.05</w:t>
      </w:r>
    </w:p>
    <w:p>
      <w:pPr>
        <w:pStyle w:val="ySubsection"/>
      </w:pPr>
      <w:r>
        <w:tab/>
        <w:t>(2)</w:t>
      </w:r>
      <w:r>
        <w:tab/>
        <w:t>The charge under this item covers the supply of a meter, stopcock and, if required, a temporary standpipe.</w:t>
      </w:r>
    </w:p>
    <w:p>
      <w:pPr>
        <w:pStyle w:val="yHeading5"/>
      </w:pPr>
      <w:bookmarkStart w:id="604" w:name="_Toc169797297"/>
      <w:bookmarkStart w:id="605" w:name="_Toc169797607"/>
      <w:bookmarkStart w:id="606" w:name="_Toc170209302"/>
      <w:r>
        <w:t>6.</w:t>
      </w:r>
      <w:r>
        <w:tab/>
        <w:t>Disconnecting water supply connection</w:t>
      </w:r>
      <w:bookmarkEnd w:id="604"/>
      <w:bookmarkEnd w:id="605"/>
      <w:bookmarkEnd w:id="606"/>
    </w:p>
    <w:p>
      <w:pPr>
        <w:pStyle w:val="ySubsection"/>
        <w:tabs>
          <w:tab w:val="right" w:leader="dot" w:pos="6804"/>
        </w:tabs>
      </w:pPr>
      <w:r>
        <w:tab/>
        <w:t>(1)</w:t>
      </w:r>
      <w:r>
        <w:tab/>
        <w:t xml:space="preserve">For disconnecting a water supply connection </w:t>
      </w:r>
      <w:r>
        <w:br/>
        <w:t xml:space="preserve">to land, the charge is </w:t>
      </w:r>
      <w:r>
        <w:tab/>
      </w:r>
      <w:r>
        <w:rPr>
          <w:szCs w:val="22"/>
        </w:rPr>
        <w:t>$1 265.60</w:t>
      </w:r>
    </w:p>
    <w:p>
      <w:pPr>
        <w:pStyle w:val="ySubsection"/>
      </w:pPr>
      <w:r>
        <w:tab/>
        <w:t>(2)</w:t>
      </w:r>
      <w:r>
        <w:tab/>
        <w:t>For the purposes of this item, cutting off or reducing the rate of flow of a supply of water under section 95 of the Act is not disconnecting a water supply connection.</w:t>
      </w:r>
    </w:p>
    <w:p>
      <w:pPr>
        <w:pStyle w:val="yHeading5"/>
      </w:pPr>
      <w:bookmarkStart w:id="607" w:name="_Toc169797298"/>
      <w:bookmarkStart w:id="608" w:name="_Toc169797608"/>
      <w:bookmarkStart w:id="609" w:name="_Toc170209303"/>
      <w:r>
        <w:lastRenderedPageBreak/>
        <w:t>7.</w:t>
      </w:r>
      <w:r>
        <w:tab/>
        <w:t>Relocating water supply connection</w:t>
      </w:r>
      <w:bookmarkEnd w:id="607"/>
      <w:bookmarkEnd w:id="608"/>
      <w:bookmarkEnd w:id="609"/>
    </w:p>
    <w:p>
      <w:pPr>
        <w:pStyle w:val="ySubsection"/>
      </w:pPr>
      <w:r>
        <w:tab/>
        <w:t>(1)</w:t>
      </w:r>
      <w:r>
        <w:tab/>
        <w:t>For relocating a water supply connection in relation to land in the metropolitan area (other than in the central business districts) up to 500 mm from its existing position, the charge, according to the size of the connection, is —</w:t>
      </w:r>
    </w:p>
    <w:p>
      <w:pPr>
        <w:pStyle w:val="yMiscellaneousBody"/>
        <w:tabs>
          <w:tab w:val="right" w:leader="dot" w:pos="6804"/>
        </w:tabs>
        <w:ind w:left="993"/>
      </w:pPr>
      <w:r>
        <w:t xml:space="preserve">20 mm </w:t>
      </w:r>
      <w:r>
        <w:tab/>
        <w:t>$995.55</w:t>
      </w:r>
    </w:p>
    <w:p>
      <w:pPr>
        <w:pStyle w:val="yMiscellaneousBody"/>
        <w:tabs>
          <w:tab w:val="right" w:leader="dot" w:pos="6804"/>
        </w:tabs>
        <w:ind w:left="993"/>
      </w:pPr>
      <w:r>
        <w:t xml:space="preserve">25 mm </w:t>
      </w:r>
      <w:r>
        <w:tab/>
        <w:t>$1 268.82</w:t>
      </w:r>
    </w:p>
    <w:p>
      <w:pPr>
        <w:pStyle w:val="yMiscellaneousBody"/>
        <w:tabs>
          <w:tab w:val="right" w:leader="dot" w:pos="6804"/>
        </w:tabs>
        <w:ind w:left="993"/>
      </w:pPr>
      <w:r>
        <w:t xml:space="preserve">40 mm </w:t>
      </w:r>
      <w:r>
        <w:tab/>
        <w:t>$2 231.15</w:t>
      </w:r>
    </w:p>
    <w:p>
      <w:pPr>
        <w:pStyle w:val="yMiscellaneousBody"/>
        <w:tabs>
          <w:tab w:val="right" w:leader="dot" w:pos="6804"/>
        </w:tabs>
        <w:ind w:left="993"/>
      </w:pPr>
      <w:r>
        <w:t xml:space="preserve">50 mm </w:t>
      </w:r>
      <w:r>
        <w:tab/>
        <w:t>$2 997.37</w:t>
      </w:r>
    </w:p>
    <w:p>
      <w:pPr>
        <w:pStyle w:val="yMiscellaneousBody"/>
        <w:tabs>
          <w:tab w:val="right" w:leader="dot" w:pos="6804"/>
        </w:tabs>
        <w:ind w:left="993"/>
      </w:pPr>
      <w:r>
        <w:t xml:space="preserve">more than 50 mm </w:t>
      </w:r>
      <w:r>
        <w:tab/>
        <w:t>an amount</w:t>
      </w:r>
    </w:p>
    <w:p>
      <w:pPr>
        <w:pStyle w:val="yMiscellaneousBody"/>
        <w:tabs>
          <w:tab w:val="right" w:pos="6804"/>
        </w:tabs>
        <w:spacing w:before="0"/>
      </w:pPr>
      <w:r>
        <w:tab/>
        <w:t>equal to</w:t>
      </w:r>
      <w:r>
        <w:br/>
      </w:r>
      <w:r>
        <w:tab/>
        <w:t>the cost of</w:t>
      </w:r>
      <w:r>
        <w:br/>
      </w:r>
      <w:r>
        <w:tab/>
        <w:t>relocation</w:t>
      </w:r>
    </w:p>
    <w:p>
      <w:pPr>
        <w:pStyle w:val="ySubsection"/>
      </w:pPr>
      <w:r>
        <w:tab/>
        <w:t>(2)</w:t>
      </w:r>
      <w:r>
        <w:tab/>
        <w:t>For relocating a water supply connection in relation to land in the metropolitan area (other than in the central business districts) more than 500 mm from its existing position, the charge, according to the size of the connection, is —</w:t>
      </w:r>
    </w:p>
    <w:p>
      <w:pPr>
        <w:pStyle w:val="yMiscellaneousBody"/>
        <w:tabs>
          <w:tab w:val="right" w:leader="dot" w:pos="6804"/>
        </w:tabs>
        <w:ind w:left="993"/>
      </w:pPr>
      <w:r>
        <w:t xml:space="preserve">20 mm </w:t>
      </w:r>
      <w:r>
        <w:tab/>
        <w:t>$1 967.53</w:t>
      </w:r>
    </w:p>
    <w:p>
      <w:pPr>
        <w:pStyle w:val="yMiscellaneousBody"/>
        <w:tabs>
          <w:tab w:val="right" w:leader="dot" w:pos="6804"/>
        </w:tabs>
        <w:ind w:left="993"/>
      </w:pPr>
      <w:r>
        <w:t xml:space="preserve">25 mm </w:t>
      </w:r>
      <w:r>
        <w:tab/>
        <w:t>$2 467.98</w:t>
      </w:r>
    </w:p>
    <w:p>
      <w:pPr>
        <w:pStyle w:val="yMiscellaneousBody"/>
        <w:tabs>
          <w:tab w:val="right" w:leader="dot" w:pos="6804"/>
        </w:tabs>
        <w:ind w:left="993"/>
      </w:pPr>
      <w:r>
        <w:t xml:space="preserve">40 mm </w:t>
      </w:r>
      <w:r>
        <w:tab/>
        <w:t>$4 224.40</w:t>
      </w:r>
    </w:p>
    <w:p>
      <w:pPr>
        <w:pStyle w:val="yMiscellaneousBody"/>
        <w:tabs>
          <w:tab w:val="right" w:leader="dot" w:pos="6804"/>
        </w:tabs>
        <w:ind w:left="993"/>
      </w:pPr>
      <w:r>
        <w:t xml:space="preserve">50 mm </w:t>
      </w:r>
      <w:r>
        <w:tab/>
        <w:t>$5 619.67</w:t>
      </w:r>
    </w:p>
    <w:p>
      <w:pPr>
        <w:pStyle w:val="yMiscellaneousBody"/>
        <w:tabs>
          <w:tab w:val="right" w:leader="dot" w:pos="6804"/>
        </w:tabs>
        <w:ind w:left="993"/>
      </w:pPr>
      <w:r>
        <w:t>80</w:t>
      </w:r>
      <w:r>
        <w:noBreakHyphen/>
        <w:t xml:space="preserve">100 mm </w:t>
      </w:r>
      <w:r>
        <w:tab/>
        <w:t>$9 460.42</w:t>
      </w:r>
    </w:p>
    <w:p>
      <w:pPr>
        <w:pStyle w:val="yMiscellaneousBody"/>
        <w:tabs>
          <w:tab w:val="right" w:leader="dot" w:pos="6804"/>
        </w:tabs>
        <w:ind w:left="993"/>
      </w:pPr>
      <w:r>
        <w:t xml:space="preserve">150 mm </w:t>
      </w:r>
      <w:r>
        <w:tab/>
        <w:t>$12 378.48</w:t>
      </w:r>
    </w:p>
    <w:p>
      <w:pPr>
        <w:pStyle w:val="yMiscellaneousBody"/>
        <w:tabs>
          <w:tab w:val="right" w:leader="dot" w:pos="6804"/>
        </w:tabs>
        <w:ind w:left="993"/>
      </w:pPr>
      <w:r>
        <w:t xml:space="preserve">more than 150 mm </w:t>
      </w:r>
      <w:r>
        <w:tab/>
        <w:t>an amount</w:t>
      </w:r>
    </w:p>
    <w:p>
      <w:pPr>
        <w:pStyle w:val="yMiscellaneousBody"/>
        <w:tabs>
          <w:tab w:val="right" w:pos="6804"/>
        </w:tabs>
        <w:spacing w:before="0"/>
      </w:pPr>
      <w:r>
        <w:tab/>
        <w:t>equal to</w:t>
      </w:r>
      <w:r>
        <w:br/>
      </w:r>
      <w:r>
        <w:tab/>
        <w:t xml:space="preserve"> the cost of</w:t>
      </w:r>
      <w:r>
        <w:br/>
      </w:r>
      <w:r>
        <w:tab/>
        <w:t xml:space="preserve"> relocation</w:t>
      </w:r>
    </w:p>
    <w:p>
      <w:pPr>
        <w:pStyle w:val="ySubsection"/>
        <w:keepNext/>
        <w:tabs>
          <w:tab w:val="right" w:leader="dot" w:pos="6804"/>
        </w:tabs>
      </w:pPr>
      <w:r>
        <w:lastRenderedPageBreak/>
        <w:tab/>
        <w:t>(3)</w:t>
      </w:r>
      <w:r>
        <w:tab/>
        <w:t xml:space="preserve">For relocating a water supply connection </w:t>
      </w:r>
      <w:r>
        <w:br/>
        <w:t xml:space="preserve">in relation to land in the central business </w:t>
      </w:r>
      <w:r>
        <w:br/>
        <w:t xml:space="preserve">districts, the charge is </w:t>
      </w:r>
      <w:r>
        <w:tab/>
        <w:t>an amount</w:t>
      </w:r>
    </w:p>
    <w:p>
      <w:pPr>
        <w:pStyle w:val="yMiscellaneousBody"/>
        <w:tabs>
          <w:tab w:val="right" w:pos="6804"/>
        </w:tabs>
        <w:spacing w:before="0"/>
      </w:pPr>
      <w:r>
        <w:tab/>
        <w:t>equal to the</w:t>
      </w:r>
      <w:r>
        <w:br/>
      </w:r>
      <w:r>
        <w:tab/>
        <w:t>cost of</w:t>
      </w:r>
      <w:r>
        <w:br/>
      </w:r>
      <w:r>
        <w:tab/>
        <w:t>installation</w:t>
      </w:r>
    </w:p>
    <w:p>
      <w:pPr>
        <w:pStyle w:val="ySubsection"/>
        <w:tabs>
          <w:tab w:val="right" w:leader="dot" w:pos="6804"/>
        </w:tabs>
      </w:pPr>
      <w:r>
        <w:tab/>
        <w:t>(4)</w:t>
      </w:r>
      <w:r>
        <w:tab/>
        <w:t xml:space="preserve">For relocating a water supply connection </w:t>
      </w:r>
      <w:r>
        <w:br/>
        <w:t>in relation to land in the non</w:t>
      </w:r>
      <w:r>
        <w:noBreakHyphen/>
        <w:t>metropolitan</w:t>
      </w:r>
      <w:r>
        <w:br/>
        <w:t xml:space="preserve">area, the charge is </w:t>
      </w:r>
      <w:r>
        <w:tab/>
        <w:t>an amount</w:t>
      </w:r>
    </w:p>
    <w:p>
      <w:pPr>
        <w:pStyle w:val="yMiscellaneousBody"/>
        <w:tabs>
          <w:tab w:val="right" w:pos="6804"/>
        </w:tabs>
        <w:spacing w:before="0"/>
      </w:pPr>
      <w:r>
        <w:tab/>
        <w:t>equal to the</w:t>
      </w:r>
      <w:r>
        <w:br/>
      </w:r>
      <w:r>
        <w:tab/>
        <w:t>cost of</w:t>
      </w:r>
      <w:r>
        <w:br/>
      </w:r>
      <w:r>
        <w:tab/>
        <w:t>installation</w:t>
      </w:r>
    </w:p>
    <w:p>
      <w:pPr>
        <w:pStyle w:val="yHeading5"/>
      </w:pPr>
      <w:bookmarkStart w:id="610" w:name="_Toc169797299"/>
      <w:bookmarkStart w:id="611" w:name="_Toc169797609"/>
      <w:bookmarkStart w:id="612" w:name="_Toc170209304"/>
      <w:r>
        <w:t>8.</w:t>
      </w:r>
      <w:r>
        <w:tab/>
        <w:t>Proposal to connect to sewer</w:t>
      </w:r>
      <w:bookmarkEnd w:id="610"/>
      <w:bookmarkEnd w:id="611"/>
      <w:bookmarkEnd w:id="612"/>
    </w:p>
    <w:p>
      <w:pPr>
        <w:pStyle w:val="ySubsection"/>
        <w:tabs>
          <w:tab w:val="right" w:leader="dot" w:pos="6804"/>
        </w:tabs>
      </w:pPr>
      <w:r>
        <w:tab/>
      </w:r>
      <w:r>
        <w:tab/>
        <w:t xml:space="preserve">For assessing a proposal to connect a </w:t>
      </w:r>
      <w:r>
        <w:br/>
        <w:t xml:space="preserve">wastewater inlet on land to a sewer, the </w:t>
      </w:r>
      <w:r>
        <w:br/>
        <w:t xml:space="preserve">charge is </w:t>
      </w:r>
      <w:r>
        <w:tab/>
      </w:r>
      <w:r>
        <w:rPr>
          <w:szCs w:val="22"/>
        </w:rPr>
        <w:t>$36.18</w:t>
      </w:r>
    </w:p>
    <w:p>
      <w:pPr>
        <w:pStyle w:val="yHeading5"/>
      </w:pPr>
      <w:bookmarkStart w:id="613" w:name="_Toc169797300"/>
      <w:bookmarkStart w:id="614" w:name="_Toc169797610"/>
      <w:bookmarkStart w:id="615" w:name="_Toc170209305"/>
      <w:r>
        <w:t>9.</w:t>
      </w:r>
      <w:r>
        <w:tab/>
        <w:t>Installing sewer junction</w:t>
      </w:r>
      <w:bookmarkEnd w:id="613"/>
      <w:bookmarkEnd w:id="614"/>
      <w:bookmarkEnd w:id="615"/>
    </w:p>
    <w:p>
      <w:pPr>
        <w:pStyle w:val="ySubsection"/>
      </w:pPr>
      <w:r>
        <w:tab/>
      </w:r>
      <w:r>
        <w:tab/>
        <w:t xml:space="preserve">For </w:t>
      </w:r>
      <w:r>
        <w:rPr>
          <w:szCs w:val="22"/>
        </w:rPr>
        <w:t>installing</w:t>
      </w:r>
      <w:r>
        <w:t xml:space="preserve"> a sewer junction for land, the charge, according to the size of the sewer, is —</w:t>
      </w:r>
    </w:p>
    <w:p>
      <w:pPr>
        <w:pStyle w:val="yMiscellaneousBody"/>
        <w:tabs>
          <w:tab w:val="right" w:leader="dot" w:pos="6804"/>
        </w:tabs>
        <w:ind w:left="993"/>
      </w:pPr>
      <w:r>
        <w:t xml:space="preserve">100 mm </w:t>
      </w:r>
      <w:r>
        <w:tab/>
        <w:t>$927.25</w:t>
      </w:r>
    </w:p>
    <w:p>
      <w:pPr>
        <w:pStyle w:val="yMiscellaneousBody"/>
        <w:tabs>
          <w:tab w:val="right" w:leader="dot" w:pos="6804"/>
        </w:tabs>
        <w:ind w:left="993"/>
      </w:pPr>
      <w:r>
        <w:t xml:space="preserve">150 mm </w:t>
      </w:r>
      <w:r>
        <w:tab/>
        <w:t>$1 136.40</w:t>
      </w:r>
    </w:p>
    <w:p>
      <w:pPr>
        <w:pStyle w:val="yHeading5"/>
      </w:pPr>
      <w:bookmarkStart w:id="616" w:name="_Toc169797301"/>
      <w:bookmarkStart w:id="617" w:name="_Toc169797611"/>
      <w:bookmarkStart w:id="618" w:name="_Toc170209306"/>
      <w:r>
        <w:t>10.</w:t>
      </w:r>
      <w:r>
        <w:tab/>
        <w:t>Hire of standpipe for fire hydrant</w:t>
      </w:r>
      <w:bookmarkEnd w:id="616"/>
      <w:bookmarkEnd w:id="617"/>
      <w:bookmarkEnd w:id="618"/>
    </w:p>
    <w:p>
      <w:pPr>
        <w:pStyle w:val="ySubsection"/>
        <w:tabs>
          <w:tab w:val="right" w:leader="dot" w:pos="6804"/>
        </w:tabs>
      </w:pPr>
      <w:r>
        <w:tab/>
        <w:t>(1)</w:t>
      </w:r>
      <w:r>
        <w:tab/>
        <w:t xml:space="preserve">For an application to hire a standpipe from </w:t>
      </w:r>
      <w:r>
        <w:br/>
        <w:t xml:space="preserve">the Water Corporation for attachment to a </w:t>
      </w:r>
      <w:r>
        <w:br/>
        <w:t xml:space="preserve">fire hydrant connected to water supply </w:t>
      </w:r>
      <w:r>
        <w:br/>
        <w:t xml:space="preserve">works of the Water Corporation in the </w:t>
      </w:r>
      <w:r>
        <w:br/>
        <w:t xml:space="preserve">metropolitan area, the charge is </w:t>
      </w:r>
      <w:r>
        <w:tab/>
      </w:r>
      <w:r>
        <w:rPr>
          <w:szCs w:val="22"/>
        </w:rPr>
        <w:t>$129.21</w:t>
      </w:r>
    </w:p>
    <w:p>
      <w:pPr>
        <w:pStyle w:val="ySubsection"/>
        <w:keepNext/>
      </w:pPr>
      <w:r>
        <w:tab/>
        <w:t>(2)</w:t>
      </w:r>
      <w:r>
        <w:tab/>
        <w:t xml:space="preserve">For the hire of a standpipe from the Water Corporation for attachment to a fire hydrant connected to water supply works of the Water </w:t>
      </w:r>
      <w:r>
        <w:lastRenderedPageBreak/>
        <w:t>Corporation in the metropolitan area, the charge, according to the size of the standpipe’s meter, is —</w:t>
      </w:r>
    </w:p>
    <w:p>
      <w:pPr>
        <w:pStyle w:val="yMiscellaneousBody"/>
        <w:keepNext/>
        <w:tabs>
          <w:tab w:val="right" w:leader="dot" w:pos="6804"/>
        </w:tabs>
        <w:ind w:left="993"/>
      </w:pPr>
      <w:r>
        <w:t xml:space="preserve">25 mm or less </w:t>
      </w:r>
      <w:r>
        <w:tab/>
      </w:r>
      <w:r>
        <w:rPr>
          <w:szCs w:val="22"/>
        </w:rPr>
        <w:t>$265.73</w:t>
      </w:r>
      <w:r>
        <w:t>/month</w:t>
      </w:r>
    </w:p>
    <w:p>
      <w:pPr>
        <w:pStyle w:val="yMiscellaneousBody"/>
        <w:tabs>
          <w:tab w:val="right" w:pos="6804"/>
        </w:tabs>
        <w:spacing w:before="0"/>
      </w:pPr>
      <w:r>
        <w:tab/>
        <w:t>pro </w:t>
      </w:r>
      <w:r>
        <w:rPr>
          <w:szCs w:val="22"/>
        </w:rPr>
        <w:t>rata</w:t>
      </w:r>
    </w:p>
    <w:p>
      <w:pPr>
        <w:pStyle w:val="yMiscellaneousBody"/>
        <w:tabs>
          <w:tab w:val="right" w:leader="dot" w:pos="6804"/>
        </w:tabs>
        <w:ind w:left="993"/>
      </w:pPr>
      <w:r>
        <w:t xml:space="preserve">more than 25 mm </w:t>
      </w:r>
      <w:r>
        <w:tab/>
      </w:r>
      <w:r>
        <w:rPr>
          <w:szCs w:val="22"/>
        </w:rPr>
        <w:t>$444.69</w:t>
      </w:r>
      <w:r>
        <w:t>/month</w:t>
      </w:r>
    </w:p>
    <w:p>
      <w:pPr>
        <w:pStyle w:val="yMiscellaneousBody"/>
        <w:tabs>
          <w:tab w:val="right" w:pos="6804"/>
        </w:tabs>
        <w:spacing w:before="0"/>
      </w:pPr>
      <w:r>
        <w:tab/>
        <w:t>pro </w:t>
      </w:r>
      <w:r>
        <w:rPr>
          <w:szCs w:val="22"/>
        </w:rPr>
        <w:t>rata</w:t>
      </w:r>
    </w:p>
    <w:p>
      <w:pPr>
        <w:pStyle w:val="yHeading5"/>
      </w:pPr>
      <w:bookmarkStart w:id="619" w:name="_Toc169797302"/>
      <w:bookmarkStart w:id="620" w:name="_Toc169797612"/>
      <w:bookmarkStart w:id="621" w:name="_Toc170209307"/>
      <w:r>
        <w:t>11.</w:t>
      </w:r>
      <w:r>
        <w:tab/>
        <w:t>Trade waste: services in relation to discharge</w:t>
      </w:r>
      <w:bookmarkEnd w:id="619"/>
      <w:bookmarkEnd w:id="620"/>
      <w:bookmarkEnd w:id="621"/>
    </w:p>
    <w:p>
      <w:pPr>
        <w:pStyle w:val="ySubsection"/>
      </w:pPr>
      <w:r>
        <w:tab/>
        <w:t>(1)</w:t>
      </w:r>
      <w:r>
        <w:tab/>
        <w:t xml:space="preserve">In this item — </w:t>
      </w:r>
    </w:p>
    <w:p>
      <w:pPr>
        <w:pStyle w:val="yDefstart"/>
      </w:pPr>
      <w:r>
        <w:tab/>
      </w:r>
      <w:r>
        <w:rPr>
          <w:rStyle w:val="CharDefText"/>
        </w:rPr>
        <w:t>additional analysis</w:t>
      </w:r>
      <w:r>
        <w:t xml:space="preserve"> means the analysis of samples for water quality parameters, other than the analysis normally conducted by the Water Corporation in relation to the discharge of trade waste into a sewer of the Water Corporation.</w:t>
      </w:r>
    </w:p>
    <w:p>
      <w:pPr>
        <w:pStyle w:val="ySubsection"/>
      </w:pPr>
      <w:r>
        <w:tab/>
        <w:t>(2)</w:t>
      </w:r>
      <w:r>
        <w:tab/>
        <w:t>For the following services in relation to the discharge of trade waste into a sewer of the Water Corporation, the charge is —</w:t>
      </w:r>
    </w:p>
    <w:p>
      <w:pPr>
        <w:pStyle w:val="yIndenta"/>
        <w:tabs>
          <w:tab w:val="right" w:leader="dot" w:pos="6804"/>
        </w:tabs>
      </w:pPr>
      <w:r>
        <w:tab/>
        <w:t>(a)</w:t>
      </w:r>
      <w:r>
        <w:tab/>
        <w:t xml:space="preserve">for inspection </w:t>
      </w:r>
      <w:r>
        <w:tab/>
        <w:t>$165.00/hour</w:t>
      </w:r>
    </w:p>
    <w:p>
      <w:pPr>
        <w:pStyle w:val="yIndenta"/>
        <w:tabs>
          <w:tab w:val="right" w:leader="dot" w:pos="6804"/>
        </w:tabs>
      </w:pPr>
      <w:r>
        <w:tab/>
        <w:t>(b)</w:t>
      </w:r>
      <w:r>
        <w:tab/>
        <w:t xml:space="preserve">for a meter reading </w:t>
      </w:r>
      <w:r>
        <w:tab/>
        <w:t>$45.03</w:t>
      </w:r>
    </w:p>
    <w:p>
      <w:pPr>
        <w:pStyle w:val="yIndenta"/>
        <w:tabs>
          <w:tab w:val="right" w:leader="dot" w:pos="6804"/>
        </w:tabs>
      </w:pPr>
      <w:r>
        <w:tab/>
        <w:t>(c)</w:t>
      </w:r>
      <w:r>
        <w:tab/>
        <w:t xml:space="preserve">for a grab sample </w:t>
      </w:r>
      <w:r>
        <w:tab/>
        <w:t>$508.97</w:t>
      </w:r>
    </w:p>
    <w:p>
      <w:pPr>
        <w:pStyle w:val="yIndenta"/>
        <w:tabs>
          <w:tab w:val="right" w:leader="dot" w:pos="6804"/>
        </w:tabs>
      </w:pPr>
      <w:r>
        <w:tab/>
        <w:t>(d)</w:t>
      </w:r>
      <w:r>
        <w:tab/>
        <w:t xml:space="preserve">for a composite sample </w:t>
      </w:r>
      <w:r>
        <w:tab/>
        <w:t>$806.30</w:t>
      </w:r>
    </w:p>
    <w:p>
      <w:pPr>
        <w:pStyle w:val="yIndenta"/>
        <w:tabs>
          <w:tab w:val="right" w:leader="dot" w:pos="6804"/>
        </w:tabs>
        <w:rPr>
          <w:szCs w:val="22"/>
        </w:rPr>
      </w:pPr>
      <w:r>
        <w:tab/>
        <w:t>(e)</w:t>
      </w:r>
      <w:r>
        <w:tab/>
        <w:t xml:space="preserve">for additional analysis </w:t>
      </w:r>
      <w:r>
        <w:tab/>
      </w:r>
      <w:r>
        <w:rPr>
          <w:szCs w:val="22"/>
        </w:rPr>
        <w:t xml:space="preserve">an amount equal to </w:t>
      </w:r>
    </w:p>
    <w:p>
      <w:pPr>
        <w:pStyle w:val="ySubsectionRight"/>
      </w:pPr>
      <w:r>
        <w:t xml:space="preserve">the actual cost to the </w:t>
      </w:r>
      <w:r>
        <w:br/>
        <w:t xml:space="preserve">Water Corporation </w:t>
      </w:r>
      <w:r>
        <w:br/>
        <w:t xml:space="preserve">of conducting the </w:t>
      </w:r>
      <w:r>
        <w:br/>
        <w:t>additional analysis</w:t>
      </w:r>
    </w:p>
    <w:p>
      <w:pPr>
        <w:pStyle w:val="yIndenta"/>
        <w:tabs>
          <w:tab w:val="right" w:leader="dot" w:pos="6804"/>
        </w:tabs>
      </w:pPr>
      <w:r>
        <w:tab/>
        <w:t>(f)</w:t>
      </w:r>
      <w:r>
        <w:tab/>
        <w:t>for assessing an application to</w:t>
      </w:r>
      <w:r>
        <w:br/>
        <w:t xml:space="preserve">discharge </w:t>
      </w:r>
      <w:r>
        <w:tab/>
      </w:r>
      <w:r>
        <w:rPr>
          <w:szCs w:val="22"/>
        </w:rPr>
        <w:t>$150.13/hour</w:t>
      </w:r>
    </w:p>
    <w:p>
      <w:pPr>
        <w:pStyle w:val="yHeading5"/>
      </w:pPr>
      <w:bookmarkStart w:id="622" w:name="_Toc169797303"/>
      <w:bookmarkStart w:id="623" w:name="_Toc169797613"/>
      <w:bookmarkStart w:id="624" w:name="_Toc170209308"/>
      <w:r>
        <w:t>12.</w:t>
      </w:r>
      <w:r>
        <w:tab/>
        <w:t>Trade waste: product evaluation services</w:t>
      </w:r>
      <w:bookmarkEnd w:id="622"/>
      <w:bookmarkEnd w:id="623"/>
      <w:bookmarkEnd w:id="624"/>
    </w:p>
    <w:p>
      <w:pPr>
        <w:pStyle w:val="ySubsection"/>
      </w:pPr>
      <w:r>
        <w:tab/>
        <w:t>(1)</w:t>
      </w:r>
      <w:r>
        <w:tab/>
        <w:t xml:space="preserve">In this item — </w:t>
      </w:r>
    </w:p>
    <w:p>
      <w:pPr>
        <w:pStyle w:val="yDefstart"/>
      </w:pPr>
      <w:r>
        <w:tab/>
      </w:r>
      <w:r>
        <w:rPr>
          <w:rStyle w:val="CharDefText"/>
        </w:rPr>
        <w:t>product evaluation</w:t>
      </w:r>
      <w:r>
        <w:t xml:space="preserve"> means reviewing a fitting, fixture or substance to determine whether it can be appropriately used in relation to the discharge of trade waste.</w:t>
      </w:r>
    </w:p>
    <w:p>
      <w:pPr>
        <w:pStyle w:val="ySubsection"/>
        <w:tabs>
          <w:tab w:val="right" w:leader="dot" w:pos="6804"/>
        </w:tabs>
      </w:pPr>
      <w:r>
        <w:lastRenderedPageBreak/>
        <w:tab/>
        <w:t>(2)</w:t>
      </w:r>
      <w:r>
        <w:tab/>
        <w:t>For product evaluation in relation to the</w:t>
      </w:r>
      <w:r>
        <w:br/>
        <w:t>discharge of trade waste into a sewer of</w:t>
      </w:r>
      <w:r>
        <w:br/>
        <w:t xml:space="preserve">the Water Corporation, the charge is </w:t>
      </w:r>
      <w:r>
        <w:tab/>
      </w:r>
      <w:r>
        <w:rPr>
          <w:szCs w:val="22"/>
        </w:rPr>
        <w:t>$197.04</w:t>
      </w:r>
      <w:r>
        <w:t>/hour</w:t>
      </w:r>
    </w:p>
    <w:p>
      <w:pPr>
        <w:pStyle w:val="yHeading5"/>
      </w:pPr>
      <w:bookmarkStart w:id="625" w:name="_Toc169797304"/>
      <w:bookmarkStart w:id="626" w:name="_Toc169797614"/>
      <w:bookmarkStart w:id="627" w:name="_Toc170209309"/>
      <w:r>
        <w:t>13.</w:t>
      </w:r>
      <w:r>
        <w:tab/>
        <w:t>Trade waste: one</w:t>
      </w:r>
      <w:r>
        <w:noBreakHyphen/>
        <w:t>off discharge services</w:t>
      </w:r>
      <w:bookmarkEnd w:id="625"/>
      <w:bookmarkEnd w:id="626"/>
      <w:bookmarkEnd w:id="627"/>
    </w:p>
    <w:p>
      <w:pPr>
        <w:pStyle w:val="ySubsection"/>
        <w:tabs>
          <w:tab w:val="right" w:leader="dot" w:pos="6804"/>
        </w:tabs>
      </w:pPr>
      <w:r>
        <w:tab/>
      </w:r>
      <w:r>
        <w:tab/>
        <w:t>For a one</w:t>
      </w:r>
      <w:r>
        <w:noBreakHyphen/>
        <w:t xml:space="preserve">off discharge of trade waste </w:t>
      </w:r>
      <w:r>
        <w:br/>
        <w:t xml:space="preserve">into a sewer of the Water Corporation, </w:t>
      </w:r>
      <w:r>
        <w:br/>
        <w:t xml:space="preserve">the charge is </w:t>
      </w:r>
      <w:r>
        <w:tab/>
      </w:r>
      <w:r>
        <w:rPr>
          <w:szCs w:val="22"/>
        </w:rPr>
        <w:t>$150.13</w:t>
      </w:r>
      <w:r>
        <w:t>/hour</w:t>
      </w:r>
    </w:p>
    <w:p>
      <w:pPr>
        <w:pStyle w:val="yHeading5"/>
      </w:pPr>
      <w:bookmarkStart w:id="628" w:name="_Toc169797305"/>
      <w:bookmarkStart w:id="629" w:name="_Toc169797615"/>
      <w:bookmarkStart w:id="630" w:name="_Toc170209310"/>
      <w:r>
        <w:t>14.</w:t>
      </w:r>
      <w:r>
        <w:tab/>
        <w:t>Meter reading and other information</w:t>
      </w:r>
      <w:bookmarkEnd w:id="628"/>
      <w:bookmarkEnd w:id="629"/>
      <w:bookmarkEnd w:id="630"/>
    </w:p>
    <w:p>
      <w:pPr>
        <w:pStyle w:val="ySubsection"/>
      </w:pPr>
      <w:r>
        <w:tab/>
      </w:r>
      <w:r>
        <w:tab/>
        <w:t xml:space="preserve">For — </w:t>
      </w:r>
    </w:p>
    <w:p>
      <w:pPr>
        <w:pStyle w:val="yIndenta"/>
        <w:tabs>
          <w:tab w:val="right" w:leader="dot" w:pos="6804"/>
        </w:tabs>
      </w:pPr>
      <w:r>
        <w:tab/>
        <w:t>(a)</w:t>
      </w:r>
      <w:r>
        <w:tab/>
        <w:t xml:space="preserve">a meter reading, the charge is </w:t>
      </w:r>
      <w:r>
        <w:tab/>
        <w:t>$24.03</w:t>
      </w:r>
    </w:p>
    <w:p>
      <w:pPr>
        <w:pStyle w:val="yIndenta"/>
        <w:tabs>
          <w:tab w:val="right" w:leader="dot" w:pos="6804"/>
        </w:tabs>
      </w:pPr>
      <w:r>
        <w:tab/>
        <w:t>(b)</w:t>
      </w:r>
      <w:r>
        <w:tab/>
        <w:t xml:space="preserve">an urgent meter reading, the charge is </w:t>
      </w:r>
      <w:r>
        <w:tab/>
        <w:t>$36.86</w:t>
      </w:r>
    </w:p>
    <w:p>
      <w:pPr>
        <w:pStyle w:val="yIndenta"/>
        <w:tabs>
          <w:tab w:val="right" w:leader="dot" w:pos="6804"/>
        </w:tabs>
      </w:pPr>
      <w:r>
        <w:tab/>
        <w:t>(c)</w:t>
      </w:r>
      <w:r>
        <w:tab/>
        <w:t xml:space="preserve">the provision of information in relation </w:t>
      </w:r>
      <w:r>
        <w:br/>
        <w:t xml:space="preserve">to water services for land and a meter </w:t>
      </w:r>
      <w:r>
        <w:br/>
        <w:t xml:space="preserve">reading, the charge is </w:t>
      </w:r>
      <w:r>
        <w:tab/>
        <w:t>$32.91</w:t>
      </w:r>
    </w:p>
    <w:p>
      <w:pPr>
        <w:pStyle w:val="yIndenta"/>
        <w:tabs>
          <w:tab w:val="right" w:leader="dot" w:pos="6804"/>
        </w:tabs>
      </w:pPr>
      <w:r>
        <w:tab/>
        <w:t>(d)</w:t>
      </w:r>
      <w:r>
        <w:tab/>
        <w:t xml:space="preserve">the provision of information in relation </w:t>
      </w:r>
      <w:r>
        <w:br/>
        <w:t xml:space="preserve">to water services for land and an urgent </w:t>
      </w:r>
      <w:r>
        <w:br/>
        <w:t xml:space="preserve">meter reading, the charge is </w:t>
      </w:r>
      <w:r>
        <w:tab/>
        <w:t>$45.74</w:t>
      </w:r>
    </w:p>
    <w:p>
      <w:pPr>
        <w:pStyle w:val="yIndenta"/>
        <w:tabs>
          <w:tab w:val="right" w:leader="dot" w:pos="6804"/>
        </w:tabs>
      </w:pPr>
      <w:r>
        <w:tab/>
        <w:t>(e)</w:t>
      </w:r>
      <w:r>
        <w:tab/>
        <w:t xml:space="preserve">the provision of information not </w:t>
      </w:r>
      <w:r>
        <w:br/>
        <w:t xml:space="preserve">covered by paragraphs (a) to (d), </w:t>
      </w:r>
      <w:r>
        <w:br/>
        <w:t xml:space="preserve">involving research or investigation </w:t>
      </w:r>
      <w:r>
        <w:br/>
        <w:t xml:space="preserve">of more than 15 minutes, the </w:t>
      </w:r>
      <w:r>
        <w:br/>
        <w:t xml:space="preserve">charge is </w:t>
      </w:r>
      <w:r>
        <w:tab/>
      </w:r>
      <w:r>
        <w:rPr>
          <w:szCs w:val="22"/>
        </w:rPr>
        <w:t>$102.72</w:t>
      </w:r>
      <w:r>
        <w:t>/hour</w:t>
      </w:r>
    </w:p>
    <w:p>
      <w:pPr>
        <w:pStyle w:val="yIndenta"/>
        <w:spacing w:before="0"/>
        <w:ind w:right="284"/>
        <w:jc w:val="right"/>
      </w:pPr>
      <w:r>
        <w:t>or part hour</w:t>
      </w:r>
    </w:p>
    <w:p>
      <w:pPr>
        <w:pStyle w:val="yHeading5"/>
      </w:pPr>
      <w:bookmarkStart w:id="631" w:name="_Toc169797306"/>
      <w:bookmarkStart w:id="632" w:name="_Toc169797616"/>
      <w:bookmarkStart w:id="633" w:name="_Toc170209311"/>
      <w:r>
        <w:t>15.</w:t>
      </w:r>
      <w:r>
        <w:tab/>
        <w:t>Copies of records</w:t>
      </w:r>
      <w:bookmarkEnd w:id="631"/>
      <w:bookmarkEnd w:id="632"/>
      <w:bookmarkEnd w:id="633"/>
    </w:p>
    <w:p>
      <w:pPr>
        <w:pStyle w:val="ySubsection"/>
        <w:tabs>
          <w:tab w:val="right" w:leader="dot" w:pos="6804"/>
        </w:tabs>
      </w:pPr>
      <w:r>
        <w:tab/>
      </w:r>
      <w:r>
        <w:tab/>
        <w:t xml:space="preserve">For a copy of records under the </w:t>
      </w:r>
      <w:r>
        <w:br/>
      </w:r>
      <w:r>
        <w:rPr>
          <w:i/>
          <w:iCs/>
        </w:rPr>
        <w:t>Water Services Regulations 2013</w:t>
      </w:r>
      <w:r>
        <w:t xml:space="preserve"> </w:t>
      </w:r>
      <w:r>
        <w:br/>
        <w:t xml:space="preserve">regulation 65(4)(b), the charge is </w:t>
      </w:r>
      <w:r>
        <w:tab/>
        <w:t>$19.80 per record</w:t>
      </w:r>
    </w:p>
    <w:p>
      <w:pPr>
        <w:pStyle w:val="yFootnotesection"/>
      </w:pPr>
      <w:r>
        <w:tab/>
        <w:t>[Schedule 7 inserted: SL 2024/117 r. 9.]</w:t>
      </w:r>
    </w:p>
    <w:bookmarkEnd w:id="144"/>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634" w:name="_Toc170136944"/>
      <w:bookmarkStart w:id="635" w:name="_Toc170138956"/>
      <w:bookmarkStart w:id="636" w:name="_Toc170203817"/>
      <w:bookmarkStart w:id="637" w:name="_Toc170209312"/>
      <w:r>
        <w:rPr>
          <w:rStyle w:val="CharSchNo"/>
        </w:rPr>
        <w:lastRenderedPageBreak/>
        <w:t>Schedule 8</w:t>
      </w:r>
      <w:r>
        <w:rPr>
          <w:rStyle w:val="CharSDivNo"/>
        </w:rPr>
        <w:t> </w:t>
      </w:r>
      <w:r>
        <w:t>—</w:t>
      </w:r>
      <w:r>
        <w:rPr>
          <w:rStyle w:val="CharSDivText"/>
        </w:rPr>
        <w:t> </w:t>
      </w:r>
      <w:r>
        <w:rPr>
          <w:rStyle w:val="CharSchText"/>
        </w:rPr>
        <w:t>Government trading organisations</w:t>
      </w:r>
      <w:bookmarkEnd w:id="634"/>
      <w:bookmarkEnd w:id="635"/>
      <w:bookmarkEnd w:id="636"/>
      <w:bookmarkEnd w:id="637"/>
    </w:p>
    <w:p>
      <w:pPr>
        <w:pStyle w:val="yShoulderClause"/>
      </w:pPr>
      <w:r>
        <w:t>[r. 16(1)]</w:t>
      </w:r>
    </w:p>
    <w:p>
      <w:pPr>
        <w:pStyle w:val="yMiscellaneousHeading"/>
        <w:rPr>
          <w:b/>
          <w:bCs/>
          <w:snapToGrid w:val="0"/>
        </w:rPr>
      </w:pPr>
      <w:r>
        <w:rPr>
          <w:b/>
          <w:bCs/>
          <w:snapToGrid w:val="0"/>
        </w:rPr>
        <w:t>Government trading organisations</w:t>
      </w:r>
    </w:p>
    <w:p>
      <w:pPr>
        <w:pStyle w:val="yEdnotesubsection"/>
      </w:pPr>
      <w:r>
        <w:t>[1</w:t>
      </w:r>
      <w:r>
        <w:noBreakHyphen/>
        <w:t>2.</w:t>
      </w:r>
      <w:r>
        <w:tab/>
      </w:r>
      <w:r>
        <w:tab/>
        <w:t>deleted]</w:t>
      </w:r>
    </w:p>
    <w:p>
      <w:pPr>
        <w:pStyle w:val="yNumberedItem"/>
      </w:pPr>
      <w:r>
        <w:t>2A.</w:t>
      </w:r>
      <w:r>
        <w:tab/>
        <w:t xml:space="preserve">Arts and Culture Trust established under the </w:t>
      </w:r>
      <w:r>
        <w:rPr>
          <w:i/>
        </w:rPr>
        <w:t xml:space="preserve">Arts and Culture Trust Act 2021 </w:t>
      </w:r>
      <w:r>
        <w:t>section 7.</w:t>
      </w:r>
    </w:p>
    <w:p>
      <w:pPr>
        <w:pStyle w:val="yNumberedItem"/>
      </w:pPr>
      <w:r>
        <w:t>3.</w:t>
      </w:r>
      <w:r>
        <w:tab/>
        <w:t xml:space="preserve">Electricity Generation and Retail Corporation established under the </w:t>
      </w:r>
      <w:r>
        <w:rPr>
          <w:i/>
        </w:rPr>
        <w:t>Electricity Corporations Act 2005</w:t>
      </w:r>
      <w:r>
        <w:t xml:space="preserve"> section 4.</w:t>
      </w:r>
    </w:p>
    <w:p>
      <w:pPr>
        <w:pStyle w:val="yNumberedItem"/>
      </w:pPr>
      <w:r>
        <w:t>4.</w:t>
      </w:r>
      <w:r>
        <w:tab/>
        <w:t xml:space="preserve">Electricity Networks Corporation established under the </w:t>
      </w:r>
      <w:r>
        <w:rPr>
          <w:i/>
        </w:rPr>
        <w:t>Electricity Corporations Act 2005</w:t>
      </w:r>
      <w:r>
        <w:t xml:space="preserve"> section 4.</w:t>
      </w:r>
    </w:p>
    <w:p>
      <w:pPr>
        <w:pStyle w:val="yEdnotesubsection"/>
      </w:pPr>
      <w:r>
        <w:t>[5.</w:t>
      </w:r>
      <w:r>
        <w:tab/>
      </w:r>
      <w:r>
        <w:tab/>
        <w:t>deleted]</w:t>
      </w:r>
    </w:p>
    <w:p>
      <w:pPr>
        <w:pStyle w:val="yNumberedItem"/>
      </w:pPr>
      <w:r>
        <w:t>6.</w:t>
      </w:r>
      <w:r>
        <w:tab/>
        <w:t xml:space="preserve">Fremantle Port Authority established under the </w:t>
      </w:r>
      <w:r>
        <w:rPr>
          <w:i/>
        </w:rPr>
        <w:t>Port Authorities Act 1999</w:t>
      </w:r>
      <w:r>
        <w:t xml:space="preserve"> section 4.</w:t>
      </w:r>
    </w:p>
    <w:p>
      <w:pPr>
        <w:pStyle w:val="yNumberedItem"/>
      </w:pPr>
      <w:r>
        <w:t>7.</w:t>
      </w:r>
      <w:r>
        <w:tab/>
        <w:t xml:space="preserve">Gold Corporation established under the </w:t>
      </w:r>
      <w:r>
        <w:rPr>
          <w:i/>
        </w:rPr>
        <w:t>Gold Corporation Act 1987</w:t>
      </w:r>
      <w:r>
        <w:t xml:space="preserve"> section 4.</w:t>
      </w:r>
    </w:p>
    <w:p>
      <w:pPr>
        <w:pStyle w:val="yNumberedItem"/>
      </w:pPr>
      <w:r>
        <w:t>8.</w:t>
      </w:r>
      <w:r>
        <w:tab/>
        <w:t xml:space="preserve">GoldCorp established under the </w:t>
      </w:r>
      <w:r>
        <w:rPr>
          <w:i/>
        </w:rPr>
        <w:t>Gold Corporation Act 1987</w:t>
      </w:r>
      <w:r>
        <w:t xml:space="preserve"> section 48.</w:t>
      </w:r>
    </w:p>
    <w:p>
      <w:pPr>
        <w:pStyle w:val="yNumberedItem"/>
      </w:pPr>
      <w:r>
        <w:t>9.</w:t>
      </w:r>
      <w:r>
        <w:tab/>
        <w:t xml:space="preserve">The Mint continued under the </w:t>
      </w:r>
      <w:r>
        <w:rPr>
          <w:i/>
        </w:rPr>
        <w:t>Gold Corporation Act 1987</w:t>
      </w:r>
      <w:r>
        <w:t xml:space="preserve"> section 35.</w:t>
      </w:r>
    </w:p>
    <w:p>
      <w:pPr>
        <w:pStyle w:val="yNumberedItem"/>
      </w:pPr>
      <w:r>
        <w:t>10.</w:t>
      </w:r>
      <w:r>
        <w:tab/>
        <w:t xml:space="preserve">Housing Authority referred to in the </w:t>
      </w:r>
      <w:r>
        <w:rPr>
          <w:i/>
        </w:rPr>
        <w:t>Housing Act 1980</w:t>
      </w:r>
      <w:r>
        <w:t xml:space="preserve"> section 6(4).</w:t>
      </w:r>
    </w:p>
    <w:p>
      <w:pPr>
        <w:pStyle w:val="yNumberedItem"/>
      </w:pPr>
      <w:r>
        <w:t>11.</w:t>
      </w:r>
      <w:r>
        <w:tab/>
        <w:t xml:space="preserve">Kimberley Ports Authority established under the </w:t>
      </w:r>
      <w:r>
        <w:rPr>
          <w:i/>
        </w:rPr>
        <w:t>Port Authorities Act 1999</w:t>
      </w:r>
      <w:r>
        <w:t xml:space="preserve"> section 4.</w:t>
      </w:r>
    </w:p>
    <w:p>
      <w:pPr>
        <w:pStyle w:val="yNumberedItem"/>
      </w:pPr>
      <w:r>
        <w:t>12.</w:t>
      </w:r>
      <w:r>
        <w:tab/>
        <w:t xml:space="preserve">Lotteries Commission continued under the </w:t>
      </w:r>
      <w:r>
        <w:rPr>
          <w:i/>
        </w:rPr>
        <w:t>Lotteries Commission Act 1990</w:t>
      </w:r>
      <w:r>
        <w:t xml:space="preserve"> section 4.</w:t>
      </w:r>
    </w:p>
    <w:p>
      <w:pPr>
        <w:pStyle w:val="yNumberedItem"/>
      </w:pPr>
      <w:r>
        <w:t>13.</w:t>
      </w:r>
      <w:r>
        <w:tab/>
        <w:t xml:space="preserve">Metropolitan Cemeteries Board established under the </w:t>
      </w:r>
      <w:r>
        <w:rPr>
          <w:i/>
        </w:rPr>
        <w:t>Cemeteries Act 1986</w:t>
      </w:r>
      <w:r>
        <w:t xml:space="preserve"> section 7.</w:t>
      </w:r>
    </w:p>
    <w:p>
      <w:pPr>
        <w:pStyle w:val="yNumberedItem"/>
      </w:pPr>
      <w:r>
        <w:t>14.</w:t>
      </w:r>
      <w:r>
        <w:tab/>
        <w:t xml:space="preserve">Mid West Ports Authority established under the </w:t>
      </w:r>
      <w:r>
        <w:rPr>
          <w:i/>
        </w:rPr>
        <w:t>Port Authorities Act 1999</w:t>
      </w:r>
      <w:r>
        <w:t xml:space="preserve"> section 4.</w:t>
      </w:r>
    </w:p>
    <w:p>
      <w:pPr>
        <w:pStyle w:val="yNumberedItem"/>
      </w:pPr>
      <w:r>
        <w:t>15.</w:t>
      </w:r>
      <w:r>
        <w:tab/>
        <w:t xml:space="preserve">Perth Market Authority continued under the </w:t>
      </w:r>
      <w:r>
        <w:rPr>
          <w:i/>
        </w:rPr>
        <w:t>Perth Market Act 1926</w:t>
      </w:r>
      <w:r>
        <w:t xml:space="preserve"> section 3.</w:t>
      </w:r>
    </w:p>
    <w:p>
      <w:pPr>
        <w:pStyle w:val="yEdnotesubsection"/>
      </w:pPr>
      <w:r>
        <w:t>[16.</w:t>
      </w:r>
      <w:r>
        <w:tab/>
      </w:r>
      <w:r>
        <w:tab/>
        <w:t>deleted]</w:t>
      </w:r>
    </w:p>
    <w:p>
      <w:pPr>
        <w:pStyle w:val="yNumberedItem"/>
      </w:pPr>
      <w:r>
        <w:lastRenderedPageBreak/>
        <w:t>17.</w:t>
      </w:r>
      <w:r>
        <w:tab/>
        <w:t xml:space="preserve">Pilbara Ports Authority established under the </w:t>
      </w:r>
      <w:r>
        <w:rPr>
          <w:i/>
        </w:rPr>
        <w:t>Port Authorities Act 1999</w:t>
      </w:r>
      <w:r>
        <w:t xml:space="preserve"> section 4.</w:t>
      </w:r>
    </w:p>
    <w:p>
      <w:pPr>
        <w:pStyle w:val="yNumberedItem"/>
      </w:pPr>
      <w:r>
        <w:t>18.</w:t>
      </w:r>
      <w:r>
        <w:tab/>
        <w:t xml:space="preserve">Public Transport Authority of Western Australia established under the </w:t>
      </w:r>
      <w:r>
        <w:rPr>
          <w:i/>
        </w:rPr>
        <w:t>Public Transport Authority Act 2003</w:t>
      </w:r>
      <w:r>
        <w:t xml:space="preserve"> section 5.</w:t>
      </w:r>
    </w:p>
    <w:p>
      <w:pPr>
        <w:pStyle w:val="yNumberedItem"/>
      </w:pPr>
      <w:r>
        <w:t>19.</w:t>
      </w:r>
      <w:r>
        <w:tab/>
        <w:t xml:space="preserve">Regional Power Corporation established under the </w:t>
      </w:r>
      <w:r>
        <w:rPr>
          <w:i/>
        </w:rPr>
        <w:t>Electricity Corporations Act 2005</w:t>
      </w:r>
      <w:r>
        <w:t xml:space="preserve"> section 4.</w:t>
      </w:r>
    </w:p>
    <w:p>
      <w:pPr>
        <w:pStyle w:val="yNumberedItem"/>
      </w:pPr>
      <w:r>
        <w:t>20A.</w:t>
      </w:r>
      <w:r>
        <w:tab/>
        <w:t xml:space="preserve">Southern Ports Authority established under the </w:t>
      </w:r>
      <w:r>
        <w:rPr>
          <w:i/>
        </w:rPr>
        <w:t>Port Authorities Act 1999</w:t>
      </w:r>
      <w:r>
        <w:t xml:space="preserve"> section 4.</w:t>
      </w:r>
    </w:p>
    <w:p>
      <w:pPr>
        <w:pStyle w:val="yNumberedItem"/>
      </w:pPr>
      <w:r>
        <w:t>20.</w:t>
      </w:r>
      <w:r>
        <w:tab/>
        <w:t xml:space="preserve">Western Australian Coastal Shipping Commission established under the </w:t>
      </w:r>
      <w:r>
        <w:rPr>
          <w:i/>
        </w:rPr>
        <w:t>Western Australian Coastal Shipping Commission Act 1965</w:t>
      </w:r>
      <w:r>
        <w:t xml:space="preserve"> section 5.</w:t>
      </w:r>
    </w:p>
    <w:p>
      <w:pPr>
        <w:pStyle w:val="yNumberedItem"/>
      </w:pPr>
      <w:r>
        <w:t>21.</w:t>
      </w:r>
      <w:r>
        <w:tab/>
        <w:t xml:space="preserve">Western Australian Land Authority established under the </w:t>
      </w:r>
      <w:r>
        <w:rPr>
          <w:i/>
        </w:rPr>
        <w:t>Western Australian Land Authority Act 1992</w:t>
      </w:r>
      <w:r>
        <w:t xml:space="preserve"> section 5.</w:t>
      </w:r>
    </w:p>
    <w:p>
      <w:pPr>
        <w:pStyle w:val="yFootnotesection"/>
      </w:pPr>
      <w:r>
        <w:tab/>
        <w:t>[Schedule 8 amended: Gazette 19 Sep 2014 p. 3345; SL 2022/2 r. 4; SL 2022/82 r. 20.]</w:t>
      </w:r>
    </w:p>
    <w:p>
      <w:pPr>
        <w:pStyle w:val="yFootnotesection"/>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638" w:name="_Toc170136945"/>
      <w:bookmarkStart w:id="639" w:name="_Toc170138957"/>
      <w:bookmarkStart w:id="640" w:name="_Toc170203818"/>
      <w:bookmarkStart w:id="641" w:name="_Toc170209313"/>
      <w:r>
        <w:rPr>
          <w:rStyle w:val="CharSchNo"/>
        </w:rPr>
        <w:lastRenderedPageBreak/>
        <w:t>Schedule 9</w:t>
      </w:r>
      <w:r>
        <w:rPr>
          <w:rStyle w:val="CharSDivNo"/>
        </w:rPr>
        <w:t> </w:t>
      </w:r>
      <w:r>
        <w:t>—</w:t>
      </w:r>
      <w:r>
        <w:rPr>
          <w:rStyle w:val="CharSDivText"/>
        </w:rPr>
        <w:t> </w:t>
      </w:r>
      <w:r>
        <w:rPr>
          <w:rStyle w:val="CharSchText"/>
        </w:rPr>
        <w:t>Central business districts</w:t>
      </w:r>
      <w:bookmarkEnd w:id="638"/>
      <w:bookmarkEnd w:id="639"/>
      <w:bookmarkEnd w:id="640"/>
      <w:bookmarkEnd w:id="641"/>
    </w:p>
    <w:p>
      <w:pPr>
        <w:pStyle w:val="yShoulderClause"/>
      </w:pPr>
      <w:r>
        <w:t>[r. 16(1)]</w:t>
      </w:r>
    </w:p>
    <w:p>
      <w:pPr>
        <w:pStyle w:val="yHeading5"/>
      </w:pPr>
      <w:bookmarkStart w:id="642" w:name="_Toc170209314"/>
      <w:r>
        <w:rPr>
          <w:rStyle w:val="CharSClsNo"/>
        </w:rPr>
        <w:t>1</w:t>
      </w:r>
      <w:r>
        <w:t>.</w:t>
      </w:r>
      <w:r>
        <w:tab/>
        <w:t>Central business districts</w:t>
      </w:r>
      <w:bookmarkEnd w:id="642"/>
    </w:p>
    <w:p>
      <w:pPr>
        <w:pStyle w:val="ySubsection"/>
      </w:pPr>
      <w:r>
        <w:tab/>
        <w:t>(1)</w:t>
      </w:r>
      <w:r>
        <w:tab/>
        <w:t>For the purposes of Part 5, the central business districts are the districts described in subclauses (2) and (3).</w:t>
      </w:r>
    </w:p>
    <w:p>
      <w:pPr>
        <w:pStyle w:val="ySubsection"/>
      </w:pPr>
      <w:r>
        <w:tab/>
        <w:t>(2)</w:t>
      </w:r>
      <w:r>
        <w:tab/>
        <w:t>The Fremantle central business district is 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Subsection"/>
      </w:pPr>
      <w:r>
        <w:tab/>
        <w:t>(3)</w:t>
      </w:r>
      <w:r>
        <w:tab/>
        <w:t>The Perth central business district is the land bounded by a line commencing at the intersection of Kings Park Road, Thomas Street and Bagot Road and proceeding then in a westerly direction along Bagot Road to Railway Road, then northeasterly to Roberts Road, then easterly to Thomas Street, then northeasterly along Thomas Street and Loftus Street to Newcastle Street, then southeasterly along Newcastle Street to the Perth Midland railway reserve, then northeasterly and easterly along the Perth Midland and Perth 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Subsection"/>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643" w:name="_Toc170136947"/>
      <w:bookmarkStart w:id="644" w:name="_Toc170138959"/>
      <w:bookmarkStart w:id="645" w:name="_Toc170203820"/>
      <w:bookmarkStart w:id="646" w:name="_Toc170209315"/>
      <w:r>
        <w:rPr>
          <w:rStyle w:val="CharSchNo"/>
        </w:rPr>
        <w:lastRenderedPageBreak/>
        <w:t>Schedule 10</w:t>
      </w:r>
      <w:r>
        <w:t> — </w:t>
      </w:r>
      <w:r>
        <w:rPr>
          <w:rStyle w:val="CharSchText"/>
        </w:rPr>
        <w:t>Class of town or area: current consumption year</w:t>
      </w:r>
      <w:bookmarkEnd w:id="643"/>
      <w:bookmarkEnd w:id="644"/>
      <w:bookmarkEnd w:id="645"/>
      <w:bookmarkEnd w:id="646"/>
    </w:p>
    <w:p>
      <w:pPr>
        <w:pStyle w:val="yShoulderClause"/>
      </w:pPr>
      <w:r>
        <w:t>[Sch. 3 it. 23]</w:t>
      </w:r>
    </w:p>
    <w:p>
      <w:pPr>
        <w:pStyle w:val="yFootnoteheading"/>
        <w:spacing w:after="120"/>
      </w:pPr>
      <w:r>
        <w:tab/>
        <w:t>[Heading inserted: SL 2021/80 r. 9.]</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842"/>
        <w:gridCol w:w="1843"/>
      </w:tblGrid>
      <w:tr>
        <w:trPr>
          <w:tblHeader/>
        </w:trPr>
        <w:tc>
          <w:tcPr>
            <w:tcW w:w="3119" w:type="dxa"/>
            <w:tcBorders>
              <w:top w:val="single" w:sz="4" w:space="0" w:color="auto"/>
              <w:bottom w:val="single" w:sz="4" w:space="0" w:color="auto"/>
            </w:tcBorders>
          </w:tcPr>
          <w:p>
            <w:pPr>
              <w:pStyle w:val="yTableNAm"/>
              <w:rPr>
                <w:b/>
              </w:rPr>
            </w:pPr>
            <w:r>
              <w:rPr>
                <w:b/>
              </w:rPr>
              <w:t>Town/area</w:t>
            </w:r>
          </w:p>
        </w:tc>
        <w:tc>
          <w:tcPr>
            <w:tcW w:w="1842" w:type="dxa"/>
            <w:tcBorders>
              <w:top w:val="single" w:sz="4" w:space="0" w:color="auto"/>
              <w:bottom w:val="single" w:sz="4" w:space="0" w:color="auto"/>
            </w:tcBorders>
            <w:vAlign w:val="center"/>
          </w:tcPr>
          <w:p>
            <w:pPr>
              <w:pStyle w:val="yTableNAm"/>
              <w:jc w:val="center"/>
              <w:rPr>
                <w:b/>
              </w:rPr>
            </w:pPr>
            <w:r>
              <w:rPr>
                <w:b/>
              </w:rPr>
              <w:t>Residential classification</w:t>
            </w:r>
          </w:p>
        </w:tc>
        <w:tc>
          <w:tcPr>
            <w:tcW w:w="1843" w:type="dxa"/>
            <w:tcBorders>
              <w:top w:val="single" w:sz="4" w:space="0" w:color="auto"/>
              <w:bottom w:val="single" w:sz="4" w:space="0" w:color="auto"/>
            </w:tcBorders>
            <w:vAlign w:val="center"/>
          </w:tcPr>
          <w:p>
            <w:pPr>
              <w:pStyle w:val="yTableNAm"/>
              <w:jc w:val="center"/>
              <w:rPr>
                <w:b/>
              </w:rPr>
            </w:pPr>
            <w:r>
              <w:rPr>
                <w:b/>
              </w:rPr>
              <w:t>Non</w:t>
            </w:r>
            <w:r>
              <w:rPr>
                <w:b/>
              </w:rPr>
              <w:noBreakHyphen/>
              <w:t>residential classification</w:t>
            </w:r>
          </w:p>
        </w:tc>
      </w:tr>
      <w:tr>
        <w:tc>
          <w:tcPr>
            <w:tcW w:w="3119" w:type="dxa"/>
            <w:tcBorders>
              <w:top w:val="single" w:sz="4" w:space="0" w:color="auto"/>
            </w:tcBorders>
          </w:tcPr>
          <w:p>
            <w:pPr>
              <w:pStyle w:val="yTableNAm"/>
            </w:pPr>
            <w:r>
              <w:t>Albany</w:t>
            </w:r>
          </w:p>
        </w:tc>
        <w:tc>
          <w:tcPr>
            <w:tcW w:w="1842" w:type="dxa"/>
            <w:tcBorders>
              <w:top w:val="single" w:sz="4" w:space="0" w:color="auto"/>
            </w:tcBorders>
            <w:vAlign w:val="center"/>
          </w:tcPr>
          <w:p>
            <w:pPr>
              <w:pStyle w:val="yTableNAm"/>
              <w:jc w:val="center"/>
            </w:pPr>
            <w:r>
              <w:t>4</w:t>
            </w:r>
          </w:p>
        </w:tc>
        <w:tc>
          <w:tcPr>
            <w:tcW w:w="1843" w:type="dxa"/>
            <w:tcBorders>
              <w:top w:val="single" w:sz="4" w:space="0" w:color="auto"/>
            </w:tcBorders>
            <w:vAlign w:val="center"/>
          </w:tcPr>
          <w:p>
            <w:pPr>
              <w:pStyle w:val="yTableNAm"/>
              <w:jc w:val="center"/>
            </w:pPr>
            <w:r>
              <w:t>11</w:t>
            </w:r>
          </w:p>
        </w:tc>
      </w:tr>
      <w:tr>
        <w:tc>
          <w:tcPr>
            <w:tcW w:w="3119" w:type="dxa"/>
          </w:tcPr>
          <w:p>
            <w:pPr>
              <w:pStyle w:val="yTableNAm"/>
            </w:pPr>
            <w:r>
              <w:t>Allanooka Farmlands</w:t>
            </w:r>
          </w:p>
        </w:tc>
        <w:tc>
          <w:tcPr>
            <w:tcW w:w="1842" w:type="dxa"/>
            <w:vAlign w:val="center"/>
          </w:tcPr>
          <w:p>
            <w:pPr>
              <w:pStyle w:val="yTableNAm"/>
              <w:jc w:val="center"/>
            </w:pPr>
            <w:r>
              <w:t>2</w:t>
            </w:r>
          </w:p>
        </w:tc>
        <w:tc>
          <w:tcPr>
            <w:tcW w:w="1843" w:type="dxa"/>
            <w:vAlign w:val="center"/>
          </w:tcPr>
          <w:p>
            <w:pPr>
              <w:pStyle w:val="yTableNAm"/>
              <w:jc w:val="center"/>
            </w:pPr>
            <w:r>
              <w:t>1</w:t>
            </w:r>
          </w:p>
        </w:tc>
      </w:tr>
      <w:tr>
        <w:tc>
          <w:tcPr>
            <w:tcW w:w="3119" w:type="dxa"/>
          </w:tcPr>
          <w:p>
            <w:pPr>
              <w:pStyle w:val="yTableNAm"/>
            </w:pPr>
            <w:r>
              <w:t>Allanson</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Arrino</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Arrowsmith Farmlands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Augusta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Australind/Eaton</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Badgingarra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Bakers Hill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Balingup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Ballidu</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Beacon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Bencubbin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Beverley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Bindi Bindi</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Bindoon/Chittering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Binningup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Bodallin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Boddington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Bolgart</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Borden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Boyanup</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Boyup Brook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Bremer Bay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Bridgetown/Hester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Broad Arrow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Brookton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Broome</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Broomehill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Bruce Rock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Brunswick/Burekup/Roelands</w:t>
            </w:r>
          </w:p>
        </w:tc>
        <w:tc>
          <w:tcPr>
            <w:tcW w:w="1842" w:type="dxa"/>
            <w:vAlign w:val="center"/>
          </w:tcPr>
          <w:p>
            <w:pPr>
              <w:pStyle w:val="yTableNAm"/>
              <w:jc w:val="center"/>
            </w:pPr>
            <w:r>
              <w:t>3</w:t>
            </w:r>
          </w:p>
        </w:tc>
        <w:tc>
          <w:tcPr>
            <w:tcW w:w="1843" w:type="dxa"/>
            <w:vAlign w:val="center"/>
          </w:tcPr>
          <w:p>
            <w:pPr>
              <w:pStyle w:val="yTableNAm"/>
              <w:jc w:val="center"/>
            </w:pPr>
            <w:r>
              <w:t>7</w:t>
            </w:r>
          </w:p>
        </w:tc>
      </w:tr>
      <w:tr>
        <w:tc>
          <w:tcPr>
            <w:tcW w:w="3119" w:type="dxa"/>
          </w:tcPr>
          <w:p>
            <w:pPr>
              <w:pStyle w:val="yTableNAm"/>
            </w:pPr>
            <w:r>
              <w:t>Bullaring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Bullfinch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Bunjil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Buntine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Burracoppin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Calingiri</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Camballin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Capel</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Carnamah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Carnarvon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Caron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Cervantes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Collie</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Collie Farmlands</w:t>
            </w:r>
          </w:p>
        </w:tc>
        <w:tc>
          <w:tcPr>
            <w:tcW w:w="1842" w:type="dxa"/>
            <w:vAlign w:val="center"/>
          </w:tcPr>
          <w:p>
            <w:pPr>
              <w:pStyle w:val="yTableNAm"/>
              <w:jc w:val="center"/>
            </w:pPr>
            <w:r>
              <w:t>1</w:t>
            </w:r>
          </w:p>
        </w:tc>
        <w:tc>
          <w:tcPr>
            <w:tcW w:w="1843" w:type="dxa"/>
            <w:vAlign w:val="center"/>
          </w:tcPr>
          <w:p>
            <w:pPr>
              <w:pStyle w:val="yTableNAm"/>
              <w:jc w:val="center"/>
            </w:pPr>
            <w:r>
              <w:t>1</w:t>
            </w:r>
          </w:p>
        </w:tc>
      </w:tr>
      <w:tr>
        <w:tc>
          <w:tcPr>
            <w:tcW w:w="3119" w:type="dxa"/>
          </w:tcPr>
          <w:p>
            <w:pPr>
              <w:pStyle w:val="yTableNAm"/>
            </w:pPr>
            <w:r>
              <w:t>Condingup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Coolgardie</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Coomberdale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Coorow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Coral Bay</w:t>
            </w:r>
          </w:p>
        </w:tc>
        <w:tc>
          <w:tcPr>
            <w:tcW w:w="1842" w:type="dxa"/>
            <w:vAlign w:val="center"/>
          </w:tcPr>
          <w:p>
            <w:pPr>
              <w:pStyle w:val="yTableNAm"/>
              <w:jc w:val="center"/>
            </w:pPr>
            <w:r>
              <w:t>5</w:t>
            </w:r>
          </w:p>
        </w:tc>
        <w:tc>
          <w:tcPr>
            <w:tcW w:w="1843" w:type="dxa"/>
            <w:vAlign w:val="center"/>
          </w:tcPr>
          <w:p>
            <w:pPr>
              <w:pStyle w:val="yTableNAm"/>
              <w:jc w:val="center"/>
            </w:pPr>
            <w:r>
              <w:t>N/A</w:t>
            </w:r>
          </w:p>
        </w:tc>
      </w:tr>
      <w:tr>
        <w:tc>
          <w:tcPr>
            <w:tcW w:w="3119" w:type="dxa"/>
          </w:tcPr>
          <w:p>
            <w:pPr>
              <w:pStyle w:val="yTableNAm"/>
            </w:pPr>
            <w:r>
              <w:t>Corrigin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Cowaramup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Cranbrook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Cuballing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Cue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Cunderdin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Dalwallinu</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Dalyellup</w:t>
            </w:r>
          </w:p>
        </w:tc>
        <w:tc>
          <w:tcPr>
            <w:tcW w:w="1842" w:type="dxa"/>
            <w:vAlign w:val="center"/>
          </w:tcPr>
          <w:p>
            <w:pPr>
              <w:pStyle w:val="yTableNAm"/>
              <w:jc w:val="center"/>
            </w:pPr>
            <w:r>
              <w:t>3</w:t>
            </w:r>
          </w:p>
        </w:tc>
        <w:tc>
          <w:tcPr>
            <w:tcW w:w="1843" w:type="dxa"/>
            <w:vAlign w:val="center"/>
          </w:tcPr>
          <w:p>
            <w:pPr>
              <w:pStyle w:val="yTableNAm"/>
              <w:jc w:val="center"/>
            </w:pPr>
            <w:r>
              <w:t>4</w:t>
            </w:r>
          </w:p>
        </w:tc>
      </w:tr>
      <w:tr>
        <w:tc>
          <w:tcPr>
            <w:tcW w:w="3119" w:type="dxa"/>
          </w:tcPr>
          <w:p>
            <w:pPr>
              <w:pStyle w:val="yTableNAm"/>
            </w:pPr>
            <w:r>
              <w:t>Dandaragan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Dardanup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Darkan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Dathagnoorara Farmlands</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Denham (Saline)</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Denmark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Derby</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Dongara/Denison</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Donnybrook</w:t>
            </w:r>
          </w:p>
        </w:tc>
        <w:tc>
          <w:tcPr>
            <w:tcW w:w="1842" w:type="dxa"/>
            <w:vAlign w:val="center"/>
          </w:tcPr>
          <w:p>
            <w:pPr>
              <w:pStyle w:val="yTableNAm"/>
              <w:jc w:val="center"/>
            </w:pPr>
            <w:r>
              <w:t>3</w:t>
            </w:r>
          </w:p>
        </w:tc>
        <w:tc>
          <w:tcPr>
            <w:tcW w:w="1843" w:type="dxa"/>
            <w:vAlign w:val="center"/>
          </w:tcPr>
          <w:p>
            <w:pPr>
              <w:pStyle w:val="yTableNAm"/>
              <w:jc w:val="center"/>
            </w:pPr>
            <w:r>
              <w:t>8</w:t>
            </w:r>
          </w:p>
        </w:tc>
      </w:tr>
      <w:tr>
        <w:tc>
          <w:tcPr>
            <w:tcW w:w="3119" w:type="dxa"/>
          </w:tcPr>
          <w:p>
            <w:pPr>
              <w:pStyle w:val="yTableNAm"/>
            </w:pPr>
            <w:r>
              <w:t>Doodlakine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Dowerin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Dudinin/Harrismith/Jitarning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Dumbleyung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Dunsborough/Yallingup</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Dwellingup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Eneabba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Eradu</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Esperance</w:t>
            </w:r>
          </w:p>
        </w:tc>
        <w:tc>
          <w:tcPr>
            <w:tcW w:w="1842" w:type="dxa"/>
            <w:vAlign w:val="center"/>
          </w:tcPr>
          <w:p>
            <w:pPr>
              <w:pStyle w:val="yTableNAm"/>
              <w:jc w:val="center"/>
            </w:pPr>
            <w:r>
              <w:t>3</w:t>
            </w:r>
          </w:p>
        </w:tc>
        <w:tc>
          <w:tcPr>
            <w:tcW w:w="1843" w:type="dxa"/>
            <w:vAlign w:val="center"/>
          </w:tcPr>
          <w:p>
            <w:pPr>
              <w:pStyle w:val="yTableNAm"/>
              <w:jc w:val="center"/>
            </w:pPr>
            <w:r>
              <w:t>10</w:t>
            </w:r>
          </w:p>
        </w:tc>
      </w:tr>
      <w:tr>
        <w:tc>
          <w:tcPr>
            <w:tcW w:w="3119" w:type="dxa"/>
          </w:tcPr>
          <w:p>
            <w:pPr>
              <w:pStyle w:val="yTableNAm"/>
            </w:pPr>
            <w:r>
              <w:t>Exmouth</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Fitzroy Crossing</w:t>
            </w:r>
          </w:p>
        </w:tc>
        <w:tc>
          <w:tcPr>
            <w:tcW w:w="1842" w:type="dxa"/>
            <w:vAlign w:val="center"/>
          </w:tcPr>
          <w:p>
            <w:pPr>
              <w:pStyle w:val="yTableNAm"/>
              <w:jc w:val="center"/>
            </w:pPr>
            <w:r>
              <w:t>3</w:t>
            </w:r>
          </w:p>
        </w:tc>
        <w:tc>
          <w:tcPr>
            <w:tcW w:w="1843" w:type="dxa"/>
            <w:vAlign w:val="center"/>
          </w:tcPr>
          <w:p>
            <w:pPr>
              <w:pStyle w:val="yTableNAm"/>
              <w:jc w:val="center"/>
            </w:pPr>
            <w:r>
              <w:t>8</w:t>
            </w:r>
          </w:p>
        </w:tc>
      </w:tr>
      <w:tr>
        <w:tc>
          <w:tcPr>
            <w:tcW w:w="3119" w:type="dxa"/>
          </w:tcPr>
          <w:p>
            <w:pPr>
              <w:pStyle w:val="yTableNAm"/>
            </w:pPr>
            <w:r>
              <w:t>Frankland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Gabbadah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Gascoyne Junction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Geraldton</w:t>
            </w:r>
          </w:p>
        </w:tc>
        <w:tc>
          <w:tcPr>
            <w:tcW w:w="1842" w:type="dxa"/>
            <w:vAlign w:val="center"/>
          </w:tcPr>
          <w:p>
            <w:pPr>
              <w:pStyle w:val="yTableNAm"/>
              <w:jc w:val="center"/>
            </w:pPr>
            <w:r>
              <w:t>2</w:t>
            </w:r>
          </w:p>
        </w:tc>
        <w:tc>
          <w:tcPr>
            <w:tcW w:w="1843" w:type="dxa"/>
            <w:vAlign w:val="center"/>
          </w:tcPr>
          <w:p>
            <w:pPr>
              <w:pStyle w:val="yTableNAm"/>
              <w:jc w:val="center"/>
            </w:pPr>
            <w:r>
              <w:t>4</w:t>
            </w:r>
          </w:p>
        </w:tc>
      </w:tr>
      <w:tr>
        <w:tc>
          <w:tcPr>
            <w:tcW w:w="3119" w:type="dxa"/>
          </w:tcPr>
          <w:p>
            <w:pPr>
              <w:pStyle w:val="yTableNAm"/>
            </w:pPr>
            <w:r>
              <w:t>Gibson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Gingin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Gnowangerup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Goomalling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Grass Patch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Grass Valley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Greenbushes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Greenhead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Guilderton</w:t>
            </w:r>
          </w:p>
        </w:tc>
        <w:tc>
          <w:tcPr>
            <w:tcW w:w="1842" w:type="dxa"/>
            <w:vAlign w:val="center"/>
          </w:tcPr>
          <w:p>
            <w:pPr>
              <w:pStyle w:val="yTableNAm"/>
              <w:jc w:val="center"/>
            </w:pPr>
            <w:r>
              <w:t>4</w:t>
            </w:r>
          </w:p>
        </w:tc>
        <w:tc>
          <w:tcPr>
            <w:tcW w:w="1843" w:type="dxa"/>
            <w:vAlign w:val="center"/>
          </w:tcPr>
          <w:p>
            <w:pPr>
              <w:pStyle w:val="yTableNAm"/>
              <w:jc w:val="center"/>
            </w:pPr>
            <w:r>
              <w:t>13</w:t>
            </w:r>
          </w:p>
        </w:tc>
      </w:tr>
      <w:tr>
        <w:tc>
          <w:tcPr>
            <w:tcW w:w="3119" w:type="dxa"/>
          </w:tcPr>
          <w:p>
            <w:pPr>
              <w:pStyle w:val="yTableNAm"/>
            </w:pPr>
            <w:r>
              <w:t>Halls Creek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Hamel/Waroona</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Harvey/Wokalup</w:t>
            </w:r>
          </w:p>
        </w:tc>
        <w:tc>
          <w:tcPr>
            <w:tcW w:w="1842" w:type="dxa"/>
            <w:vAlign w:val="center"/>
          </w:tcPr>
          <w:p>
            <w:pPr>
              <w:pStyle w:val="yTableNAm"/>
              <w:jc w:val="center"/>
            </w:pPr>
            <w:r>
              <w:t>3</w:t>
            </w:r>
          </w:p>
        </w:tc>
        <w:tc>
          <w:tcPr>
            <w:tcW w:w="1843" w:type="dxa"/>
            <w:vAlign w:val="center"/>
          </w:tcPr>
          <w:p>
            <w:pPr>
              <w:pStyle w:val="yTableNAm"/>
              <w:jc w:val="center"/>
            </w:pPr>
            <w:r>
              <w:t>10</w:t>
            </w:r>
          </w:p>
        </w:tc>
      </w:tr>
      <w:tr>
        <w:tc>
          <w:tcPr>
            <w:tcW w:w="3119" w:type="dxa"/>
          </w:tcPr>
          <w:p>
            <w:pPr>
              <w:pStyle w:val="yTableNAm"/>
            </w:pPr>
            <w:r>
              <w:t>Highbury/Piesseville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Hines Hill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Hopetoun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Horrocks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Hyden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Jerramungup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Jurien Bay</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Kalannie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Kalbarri</w:t>
            </w:r>
          </w:p>
        </w:tc>
        <w:tc>
          <w:tcPr>
            <w:tcW w:w="1842" w:type="dxa"/>
            <w:vAlign w:val="center"/>
          </w:tcPr>
          <w:p>
            <w:pPr>
              <w:pStyle w:val="yTableNAm"/>
              <w:jc w:val="center"/>
            </w:pPr>
            <w:r>
              <w:t>3</w:t>
            </w:r>
          </w:p>
        </w:tc>
        <w:tc>
          <w:tcPr>
            <w:tcW w:w="1843" w:type="dxa"/>
            <w:vAlign w:val="center"/>
          </w:tcPr>
          <w:p>
            <w:pPr>
              <w:pStyle w:val="yTableNAm"/>
              <w:jc w:val="center"/>
            </w:pPr>
            <w:r>
              <w:t>7</w:t>
            </w:r>
          </w:p>
        </w:tc>
      </w:tr>
      <w:tr>
        <w:tc>
          <w:tcPr>
            <w:tcW w:w="3119" w:type="dxa"/>
          </w:tcPr>
          <w:p>
            <w:pPr>
              <w:pStyle w:val="yTableNAm"/>
            </w:pPr>
            <w:r>
              <w:t>Kalgoorlie/Boulder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Kambalda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Karakin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Karlgarin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Karratha</w:t>
            </w:r>
          </w:p>
        </w:tc>
        <w:tc>
          <w:tcPr>
            <w:tcW w:w="1842" w:type="dxa"/>
            <w:vAlign w:val="center"/>
          </w:tcPr>
          <w:p>
            <w:pPr>
              <w:pStyle w:val="yTableNAm"/>
              <w:jc w:val="center"/>
            </w:pPr>
            <w:r>
              <w:t>3</w:t>
            </w:r>
          </w:p>
        </w:tc>
        <w:tc>
          <w:tcPr>
            <w:tcW w:w="1843" w:type="dxa"/>
            <w:vAlign w:val="center"/>
          </w:tcPr>
          <w:p>
            <w:pPr>
              <w:pStyle w:val="yTableNAm"/>
              <w:jc w:val="center"/>
            </w:pPr>
            <w:r>
              <w:t>8</w:t>
            </w:r>
          </w:p>
        </w:tc>
      </w:tr>
      <w:tr>
        <w:tc>
          <w:tcPr>
            <w:tcW w:w="3119" w:type="dxa"/>
          </w:tcPr>
          <w:p>
            <w:pPr>
              <w:pStyle w:val="yTableNAm"/>
            </w:pPr>
            <w:r>
              <w:t>Katanning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Katanning Farmlands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Kellerberrin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Kendenup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Kendenup Farmlands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Kirup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Kojonup/Muradup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Kondinin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Koorda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Kukerin/Moulyinning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Kununoppin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Kununurra</w:t>
            </w:r>
          </w:p>
        </w:tc>
        <w:tc>
          <w:tcPr>
            <w:tcW w:w="1842" w:type="dxa"/>
            <w:vAlign w:val="center"/>
          </w:tcPr>
          <w:p>
            <w:pPr>
              <w:pStyle w:val="yTableNAm"/>
              <w:jc w:val="center"/>
            </w:pPr>
            <w:r>
              <w:t>3</w:t>
            </w:r>
          </w:p>
        </w:tc>
        <w:tc>
          <w:tcPr>
            <w:tcW w:w="1843" w:type="dxa"/>
            <w:vAlign w:val="center"/>
          </w:tcPr>
          <w:p>
            <w:pPr>
              <w:pStyle w:val="yTableNAm"/>
              <w:jc w:val="center"/>
            </w:pPr>
            <w:r>
              <w:t>7</w:t>
            </w:r>
          </w:p>
        </w:tc>
      </w:tr>
      <w:tr>
        <w:tc>
          <w:tcPr>
            <w:tcW w:w="3119" w:type="dxa"/>
          </w:tcPr>
          <w:p>
            <w:pPr>
              <w:pStyle w:val="yTableNAm"/>
            </w:pPr>
            <w:r>
              <w:lastRenderedPageBreak/>
              <w:t>Lake Grace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Lake King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Lancelin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Latham</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Laverton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Ledge Point</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Leeman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Leonora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Mandurah</w:t>
            </w:r>
          </w:p>
        </w:tc>
        <w:tc>
          <w:tcPr>
            <w:tcW w:w="1842" w:type="dxa"/>
            <w:vAlign w:val="center"/>
          </w:tcPr>
          <w:p>
            <w:pPr>
              <w:pStyle w:val="yTableNAm"/>
              <w:jc w:val="center"/>
            </w:pPr>
            <w:r>
              <w:t>2</w:t>
            </w:r>
          </w:p>
        </w:tc>
        <w:tc>
          <w:tcPr>
            <w:tcW w:w="1843" w:type="dxa"/>
            <w:vAlign w:val="center"/>
          </w:tcPr>
          <w:p>
            <w:pPr>
              <w:pStyle w:val="yTableNAm"/>
              <w:jc w:val="center"/>
            </w:pPr>
            <w:r>
              <w:t>7</w:t>
            </w:r>
          </w:p>
        </w:tc>
      </w:tr>
      <w:tr>
        <w:tc>
          <w:tcPr>
            <w:tcW w:w="3119" w:type="dxa"/>
          </w:tcPr>
          <w:p>
            <w:pPr>
              <w:pStyle w:val="yTableNAm"/>
            </w:pPr>
            <w:r>
              <w:t>Manjimup</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Marble Bar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Margaret River</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Marvel Loch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Meckering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Meekatharra</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Menzies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Merredin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Merredin Farmlands</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Miling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Mingenew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Moora</w:t>
            </w:r>
          </w:p>
        </w:tc>
        <w:tc>
          <w:tcPr>
            <w:tcW w:w="1842" w:type="dxa"/>
            <w:vAlign w:val="center"/>
          </w:tcPr>
          <w:p>
            <w:pPr>
              <w:pStyle w:val="yTableNAm"/>
              <w:jc w:val="center"/>
            </w:pPr>
            <w:r>
              <w:t>2</w:t>
            </w:r>
          </w:p>
        </w:tc>
        <w:tc>
          <w:tcPr>
            <w:tcW w:w="1843" w:type="dxa"/>
            <w:vAlign w:val="center"/>
          </w:tcPr>
          <w:p>
            <w:pPr>
              <w:pStyle w:val="yTableNAm"/>
              <w:jc w:val="center"/>
            </w:pPr>
            <w:r>
              <w:t>3</w:t>
            </w:r>
          </w:p>
        </w:tc>
      </w:tr>
      <w:tr>
        <w:tc>
          <w:tcPr>
            <w:tcW w:w="3119" w:type="dxa"/>
          </w:tcPr>
          <w:p>
            <w:pPr>
              <w:pStyle w:val="yTableNAm"/>
            </w:pPr>
            <w:r>
              <w:t>Moorine Rock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Morawa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Mount Barker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Mount Magnet</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Mukinbudin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Mullalyup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Mullewa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Mullewa Farmlands</w:t>
            </w:r>
          </w:p>
        </w:tc>
        <w:tc>
          <w:tcPr>
            <w:tcW w:w="1842" w:type="dxa"/>
            <w:vAlign w:val="center"/>
          </w:tcPr>
          <w:p>
            <w:pPr>
              <w:pStyle w:val="yTableNAm"/>
              <w:jc w:val="center"/>
            </w:pPr>
            <w:r>
              <w:t>4</w:t>
            </w:r>
          </w:p>
        </w:tc>
        <w:tc>
          <w:tcPr>
            <w:tcW w:w="1843" w:type="dxa"/>
            <w:vAlign w:val="center"/>
          </w:tcPr>
          <w:p>
            <w:pPr>
              <w:pStyle w:val="yTableNAm"/>
              <w:jc w:val="center"/>
            </w:pPr>
            <w:r>
              <w:t>13</w:t>
            </w:r>
          </w:p>
        </w:tc>
      </w:tr>
      <w:tr>
        <w:tc>
          <w:tcPr>
            <w:tcW w:w="3119" w:type="dxa"/>
          </w:tcPr>
          <w:p>
            <w:pPr>
              <w:pStyle w:val="yTableNAm"/>
            </w:pPr>
            <w:r>
              <w:t>Munglinup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Muntadgin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Myalup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Nabawa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Nannup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Narembeen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Narngulu</w:t>
            </w:r>
          </w:p>
        </w:tc>
        <w:tc>
          <w:tcPr>
            <w:tcW w:w="1842" w:type="dxa"/>
            <w:vAlign w:val="center"/>
          </w:tcPr>
          <w:p>
            <w:pPr>
              <w:pStyle w:val="yTableNAm"/>
              <w:jc w:val="center"/>
            </w:pPr>
            <w:r>
              <w:t>1</w:t>
            </w:r>
          </w:p>
        </w:tc>
        <w:tc>
          <w:tcPr>
            <w:tcW w:w="1843" w:type="dxa"/>
            <w:vAlign w:val="center"/>
          </w:tcPr>
          <w:p>
            <w:pPr>
              <w:pStyle w:val="yTableNAm"/>
              <w:jc w:val="center"/>
            </w:pPr>
            <w:r>
              <w:t>1</w:t>
            </w:r>
          </w:p>
        </w:tc>
      </w:tr>
      <w:tr>
        <w:tc>
          <w:tcPr>
            <w:tcW w:w="3119" w:type="dxa"/>
          </w:tcPr>
          <w:p>
            <w:pPr>
              <w:pStyle w:val="yTableNAm"/>
            </w:pPr>
            <w:r>
              <w:t>Narrikup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Narrogin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Narrogin Farmlands</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New Norcia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Newdegate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Newman</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Nilgen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Norseman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North Dandalup</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Northam</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Northam Farmlands</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Northampton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Northcliffe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Nullagine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Nungarin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Nyabing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Ongerup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Onslow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Ora Banda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Park Ridge</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Pemberton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Peppermint Grove Beach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Perenjori</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Pingaring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Pingelly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Pingrup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Pinjarra</w:t>
            </w:r>
          </w:p>
        </w:tc>
        <w:tc>
          <w:tcPr>
            <w:tcW w:w="1842" w:type="dxa"/>
            <w:vAlign w:val="center"/>
          </w:tcPr>
          <w:p>
            <w:pPr>
              <w:pStyle w:val="yTableNAm"/>
              <w:jc w:val="center"/>
            </w:pPr>
            <w:r>
              <w:t>2</w:t>
            </w:r>
          </w:p>
        </w:tc>
        <w:tc>
          <w:tcPr>
            <w:tcW w:w="1843" w:type="dxa"/>
            <w:vAlign w:val="center"/>
          </w:tcPr>
          <w:p>
            <w:pPr>
              <w:pStyle w:val="yTableNAm"/>
              <w:jc w:val="center"/>
            </w:pPr>
            <w:r>
              <w:t>2</w:t>
            </w:r>
          </w:p>
        </w:tc>
      </w:tr>
      <w:tr>
        <w:tc>
          <w:tcPr>
            <w:tcW w:w="3119" w:type="dxa"/>
          </w:tcPr>
          <w:p>
            <w:pPr>
              <w:pStyle w:val="yTableNAm"/>
            </w:pPr>
            <w:r>
              <w:t>Pithara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Point Samson</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Popanyinning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Porongurup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Port Hedland</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Preston Beach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Prevelly</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Quairading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Quinninup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Ravensthorpe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Rocky Gully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Roebourne</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lastRenderedPageBreak/>
              <w:t>Salmon Gums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Sandstone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Seabird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South Hedland</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Southern Cross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Tambellup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Tammin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Three Springs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Tincurrin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Toodyay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Trayning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Varley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Walkaway</w:t>
            </w:r>
          </w:p>
        </w:tc>
        <w:tc>
          <w:tcPr>
            <w:tcW w:w="1842" w:type="dxa"/>
            <w:vAlign w:val="center"/>
          </w:tcPr>
          <w:p>
            <w:pPr>
              <w:pStyle w:val="yTableNAm"/>
              <w:jc w:val="center"/>
            </w:pPr>
            <w:r>
              <w:t>2</w:t>
            </w:r>
          </w:p>
        </w:tc>
        <w:tc>
          <w:tcPr>
            <w:tcW w:w="1843" w:type="dxa"/>
            <w:vAlign w:val="center"/>
          </w:tcPr>
          <w:p>
            <w:pPr>
              <w:pStyle w:val="yTableNAm"/>
              <w:jc w:val="center"/>
            </w:pPr>
            <w:r>
              <w:t>1</w:t>
            </w:r>
          </w:p>
        </w:tc>
      </w:tr>
      <w:tr>
        <w:tc>
          <w:tcPr>
            <w:tcW w:w="3119" w:type="dxa"/>
          </w:tcPr>
          <w:p>
            <w:pPr>
              <w:pStyle w:val="yTableNAm"/>
            </w:pPr>
            <w:r>
              <w:t>Walpole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Wandering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Watheroo</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Wellstead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Westonia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Wickepin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Wickham</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Widgiemooltha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Williams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Wiluna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Wongan Hills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Woodanilling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Woodridge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Wubin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Wundowie</w:t>
            </w:r>
          </w:p>
        </w:tc>
        <w:tc>
          <w:tcPr>
            <w:tcW w:w="1842" w:type="dxa"/>
            <w:vAlign w:val="center"/>
          </w:tcPr>
          <w:p>
            <w:pPr>
              <w:pStyle w:val="yTableNAm"/>
              <w:jc w:val="center"/>
            </w:pPr>
            <w:r>
              <w:t>2</w:t>
            </w:r>
          </w:p>
        </w:tc>
        <w:tc>
          <w:tcPr>
            <w:tcW w:w="1843" w:type="dxa"/>
            <w:vAlign w:val="center"/>
          </w:tcPr>
          <w:p>
            <w:pPr>
              <w:pStyle w:val="yTableNAm"/>
              <w:jc w:val="center"/>
            </w:pPr>
            <w:r>
              <w:t>1</w:t>
            </w:r>
          </w:p>
        </w:tc>
      </w:tr>
      <w:tr>
        <w:tc>
          <w:tcPr>
            <w:tcW w:w="3119" w:type="dxa"/>
          </w:tcPr>
          <w:p>
            <w:pPr>
              <w:pStyle w:val="yTableNAm"/>
            </w:pPr>
            <w:r>
              <w:t>Wyalkatchem</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Wyndham</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Yalgoo</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Yarloop/Wagerup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Yealering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Yerecoin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York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Borders>
              <w:bottom w:val="single" w:sz="4" w:space="0" w:color="auto"/>
            </w:tcBorders>
          </w:tcPr>
          <w:p>
            <w:pPr>
              <w:pStyle w:val="yTableNAm"/>
            </w:pPr>
            <w:r>
              <w:t>Yuna</w:t>
            </w:r>
          </w:p>
        </w:tc>
        <w:tc>
          <w:tcPr>
            <w:tcW w:w="1842" w:type="dxa"/>
            <w:tcBorders>
              <w:bottom w:val="single" w:sz="4" w:space="0" w:color="auto"/>
            </w:tcBorders>
            <w:vAlign w:val="center"/>
          </w:tcPr>
          <w:p>
            <w:pPr>
              <w:pStyle w:val="yTableNAm"/>
              <w:jc w:val="center"/>
            </w:pPr>
            <w:r>
              <w:t>5</w:t>
            </w:r>
          </w:p>
        </w:tc>
        <w:tc>
          <w:tcPr>
            <w:tcW w:w="1843" w:type="dxa"/>
            <w:tcBorders>
              <w:bottom w:val="single" w:sz="4" w:space="0" w:color="auto"/>
            </w:tcBorders>
            <w:vAlign w:val="center"/>
          </w:tcPr>
          <w:p>
            <w:pPr>
              <w:pStyle w:val="yTableNAm"/>
              <w:jc w:val="center"/>
            </w:pPr>
            <w:r>
              <w:t>15</w:t>
            </w:r>
          </w:p>
        </w:tc>
      </w:tr>
    </w:tbl>
    <w:p>
      <w:pPr>
        <w:pStyle w:val="yFootnotesection"/>
      </w:pPr>
      <w:r>
        <w:tab/>
        <w:t>[Schedule 10 inserted: SL 2021/80 r. 9; amended: SL 2022/82 r. 21; SL 2023/66 r. 9; SL 2024/117 r. 10.]</w:t>
      </w:r>
    </w:p>
    <w:p>
      <w:pPr>
        <w:pStyle w:val="yScheduleHeading"/>
      </w:pPr>
      <w:bookmarkStart w:id="647" w:name="_Toc170136948"/>
      <w:bookmarkStart w:id="648" w:name="_Toc170138960"/>
      <w:bookmarkStart w:id="649" w:name="_Toc170203821"/>
      <w:bookmarkStart w:id="650" w:name="_Toc170209316"/>
      <w:r>
        <w:rPr>
          <w:rStyle w:val="CharSchNo"/>
        </w:rPr>
        <w:lastRenderedPageBreak/>
        <w:t>Schedule 11</w:t>
      </w:r>
      <w:r>
        <w:t> — </w:t>
      </w:r>
      <w:r>
        <w:rPr>
          <w:rStyle w:val="CharSchText"/>
        </w:rPr>
        <w:t>Class of town or area: previous consumption year</w:t>
      </w:r>
      <w:bookmarkEnd w:id="647"/>
      <w:bookmarkEnd w:id="648"/>
      <w:bookmarkEnd w:id="649"/>
      <w:bookmarkEnd w:id="650"/>
    </w:p>
    <w:p>
      <w:pPr>
        <w:pStyle w:val="yShoulderClause"/>
      </w:pPr>
      <w:r>
        <w:t>[Sch. 3 it. 23]</w:t>
      </w:r>
    </w:p>
    <w:p>
      <w:pPr>
        <w:pStyle w:val="yFootnoteheading"/>
        <w:spacing w:after="120"/>
      </w:pPr>
      <w:r>
        <w:tab/>
        <w:t>[Heading inserted: SL 2021/80 r. 9.]</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842"/>
        <w:gridCol w:w="1843"/>
      </w:tblGrid>
      <w:tr>
        <w:trPr>
          <w:tblHeader/>
        </w:trPr>
        <w:tc>
          <w:tcPr>
            <w:tcW w:w="3119" w:type="dxa"/>
            <w:tcBorders>
              <w:top w:val="single" w:sz="4" w:space="0" w:color="auto"/>
              <w:bottom w:val="single" w:sz="4" w:space="0" w:color="auto"/>
            </w:tcBorders>
          </w:tcPr>
          <w:p>
            <w:pPr>
              <w:pStyle w:val="yTableNAm"/>
              <w:rPr>
                <w:b/>
                <w:bCs/>
              </w:rPr>
            </w:pPr>
            <w:r>
              <w:rPr>
                <w:b/>
                <w:bCs/>
              </w:rPr>
              <w:t>Town/area</w:t>
            </w:r>
          </w:p>
        </w:tc>
        <w:tc>
          <w:tcPr>
            <w:tcW w:w="1842" w:type="dxa"/>
            <w:tcBorders>
              <w:top w:val="single" w:sz="4" w:space="0" w:color="auto"/>
              <w:bottom w:val="single" w:sz="4" w:space="0" w:color="auto"/>
            </w:tcBorders>
            <w:vAlign w:val="center"/>
          </w:tcPr>
          <w:p>
            <w:pPr>
              <w:pStyle w:val="yTableNAm"/>
              <w:rPr>
                <w:b/>
                <w:bCs/>
              </w:rPr>
            </w:pPr>
            <w:r>
              <w:rPr>
                <w:b/>
                <w:bCs/>
              </w:rPr>
              <w:t>Residential classification</w:t>
            </w:r>
          </w:p>
        </w:tc>
        <w:tc>
          <w:tcPr>
            <w:tcW w:w="1843" w:type="dxa"/>
            <w:tcBorders>
              <w:top w:val="single" w:sz="4" w:space="0" w:color="auto"/>
              <w:bottom w:val="single" w:sz="4" w:space="0" w:color="auto"/>
            </w:tcBorders>
            <w:vAlign w:val="center"/>
          </w:tcPr>
          <w:p>
            <w:pPr>
              <w:pStyle w:val="yTableNAm"/>
              <w:rPr>
                <w:b/>
                <w:bCs/>
              </w:rPr>
            </w:pPr>
            <w:r>
              <w:rPr>
                <w:b/>
                <w:bCs/>
              </w:rPr>
              <w:t>Non</w:t>
            </w:r>
            <w:r>
              <w:rPr>
                <w:b/>
                <w:bCs/>
              </w:rPr>
              <w:noBreakHyphen/>
              <w:t>residential classification</w:t>
            </w:r>
          </w:p>
        </w:tc>
      </w:tr>
      <w:tr>
        <w:tc>
          <w:tcPr>
            <w:tcW w:w="3119" w:type="dxa"/>
            <w:tcBorders>
              <w:top w:val="single" w:sz="4" w:space="0" w:color="auto"/>
            </w:tcBorders>
          </w:tcPr>
          <w:p>
            <w:pPr>
              <w:pStyle w:val="yTableNAm"/>
            </w:pPr>
            <w:r>
              <w:t>Albany</w:t>
            </w:r>
          </w:p>
        </w:tc>
        <w:tc>
          <w:tcPr>
            <w:tcW w:w="1842" w:type="dxa"/>
            <w:tcBorders>
              <w:top w:val="single" w:sz="4" w:space="0" w:color="auto"/>
            </w:tcBorders>
            <w:vAlign w:val="center"/>
          </w:tcPr>
          <w:p>
            <w:pPr>
              <w:pStyle w:val="yTableNAm"/>
              <w:jc w:val="center"/>
            </w:pPr>
            <w:r>
              <w:t>4</w:t>
            </w:r>
          </w:p>
        </w:tc>
        <w:tc>
          <w:tcPr>
            <w:tcW w:w="1843" w:type="dxa"/>
            <w:tcBorders>
              <w:top w:val="single" w:sz="4" w:space="0" w:color="auto"/>
            </w:tcBorders>
            <w:vAlign w:val="center"/>
          </w:tcPr>
          <w:p>
            <w:pPr>
              <w:pStyle w:val="yTableNAm"/>
              <w:jc w:val="center"/>
            </w:pPr>
            <w:r>
              <w:t>11</w:t>
            </w:r>
          </w:p>
        </w:tc>
      </w:tr>
      <w:tr>
        <w:tc>
          <w:tcPr>
            <w:tcW w:w="3119" w:type="dxa"/>
          </w:tcPr>
          <w:p>
            <w:pPr>
              <w:pStyle w:val="yTableNAm"/>
            </w:pPr>
            <w:r>
              <w:t>Allanooka Farmlands</w:t>
            </w:r>
          </w:p>
        </w:tc>
        <w:tc>
          <w:tcPr>
            <w:tcW w:w="1842" w:type="dxa"/>
            <w:vAlign w:val="center"/>
          </w:tcPr>
          <w:p>
            <w:pPr>
              <w:pStyle w:val="yTableNAm"/>
              <w:jc w:val="center"/>
            </w:pPr>
            <w:r>
              <w:t>2</w:t>
            </w:r>
          </w:p>
        </w:tc>
        <w:tc>
          <w:tcPr>
            <w:tcW w:w="1843" w:type="dxa"/>
            <w:vAlign w:val="center"/>
          </w:tcPr>
          <w:p>
            <w:pPr>
              <w:pStyle w:val="yTableNAm"/>
              <w:jc w:val="center"/>
            </w:pPr>
            <w:r>
              <w:t>1</w:t>
            </w:r>
          </w:p>
        </w:tc>
      </w:tr>
      <w:tr>
        <w:tc>
          <w:tcPr>
            <w:tcW w:w="3119" w:type="dxa"/>
          </w:tcPr>
          <w:p>
            <w:pPr>
              <w:pStyle w:val="yTableNAm"/>
            </w:pPr>
            <w:r>
              <w:t>Allanson</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Arrino</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Arrowsmith Farmlands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Augusta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Australind/Eaton</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Badgingarra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Bakers Hill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Balingup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Ballidu</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Beacon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Bencubbin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Beverley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Bindi Bindi</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Bindoon/Chittering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Binningup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Bodallin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Boddington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Bolgart</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Borden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Boyanup</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Boyup Brook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Bremer Bay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Bridgetown/Hester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Broad Arrow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Brookton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Broome</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Broomehill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Bruce Rock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Brunswick/Burekup/Roelands</w:t>
            </w:r>
          </w:p>
        </w:tc>
        <w:tc>
          <w:tcPr>
            <w:tcW w:w="1842" w:type="dxa"/>
            <w:vAlign w:val="center"/>
          </w:tcPr>
          <w:p>
            <w:pPr>
              <w:pStyle w:val="yTableNAm"/>
              <w:jc w:val="center"/>
            </w:pPr>
            <w:r>
              <w:t>3</w:t>
            </w:r>
          </w:p>
        </w:tc>
        <w:tc>
          <w:tcPr>
            <w:tcW w:w="1843" w:type="dxa"/>
            <w:vAlign w:val="center"/>
          </w:tcPr>
          <w:p>
            <w:pPr>
              <w:pStyle w:val="yTableNAm"/>
              <w:jc w:val="center"/>
            </w:pPr>
            <w:r>
              <w:t>7</w:t>
            </w:r>
          </w:p>
        </w:tc>
      </w:tr>
      <w:tr>
        <w:tc>
          <w:tcPr>
            <w:tcW w:w="3119" w:type="dxa"/>
          </w:tcPr>
          <w:p>
            <w:pPr>
              <w:pStyle w:val="yTableNAm"/>
            </w:pPr>
            <w:r>
              <w:t>Bullaring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Bullfinch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Bunjil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Buntine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Burracoppin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Calingiri</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Camballin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Capel</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Carnamah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Carnarvon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Caron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Cervantes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Collie</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Collie Farmlands</w:t>
            </w:r>
          </w:p>
        </w:tc>
        <w:tc>
          <w:tcPr>
            <w:tcW w:w="1842" w:type="dxa"/>
            <w:vAlign w:val="center"/>
          </w:tcPr>
          <w:p>
            <w:pPr>
              <w:pStyle w:val="yTableNAm"/>
              <w:jc w:val="center"/>
            </w:pPr>
            <w:r>
              <w:t>1</w:t>
            </w:r>
          </w:p>
        </w:tc>
        <w:tc>
          <w:tcPr>
            <w:tcW w:w="1843" w:type="dxa"/>
            <w:vAlign w:val="center"/>
          </w:tcPr>
          <w:p>
            <w:pPr>
              <w:pStyle w:val="yTableNAm"/>
              <w:jc w:val="center"/>
            </w:pPr>
            <w:r>
              <w:t>1</w:t>
            </w:r>
          </w:p>
        </w:tc>
      </w:tr>
      <w:tr>
        <w:tc>
          <w:tcPr>
            <w:tcW w:w="3119" w:type="dxa"/>
          </w:tcPr>
          <w:p>
            <w:pPr>
              <w:pStyle w:val="yTableNAm"/>
            </w:pPr>
            <w:r>
              <w:t>Condingup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Coolgardie</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Coomberdale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Coorow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Coral Bay</w:t>
            </w:r>
          </w:p>
        </w:tc>
        <w:tc>
          <w:tcPr>
            <w:tcW w:w="1842" w:type="dxa"/>
            <w:vAlign w:val="center"/>
          </w:tcPr>
          <w:p>
            <w:pPr>
              <w:pStyle w:val="yTableNAm"/>
              <w:jc w:val="center"/>
            </w:pPr>
            <w:r>
              <w:t>5</w:t>
            </w:r>
          </w:p>
        </w:tc>
        <w:tc>
          <w:tcPr>
            <w:tcW w:w="1843" w:type="dxa"/>
            <w:vAlign w:val="center"/>
          </w:tcPr>
          <w:p>
            <w:pPr>
              <w:pStyle w:val="yTableNAm"/>
              <w:jc w:val="center"/>
            </w:pPr>
            <w:r>
              <w:t>N/A</w:t>
            </w:r>
          </w:p>
        </w:tc>
      </w:tr>
      <w:tr>
        <w:tc>
          <w:tcPr>
            <w:tcW w:w="3119" w:type="dxa"/>
          </w:tcPr>
          <w:p>
            <w:pPr>
              <w:pStyle w:val="yTableNAm"/>
            </w:pPr>
            <w:r>
              <w:t>Corrigin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Cowaramup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Cranbrook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Cuballing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Cue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Cunderdin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Dalwallinu</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Dalyellup</w:t>
            </w:r>
          </w:p>
        </w:tc>
        <w:tc>
          <w:tcPr>
            <w:tcW w:w="1842" w:type="dxa"/>
            <w:vAlign w:val="center"/>
          </w:tcPr>
          <w:p>
            <w:pPr>
              <w:pStyle w:val="yTableNAm"/>
              <w:jc w:val="center"/>
            </w:pPr>
            <w:r>
              <w:t>3</w:t>
            </w:r>
          </w:p>
        </w:tc>
        <w:tc>
          <w:tcPr>
            <w:tcW w:w="1843" w:type="dxa"/>
            <w:vAlign w:val="center"/>
          </w:tcPr>
          <w:p>
            <w:pPr>
              <w:pStyle w:val="yTableNAm"/>
              <w:jc w:val="center"/>
            </w:pPr>
            <w:r>
              <w:t>4</w:t>
            </w:r>
          </w:p>
        </w:tc>
      </w:tr>
      <w:tr>
        <w:tc>
          <w:tcPr>
            <w:tcW w:w="3119" w:type="dxa"/>
          </w:tcPr>
          <w:p>
            <w:pPr>
              <w:pStyle w:val="yTableNAm"/>
            </w:pPr>
            <w:r>
              <w:t>Dandaragan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Dardanup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Darkan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Dathagnoorara Farmlands</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Denham (Saline)</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Denmark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Derby</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Dongara/Denison</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Donnybrook</w:t>
            </w:r>
          </w:p>
        </w:tc>
        <w:tc>
          <w:tcPr>
            <w:tcW w:w="1842" w:type="dxa"/>
            <w:vAlign w:val="center"/>
          </w:tcPr>
          <w:p>
            <w:pPr>
              <w:pStyle w:val="yTableNAm"/>
              <w:jc w:val="center"/>
            </w:pPr>
            <w:r>
              <w:t>3</w:t>
            </w:r>
          </w:p>
        </w:tc>
        <w:tc>
          <w:tcPr>
            <w:tcW w:w="1843" w:type="dxa"/>
            <w:vAlign w:val="center"/>
          </w:tcPr>
          <w:p>
            <w:pPr>
              <w:pStyle w:val="yTableNAm"/>
              <w:jc w:val="center"/>
            </w:pPr>
            <w:r>
              <w:t>8</w:t>
            </w:r>
          </w:p>
        </w:tc>
      </w:tr>
      <w:tr>
        <w:tc>
          <w:tcPr>
            <w:tcW w:w="3119" w:type="dxa"/>
          </w:tcPr>
          <w:p>
            <w:pPr>
              <w:pStyle w:val="yTableNAm"/>
            </w:pPr>
            <w:r>
              <w:t>Doodlakine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Dowerin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Dudinin/Harrismith/Jitarning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Dumbleyung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Dunsborough/Yallingup</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Dwellingup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Eneabba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Eradu</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Esperance</w:t>
            </w:r>
          </w:p>
        </w:tc>
        <w:tc>
          <w:tcPr>
            <w:tcW w:w="1842" w:type="dxa"/>
            <w:vAlign w:val="center"/>
          </w:tcPr>
          <w:p>
            <w:pPr>
              <w:pStyle w:val="yTableNAm"/>
              <w:jc w:val="center"/>
            </w:pPr>
            <w:r>
              <w:t>3</w:t>
            </w:r>
          </w:p>
        </w:tc>
        <w:tc>
          <w:tcPr>
            <w:tcW w:w="1843" w:type="dxa"/>
            <w:vAlign w:val="center"/>
          </w:tcPr>
          <w:p>
            <w:pPr>
              <w:pStyle w:val="yTableNAm"/>
              <w:jc w:val="center"/>
            </w:pPr>
            <w:r>
              <w:t>10</w:t>
            </w:r>
          </w:p>
        </w:tc>
      </w:tr>
      <w:tr>
        <w:tc>
          <w:tcPr>
            <w:tcW w:w="3119" w:type="dxa"/>
          </w:tcPr>
          <w:p>
            <w:pPr>
              <w:pStyle w:val="yTableNAm"/>
            </w:pPr>
            <w:r>
              <w:t>Exmouth</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Fitzroy Crossing</w:t>
            </w:r>
          </w:p>
        </w:tc>
        <w:tc>
          <w:tcPr>
            <w:tcW w:w="1842" w:type="dxa"/>
            <w:vAlign w:val="center"/>
          </w:tcPr>
          <w:p>
            <w:pPr>
              <w:pStyle w:val="yTableNAm"/>
              <w:jc w:val="center"/>
            </w:pPr>
            <w:r>
              <w:t>3</w:t>
            </w:r>
          </w:p>
        </w:tc>
        <w:tc>
          <w:tcPr>
            <w:tcW w:w="1843" w:type="dxa"/>
            <w:vAlign w:val="center"/>
          </w:tcPr>
          <w:p>
            <w:pPr>
              <w:pStyle w:val="yTableNAm"/>
              <w:jc w:val="center"/>
            </w:pPr>
            <w:r>
              <w:t>8</w:t>
            </w:r>
          </w:p>
        </w:tc>
      </w:tr>
      <w:tr>
        <w:tc>
          <w:tcPr>
            <w:tcW w:w="3119" w:type="dxa"/>
          </w:tcPr>
          <w:p>
            <w:pPr>
              <w:pStyle w:val="yTableNAm"/>
            </w:pPr>
            <w:r>
              <w:t>Frankland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Gabbadah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Gascoyne Junction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Geraldton</w:t>
            </w:r>
          </w:p>
        </w:tc>
        <w:tc>
          <w:tcPr>
            <w:tcW w:w="1842" w:type="dxa"/>
            <w:vAlign w:val="center"/>
          </w:tcPr>
          <w:p>
            <w:pPr>
              <w:pStyle w:val="yTableNAm"/>
              <w:jc w:val="center"/>
            </w:pPr>
            <w:r>
              <w:t>2</w:t>
            </w:r>
          </w:p>
        </w:tc>
        <w:tc>
          <w:tcPr>
            <w:tcW w:w="1843" w:type="dxa"/>
            <w:vAlign w:val="center"/>
          </w:tcPr>
          <w:p>
            <w:pPr>
              <w:pStyle w:val="yTableNAm"/>
              <w:jc w:val="center"/>
            </w:pPr>
            <w:r>
              <w:t>4</w:t>
            </w:r>
          </w:p>
        </w:tc>
      </w:tr>
      <w:tr>
        <w:tc>
          <w:tcPr>
            <w:tcW w:w="3119" w:type="dxa"/>
          </w:tcPr>
          <w:p>
            <w:pPr>
              <w:pStyle w:val="yTableNAm"/>
            </w:pPr>
            <w:r>
              <w:t>Gibson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Gingin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Gnowangerup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Goomalling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Grass Patch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Grass Valley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Greenbushes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Greenhead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Guilderton</w:t>
            </w:r>
          </w:p>
        </w:tc>
        <w:tc>
          <w:tcPr>
            <w:tcW w:w="1842" w:type="dxa"/>
            <w:vAlign w:val="center"/>
          </w:tcPr>
          <w:p>
            <w:pPr>
              <w:pStyle w:val="yTableNAm"/>
              <w:jc w:val="center"/>
            </w:pPr>
            <w:r>
              <w:t>4</w:t>
            </w:r>
          </w:p>
        </w:tc>
        <w:tc>
          <w:tcPr>
            <w:tcW w:w="1843" w:type="dxa"/>
            <w:vAlign w:val="center"/>
          </w:tcPr>
          <w:p>
            <w:pPr>
              <w:pStyle w:val="yTableNAm"/>
              <w:jc w:val="center"/>
            </w:pPr>
            <w:r>
              <w:t>13</w:t>
            </w:r>
          </w:p>
        </w:tc>
      </w:tr>
      <w:tr>
        <w:tc>
          <w:tcPr>
            <w:tcW w:w="3119" w:type="dxa"/>
          </w:tcPr>
          <w:p>
            <w:pPr>
              <w:pStyle w:val="yTableNAm"/>
            </w:pPr>
            <w:r>
              <w:t>Halls Creek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Hamel/Waroona</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Harvey/Wokalup</w:t>
            </w:r>
          </w:p>
        </w:tc>
        <w:tc>
          <w:tcPr>
            <w:tcW w:w="1842" w:type="dxa"/>
            <w:vAlign w:val="center"/>
          </w:tcPr>
          <w:p>
            <w:pPr>
              <w:pStyle w:val="yTableNAm"/>
              <w:jc w:val="center"/>
            </w:pPr>
            <w:r>
              <w:t>3</w:t>
            </w:r>
          </w:p>
        </w:tc>
        <w:tc>
          <w:tcPr>
            <w:tcW w:w="1843" w:type="dxa"/>
            <w:vAlign w:val="center"/>
          </w:tcPr>
          <w:p>
            <w:pPr>
              <w:pStyle w:val="yTableNAm"/>
              <w:jc w:val="center"/>
            </w:pPr>
            <w:r>
              <w:t>10</w:t>
            </w:r>
          </w:p>
        </w:tc>
      </w:tr>
      <w:tr>
        <w:tc>
          <w:tcPr>
            <w:tcW w:w="3119" w:type="dxa"/>
          </w:tcPr>
          <w:p>
            <w:pPr>
              <w:pStyle w:val="yTableNAm"/>
            </w:pPr>
            <w:r>
              <w:t>Highbury/Piesseville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Hines Hill</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Hopetoun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Horrocks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Hyden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Jerramungup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Jurien Bay</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Kalannie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Kalbarri</w:t>
            </w:r>
          </w:p>
        </w:tc>
        <w:tc>
          <w:tcPr>
            <w:tcW w:w="1842" w:type="dxa"/>
            <w:vAlign w:val="center"/>
          </w:tcPr>
          <w:p>
            <w:pPr>
              <w:pStyle w:val="yTableNAm"/>
              <w:jc w:val="center"/>
            </w:pPr>
            <w:r>
              <w:t>3</w:t>
            </w:r>
          </w:p>
        </w:tc>
        <w:tc>
          <w:tcPr>
            <w:tcW w:w="1843" w:type="dxa"/>
            <w:vAlign w:val="center"/>
          </w:tcPr>
          <w:p>
            <w:pPr>
              <w:pStyle w:val="yTableNAm"/>
              <w:jc w:val="center"/>
            </w:pPr>
            <w:r>
              <w:t>7</w:t>
            </w:r>
          </w:p>
        </w:tc>
      </w:tr>
      <w:tr>
        <w:tc>
          <w:tcPr>
            <w:tcW w:w="3119" w:type="dxa"/>
          </w:tcPr>
          <w:p>
            <w:pPr>
              <w:pStyle w:val="yTableNAm"/>
            </w:pPr>
            <w:r>
              <w:t>Kalgoorlie/Boulder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Kambalda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Karakin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Karlgarin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Karratha</w:t>
            </w:r>
          </w:p>
        </w:tc>
        <w:tc>
          <w:tcPr>
            <w:tcW w:w="1842" w:type="dxa"/>
            <w:vAlign w:val="center"/>
          </w:tcPr>
          <w:p>
            <w:pPr>
              <w:pStyle w:val="yTableNAm"/>
              <w:jc w:val="center"/>
            </w:pPr>
            <w:r>
              <w:t>3</w:t>
            </w:r>
          </w:p>
        </w:tc>
        <w:tc>
          <w:tcPr>
            <w:tcW w:w="1843" w:type="dxa"/>
            <w:vAlign w:val="center"/>
          </w:tcPr>
          <w:p>
            <w:pPr>
              <w:pStyle w:val="yTableNAm"/>
              <w:jc w:val="center"/>
            </w:pPr>
            <w:r>
              <w:t>8</w:t>
            </w:r>
          </w:p>
        </w:tc>
      </w:tr>
      <w:tr>
        <w:tc>
          <w:tcPr>
            <w:tcW w:w="3119" w:type="dxa"/>
          </w:tcPr>
          <w:p>
            <w:pPr>
              <w:pStyle w:val="yTableNAm"/>
            </w:pPr>
            <w:r>
              <w:t>Katanning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Katanning Farmlands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Kellerberrin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Kendenup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Kendenup Farmlands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Kirup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Kojonup/Muradup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Kondinin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Koorda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Kukerin/Moulyinning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Kununoppin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Kununurra</w:t>
            </w:r>
          </w:p>
        </w:tc>
        <w:tc>
          <w:tcPr>
            <w:tcW w:w="1842" w:type="dxa"/>
            <w:vAlign w:val="center"/>
          </w:tcPr>
          <w:p>
            <w:pPr>
              <w:pStyle w:val="yTableNAm"/>
              <w:jc w:val="center"/>
            </w:pPr>
            <w:r>
              <w:t>3</w:t>
            </w:r>
          </w:p>
        </w:tc>
        <w:tc>
          <w:tcPr>
            <w:tcW w:w="1843" w:type="dxa"/>
            <w:vAlign w:val="center"/>
          </w:tcPr>
          <w:p>
            <w:pPr>
              <w:pStyle w:val="yTableNAm"/>
              <w:jc w:val="center"/>
            </w:pPr>
            <w:r>
              <w:t>7</w:t>
            </w:r>
          </w:p>
        </w:tc>
      </w:tr>
      <w:tr>
        <w:tc>
          <w:tcPr>
            <w:tcW w:w="3119" w:type="dxa"/>
          </w:tcPr>
          <w:p>
            <w:pPr>
              <w:pStyle w:val="yTableNAm"/>
            </w:pPr>
            <w:r>
              <w:lastRenderedPageBreak/>
              <w:t>Lake Grace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Lake King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Lancelin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Latham</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Laverton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Ledge Point</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Leeman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Leonora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Mandurah</w:t>
            </w:r>
          </w:p>
        </w:tc>
        <w:tc>
          <w:tcPr>
            <w:tcW w:w="1842" w:type="dxa"/>
            <w:vAlign w:val="center"/>
          </w:tcPr>
          <w:p>
            <w:pPr>
              <w:pStyle w:val="yTableNAm"/>
              <w:jc w:val="center"/>
            </w:pPr>
            <w:r>
              <w:t>2</w:t>
            </w:r>
          </w:p>
        </w:tc>
        <w:tc>
          <w:tcPr>
            <w:tcW w:w="1843" w:type="dxa"/>
            <w:vAlign w:val="center"/>
          </w:tcPr>
          <w:p>
            <w:pPr>
              <w:pStyle w:val="yTableNAm"/>
              <w:jc w:val="center"/>
            </w:pPr>
            <w:r>
              <w:t>7</w:t>
            </w:r>
          </w:p>
        </w:tc>
      </w:tr>
      <w:tr>
        <w:tc>
          <w:tcPr>
            <w:tcW w:w="3119" w:type="dxa"/>
          </w:tcPr>
          <w:p>
            <w:pPr>
              <w:pStyle w:val="yTableNAm"/>
            </w:pPr>
            <w:r>
              <w:t>Manjimup</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Marble Bar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Margaret River</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Marvel Loch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Meckering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Meekatharra</w:t>
            </w:r>
          </w:p>
        </w:tc>
        <w:tc>
          <w:tcPr>
            <w:tcW w:w="1842" w:type="dxa"/>
            <w:vAlign w:val="center"/>
          </w:tcPr>
          <w:p>
            <w:pPr>
              <w:pStyle w:val="yTableNAm"/>
              <w:jc w:val="center"/>
            </w:pPr>
            <w:r>
              <w:t>4</w:t>
            </w:r>
          </w:p>
        </w:tc>
        <w:tc>
          <w:tcPr>
            <w:tcW w:w="1843" w:type="dxa"/>
            <w:vAlign w:val="center"/>
          </w:tcPr>
          <w:p>
            <w:pPr>
              <w:pStyle w:val="yTableNAm"/>
              <w:jc w:val="center"/>
            </w:pPr>
            <w:r>
              <w:t>11</w:t>
            </w:r>
          </w:p>
        </w:tc>
      </w:tr>
      <w:tr>
        <w:tc>
          <w:tcPr>
            <w:tcW w:w="3119" w:type="dxa"/>
          </w:tcPr>
          <w:p>
            <w:pPr>
              <w:pStyle w:val="yTableNAm"/>
            </w:pPr>
            <w:r>
              <w:t>Menzies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Merredin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Merredin Farmlands</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Miling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Mingenew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Moora</w:t>
            </w:r>
          </w:p>
        </w:tc>
        <w:tc>
          <w:tcPr>
            <w:tcW w:w="1842" w:type="dxa"/>
            <w:vAlign w:val="center"/>
          </w:tcPr>
          <w:p>
            <w:pPr>
              <w:pStyle w:val="yTableNAm"/>
              <w:jc w:val="center"/>
            </w:pPr>
            <w:r>
              <w:t>2</w:t>
            </w:r>
          </w:p>
        </w:tc>
        <w:tc>
          <w:tcPr>
            <w:tcW w:w="1843" w:type="dxa"/>
            <w:vAlign w:val="center"/>
          </w:tcPr>
          <w:p>
            <w:pPr>
              <w:pStyle w:val="yTableNAm"/>
              <w:jc w:val="center"/>
            </w:pPr>
            <w:r>
              <w:t>3</w:t>
            </w:r>
          </w:p>
        </w:tc>
      </w:tr>
      <w:tr>
        <w:tc>
          <w:tcPr>
            <w:tcW w:w="3119" w:type="dxa"/>
          </w:tcPr>
          <w:p>
            <w:pPr>
              <w:pStyle w:val="yTableNAm"/>
            </w:pPr>
            <w:r>
              <w:t>Moorine Rock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Morawa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Mount Barker</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Mount Magnet</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Mukinbudin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Mullalyup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Mullewa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Mullewa Farmlands</w:t>
            </w:r>
          </w:p>
        </w:tc>
        <w:tc>
          <w:tcPr>
            <w:tcW w:w="1842" w:type="dxa"/>
            <w:vAlign w:val="center"/>
          </w:tcPr>
          <w:p>
            <w:pPr>
              <w:pStyle w:val="yTableNAm"/>
              <w:jc w:val="center"/>
            </w:pPr>
            <w:r>
              <w:t>4</w:t>
            </w:r>
          </w:p>
        </w:tc>
        <w:tc>
          <w:tcPr>
            <w:tcW w:w="1843" w:type="dxa"/>
            <w:vAlign w:val="center"/>
          </w:tcPr>
          <w:p>
            <w:pPr>
              <w:pStyle w:val="yTableNAm"/>
              <w:jc w:val="center"/>
            </w:pPr>
            <w:r>
              <w:t>13</w:t>
            </w:r>
          </w:p>
        </w:tc>
      </w:tr>
      <w:tr>
        <w:tc>
          <w:tcPr>
            <w:tcW w:w="3119" w:type="dxa"/>
          </w:tcPr>
          <w:p>
            <w:pPr>
              <w:pStyle w:val="yTableNAm"/>
            </w:pPr>
            <w:r>
              <w:t>Munglinup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Muntadgin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Myalup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Nabawa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Nannup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Narembeen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Narngulu</w:t>
            </w:r>
          </w:p>
        </w:tc>
        <w:tc>
          <w:tcPr>
            <w:tcW w:w="1842" w:type="dxa"/>
            <w:vAlign w:val="center"/>
          </w:tcPr>
          <w:p>
            <w:pPr>
              <w:pStyle w:val="yTableNAm"/>
              <w:jc w:val="center"/>
            </w:pPr>
            <w:r>
              <w:t>1</w:t>
            </w:r>
          </w:p>
        </w:tc>
        <w:tc>
          <w:tcPr>
            <w:tcW w:w="1843" w:type="dxa"/>
            <w:vAlign w:val="center"/>
          </w:tcPr>
          <w:p>
            <w:pPr>
              <w:pStyle w:val="yTableNAm"/>
              <w:jc w:val="center"/>
            </w:pPr>
            <w:r>
              <w:t>1</w:t>
            </w:r>
          </w:p>
        </w:tc>
      </w:tr>
      <w:tr>
        <w:tc>
          <w:tcPr>
            <w:tcW w:w="3119" w:type="dxa"/>
          </w:tcPr>
          <w:p>
            <w:pPr>
              <w:pStyle w:val="yTableNAm"/>
            </w:pPr>
            <w:r>
              <w:t>Narrikup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Narrogin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Narrogin Farmlands</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New Norcia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Newdegate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Newman</w:t>
            </w:r>
          </w:p>
        </w:tc>
        <w:tc>
          <w:tcPr>
            <w:tcW w:w="1842" w:type="dxa"/>
            <w:vAlign w:val="center"/>
          </w:tcPr>
          <w:p>
            <w:pPr>
              <w:pStyle w:val="yTableNAm"/>
              <w:jc w:val="center"/>
            </w:pPr>
            <w:r>
              <w:t>2</w:t>
            </w:r>
          </w:p>
        </w:tc>
        <w:tc>
          <w:tcPr>
            <w:tcW w:w="1843" w:type="dxa"/>
            <w:vAlign w:val="center"/>
          </w:tcPr>
          <w:p>
            <w:pPr>
              <w:pStyle w:val="yTableNAm"/>
              <w:jc w:val="center"/>
            </w:pPr>
            <w:r>
              <w:t>6</w:t>
            </w:r>
          </w:p>
        </w:tc>
      </w:tr>
      <w:tr>
        <w:tc>
          <w:tcPr>
            <w:tcW w:w="3119" w:type="dxa"/>
          </w:tcPr>
          <w:p>
            <w:pPr>
              <w:pStyle w:val="yTableNAm"/>
            </w:pPr>
            <w:r>
              <w:t>Nilgen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Norseman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North Dandalup</w:t>
            </w:r>
          </w:p>
        </w:tc>
        <w:tc>
          <w:tcPr>
            <w:tcW w:w="1842" w:type="dxa"/>
            <w:vAlign w:val="center"/>
          </w:tcPr>
          <w:p>
            <w:pPr>
              <w:pStyle w:val="yTableNAm"/>
              <w:jc w:val="center"/>
            </w:pPr>
            <w:r>
              <w:t>4</w:t>
            </w:r>
          </w:p>
        </w:tc>
        <w:tc>
          <w:tcPr>
            <w:tcW w:w="1843" w:type="dxa"/>
            <w:vAlign w:val="center"/>
          </w:tcPr>
          <w:p>
            <w:pPr>
              <w:pStyle w:val="yTableNAm"/>
              <w:jc w:val="center"/>
            </w:pPr>
            <w:r>
              <w:t>12</w:t>
            </w:r>
          </w:p>
        </w:tc>
      </w:tr>
      <w:tr>
        <w:tc>
          <w:tcPr>
            <w:tcW w:w="3119" w:type="dxa"/>
          </w:tcPr>
          <w:p>
            <w:pPr>
              <w:pStyle w:val="yTableNAm"/>
            </w:pPr>
            <w:r>
              <w:t>Northam</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Northam Farmlands</w:t>
            </w:r>
          </w:p>
        </w:tc>
        <w:tc>
          <w:tcPr>
            <w:tcW w:w="1842" w:type="dxa"/>
            <w:vAlign w:val="center"/>
          </w:tcPr>
          <w:p>
            <w:pPr>
              <w:pStyle w:val="yTableNAm"/>
              <w:jc w:val="center"/>
            </w:pPr>
            <w:r>
              <w:t>3</w:t>
            </w:r>
          </w:p>
        </w:tc>
        <w:tc>
          <w:tcPr>
            <w:tcW w:w="1843" w:type="dxa"/>
            <w:vAlign w:val="center"/>
          </w:tcPr>
          <w:p>
            <w:pPr>
              <w:pStyle w:val="yTableNAm"/>
              <w:jc w:val="center"/>
            </w:pPr>
            <w:r>
              <w:t>9</w:t>
            </w:r>
          </w:p>
        </w:tc>
      </w:tr>
      <w:tr>
        <w:tc>
          <w:tcPr>
            <w:tcW w:w="3119" w:type="dxa"/>
          </w:tcPr>
          <w:p>
            <w:pPr>
              <w:pStyle w:val="yTableNAm"/>
            </w:pPr>
            <w:r>
              <w:t>Northampton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Northcliffe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Nullagine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Nungarin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Nyabing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Ongerup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Onslow</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Ora Banda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Park Ridge</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Pemberton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Peppermint Grove Beach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Perenjori</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Pingaring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Pingelly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Pingrup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Pinjarra</w:t>
            </w:r>
          </w:p>
        </w:tc>
        <w:tc>
          <w:tcPr>
            <w:tcW w:w="1842" w:type="dxa"/>
            <w:vAlign w:val="center"/>
          </w:tcPr>
          <w:p>
            <w:pPr>
              <w:pStyle w:val="yTableNAm"/>
              <w:jc w:val="center"/>
            </w:pPr>
            <w:r>
              <w:t>2</w:t>
            </w:r>
          </w:p>
        </w:tc>
        <w:tc>
          <w:tcPr>
            <w:tcW w:w="1843" w:type="dxa"/>
            <w:vAlign w:val="center"/>
          </w:tcPr>
          <w:p>
            <w:pPr>
              <w:pStyle w:val="yTableNAm"/>
              <w:jc w:val="center"/>
            </w:pPr>
            <w:r>
              <w:t>2</w:t>
            </w:r>
          </w:p>
        </w:tc>
      </w:tr>
      <w:tr>
        <w:tc>
          <w:tcPr>
            <w:tcW w:w="3119" w:type="dxa"/>
          </w:tcPr>
          <w:p>
            <w:pPr>
              <w:pStyle w:val="yTableNAm"/>
            </w:pPr>
            <w:r>
              <w:t>Pithara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Point Samson</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Popanyinning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Porongurup</w:t>
            </w:r>
          </w:p>
        </w:tc>
        <w:tc>
          <w:tcPr>
            <w:tcW w:w="1842" w:type="dxa"/>
            <w:vAlign w:val="center"/>
          </w:tcPr>
          <w:p>
            <w:pPr>
              <w:pStyle w:val="yTableNAm"/>
              <w:jc w:val="center"/>
            </w:pPr>
            <w:r>
              <w:t>5</w:t>
            </w:r>
          </w:p>
        </w:tc>
        <w:tc>
          <w:tcPr>
            <w:tcW w:w="1843" w:type="dxa"/>
            <w:vAlign w:val="center"/>
          </w:tcPr>
          <w:p>
            <w:pPr>
              <w:pStyle w:val="yTableNAm"/>
              <w:jc w:val="center"/>
            </w:pPr>
            <w:r>
              <w:rPr>
                <w:szCs w:val="18"/>
              </w:rPr>
              <w:t>14</w:t>
            </w:r>
          </w:p>
        </w:tc>
      </w:tr>
      <w:tr>
        <w:tc>
          <w:tcPr>
            <w:tcW w:w="3119" w:type="dxa"/>
          </w:tcPr>
          <w:p>
            <w:pPr>
              <w:pStyle w:val="yTableNAm"/>
            </w:pPr>
            <w:r>
              <w:t>Port Hedland</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Preston Beach</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Prevelly</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Quairading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Quinninup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Ravensthorpe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Rocky Gully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Roebourne</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lastRenderedPageBreak/>
              <w:t>Salmon Gums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Sandstone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Seabird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South Hedland</w:t>
            </w:r>
          </w:p>
        </w:tc>
        <w:tc>
          <w:tcPr>
            <w:tcW w:w="1842" w:type="dxa"/>
            <w:vAlign w:val="center"/>
          </w:tcPr>
          <w:p>
            <w:pPr>
              <w:pStyle w:val="yTableNAm"/>
              <w:jc w:val="center"/>
            </w:pPr>
            <w:r>
              <w:t>2</w:t>
            </w:r>
          </w:p>
        </w:tc>
        <w:tc>
          <w:tcPr>
            <w:tcW w:w="1843" w:type="dxa"/>
            <w:vAlign w:val="center"/>
          </w:tcPr>
          <w:p>
            <w:pPr>
              <w:pStyle w:val="yTableNAm"/>
              <w:jc w:val="center"/>
            </w:pPr>
            <w:r>
              <w:t>5</w:t>
            </w:r>
          </w:p>
        </w:tc>
      </w:tr>
      <w:tr>
        <w:tc>
          <w:tcPr>
            <w:tcW w:w="3119" w:type="dxa"/>
          </w:tcPr>
          <w:p>
            <w:pPr>
              <w:pStyle w:val="yTableNAm"/>
            </w:pPr>
            <w:r>
              <w:t>Southern Cross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Tambellup</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Tammin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Three Springs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Tincurrin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Toodyay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Trayning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Varley</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Wagin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Walkaway</w:t>
            </w:r>
          </w:p>
        </w:tc>
        <w:tc>
          <w:tcPr>
            <w:tcW w:w="1842" w:type="dxa"/>
            <w:vAlign w:val="center"/>
          </w:tcPr>
          <w:p>
            <w:pPr>
              <w:pStyle w:val="yTableNAm"/>
              <w:jc w:val="center"/>
            </w:pPr>
            <w:r>
              <w:t>2</w:t>
            </w:r>
          </w:p>
        </w:tc>
        <w:tc>
          <w:tcPr>
            <w:tcW w:w="1843" w:type="dxa"/>
            <w:vAlign w:val="center"/>
          </w:tcPr>
          <w:p>
            <w:pPr>
              <w:pStyle w:val="yTableNAm"/>
              <w:jc w:val="center"/>
            </w:pPr>
            <w:r>
              <w:t>1</w:t>
            </w:r>
          </w:p>
        </w:tc>
      </w:tr>
      <w:tr>
        <w:tc>
          <w:tcPr>
            <w:tcW w:w="3119" w:type="dxa"/>
          </w:tcPr>
          <w:p>
            <w:pPr>
              <w:pStyle w:val="yTableNAm"/>
            </w:pPr>
            <w:r>
              <w:t>Walpole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Wandering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Watheroo</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Wellstead</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Westonia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Wickepin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Wickham</w:t>
            </w:r>
          </w:p>
        </w:tc>
        <w:tc>
          <w:tcPr>
            <w:tcW w:w="1842" w:type="dxa"/>
            <w:vAlign w:val="center"/>
          </w:tcPr>
          <w:p>
            <w:pPr>
              <w:pStyle w:val="yTableNAm"/>
              <w:jc w:val="center"/>
            </w:pPr>
            <w:r>
              <w:t>4</w:t>
            </w:r>
          </w:p>
        </w:tc>
        <w:tc>
          <w:tcPr>
            <w:tcW w:w="1843" w:type="dxa"/>
            <w:vAlign w:val="center"/>
          </w:tcPr>
          <w:p>
            <w:pPr>
              <w:pStyle w:val="yTableNAm"/>
              <w:jc w:val="center"/>
            </w:pPr>
            <w:r>
              <w:t>10</w:t>
            </w:r>
          </w:p>
        </w:tc>
      </w:tr>
      <w:tr>
        <w:tc>
          <w:tcPr>
            <w:tcW w:w="3119" w:type="dxa"/>
          </w:tcPr>
          <w:p>
            <w:pPr>
              <w:pStyle w:val="yTableNAm"/>
            </w:pPr>
            <w:r>
              <w:t>Widgiemooltha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Williams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Wiluna</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Wongan Hills</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lastRenderedPageBreak/>
              <w:t>Woodanilling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Woodridge</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Wubin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Wundowie</w:t>
            </w:r>
          </w:p>
        </w:tc>
        <w:tc>
          <w:tcPr>
            <w:tcW w:w="1842" w:type="dxa"/>
            <w:vAlign w:val="center"/>
          </w:tcPr>
          <w:p>
            <w:pPr>
              <w:pStyle w:val="yTableNAm"/>
              <w:jc w:val="center"/>
            </w:pPr>
            <w:r>
              <w:t>2</w:t>
            </w:r>
          </w:p>
        </w:tc>
        <w:tc>
          <w:tcPr>
            <w:tcW w:w="1843" w:type="dxa"/>
            <w:vAlign w:val="center"/>
          </w:tcPr>
          <w:p>
            <w:pPr>
              <w:pStyle w:val="yTableNAm"/>
              <w:jc w:val="center"/>
            </w:pPr>
            <w:r>
              <w:t>1</w:t>
            </w:r>
          </w:p>
        </w:tc>
      </w:tr>
      <w:tr>
        <w:tc>
          <w:tcPr>
            <w:tcW w:w="3119" w:type="dxa"/>
          </w:tcPr>
          <w:p>
            <w:pPr>
              <w:pStyle w:val="yTableNAm"/>
            </w:pPr>
            <w:r>
              <w:t>Wyalkatchem</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Wyndham</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Yalgoo</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Yarloop/Wagerup</w:t>
            </w:r>
          </w:p>
        </w:tc>
        <w:tc>
          <w:tcPr>
            <w:tcW w:w="1842" w:type="dxa"/>
            <w:vAlign w:val="center"/>
          </w:tcPr>
          <w:p>
            <w:pPr>
              <w:pStyle w:val="yTableNAm"/>
              <w:jc w:val="center"/>
            </w:pPr>
            <w:r>
              <w:t>5</w:t>
            </w:r>
          </w:p>
        </w:tc>
        <w:tc>
          <w:tcPr>
            <w:tcW w:w="1843" w:type="dxa"/>
            <w:vAlign w:val="center"/>
          </w:tcPr>
          <w:p>
            <w:pPr>
              <w:pStyle w:val="yTableNAm"/>
              <w:jc w:val="center"/>
            </w:pPr>
            <w:r>
              <w:t>14</w:t>
            </w:r>
          </w:p>
        </w:tc>
      </w:tr>
      <w:tr>
        <w:tc>
          <w:tcPr>
            <w:tcW w:w="3119" w:type="dxa"/>
          </w:tcPr>
          <w:p>
            <w:pPr>
              <w:pStyle w:val="yTableNAm"/>
            </w:pPr>
            <w:r>
              <w:t>Yealering</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Yerecoin</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Pr>
          <w:p>
            <w:pPr>
              <w:pStyle w:val="yTableNAm"/>
            </w:pPr>
            <w:r>
              <w:t>York</w:t>
            </w:r>
          </w:p>
        </w:tc>
        <w:tc>
          <w:tcPr>
            <w:tcW w:w="1842" w:type="dxa"/>
            <w:vAlign w:val="center"/>
          </w:tcPr>
          <w:p>
            <w:pPr>
              <w:pStyle w:val="yTableNAm"/>
              <w:jc w:val="center"/>
            </w:pPr>
            <w:r>
              <w:t>5</w:t>
            </w:r>
          </w:p>
        </w:tc>
        <w:tc>
          <w:tcPr>
            <w:tcW w:w="1843" w:type="dxa"/>
            <w:vAlign w:val="center"/>
          </w:tcPr>
          <w:p>
            <w:pPr>
              <w:pStyle w:val="yTableNAm"/>
              <w:jc w:val="center"/>
            </w:pPr>
            <w:r>
              <w:t>15</w:t>
            </w:r>
          </w:p>
        </w:tc>
      </w:tr>
      <w:tr>
        <w:tc>
          <w:tcPr>
            <w:tcW w:w="3119" w:type="dxa"/>
            <w:tcBorders>
              <w:bottom w:val="single" w:sz="4" w:space="0" w:color="auto"/>
            </w:tcBorders>
          </w:tcPr>
          <w:p>
            <w:pPr>
              <w:pStyle w:val="yTableNAm"/>
            </w:pPr>
            <w:r>
              <w:t>Yuna</w:t>
            </w:r>
          </w:p>
        </w:tc>
        <w:tc>
          <w:tcPr>
            <w:tcW w:w="1842" w:type="dxa"/>
            <w:tcBorders>
              <w:bottom w:val="single" w:sz="4" w:space="0" w:color="auto"/>
            </w:tcBorders>
            <w:vAlign w:val="center"/>
          </w:tcPr>
          <w:p>
            <w:pPr>
              <w:pStyle w:val="yTableNAm"/>
              <w:jc w:val="center"/>
            </w:pPr>
            <w:r>
              <w:t>5</w:t>
            </w:r>
          </w:p>
        </w:tc>
        <w:tc>
          <w:tcPr>
            <w:tcW w:w="1843" w:type="dxa"/>
            <w:tcBorders>
              <w:bottom w:val="single" w:sz="4" w:space="0" w:color="auto"/>
            </w:tcBorders>
            <w:vAlign w:val="center"/>
          </w:tcPr>
          <w:p>
            <w:pPr>
              <w:pStyle w:val="yTableNAm"/>
              <w:jc w:val="center"/>
            </w:pPr>
            <w:r>
              <w:t>15</w:t>
            </w:r>
          </w:p>
        </w:tc>
      </w:tr>
    </w:tbl>
    <w:p>
      <w:pPr>
        <w:pStyle w:val="yFootnotesection"/>
      </w:pPr>
      <w:r>
        <w:tab/>
        <w:t>[Schedule 11 inserted: SL 2021/80 r. 9; amended: SL 2022/82 r. 22; SL 2023/66 r. 10; SL 2024/117 r. 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651" w:name="_Toc170136949"/>
      <w:bookmarkStart w:id="652" w:name="_Toc170138961"/>
      <w:bookmarkStart w:id="653" w:name="_Toc170203822"/>
      <w:bookmarkStart w:id="654" w:name="_Toc170209317"/>
      <w:r>
        <w:lastRenderedPageBreak/>
        <w:t>Notes</w:t>
      </w:r>
      <w:bookmarkEnd w:id="651"/>
      <w:bookmarkEnd w:id="652"/>
      <w:bookmarkEnd w:id="653"/>
      <w:bookmarkEnd w:id="654"/>
    </w:p>
    <w:p>
      <w:pPr>
        <w:pStyle w:val="nStatement"/>
      </w:pPr>
      <w:r>
        <w:t xml:space="preserve">This is a compilation of the </w:t>
      </w:r>
      <w:r>
        <w:rPr>
          <w:i/>
          <w:noProof/>
        </w:rPr>
        <w:t>Water Services (Water Corporations Charges) Regulations 2014</w:t>
      </w:r>
      <w:r>
        <w:t xml:space="preserve"> and includes amendments made by other written laws. For provisions that have come into operation, and for information about any reprints, see the compilation table.</w:t>
      </w:r>
    </w:p>
    <w:p>
      <w:pPr>
        <w:pStyle w:val="nHeading3"/>
      </w:pPr>
      <w:bookmarkStart w:id="655" w:name="_Toc170209318"/>
      <w:r>
        <w:t>Compilation table</w:t>
      </w:r>
      <w:bookmarkEnd w:id="6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Published</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(Water Corporations Charges) Regulations 2014</w:t>
            </w:r>
          </w:p>
        </w:tc>
        <w:tc>
          <w:tcPr>
            <w:tcW w:w="1276" w:type="dxa"/>
            <w:gridSpan w:val="2"/>
            <w:tcBorders>
              <w:top w:val="single" w:sz="8" w:space="0" w:color="auto"/>
              <w:bottom w:val="nil"/>
            </w:tcBorders>
          </w:tcPr>
          <w:p>
            <w:pPr>
              <w:pStyle w:val="nTable"/>
              <w:spacing w:after="40"/>
            </w:pPr>
            <w:r>
              <w:t>25 Jun 2014 p. 2155</w:t>
            </w:r>
            <w:r>
              <w:noBreakHyphen/>
              <w:t>298</w:t>
            </w:r>
          </w:p>
        </w:tc>
        <w:tc>
          <w:tcPr>
            <w:tcW w:w="2693" w:type="dxa"/>
            <w:gridSpan w:val="2"/>
            <w:tcBorders>
              <w:top w:val="single" w:sz="8" w:space="0" w:color="auto"/>
              <w:bottom w:val="nil"/>
            </w:tcBorders>
          </w:tcPr>
          <w:p>
            <w:pPr>
              <w:pStyle w:val="nTable"/>
              <w:spacing w:after="40"/>
            </w:pPr>
            <w:r>
              <w:rPr>
                <w:bCs/>
                <w:snapToGrid w:val="0"/>
                <w:spacing w:val="-2"/>
              </w:rPr>
              <w:t>r. 1 and 2: 25 Jun 2014 (see r. 2(a));</w:t>
            </w:r>
            <w:r>
              <w:rPr>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Water Services (Water Corporations Charges) Amendment Regulations 2014</w:t>
            </w:r>
          </w:p>
        </w:tc>
        <w:tc>
          <w:tcPr>
            <w:tcW w:w="1276" w:type="dxa"/>
            <w:gridSpan w:val="2"/>
            <w:tcBorders>
              <w:top w:val="nil"/>
              <w:bottom w:val="nil"/>
            </w:tcBorders>
          </w:tcPr>
          <w:p>
            <w:pPr>
              <w:pStyle w:val="nTable"/>
              <w:spacing w:after="40"/>
            </w:pPr>
            <w:r>
              <w:t>19 Sep 2014 p. 3344</w:t>
            </w:r>
            <w:r>
              <w:noBreakHyphen/>
              <w:t>5</w:t>
            </w:r>
          </w:p>
        </w:tc>
        <w:tc>
          <w:tcPr>
            <w:tcW w:w="2693" w:type="dxa"/>
            <w:gridSpan w:val="2"/>
            <w:tcBorders>
              <w:top w:val="nil"/>
              <w:bottom w:val="nil"/>
            </w:tcBorders>
          </w:tcPr>
          <w:p>
            <w:pPr>
              <w:pStyle w:val="nTable"/>
              <w:spacing w:after="40"/>
              <w:rPr>
                <w:bCs/>
                <w:snapToGrid w:val="0"/>
                <w:spacing w:val="-2"/>
              </w:rPr>
            </w:pPr>
            <w:r>
              <w:rPr>
                <w:bCs/>
                <w:snapToGrid w:val="0"/>
                <w:spacing w:val="-2"/>
              </w:rPr>
              <w:t>r. 1 and 2: 19 Sep 2014 (see r. 2(a));</w:t>
            </w:r>
            <w:r>
              <w:rPr>
                <w:bCs/>
                <w:snapToGrid w:val="0"/>
                <w:spacing w:val="-2"/>
              </w:rPr>
              <w:br/>
              <w:t>Regulations other than r. 1 and 2: 1 Oct 2014 (see r. 2(b)(i))</w:t>
            </w:r>
          </w:p>
        </w:tc>
      </w:tr>
      <w:tr>
        <w:tc>
          <w:tcPr>
            <w:tcW w:w="3118" w:type="dxa"/>
            <w:tcBorders>
              <w:top w:val="nil"/>
              <w:bottom w:val="nil"/>
            </w:tcBorders>
          </w:tcPr>
          <w:p>
            <w:pPr>
              <w:pStyle w:val="nTable"/>
              <w:spacing w:after="40"/>
            </w:pPr>
            <w:r>
              <w:rPr>
                <w:i/>
              </w:rPr>
              <w:t>Water Services (Water Corporations Charges) Amendment Regulations (No. 2) 2014</w:t>
            </w:r>
            <w:r>
              <w:t xml:space="preserve"> </w:t>
            </w:r>
          </w:p>
        </w:tc>
        <w:tc>
          <w:tcPr>
            <w:tcW w:w="1276" w:type="dxa"/>
            <w:gridSpan w:val="2"/>
            <w:tcBorders>
              <w:top w:val="nil"/>
              <w:bottom w:val="nil"/>
            </w:tcBorders>
          </w:tcPr>
          <w:p>
            <w:pPr>
              <w:pStyle w:val="nTable"/>
              <w:spacing w:after="40"/>
            </w:pPr>
            <w:r>
              <w:t>15 Oct 2014 p. 3943</w:t>
            </w:r>
            <w:r>
              <w:noBreakHyphen/>
              <w:t>93</w:t>
            </w:r>
          </w:p>
        </w:tc>
        <w:tc>
          <w:tcPr>
            <w:tcW w:w="2693" w:type="dxa"/>
            <w:gridSpan w:val="2"/>
            <w:tcBorders>
              <w:top w:val="nil"/>
              <w:bottom w:val="nil"/>
            </w:tcBorders>
          </w:tcPr>
          <w:p>
            <w:pPr>
              <w:pStyle w:val="nTable"/>
              <w:spacing w:after="40"/>
              <w:rPr>
                <w:bCs/>
                <w:snapToGrid w:val="0"/>
                <w:spacing w:val="-2"/>
              </w:rPr>
            </w:pPr>
            <w:r>
              <w:rPr>
                <w:bCs/>
                <w:snapToGrid w:val="0"/>
                <w:spacing w:val="-2"/>
              </w:rPr>
              <w:t>r. 1 and 2: 15 Oct 2014 (see r. 2(a));</w:t>
            </w:r>
            <w:r>
              <w:rPr>
                <w:bCs/>
                <w:snapToGrid w:val="0"/>
                <w:spacing w:val="-2"/>
              </w:rPr>
              <w:br/>
              <w:t>Regulations other than r. 1 and 2: 1 Nov 2014 (see r. 2(b))</w:t>
            </w:r>
          </w:p>
        </w:tc>
      </w:tr>
      <w:tr>
        <w:tc>
          <w:tcPr>
            <w:tcW w:w="3118" w:type="dxa"/>
            <w:tcBorders>
              <w:top w:val="nil"/>
              <w:bottom w:val="nil"/>
            </w:tcBorders>
            <w:shd w:val="clear" w:color="auto" w:fill="auto"/>
          </w:tcPr>
          <w:p>
            <w:pPr>
              <w:pStyle w:val="nTable"/>
              <w:spacing w:after="40"/>
              <w:rPr>
                <w:i/>
              </w:rPr>
            </w:pPr>
            <w:r>
              <w:rPr>
                <w:i/>
              </w:rPr>
              <w:t>Water Services (Water Corporations Charges) Amendment Regulations 2015</w:t>
            </w:r>
          </w:p>
        </w:tc>
        <w:tc>
          <w:tcPr>
            <w:tcW w:w="1276" w:type="dxa"/>
            <w:gridSpan w:val="2"/>
            <w:tcBorders>
              <w:top w:val="nil"/>
              <w:bottom w:val="nil"/>
            </w:tcBorders>
            <w:shd w:val="clear" w:color="auto" w:fill="auto"/>
          </w:tcPr>
          <w:p>
            <w:pPr>
              <w:pStyle w:val="nTable"/>
              <w:spacing w:after="40"/>
            </w:pPr>
            <w:r>
              <w:t>30 Jun 2015 p. 2363</w:t>
            </w:r>
            <w:r>
              <w:noBreakHyphen/>
              <w:t>404</w:t>
            </w:r>
          </w:p>
        </w:tc>
        <w:tc>
          <w:tcPr>
            <w:tcW w:w="2693"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Jun 2015</w:t>
            </w:r>
            <w:r>
              <w:rPr>
                <w:bCs/>
                <w:snapToGrid w:val="0"/>
                <w:spacing w:val="-2"/>
              </w:rPr>
              <w:t xml:space="preserve"> (see r. 2(a));</w:t>
            </w:r>
            <w:r>
              <w:rPr>
                <w:bCs/>
                <w:snapToGrid w:val="0"/>
                <w:spacing w:val="-2"/>
              </w:rPr>
              <w:br/>
              <w:t>Regulations other than r. 1 and 2: 1 Jul 2015 (see r. 2(b))</w:t>
            </w:r>
          </w:p>
        </w:tc>
      </w:tr>
      <w:tr>
        <w:tc>
          <w:tcPr>
            <w:tcW w:w="7087"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(Water Corporations Charges) Regulations 2014</w:t>
            </w:r>
            <w:r>
              <w:rPr>
                <w:b/>
                <w:bCs/>
                <w:snapToGrid w:val="0"/>
                <w:spacing w:val="-2"/>
              </w:rPr>
              <w:t xml:space="preserve"> as at </w:t>
            </w:r>
            <w:r>
              <w:rPr>
                <w:b/>
                <w:bCs/>
                <w:snapToGrid w:val="0"/>
                <w:spacing w:val="-2"/>
              </w:rPr>
              <w:br/>
              <w:t>8 Jan 2016</w:t>
            </w:r>
            <w:r>
              <w:rPr>
                <w:bCs/>
                <w:snapToGrid w:val="0"/>
                <w:spacing w:val="-2"/>
              </w:rPr>
              <w:t xml:space="preserve"> (includes amendments listed above)</w:t>
            </w:r>
          </w:p>
        </w:tc>
      </w:tr>
      <w:tr>
        <w:tc>
          <w:tcPr>
            <w:tcW w:w="3147" w:type="dxa"/>
            <w:gridSpan w:val="2"/>
            <w:tcBorders>
              <w:top w:val="nil"/>
              <w:bottom w:val="nil"/>
            </w:tcBorders>
            <w:shd w:val="clear" w:color="auto" w:fill="auto"/>
          </w:tcPr>
          <w:p>
            <w:pPr>
              <w:pStyle w:val="nTable"/>
              <w:spacing w:after="40"/>
              <w:rPr>
                <w:b/>
                <w:bCs/>
                <w:snapToGrid w:val="0"/>
                <w:spacing w:val="-2"/>
              </w:rPr>
            </w:pPr>
            <w:r>
              <w:rPr>
                <w:i/>
              </w:rPr>
              <w:t>Water Services Amendment (Fees and Charges) Regulations 2016</w:t>
            </w:r>
            <w:r>
              <w:t xml:space="preserve"> Pt. 2</w:t>
            </w:r>
          </w:p>
        </w:tc>
        <w:tc>
          <w:tcPr>
            <w:tcW w:w="1276" w:type="dxa"/>
            <w:gridSpan w:val="2"/>
            <w:tcBorders>
              <w:top w:val="nil"/>
              <w:bottom w:val="nil"/>
            </w:tcBorders>
            <w:shd w:val="clear" w:color="auto" w:fill="auto"/>
          </w:tcPr>
          <w:p>
            <w:pPr>
              <w:pStyle w:val="nTable"/>
              <w:spacing w:after="40"/>
              <w:rPr>
                <w:b/>
                <w:bCs/>
                <w:snapToGrid w:val="0"/>
                <w:spacing w:val="-2"/>
              </w:rPr>
            </w:pPr>
            <w:r>
              <w:t>27 Jun 2016 p. 2531</w:t>
            </w:r>
            <w:r>
              <w:noBreakHyphen/>
              <w:t>620</w:t>
            </w:r>
          </w:p>
        </w:tc>
        <w:tc>
          <w:tcPr>
            <w:tcW w:w="2664" w:type="dxa"/>
            <w:tcBorders>
              <w:top w:val="nil"/>
              <w:bottom w:val="nil"/>
            </w:tcBorders>
            <w:shd w:val="clear" w:color="auto" w:fill="auto"/>
          </w:tcPr>
          <w:p>
            <w:pPr>
              <w:pStyle w:val="nTable"/>
              <w:spacing w:after="40"/>
              <w:rPr>
                <w:b/>
                <w:bCs/>
                <w:snapToGrid w:val="0"/>
                <w:spacing w:val="-2"/>
              </w:rPr>
            </w:pPr>
            <w:r>
              <w:rPr>
                <w:bCs/>
                <w:snapToGrid w:val="0"/>
                <w:spacing w:val="-2"/>
              </w:rPr>
              <w:t>1 Jul 2016 (see r. 2(b))</w:t>
            </w:r>
          </w:p>
        </w:tc>
      </w:tr>
      <w:tr>
        <w:tc>
          <w:tcPr>
            <w:tcW w:w="3147" w:type="dxa"/>
            <w:gridSpan w:val="2"/>
            <w:tcBorders>
              <w:top w:val="nil"/>
              <w:bottom w:val="nil"/>
            </w:tcBorders>
            <w:shd w:val="clear" w:color="auto" w:fill="auto"/>
          </w:tcPr>
          <w:p>
            <w:pPr>
              <w:pStyle w:val="nTable"/>
              <w:spacing w:after="40"/>
              <w:rPr>
                <w:b/>
                <w:bCs/>
                <w:snapToGrid w:val="0"/>
                <w:spacing w:val="-2"/>
              </w:rPr>
            </w:pPr>
            <w:r>
              <w:rPr>
                <w:i/>
              </w:rPr>
              <w:t>Water Services Legislation Amendment Regulations 2016</w:t>
            </w:r>
            <w:r>
              <w:t xml:space="preserve"> Pt. 3</w:t>
            </w:r>
          </w:p>
        </w:tc>
        <w:tc>
          <w:tcPr>
            <w:tcW w:w="1276" w:type="dxa"/>
            <w:gridSpan w:val="2"/>
            <w:tcBorders>
              <w:top w:val="nil"/>
              <w:bottom w:val="nil"/>
            </w:tcBorders>
            <w:shd w:val="clear" w:color="auto" w:fill="auto"/>
          </w:tcPr>
          <w:p>
            <w:pPr>
              <w:pStyle w:val="nTable"/>
              <w:spacing w:after="40"/>
              <w:rPr>
                <w:b/>
                <w:bCs/>
                <w:snapToGrid w:val="0"/>
                <w:spacing w:val="-2"/>
              </w:rPr>
            </w:pPr>
            <w:r>
              <w:t>13 Dec 2016 p. 5659</w:t>
            </w:r>
            <w:r>
              <w:noBreakHyphen/>
              <w:t>94</w:t>
            </w:r>
          </w:p>
        </w:tc>
        <w:tc>
          <w:tcPr>
            <w:tcW w:w="2664" w:type="dxa"/>
            <w:tcBorders>
              <w:top w:val="nil"/>
              <w:bottom w:val="nil"/>
            </w:tcBorders>
            <w:shd w:val="clear" w:color="auto" w:fill="auto"/>
          </w:tcPr>
          <w:p>
            <w:pPr>
              <w:pStyle w:val="nTable"/>
              <w:spacing w:after="40"/>
              <w:rPr>
                <w:b/>
                <w:bCs/>
                <w:snapToGrid w:val="0"/>
                <w:spacing w:val="-2"/>
              </w:rPr>
            </w:pPr>
            <w:r>
              <w:rPr>
                <w:bCs/>
                <w:snapToGrid w:val="0"/>
                <w:spacing w:val="-2"/>
              </w:rPr>
              <w:t>14 Dec 2016 (see r. 2(b))</w:t>
            </w:r>
          </w:p>
        </w:tc>
      </w:tr>
      <w:tr>
        <w:tc>
          <w:tcPr>
            <w:tcW w:w="3147" w:type="dxa"/>
            <w:gridSpan w:val="2"/>
            <w:tcBorders>
              <w:top w:val="nil"/>
              <w:bottom w:val="nil"/>
            </w:tcBorders>
            <w:shd w:val="clear" w:color="auto" w:fill="auto"/>
          </w:tcPr>
          <w:p>
            <w:pPr>
              <w:pStyle w:val="nTable"/>
              <w:spacing w:after="40"/>
            </w:pPr>
            <w:r>
              <w:rPr>
                <w:i/>
              </w:rPr>
              <w:t>Water Services Regulations Amendment (Fees and Charges) Regulations 2017</w:t>
            </w:r>
            <w:r>
              <w:t xml:space="preserve"> Pt. 2</w:t>
            </w:r>
          </w:p>
        </w:tc>
        <w:tc>
          <w:tcPr>
            <w:tcW w:w="1276" w:type="dxa"/>
            <w:gridSpan w:val="2"/>
            <w:tcBorders>
              <w:top w:val="nil"/>
              <w:bottom w:val="nil"/>
            </w:tcBorders>
            <w:shd w:val="clear" w:color="auto" w:fill="auto"/>
          </w:tcPr>
          <w:p>
            <w:pPr>
              <w:pStyle w:val="nTable"/>
              <w:spacing w:after="40"/>
            </w:pPr>
            <w:r>
              <w:t>23 Jun 2017 p. 3317</w:t>
            </w:r>
            <w:r>
              <w:noBreakHyphen/>
              <w:t>403</w:t>
            </w:r>
          </w:p>
        </w:tc>
        <w:tc>
          <w:tcPr>
            <w:tcW w:w="2664" w:type="dxa"/>
            <w:tcBorders>
              <w:top w:val="nil"/>
              <w:bottom w:val="nil"/>
            </w:tcBorders>
            <w:shd w:val="clear" w:color="auto" w:fill="auto"/>
          </w:tcPr>
          <w:p>
            <w:pPr>
              <w:pStyle w:val="nTable"/>
              <w:spacing w:after="40"/>
              <w:rPr>
                <w:bCs/>
                <w:snapToGrid w:val="0"/>
                <w:spacing w:val="-2"/>
              </w:rPr>
            </w:pPr>
            <w:r>
              <w:rPr>
                <w:bCs/>
                <w:snapToGrid w:val="0"/>
                <w:spacing w:val="-2"/>
              </w:rPr>
              <w:t>1 Jul 2017 (see r. 2(b))</w:t>
            </w:r>
          </w:p>
        </w:tc>
      </w:tr>
      <w:tr>
        <w:tc>
          <w:tcPr>
            <w:tcW w:w="3147" w:type="dxa"/>
            <w:gridSpan w:val="2"/>
            <w:tcBorders>
              <w:top w:val="nil"/>
              <w:bottom w:val="nil"/>
            </w:tcBorders>
            <w:shd w:val="clear" w:color="auto" w:fill="auto"/>
          </w:tcPr>
          <w:p>
            <w:pPr>
              <w:pStyle w:val="nTable"/>
              <w:spacing w:after="40"/>
              <w:rPr>
                <w:i/>
              </w:rPr>
            </w:pPr>
            <w:bookmarkStart w:id="656" w:name="OLE_LINK1"/>
            <w:r>
              <w:rPr>
                <w:i/>
              </w:rPr>
              <w:t>Water Services (Water Corporations Charges) Amendment Regulations 2017</w:t>
            </w:r>
            <w:bookmarkEnd w:id="656"/>
          </w:p>
        </w:tc>
        <w:tc>
          <w:tcPr>
            <w:tcW w:w="1276" w:type="dxa"/>
            <w:gridSpan w:val="2"/>
            <w:tcBorders>
              <w:top w:val="nil"/>
              <w:bottom w:val="nil"/>
            </w:tcBorders>
            <w:shd w:val="clear" w:color="auto" w:fill="auto"/>
          </w:tcPr>
          <w:p>
            <w:pPr>
              <w:pStyle w:val="nTable"/>
              <w:spacing w:after="40"/>
            </w:pPr>
            <w:r>
              <w:t>4 Aug 2017 p. 4316</w:t>
            </w:r>
            <w:r>
              <w:noBreakHyphen/>
              <w:t>17</w:t>
            </w:r>
          </w:p>
        </w:tc>
        <w:tc>
          <w:tcPr>
            <w:tcW w:w="2664"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4 Aug 2017</w:t>
            </w:r>
            <w:r>
              <w:rPr>
                <w:bCs/>
                <w:snapToGrid w:val="0"/>
                <w:spacing w:val="-2"/>
              </w:rPr>
              <w:t xml:space="preserve"> (see r. 2(a));</w:t>
            </w:r>
            <w:r>
              <w:rPr>
                <w:bCs/>
                <w:snapToGrid w:val="0"/>
                <w:spacing w:val="-2"/>
              </w:rPr>
              <w:br/>
              <w:t>Regulations other than r. 1 and 2: 5 Aug 2017 (see r. 2(b))</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4</w:t>
            </w:r>
          </w:p>
        </w:tc>
        <w:tc>
          <w:tcPr>
            <w:tcW w:w="1276" w:type="dxa"/>
            <w:gridSpan w:val="2"/>
            <w:tcBorders>
              <w:top w:val="nil"/>
              <w:bottom w:val="nil"/>
            </w:tcBorders>
            <w:shd w:val="clear" w:color="auto" w:fill="auto"/>
          </w:tcPr>
          <w:p>
            <w:pPr>
              <w:pStyle w:val="nTable"/>
              <w:spacing w:after="40"/>
            </w:pPr>
            <w:r>
              <w:t>15 Sep 2017 p. 4794</w:t>
            </w:r>
            <w:r>
              <w:noBreakHyphen/>
              <w:t>6</w:t>
            </w:r>
          </w:p>
        </w:tc>
        <w:tc>
          <w:tcPr>
            <w:tcW w:w="2693" w:type="dxa"/>
            <w:gridSpan w:val="2"/>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lastRenderedPageBreak/>
              <w:t>Water Services Regulations Amendment (Fees and Charges) Regulations 2018</w:t>
            </w:r>
            <w:r>
              <w:t xml:space="preserve"> Pt. 2</w:t>
            </w:r>
          </w:p>
        </w:tc>
        <w:tc>
          <w:tcPr>
            <w:tcW w:w="1276" w:type="dxa"/>
            <w:gridSpan w:val="2"/>
            <w:tcBorders>
              <w:top w:val="nil"/>
              <w:bottom w:val="nil"/>
            </w:tcBorders>
            <w:shd w:val="clear" w:color="auto" w:fill="auto"/>
          </w:tcPr>
          <w:p>
            <w:pPr>
              <w:pStyle w:val="nTable"/>
              <w:spacing w:after="40"/>
            </w:pPr>
            <w:r>
              <w:t>22 Jun 2018 p. 2211</w:t>
            </w:r>
            <w:r>
              <w:noBreakHyphen/>
              <w:t>95</w:t>
            </w:r>
          </w:p>
        </w:tc>
        <w:tc>
          <w:tcPr>
            <w:tcW w:w="2693" w:type="dxa"/>
            <w:gridSpan w:val="2"/>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14 Jun 2019 p. 1929</w:t>
            </w:r>
            <w:r>
              <w:noBreakHyphen/>
              <w:t>2010</w:t>
            </w:r>
          </w:p>
        </w:tc>
        <w:tc>
          <w:tcPr>
            <w:tcW w:w="2693" w:type="dxa"/>
            <w:gridSpan w:val="2"/>
            <w:tcBorders>
              <w:top w:val="nil"/>
              <w:bottom w:val="nil"/>
            </w:tcBorders>
            <w:shd w:val="clear" w:color="auto" w:fill="auto"/>
          </w:tcPr>
          <w:p>
            <w:pPr>
              <w:pStyle w:val="nTable"/>
              <w:spacing w:after="40"/>
              <w:rPr>
                <w:bCs/>
                <w:snapToGrid w:val="0"/>
                <w:spacing w:val="-2"/>
              </w:rPr>
            </w:pPr>
            <w:r>
              <w:rPr>
                <w:bCs/>
                <w:snapToGrid w:val="0"/>
                <w:spacing w:val="-2"/>
              </w:rP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w:t>
            </w:r>
            <w:r>
              <w:rPr>
                <w:b/>
              </w:rPr>
              <w:t> </w:t>
            </w:r>
            <w:r>
              <w:t>3</w:t>
            </w:r>
          </w:p>
        </w:tc>
        <w:tc>
          <w:tcPr>
            <w:tcW w:w="1276" w:type="dxa"/>
            <w:gridSpan w:val="2"/>
            <w:tcBorders>
              <w:top w:val="nil"/>
              <w:bottom w:val="nil"/>
            </w:tcBorders>
            <w:shd w:val="clear" w:color="auto" w:fill="auto"/>
          </w:tcPr>
          <w:p>
            <w:pPr>
              <w:pStyle w:val="nTable"/>
              <w:spacing w:after="40"/>
            </w:pPr>
            <w:r>
              <w:t>31 Dec 2019 p. 4663</w:t>
            </w:r>
            <w:r>
              <w:noBreakHyphen/>
              <w:t>5</w:t>
            </w:r>
          </w:p>
        </w:tc>
        <w:tc>
          <w:tcPr>
            <w:tcW w:w="2693" w:type="dxa"/>
            <w:gridSpan w:val="2"/>
            <w:tcBorders>
              <w:top w:val="nil"/>
              <w:bottom w:val="nil"/>
            </w:tcBorders>
            <w:shd w:val="clear" w:color="auto" w:fill="auto"/>
          </w:tcPr>
          <w:p>
            <w:pPr>
              <w:pStyle w:val="nTable"/>
              <w:spacing w:after="40"/>
              <w:rPr>
                <w:bCs/>
                <w:snapToGrid w:val="0"/>
                <w:spacing w:val="-2"/>
              </w:rPr>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2</w:t>
            </w:r>
          </w:p>
        </w:tc>
        <w:tc>
          <w:tcPr>
            <w:tcW w:w="1276" w:type="dxa"/>
            <w:gridSpan w:val="2"/>
            <w:tcBorders>
              <w:top w:val="nil"/>
              <w:bottom w:val="nil"/>
            </w:tcBorders>
            <w:shd w:val="clear" w:color="auto" w:fill="auto"/>
          </w:tcPr>
          <w:p>
            <w:pPr>
              <w:pStyle w:val="nTable"/>
              <w:spacing w:after="40"/>
            </w:pPr>
            <w:r>
              <w:t>SL 2020/95 26 Jun 2020</w:t>
            </w:r>
          </w:p>
        </w:tc>
        <w:tc>
          <w:tcPr>
            <w:tcW w:w="2693" w:type="dxa"/>
            <w:gridSpan w:val="2"/>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(Water Corporations Charges) Amendment Regulations 2020</w:t>
            </w:r>
          </w:p>
        </w:tc>
        <w:tc>
          <w:tcPr>
            <w:tcW w:w="1276" w:type="dxa"/>
            <w:gridSpan w:val="2"/>
            <w:tcBorders>
              <w:top w:val="nil"/>
              <w:bottom w:val="nil"/>
            </w:tcBorders>
            <w:shd w:val="clear" w:color="auto" w:fill="auto"/>
          </w:tcPr>
          <w:p>
            <w:pPr>
              <w:pStyle w:val="nTable"/>
              <w:spacing w:after="40"/>
            </w:pPr>
            <w:r>
              <w:t>SL 2020/177 25 Sep 2020</w:t>
            </w:r>
          </w:p>
        </w:tc>
        <w:tc>
          <w:tcPr>
            <w:tcW w:w="2693" w:type="dxa"/>
            <w:gridSpan w:val="2"/>
            <w:tcBorders>
              <w:top w:val="nil"/>
              <w:bottom w:val="nil"/>
            </w:tcBorders>
            <w:shd w:val="clear" w:color="auto" w:fill="auto"/>
          </w:tcPr>
          <w:p>
            <w:pPr>
              <w:pStyle w:val="nTable"/>
              <w:spacing w:after="40"/>
            </w:pPr>
            <w:r>
              <w:rPr>
                <w:bCs/>
                <w:snapToGrid w:val="0"/>
              </w:rPr>
              <w:t>r. 1 and 2: 25</w:t>
            </w:r>
            <w:r>
              <w:t> Sep 2020</w:t>
            </w:r>
            <w:r>
              <w:rPr>
                <w:bCs/>
                <w:snapToGrid w:val="0"/>
              </w:rPr>
              <w:t xml:space="preserve"> (see r. 2(a));</w:t>
            </w:r>
            <w:r>
              <w:rPr>
                <w:bCs/>
                <w:snapToGrid w:val="0"/>
              </w:rPr>
              <w:br/>
              <w:t>Regulations other than r. 1 and 2: 26 Sep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3</w:t>
            </w:r>
            <w:r>
              <w:rPr>
                <w:i/>
              </w:rPr>
              <w:t xml:space="preserve"> </w:t>
            </w:r>
          </w:p>
        </w:tc>
        <w:tc>
          <w:tcPr>
            <w:tcW w:w="1276" w:type="dxa"/>
            <w:gridSpan w:val="2"/>
            <w:tcBorders>
              <w:top w:val="nil"/>
              <w:bottom w:val="nil"/>
            </w:tcBorders>
            <w:shd w:val="clear" w:color="auto" w:fill="auto"/>
          </w:tcPr>
          <w:p>
            <w:pPr>
              <w:pStyle w:val="nTable"/>
              <w:spacing w:after="40"/>
            </w:pPr>
            <w:r>
              <w:t>SL 2021/79 18 Jun 2021</w:t>
            </w:r>
          </w:p>
        </w:tc>
        <w:tc>
          <w:tcPr>
            <w:tcW w:w="2693" w:type="dxa"/>
            <w:gridSpan w:val="2"/>
            <w:tcBorders>
              <w:top w:val="nil"/>
              <w:bottom w:val="nil"/>
            </w:tcBorders>
            <w:shd w:val="clear" w:color="auto" w:fill="auto"/>
          </w:tcPr>
          <w:p>
            <w:pPr>
              <w:pStyle w:val="nTable"/>
              <w:spacing w:after="40"/>
              <w:rPr>
                <w:bCs/>
                <w:snapToGrid w:val="0"/>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2</w:t>
            </w:r>
          </w:p>
        </w:tc>
        <w:tc>
          <w:tcPr>
            <w:tcW w:w="1276" w:type="dxa"/>
            <w:gridSpan w:val="2"/>
            <w:tcBorders>
              <w:top w:val="nil"/>
              <w:bottom w:val="nil"/>
            </w:tcBorders>
            <w:shd w:val="clear" w:color="auto" w:fill="auto"/>
          </w:tcPr>
          <w:p>
            <w:pPr>
              <w:pStyle w:val="nTable"/>
              <w:spacing w:after="40"/>
            </w:pPr>
            <w:r>
              <w:t>SL 2021/80 18 Jun 2021</w:t>
            </w:r>
          </w:p>
        </w:tc>
        <w:tc>
          <w:tcPr>
            <w:tcW w:w="2693" w:type="dxa"/>
            <w:gridSpan w:val="2"/>
            <w:tcBorders>
              <w:top w:val="nil"/>
              <w:bottom w:val="nil"/>
            </w:tcBorders>
            <w:shd w:val="clear" w:color="auto" w:fill="auto"/>
          </w:tcPr>
          <w:p>
            <w:pPr>
              <w:pStyle w:val="nTable"/>
              <w:spacing w:after="40"/>
              <w:rPr>
                <w:bCs/>
                <w:snapToGrid w:val="0"/>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(Water Corporations Charges) Amendment Regulations 2021</w:t>
            </w:r>
          </w:p>
        </w:tc>
        <w:tc>
          <w:tcPr>
            <w:tcW w:w="1276" w:type="dxa"/>
            <w:gridSpan w:val="2"/>
            <w:tcBorders>
              <w:top w:val="nil"/>
              <w:bottom w:val="nil"/>
            </w:tcBorders>
            <w:shd w:val="clear" w:color="auto" w:fill="auto"/>
          </w:tcPr>
          <w:p>
            <w:pPr>
              <w:pStyle w:val="nTable"/>
              <w:spacing w:after="40"/>
            </w:pPr>
            <w:r>
              <w:t>SL 2021/128 16 Jul 2021</w:t>
            </w:r>
          </w:p>
        </w:tc>
        <w:tc>
          <w:tcPr>
            <w:tcW w:w="2693" w:type="dxa"/>
            <w:gridSpan w:val="2"/>
            <w:tcBorders>
              <w:top w:val="nil"/>
              <w:bottom w:val="nil"/>
            </w:tcBorders>
            <w:shd w:val="clear" w:color="auto" w:fill="auto"/>
          </w:tcPr>
          <w:p>
            <w:pPr>
              <w:pStyle w:val="nTable"/>
              <w:spacing w:after="40"/>
            </w:pPr>
            <w:r>
              <w:rPr>
                <w:bCs/>
                <w:snapToGrid w:val="0"/>
              </w:rPr>
              <w:t xml:space="preserve">r. 1 and 2: </w:t>
            </w:r>
            <w:r>
              <w:t>16 Jul 2021</w:t>
            </w:r>
            <w:r>
              <w:rPr>
                <w:bCs/>
                <w:snapToGrid w:val="0"/>
              </w:rPr>
              <w:t xml:space="preserve"> (see r. 2(a));</w:t>
            </w:r>
            <w:r>
              <w:rPr>
                <w:bCs/>
                <w:snapToGrid w:val="0"/>
              </w:rPr>
              <w:br/>
              <w:t xml:space="preserve">Regulations other than r. 1 and 2: </w:t>
            </w:r>
            <w:r>
              <w:t>1 Aug 2021 (see r. 2(b) and SL 2021/124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(Water Corporations Charges) Amendment Regulations (No. 2) 2021</w:t>
            </w:r>
          </w:p>
        </w:tc>
        <w:tc>
          <w:tcPr>
            <w:tcW w:w="1276" w:type="dxa"/>
            <w:gridSpan w:val="2"/>
            <w:tcBorders>
              <w:top w:val="nil"/>
              <w:bottom w:val="nil"/>
            </w:tcBorders>
            <w:shd w:val="clear" w:color="auto" w:fill="auto"/>
          </w:tcPr>
          <w:p>
            <w:pPr>
              <w:pStyle w:val="nTable"/>
              <w:spacing w:after="40"/>
            </w:pPr>
            <w:r>
              <w:t>SL 2021/144 13 Aug 2021</w:t>
            </w:r>
          </w:p>
        </w:tc>
        <w:tc>
          <w:tcPr>
            <w:tcW w:w="2693" w:type="dxa"/>
            <w:gridSpan w:val="2"/>
            <w:tcBorders>
              <w:top w:val="nil"/>
              <w:bottom w:val="nil"/>
            </w:tcBorders>
            <w:shd w:val="clear" w:color="auto" w:fill="auto"/>
          </w:tcPr>
          <w:p>
            <w:pPr>
              <w:pStyle w:val="nTable"/>
              <w:spacing w:after="40"/>
              <w:rPr>
                <w:bCs/>
                <w:snapToGrid w:val="0"/>
              </w:rPr>
            </w:pPr>
            <w:r>
              <w:rPr>
                <w:bCs/>
                <w:snapToGrid w:val="0"/>
              </w:rPr>
              <w:t xml:space="preserve">r. 1 and 2: </w:t>
            </w:r>
            <w:r>
              <w:t>13 Aug 2021</w:t>
            </w:r>
            <w:r>
              <w:rPr>
                <w:bCs/>
                <w:snapToGrid w:val="0"/>
              </w:rPr>
              <w:t xml:space="preserve"> (see r. 2(a));</w:t>
            </w:r>
            <w:r>
              <w:rPr>
                <w:bCs/>
                <w:snapToGrid w:val="0"/>
              </w:rPr>
              <w:br/>
              <w:t xml:space="preserve">Regulations other than r. 1 and 2: </w:t>
            </w:r>
            <w:r>
              <w:t>14 Aug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(Water Corporations Charges) Amendment Regulations 2022</w:t>
            </w:r>
          </w:p>
        </w:tc>
        <w:tc>
          <w:tcPr>
            <w:tcW w:w="1276" w:type="dxa"/>
            <w:gridSpan w:val="2"/>
            <w:tcBorders>
              <w:top w:val="nil"/>
              <w:bottom w:val="nil"/>
            </w:tcBorders>
            <w:shd w:val="clear" w:color="auto" w:fill="auto"/>
          </w:tcPr>
          <w:p>
            <w:pPr>
              <w:pStyle w:val="nTable"/>
              <w:spacing w:after="40"/>
            </w:pPr>
            <w:r>
              <w:t>SL 2022/2 18 Jan 2022</w:t>
            </w:r>
          </w:p>
        </w:tc>
        <w:tc>
          <w:tcPr>
            <w:tcW w:w="2693" w:type="dxa"/>
            <w:gridSpan w:val="2"/>
            <w:tcBorders>
              <w:top w:val="nil"/>
              <w:bottom w:val="nil"/>
            </w:tcBorders>
            <w:shd w:val="clear" w:color="auto" w:fill="auto"/>
          </w:tcPr>
          <w:p>
            <w:pPr>
              <w:pStyle w:val="nTable"/>
              <w:spacing w:after="40"/>
              <w:rPr>
                <w:bCs/>
                <w:snapToGrid w:val="0"/>
              </w:rPr>
            </w:pPr>
            <w:r>
              <w:rPr>
                <w:bCs/>
                <w:snapToGrid w:val="0"/>
              </w:rPr>
              <w:t xml:space="preserve">r. 1 and 2: </w:t>
            </w:r>
            <w:r>
              <w:t>18 Jan 2022</w:t>
            </w:r>
            <w:r>
              <w:rPr>
                <w:bCs/>
                <w:snapToGrid w:val="0"/>
              </w:rPr>
              <w:t xml:space="preserve"> (see r. 2(a));</w:t>
            </w:r>
            <w:r>
              <w:rPr>
                <w:bCs/>
                <w:snapToGrid w:val="0"/>
              </w:rPr>
              <w:br/>
            </w:r>
            <w:r>
              <w:t>Regulations other than r. 1 and 2: 1 Jul 2022 (see r. 2(b) and SL 2022/77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2022/82 17 Jun 2022</w:t>
            </w:r>
          </w:p>
        </w:tc>
        <w:tc>
          <w:tcPr>
            <w:tcW w:w="2693" w:type="dxa"/>
            <w:gridSpan w:val="2"/>
            <w:tcBorders>
              <w:top w:val="nil"/>
              <w:bottom w:val="nil"/>
            </w:tcBorders>
            <w:shd w:val="clear" w:color="auto" w:fill="auto"/>
          </w:tcPr>
          <w:p>
            <w:pPr>
              <w:pStyle w:val="nTable"/>
              <w:spacing w:after="40"/>
              <w:rPr>
                <w:bCs/>
                <w:snapToGrid w:val="0"/>
              </w:rPr>
            </w:pPr>
            <w:r>
              <w:t>1 Jul 2022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2023</w:t>
            </w:r>
            <w:r>
              <w:t xml:space="preserve"> Pt. 2</w:t>
            </w:r>
          </w:p>
        </w:tc>
        <w:tc>
          <w:tcPr>
            <w:tcW w:w="1276" w:type="dxa"/>
            <w:gridSpan w:val="2"/>
            <w:tcBorders>
              <w:top w:val="nil"/>
              <w:bottom w:val="nil"/>
            </w:tcBorders>
            <w:shd w:val="clear" w:color="auto" w:fill="auto"/>
          </w:tcPr>
          <w:p>
            <w:pPr>
              <w:pStyle w:val="nTable"/>
              <w:spacing w:after="40"/>
            </w:pPr>
            <w:r>
              <w:t>SL 2023/66 16 Jun 2023</w:t>
            </w:r>
          </w:p>
        </w:tc>
        <w:tc>
          <w:tcPr>
            <w:tcW w:w="2693" w:type="dxa"/>
            <w:gridSpan w:val="2"/>
            <w:tcBorders>
              <w:top w:val="nil"/>
              <w:bottom w:val="nil"/>
            </w:tcBorders>
            <w:shd w:val="clear" w:color="auto" w:fill="auto"/>
          </w:tcPr>
          <w:p>
            <w:pPr>
              <w:pStyle w:val="nTable"/>
              <w:spacing w:after="40"/>
            </w:pPr>
            <w:r>
              <w:t>1 Jul 2023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lastRenderedPageBreak/>
              <w:t xml:space="preserve">Water Services Regulations Amendment (Fees and Charges) Regulations 2024 </w:t>
            </w:r>
            <w:r>
              <w:rPr>
                <w:iCs/>
              </w:rPr>
              <w:t>Pt. 3</w:t>
            </w:r>
          </w:p>
        </w:tc>
        <w:tc>
          <w:tcPr>
            <w:tcW w:w="1276" w:type="dxa"/>
            <w:gridSpan w:val="2"/>
            <w:tcBorders>
              <w:top w:val="nil"/>
              <w:bottom w:val="single" w:sz="4" w:space="0" w:color="auto"/>
            </w:tcBorders>
            <w:shd w:val="clear" w:color="auto" w:fill="auto"/>
          </w:tcPr>
          <w:p>
            <w:pPr>
              <w:pStyle w:val="nTable"/>
              <w:spacing w:after="40"/>
            </w:pPr>
            <w:r>
              <w:t>SL 2024/117 26 Jun 2024</w:t>
            </w:r>
          </w:p>
        </w:tc>
        <w:tc>
          <w:tcPr>
            <w:tcW w:w="2693" w:type="dxa"/>
            <w:gridSpan w:val="2"/>
            <w:tcBorders>
              <w:top w:val="nil"/>
              <w:bottom w:val="single" w:sz="4" w:space="0" w:color="auto"/>
            </w:tcBorders>
            <w:shd w:val="clear" w:color="auto" w:fill="auto"/>
          </w:tcPr>
          <w:p>
            <w:pPr>
              <w:pStyle w:val="nTable"/>
              <w:spacing w:after="40"/>
            </w:pPr>
            <w:r>
              <w:t>1 Jul 2024 (see r. 2(b))</w:t>
            </w:r>
          </w:p>
        </w:tc>
      </w:tr>
    </w:tbl>
    <w:p>
      <w:pPr>
        <w:pStyle w:val="nHeading3"/>
      </w:pPr>
      <w:bookmarkStart w:id="657" w:name="_Toc170209319"/>
      <w:r>
        <w:t>Other notes</w:t>
      </w:r>
      <w:bookmarkEnd w:id="657"/>
    </w:p>
    <w:p>
      <w:pPr>
        <w:pStyle w:val="nNote"/>
        <w:spacing w:before="160"/>
      </w:pPr>
      <w:r>
        <w:rPr>
          <w:vertAlign w:val="superscript"/>
        </w:rPr>
        <w:t>1</w:t>
      </w:r>
      <w:r>
        <w:tab/>
        <w:t xml:space="preserve">The </w:t>
      </w:r>
      <w:r>
        <w:rPr>
          <w:i/>
        </w:rPr>
        <w:t>Country Town Sewage By</w:t>
      </w:r>
      <w:r>
        <w:rPr>
          <w:i/>
        </w:rPr>
        <w:noBreakHyphen/>
        <w:t>laws 1952</w:t>
      </w:r>
      <w:r>
        <w:t xml:space="preserve"> were repealed by the </w:t>
      </w:r>
      <w:r>
        <w:rPr>
          <w:i/>
        </w:rPr>
        <w:t>Water Services Legislation Amendment and Repeal Act 2012</w:t>
      </w:r>
      <w:r>
        <w:t xml:space="preserve"> s. 200(b) on 18 Nov 2013.</w:t>
      </w:r>
    </w:p>
    <w:p>
      <w:pPr>
        <w:pStyle w:val="nNote"/>
      </w:pPr>
      <w:r>
        <w:rPr>
          <w:vertAlign w:val="superscript"/>
        </w:rPr>
        <w:t>2</w:t>
      </w:r>
      <w:r>
        <w:tab/>
        <w:t xml:space="preserve">The </w:t>
      </w:r>
      <w:r>
        <w:rPr>
          <w:i/>
        </w:rPr>
        <w:t>Water Agencies (Charges) By</w:t>
      </w:r>
      <w:r>
        <w:rPr>
          <w:i/>
        </w:rPr>
        <w:noBreakHyphen/>
        <w:t xml:space="preserve">laws 1987 </w:t>
      </w:r>
      <w:r>
        <w:t xml:space="preserve">were repealed by the </w:t>
      </w:r>
      <w:r>
        <w:rPr>
          <w:i/>
        </w:rPr>
        <w:t>Water Services Legislation Amendment and Repeal Act 2012</w:t>
      </w:r>
      <w:r>
        <w:t xml:space="preserve"> s. 202(b) on 1 Jul 2014.</w:t>
      </w:r>
    </w:p>
    <w:p>
      <w:pPr>
        <w:pStyle w:val="nNote"/>
      </w:pPr>
      <w:r>
        <w:rPr>
          <w:vertAlign w:val="superscript"/>
        </w:rPr>
        <w:t>3</w:t>
      </w:r>
      <w:r>
        <w:tab/>
        <w:t xml:space="preserve">The </w:t>
      </w:r>
      <w:r>
        <w:rPr>
          <w:i/>
        </w:rPr>
        <w:t xml:space="preserve">Country Towns Sewerage Act 1948 </w:t>
      </w:r>
      <w:r>
        <w:t>was repealed by the</w:t>
      </w:r>
      <w:r>
        <w:rPr>
          <w:i/>
        </w:rPr>
        <w:t xml:space="preserve"> Water Services Legislation Amendment and Repeal Act 2012</w:t>
      </w:r>
      <w:r>
        <w:t xml:space="preserve"> s. 200(a) on 18 Nov 2013. </w:t>
      </w:r>
    </w:p>
    <w:p>
      <w:pPr>
        <w:pStyle w:val="nNote"/>
      </w:pPr>
      <w:r>
        <w:rPr>
          <w:vertAlign w:val="superscript"/>
        </w:rPr>
        <w:t>4</w:t>
      </w:r>
      <w:r>
        <w:tab/>
        <w:t xml:space="preserve">The </w:t>
      </w:r>
      <w:r>
        <w:rPr>
          <w:i/>
        </w:rPr>
        <w:t xml:space="preserve">Metropolitan Water Authority Act 1982 </w:t>
      </w:r>
      <w:r>
        <w:t>is now known as the</w:t>
      </w:r>
      <w:r>
        <w:rPr>
          <w:i/>
        </w:rPr>
        <w:t xml:space="preserve"> Metropolitan Arterial Drainage Act 1982</w:t>
      </w:r>
      <w:r>
        <w:t xml:space="preserve">. The short title was changed by the </w:t>
      </w:r>
      <w:r>
        <w:rPr>
          <w:i/>
        </w:rPr>
        <w:t>Water Services Legislation Amendment and Repeal Act 2012</w:t>
      </w:r>
      <w:r>
        <w:t xml:space="preserve"> s. 22 which commenced 18 Nov 2013.</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659" w:name="_Toc170136952"/>
      <w:bookmarkStart w:id="660" w:name="_Toc170138964"/>
      <w:bookmarkStart w:id="661" w:name="_Toc170203825"/>
      <w:bookmarkStart w:id="662" w:name="_Toc170209320"/>
      <w:r>
        <w:rPr>
          <w:sz w:val="28"/>
        </w:rPr>
        <w:lastRenderedPageBreak/>
        <w:t>Defined terms</w:t>
      </w:r>
      <w:bookmarkEnd w:id="659"/>
      <w:bookmarkEnd w:id="660"/>
      <w:bookmarkEnd w:id="661"/>
      <w:bookmarkEnd w:id="6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analysis</w:t>
      </w:r>
      <w:r>
        <w:tab/>
        <w:t>Sch. 7 cl. 11(1)</w:t>
      </w:r>
    </w:p>
    <w:p>
      <w:pPr>
        <w:pStyle w:val="DefinedTerms"/>
      </w:pPr>
      <w:r>
        <w:t>aged home</w:t>
      </w:r>
      <w:r>
        <w:tab/>
        <w:t>16(1)</w:t>
      </w:r>
    </w:p>
    <w:p>
      <w:pPr>
        <w:pStyle w:val="DefinedTerms"/>
      </w:pPr>
      <w:r>
        <w:t>alienated land</w:t>
      </w:r>
      <w:r>
        <w:tab/>
        <w:t>16(1)</w:t>
      </w:r>
    </w:p>
    <w:p>
      <w:pPr>
        <w:pStyle w:val="DefinedTerms"/>
      </w:pPr>
      <w:r>
        <w:t>approved meter</w:t>
      </w:r>
      <w:r>
        <w:tab/>
        <w:t>23(1)</w:t>
      </w:r>
    </w:p>
    <w:p>
      <w:pPr>
        <w:pStyle w:val="DefinedTerms"/>
      </w:pPr>
      <w:r>
        <w:t>B.O.D.</w:t>
      </w:r>
      <w:r>
        <w:tab/>
        <w:t>Sch. 4 cl. 32(1)</w:t>
      </w:r>
    </w:p>
    <w:p>
      <w:pPr>
        <w:pStyle w:val="DefinedTerms"/>
      </w:pPr>
      <w:r>
        <w:t>boundary volume</w:t>
      </w:r>
      <w:r>
        <w:tab/>
        <w:t>16(1)</w:t>
      </w:r>
    </w:p>
    <w:p>
      <w:pPr>
        <w:pStyle w:val="DefinedTerms"/>
      </w:pPr>
      <w:r>
        <w:t>caravan bay</w:t>
      </w:r>
      <w:r>
        <w:tab/>
        <w:t>16(1)</w:t>
      </w:r>
    </w:p>
    <w:p>
      <w:pPr>
        <w:pStyle w:val="DefinedTerms"/>
      </w:pPr>
      <w:r>
        <w:t>central business districts</w:t>
      </w:r>
      <w:r>
        <w:tab/>
        <w:t>16(1)</w:t>
      </w:r>
    </w:p>
    <w:p>
      <w:pPr>
        <w:pStyle w:val="DefinedTerms"/>
      </w:pPr>
      <w:r>
        <w:t>change of circumstances</w:t>
      </w:r>
      <w:r>
        <w:tab/>
        <w:t>16(1)</w:t>
      </w:r>
    </w:p>
    <w:p>
      <w:pPr>
        <w:pStyle w:val="DefinedTerms"/>
      </w:pPr>
      <w:r>
        <w:t>charge period</w:t>
      </w:r>
      <w:r>
        <w:tab/>
        <w:t>3(1)</w:t>
      </w:r>
    </w:p>
    <w:p>
      <w:pPr>
        <w:pStyle w:val="DefinedTerms"/>
      </w:pPr>
      <w:r>
        <w:t>charitable purposes</w:t>
      </w:r>
      <w:r>
        <w:tab/>
        <w:t>16(1)</w:t>
      </w:r>
    </w:p>
    <w:p>
      <w:pPr>
        <w:pStyle w:val="DefinedTerms"/>
      </w:pPr>
      <w:r>
        <w:t>c/kg</w:t>
      </w:r>
      <w:r>
        <w:tab/>
        <w:t>Sch. 4 cl. 32(1)</w:t>
      </w:r>
    </w:p>
    <w:p>
      <w:pPr>
        <w:pStyle w:val="DefinedTerms"/>
      </w:pPr>
      <w:r>
        <w:t>c/kL</w:t>
      </w:r>
      <w:r>
        <w:tab/>
        <w:t>Sch. 4 cl. 32(1)</w:t>
      </w:r>
    </w:p>
    <w:p>
      <w:pPr>
        <w:pStyle w:val="DefinedTerms"/>
      </w:pPr>
      <w:r>
        <w:t>combined charge</w:t>
      </w:r>
      <w:r>
        <w:tab/>
        <w:t>42(1)</w:t>
      </w:r>
    </w:p>
    <w:p>
      <w:pPr>
        <w:pStyle w:val="DefinedTerms"/>
      </w:pPr>
      <w:r>
        <w:t>commercial standpipe</w:t>
      </w:r>
      <w:r>
        <w:tab/>
        <w:t>36A(1)</w:t>
      </w:r>
    </w:p>
    <w:p>
      <w:pPr>
        <w:pStyle w:val="DefinedTerms"/>
      </w:pPr>
      <w:r>
        <w:t>Commonwealth seniors health card</w:t>
      </w:r>
      <w:r>
        <w:tab/>
        <w:t>3(1)</w:t>
      </w:r>
    </w:p>
    <w:p>
      <w:pPr>
        <w:pStyle w:val="DefinedTerms"/>
      </w:pPr>
      <w:r>
        <w:t>community titles scheme</w:t>
      </w:r>
      <w:r>
        <w:tab/>
        <w:t>16(1)</w:t>
      </w:r>
    </w:p>
    <w:p>
      <w:pPr>
        <w:pStyle w:val="DefinedTerms"/>
      </w:pPr>
      <w:r>
        <w:t>concessional land</w:t>
      </w:r>
      <w:r>
        <w:tab/>
        <w:t>16(1)</w:t>
      </w:r>
    </w:p>
    <w:p>
      <w:pPr>
        <w:pStyle w:val="DefinedTerms"/>
      </w:pPr>
      <w:r>
        <w:t>concession card holder</w:t>
      </w:r>
      <w:r>
        <w:tab/>
        <w:t>16(1)</w:t>
      </w:r>
    </w:p>
    <w:p>
      <w:pPr>
        <w:pStyle w:val="DefinedTerms"/>
      </w:pPr>
      <w:r>
        <w:t>consumption year</w:t>
      </w:r>
      <w:r>
        <w:tab/>
        <w:t>6, 11, 16(1)</w:t>
      </w:r>
    </w:p>
    <w:p>
      <w:pPr>
        <w:pStyle w:val="DefinedTerms"/>
      </w:pPr>
      <w:r>
        <w:t>desalinated water</w:t>
      </w:r>
      <w:r>
        <w:tab/>
        <w:t>16(1)</w:t>
      </w:r>
    </w:p>
    <w:p>
      <w:pPr>
        <w:pStyle w:val="DefinedTerms"/>
      </w:pPr>
      <w:r>
        <w:t>development</w:t>
      </w:r>
      <w:r>
        <w:tab/>
        <w:t>47(4)</w:t>
      </w:r>
    </w:p>
    <w:p>
      <w:pPr>
        <w:pStyle w:val="DefinedTerms"/>
      </w:pPr>
      <w:r>
        <w:t>discharge factor</w:t>
      </w:r>
      <w:r>
        <w:tab/>
        <w:t>16(1)</w:t>
      </w:r>
    </w:p>
    <w:p>
      <w:pPr>
        <w:pStyle w:val="DefinedTerms"/>
      </w:pPr>
      <w:r>
        <w:t>discharge volume</w:t>
      </w:r>
      <w:r>
        <w:tab/>
        <w:t>16(1)</w:t>
      </w:r>
    </w:p>
    <w:p>
      <w:pPr>
        <w:pStyle w:val="DefinedTerms"/>
      </w:pPr>
      <w:r>
        <w:t>discharge year</w:t>
      </w:r>
      <w:r>
        <w:tab/>
        <w:t>16(1)</w:t>
      </w:r>
    </w:p>
    <w:p>
      <w:pPr>
        <w:pStyle w:val="DefinedTerms"/>
      </w:pPr>
      <w:r>
        <w:t>drainage area</w:t>
      </w:r>
      <w:r>
        <w:tab/>
        <w:t>16(1)</w:t>
      </w:r>
    </w:p>
    <w:p>
      <w:pPr>
        <w:pStyle w:val="DefinedTerms"/>
      </w:pPr>
      <w:r>
        <w:t>drainage charge</w:t>
      </w:r>
      <w:r>
        <w:tab/>
        <w:t>16(1)</w:t>
      </w:r>
    </w:p>
    <w:p>
      <w:pPr>
        <w:pStyle w:val="DefinedTerms"/>
      </w:pPr>
      <w:r>
        <w:t>eligible pensioner</w:t>
      </w:r>
      <w:r>
        <w:tab/>
        <w:t>3(1)</w:t>
      </w:r>
    </w:p>
    <w:p>
      <w:pPr>
        <w:pStyle w:val="DefinedTerms"/>
      </w:pPr>
      <w:r>
        <w:t>financial year</w:t>
      </w:r>
      <w:r>
        <w:tab/>
        <w:t>6, 11, 16(1)</w:t>
      </w:r>
    </w:p>
    <w:p>
      <w:pPr>
        <w:pStyle w:val="DefinedTerms"/>
      </w:pPr>
      <w:r>
        <w:t>garden service connection</w:t>
      </w:r>
      <w:r>
        <w:tab/>
        <w:t>3(1)</w:t>
      </w:r>
    </w:p>
    <w:p>
      <w:pPr>
        <w:pStyle w:val="DefinedTerms"/>
      </w:pPr>
      <w:r>
        <w:t>government trading organisation</w:t>
      </w:r>
      <w:r>
        <w:tab/>
        <w:t>16(1)</w:t>
      </w:r>
    </w:p>
    <w:p>
      <w:pPr>
        <w:pStyle w:val="DefinedTerms"/>
      </w:pPr>
      <w:r>
        <w:t>GRV</w:t>
      </w:r>
      <w:r>
        <w:tab/>
        <w:t>16(1)</w:t>
      </w:r>
    </w:p>
    <w:p>
      <w:pPr>
        <w:pStyle w:val="DefinedTerms"/>
      </w:pPr>
      <w:r>
        <w:t>holiday accommodation</w:t>
      </w:r>
      <w:r>
        <w:tab/>
        <w:t>16(1)</w:t>
      </w:r>
    </w:p>
    <w:p>
      <w:pPr>
        <w:pStyle w:val="DefinedTerms"/>
      </w:pPr>
      <w:r>
        <w:t>Housing Authority</w:t>
      </w:r>
      <w:r>
        <w:tab/>
        <w:t>16(1)</w:t>
      </w:r>
    </w:p>
    <w:p>
      <w:pPr>
        <w:pStyle w:val="DefinedTerms"/>
      </w:pPr>
      <w:r>
        <w:t>hydrant standpipe</w:t>
      </w:r>
      <w:r>
        <w:tab/>
        <w:t>16(1)</w:t>
      </w:r>
    </w:p>
    <w:p>
      <w:pPr>
        <w:pStyle w:val="DefinedTerms"/>
      </w:pPr>
      <w:r>
        <w:t>irrigation district</w:t>
      </w:r>
      <w:r>
        <w:tab/>
        <w:t>16(1)</w:t>
      </w:r>
    </w:p>
    <w:p>
      <w:pPr>
        <w:pStyle w:val="DefinedTerms"/>
      </w:pPr>
      <w:r>
        <w:t>irrigation works</w:t>
      </w:r>
      <w:r>
        <w:tab/>
        <w:t>16(1)</w:t>
      </w:r>
    </w:p>
    <w:p>
      <w:pPr>
        <w:pStyle w:val="DefinedTerms"/>
      </w:pPr>
      <w:r>
        <w:t>local government standpipe</w:t>
      </w:r>
      <w:r>
        <w:tab/>
        <w:t>16(1)</w:t>
      </w:r>
    </w:p>
    <w:p>
      <w:pPr>
        <w:pStyle w:val="DefinedTerms"/>
      </w:pPr>
      <w:r>
        <w:t>long-term residential caravan bay</w:t>
      </w:r>
      <w:r>
        <w:tab/>
        <w:t>16(1)</w:t>
      </w:r>
    </w:p>
    <w:p>
      <w:pPr>
        <w:pStyle w:val="DefinedTerms"/>
      </w:pPr>
      <w:r>
        <w:lastRenderedPageBreak/>
        <w:t>lot</w:t>
      </w:r>
      <w:r>
        <w:tab/>
        <w:t>6, 11, 16(1)</w:t>
      </w:r>
    </w:p>
    <w:p>
      <w:pPr>
        <w:pStyle w:val="DefinedTerms"/>
      </w:pPr>
      <w:r>
        <w:t>major fixture</w:t>
      </w:r>
      <w:r>
        <w:tab/>
        <w:t>16(1)</w:t>
      </w:r>
    </w:p>
    <w:p>
      <w:pPr>
        <w:pStyle w:val="DefinedTerms"/>
      </w:pPr>
      <w:r>
        <w:t>non-commercial government property</w:t>
      </w:r>
      <w:r>
        <w:tab/>
        <w:t>16(1)</w:t>
      </w:r>
    </w:p>
    <w:p>
      <w:pPr>
        <w:pStyle w:val="DefinedTerms"/>
      </w:pPr>
      <w:r>
        <w:t>non-profit private organisation</w:t>
      </w:r>
      <w:r>
        <w:tab/>
        <w:t>16(1)</w:t>
      </w:r>
    </w:p>
    <w:p>
      <w:pPr>
        <w:pStyle w:val="DefinedTerms"/>
      </w:pPr>
      <w:r>
        <w:t>non-residential lot</w:t>
      </w:r>
      <w:r>
        <w:tab/>
        <w:t>6, 11</w:t>
      </w:r>
    </w:p>
    <w:p>
      <w:pPr>
        <w:pStyle w:val="DefinedTerms"/>
      </w:pPr>
      <w:r>
        <w:t>nursing home</w:t>
      </w:r>
      <w:r>
        <w:tab/>
        <w:t>16(1)</w:t>
      </w:r>
    </w:p>
    <w:p>
      <w:pPr>
        <w:pStyle w:val="DefinedTerms"/>
      </w:pPr>
      <w:r>
        <w:t>old provision</w:t>
      </w:r>
      <w:r>
        <w:tab/>
        <w:t>55(1)</w:t>
      </w:r>
    </w:p>
    <w:p>
      <w:pPr>
        <w:pStyle w:val="DefinedTerms"/>
      </w:pPr>
      <w:r>
        <w:t>park home</w:t>
      </w:r>
      <w:r>
        <w:tab/>
        <w:t>16(1)</w:t>
      </w:r>
    </w:p>
    <w:p>
      <w:pPr>
        <w:pStyle w:val="DefinedTerms"/>
      </w:pPr>
      <w:r>
        <w:t>permitted surcharge</w:t>
      </w:r>
      <w:r>
        <w:tab/>
        <w:t>15A(1), 20(1)</w:t>
      </w:r>
    </w:p>
    <w:p>
      <w:pPr>
        <w:pStyle w:val="DefinedTerms"/>
      </w:pPr>
      <w:r>
        <w:t>product evaluation</w:t>
      </w:r>
      <w:r>
        <w:tab/>
        <w:t>Sch. 7 cl. 12(1)</w:t>
      </w:r>
    </w:p>
    <w:p>
      <w:pPr>
        <w:pStyle w:val="DefinedTerms"/>
      </w:pPr>
      <w:r>
        <w:t>public land</w:t>
      </w:r>
      <w:r>
        <w:tab/>
        <w:t>16(1)</w:t>
      </w:r>
    </w:p>
    <w:p>
      <w:pPr>
        <w:pStyle w:val="DefinedTerms"/>
      </w:pPr>
      <w:r>
        <w:t>RBA Standard No. 3 of 2016</w:t>
      </w:r>
      <w:r>
        <w:tab/>
        <w:t>15A(1), 20(1)</w:t>
      </w:r>
    </w:p>
    <w:p>
      <w:pPr>
        <w:pStyle w:val="DefinedTerms"/>
      </w:pPr>
      <w:r>
        <w:t>registered pensioner</w:t>
      </w:r>
      <w:r>
        <w:tab/>
        <w:t>3(1)</w:t>
      </w:r>
    </w:p>
    <w:p>
      <w:pPr>
        <w:pStyle w:val="DefinedTerms"/>
      </w:pPr>
      <w:r>
        <w:t>registered senior</w:t>
      </w:r>
      <w:r>
        <w:tab/>
        <w:t>3(1)</w:t>
      </w:r>
    </w:p>
    <w:p>
      <w:pPr>
        <w:pStyle w:val="DefinedTerms"/>
      </w:pPr>
      <w:r>
        <w:t>residential lot</w:t>
      </w:r>
      <w:r>
        <w:tab/>
        <w:t>6, 11</w:t>
      </w:r>
    </w:p>
    <w:p>
      <w:pPr>
        <w:pStyle w:val="DefinedTerms"/>
      </w:pPr>
      <w:r>
        <w:t>residential property</w:t>
      </w:r>
      <w:r>
        <w:tab/>
        <w:t>16(1)</w:t>
      </w:r>
    </w:p>
    <w:p>
      <w:pPr>
        <w:pStyle w:val="DefinedTerms"/>
      </w:pPr>
      <w:r>
        <w:t>residential rate</w:t>
      </w:r>
      <w:r>
        <w:tab/>
        <w:t>27(3)</w:t>
      </w:r>
    </w:p>
    <w:p>
      <w:pPr>
        <w:pStyle w:val="DefinedTerms"/>
      </w:pPr>
      <w:r>
        <w:t>retirement village</w:t>
      </w:r>
      <w:r>
        <w:tab/>
        <w:t>16(1)</w:t>
      </w:r>
    </w:p>
    <w:p>
      <w:pPr>
        <w:pStyle w:val="DefinedTerms"/>
      </w:pPr>
      <w:r>
        <w:t>rural land</w:t>
      </w:r>
      <w:r>
        <w:tab/>
        <w:t>47(4)</w:t>
      </w:r>
    </w:p>
    <w:p>
      <w:pPr>
        <w:pStyle w:val="DefinedTerms"/>
      </w:pPr>
      <w:r>
        <w:t>scheme plan</w:t>
      </w:r>
      <w:r>
        <w:tab/>
        <w:t>16(1)</w:t>
      </w:r>
    </w:p>
    <w:p>
      <w:pPr>
        <w:pStyle w:val="DefinedTerms"/>
      </w:pPr>
      <w:r>
        <w:t>semi-rural residential property</w:t>
      </w:r>
      <w:r>
        <w:tab/>
        <w:t>16(1)</w:t>
      </w:r>
    </w:p>
    <w:p>
      <w:pPr>
        <w:pStyle w:val="DefinedTerms"/>
      </w:pPr>
      <w:r>
        <w:t>sewerage area</w:t>
      </w:r>
      <w:r>
        <w:tab/>
        <w:t>16(1)</w:t>
      </w:r>
    </w:p>
    <w:p>
      <w:pPr>
        <w:pStyle w:val="DefinedTerms"/>
      </w:pPr>
      <w:r>
        <w:t>sewerage charge</w:t>
      </w:r>
      <w:r>
        <w:tab/>
        <w:t>16(1)</w:t>
      </w:r>
    </w:p>
    <w:p>
      <w:pPr>
        <w:pStyle w:val="DefinedTerms"/>
      </w:pPr>
      <w:r>
        <w:t>special meter reading</w:t>
      </w:r>
      <w:r>
        <w:tab/>
        <w:t>16(1)</w:t>
      </w:r>
    </w:p>
    <w:p>
      <w:pPr>
        <w:pStyle w:val="DefinedTerms"/>
      </w:pPr>
      <w:r>
        <w:t>strata-titled caravan bay</w:t>
      </w:r>
      <w:r>
        <w:tab/>
        <w:t>16(1)</w:t>
      </w:r>
    </w:p>
    <w:p>
      <w:pPr>
        <w:pStyle w:val="DefinedTerms"/>
      </w:pPr>
      <w:r>
        <w:t>strata titles scheme</w:t>
      </w:r>
      <w:r>
        <w:tab/>
        <w:t>16(1)</w:t>
      </w:r>
    </w:p>
    <w:p>
      <w:pPr>
        <w:pStyle w:val="DefinedTerms"/>
      </w:pPr>
      <w:r>
        <w:t>trade waste charge</w:t>
      </w:r>
      <w:r>
        <w:tab/>
        <w:t>19(1)</w:t>
      </w:r>
    </w:p>
    <w:p>
      <w:pPr>
        <w:pStyle w:val="DefinedTerms"/>
      </w:pPr>
      <w:r>
        <w:t>vacant land</w:t>
      </w:r>
      <w:r>
        <w:tab/>
        <w:t>3(1)</w:t>
      </w:r>
    </w:p>
    <w:p>
      <w:pPr>
        <w:pStyle w:val="DefinedTerms"/>
      </w:pPr>
      <w:r>
        <w:t>water deficiency declaration</w:t>
      </w:r>
      <w:r>
        <w:tab/>
        <w:t>36A(1)</w:t>
      </w:r>
    </w:p>
    <w:p>
      <w:pPr>
        <w:pStyle w:val="DefinedTerms"/>
      </w:pPr>
      <w:r>
        <w:t>water supply charge</w:t>
      </w:r>
      <w:r>
        <w:tab/>
        <w:t>16(1)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6A268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AB5DCE9" w14:textId="43D86A63" w:rsidR="00AB1451" w:rsidRDefault="009A18F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7645C">
                        <w:rPr>
                          <w:sz w:val="16"/>
                        </w:rPr>
                        <w:t>2024</w:t>
                      </w:r>
                      <w:r>
                        <w:rPr>
                          <w:sz w:val="16"/>
                        </w:rPr>
                        <w:fldChar w:fldCharType="end"/>
                      </w:r>
                      <w:r>
                        <w:rPr>
                          <w:sz w:val="16"/>
                        </w:rPr>
                        <w:t>.</w:t>
                      </w:r>
                    </w:p>
                    <w:p w14:paraId="0DE8BE6C" w14:textId="77777777" w:rsidR="00AB1451" w:rsidRDefault="009A18F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DDFEAA" w14:textId="3394E429" w:rsidR="00AB1451" w:rsidRDefault="009A18F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7645C">
                        <w:rPr>
                          <w:sz w:val="16"/>
                        </w:rPr>
                        <w:t>2024</w:t>
                      </w:r>
                      <w:r>
                        <w:rPr>
                          <w:sz w:val="16"/>
                        </w:rPr>
                        <w:fldChar w:fldCharType="end"/>
                      </w:r>
                      <w:r>
                        <w:rPr>
                          <w:sz w:val="16"/>
                        </w:rPr>
                        <w:t>.</w:t>
                      </w:r>
                    </w:p>
                    <w:p w14:paraId="437F99E6" w14:textId="77777777" w:rsidR="00AB1451" w:rsidRDefault="009A18F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gridAfter w:val="1"/>
        <w:wAfter w:w="5715" w:type="dxa"/>
        <w:jc w:val="center"/>
      </w:trPr>
      <w:tc>
        <w:tcPr>
          <w:tcW w:w="15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rPr>
              <w:noProof w:val="0"/>
            </w:rPr>
            <w:fldChar w:fldCharType="begin"/>
          </w:r>
          <w:r>
            <w:instrText xml:space="preserve"> styleref CharSDivText </w:instrText>
          </w:r>
          <w:r>
            <w:fldChar w:fldCharType="end"/>
          </w:r>
        </w:p>
      </w:tc>
      <w:tc>
        <w:tcPr>
          <w:tcW w:w="1466" w:type="dxa"/>
        </w:tcPr>
        <w:p>
          <w:pPr>
            <w:pStyle w:val="Header"/>
            <w:spacing w:before="40"/>
            <w:ind w:right="17"/>
            <w:jc w:val="right"/>
            <w:rPr>
              <w:b/>
            </w:rPr>
          </w:pPr>
          <w:r>
            <w:rPr>
              <w:b/>
            </w:rPr>
            <w:fldChar w:fldCharType="begin"/>
          </w:r>
          <w:r>
            <w:rPr>
              <w:b/>
            </w:rPr>
            <w:instrText xml:space="preserve"> STYLEREF CharSDivNo \* charformat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Miscellaneous charges for Water Corporation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Miscellaneous charges for Water Corporation</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Government trading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Government trading 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styleref CharSchText</w:instrText>
          </w:r>
          <w:r>
            <w:fldChar w:fldCharType="separate"/>
          </w:r>
          <w:r>
            <w:t>Central business districts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(Water Corporations Charges)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Central business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8" w:name="Compilation"/>
    <w:bookmarkEnd w:id="65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63" w:name="DefinedTerms"/>
    <w:bookmarkEnd w:id="66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4" w:name="Coversheet"/>
    <w:bookmarkEnd w:id="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2"/>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1"/>
  </w:num>
  <w:num w:numId="18">
    <w:abstractNumId w:val="14"/>
  </w:num>
  <w:num w:numId="19">
    <w:abstractNumId w:val="17"/>
  </w:num>
  <w:num w:numId="20">
    <w:abstractNumId w:val="24"/>
  </w:num>
  <w:num w:numId="21">
    <w:abstractNumId w:val="23"/>
  </w:num>
  <w:num w:numId="22">
    <w:abstractNumId w:val="27"/>
  </w:num>
  <w:num w:numId="23">
    <w:abstractNumId w:val="12"/>
  </w:num>
  <w:num w:numId="24">
    <w:abstractNumId w:val="20"/>
  </w:num>
  <w:num w:numId="25">
    <w:abstractNumId w:val="25"/>
  </w:num>
  <w:num w:numId="26">
    <w:abstractNumId w:val="1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4223"/>
    <w:docVar w:name="WAFER_20140516131123" w:val="RemoveTocBookmarks,RemoveUnusedBookmarks,RemoveLanguageTags,UsedStyles,ResetPageSize"/>
    <w:docVar w:name="WAFER_20140516131123_GUID" w:val="ac274ccf-bbfd-497b-9cef-7ec6cf1e0139"/>
    <w:docVar w:name="WAFER_20140519165042" w:val="RemoveTocBookmarks,RemoveUnusedBookmarks,RemoveLanguageTags,UsedStyles,ResetPageSize,RunningHeaders"/>
    <w:docVar w:name="WAFER_20140519165042_GUID" w:val="3e21af92-4c4c-470c-b061-bd481088c7ec"/>
    <w:docVar w:name="WAFER_20140604084904" w:val="RemoveTocBookmarks,RemoveUnusedBookmarks,RemoveLanguageTags,UsedStyles,ResetPageSize"/>
    <w:docVar w:name="WAFER_20140604084904_GUID" w:val="48615ebf-d01c-465d-974a-49677c063a10"/>
    <w:docVar w:name="WAFER_20140606095153" w:val="RemoveTocBookmarks,RemoveUnusedBookmarks,RemoveLanguageTags,UsedStyles,ResetPageSize,RunningHeaders"/>
    <w:docVar w:name="WAFER_20140606095153_GUID" w:val="4c4873c4-cde0-4a8b-993f-e9acf10f9a3c"/>
    <w:docVar w:name="WAFER_20140609160846" w:val="RemoveTocBookmarks,RemoveUnusedBookmarks,RemoveLanguageTags,UsedStyles,ResetPageSize"/>
    <w:docVar w:name="WAFER_20140609160846_GUID" w:val="d050b4bf-610a-40a5-9b2b-5ddfbd2652b3"/>
    <w:docVar w:name="WAFER_20140626110823" w:val="RemoveTocBookmarks,RemoveUnusedBookmarks,RemoveLanguageTags,UsedStyles,ResetPageSize,UpdateArrangement"/>
    <w:docVar w:name="WAFER_20140626110823_GUID" w:val="63ede3b3-056a-41b5-8c1f-274ba0b65f84"/>
    <w:docVar w:name="WAFER_20140918134243" w:val="RemoveTocBookmarks,RemoveUnusedBookmarks,RemoveLanguageTags,UsedStyles,ResetPageSize"/>
    <w:docVar w:name="WAFER_20140918134243_GUID" w:val="6bc6c22c-a4f4-4d5a-89db-e4279df15f07"/>
    <w:docVar w:name="WAFER_20141014162907" w:val="RemoveTocBookmarks,RemoveUnusedBookmarks,RemoveLanguageTags,UsedStyles,ResetPageSize,UpdateArrangement"/>
    <w:docVar w:name="WAFER_20141014162907_GUID" w:val="042b12b7-468e-4d82-9027-8001f5d2ecae"/>
    <w:docVar w:name="WAFER_20141028170454" w:val="RemoveTocBookmarks,RunningHeaders"/>
    <w:docVar w:name="WAFER_20141028170454_GUID" w:val="de1bf0da-9c6d-41bf-917e-7ac155c55934"/>
    <w:docVar w:name="WAFER_20150629134410" w:val="ResetPageSize,UpdateArrangement,UpdateNTable"/>
    <w:docVar w:name="WAFER_20150629134410_GUID" w:val="7aea9c6f-2239-454a-91c2-96beebde22e8"/>
    <w:docVar w:name="WAFER_20150804145737" w:val="RemoveTocBookmarks,RemoveUnusedBookmarks,RemoveLanguageTags,UsedStyles,ResetPageSize,RemoveCustomizations"/>
    <w:docVar w:name="WAFER_20150804145737_GUID" w:val="f127b1e7-f250-4a18-a9d3-ed2162cffa5f"/>
    <w:docVar w:name="WAFER_20151110143805" w:val="UpdateStyles,UsedStyles"/>
    <w:docVar w:name="WAFER_20151110143805_GUID" w:val="f8f9c8d8-309e-4155-8f2d-d7e8ebea0fe1"/>
    <w:docVar w:name="WAFER_20160701101409" w:val="RemoveTocBookmarks,RemoveUnusedBookmarks,RemoveLanguageTags,UsedStyles,ResetPageSize"/>
    <w:docVar w:name="WAFER_20160701101409_GUID" w:val="7957272d-eadb-4dd1-aace-29a79bd4d5cc"/>
    <w:docVar w:name="WAFER_20170914152042" w:val="RemoveTocBookmarks,RemoveUnusedBookmarks,RemoveLanguageTags,UsedStyles,ResetPageSize"/>
    <w:docVar w:name="WAFER_20170914152042_GUID" w:val="fbfa1eb1-03e1-44fa-bbe6-e5a40fac86ee"/>
    <w:docVar w:name="WAFER_20170914152110" w:val="RemoveTocBookmarks,RemoveUnusedBookmarks,RemoveLanguageTags,UsedStyles,ResetPageSize"/>
    <w:docVar w:name="WAFER_20170914152110_GUID" w:val="4353d35d-5acc-4264-b92a-fe25c8394fd8"/>
    <w:docVar w:name="WAFER_20190613163823" w:val="RemoveTocBookmarks,RemoveUnusedBookmarks,RemoveLanguageTags,ResetPageSize,RunningHeaders,UpdateStyles,UsedStyles"/>
    <w:docVar w:name="WAFER_20190613163823_GUID" w:val="dac7ae2e-29f0-462e-b0b1-45c5d66863a4"/>
    <w:docVar w:name="WAFER_20190618155641" w:val="RemoveTocBookmarks,RemoveUnusedBookmarks,RemoveLanguageTags,ResetPageSize,RunningHeaders,UpdateStyles,UsedStyles"/>
    <w:docVar w:name="WAFER_20190618155641_GUID" w:val="dbf663ab-39b4-42db-877a-ecf8ae7271b9"/>
    <w:docVar w:name="WAFER_20191218145924" w:val="RemoveTocBookmarks,RemoveUnusedBookmarks,RemoveLanguageTags,ResetPageSize,RunningHeaders,UpdateStyles,UsedStyles"/>
    <w:docVar w:name="WAFER_20191218145924_GUID" w:val="b9e499fb-d868-48c1-8c95-d99331d4ac83"/>
    <w:docVar w:name="WAFER_202002110920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027_GUID" w:val="6554606e-32a3-426d-a254-b5303ddadb76"/>
    <w:docVar w:name="WAFER_20200417151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704_GUID" w:val="581f374c-989d-4764-9cec-4fe76388764f"/>
    <w:docVar w:name="WAFER_202004171517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751_GUID" w:val="6613f0cb-7064-4e5d-b748-3385039783d0"/>
    <w:docVar w:name="WAFER_20200420094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230_GUID" w:val="56f50bd9-e999-47d3-a5cf-dc0f2c1637ed"/>
    <w:docVar w:name="WAFER_20200626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38_GUID" w:val="f693c8e7-9fb1-4199-a92b-4a2e4825b50e"/>
    <w:docVar w:name="WAFER_2020092216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5943_GUID" w:val="5a4b82fa-dc42-4d08-8dcf-b34a7d2eed38"/>
    <w:docVar w:name="WAFER_20210615150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0827_GUID" w:val="cc40ca22-cd95-4a87-bfde-b4c73e97873c"/>
    <w:docVar w:name="WAFER_20210622145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5254_GUID" w:val="694bf8e5-e38b-46c5-828d-9181dba626bc"/>
    <w:docVar w:name="WAFER_20210625110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654_GUID" w:val="b7a7f35d-22bd-437d-a301-4bde57a99c0a"/>
    <w:docVar w:name="WAFER_20210714113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3319_GUID" w:val="88d4e11c-77d2-4eec-b23c-acff7ab79fa3"/>
    <w:docVar w:name="WAFER_20210726150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0026_GUID" w:val="65363b84-1c86-42fc-92f8-1e0d3972d7d9"/>
    <w:docVar w:name="WAFER_20210810120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823_GUID" w:val="29a6cb5b-b95d-4f28-b61a-5deb6c77a31b"/>
    <w:docVar w:name="WAFER_20220111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53959_GUID" w:val="05eeae70-66be-4020-bbad-ba0356214b31"/>
    <w:docVar w:name="WAFER_20220111160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60047_GUID" w:val="c1cf7778-367f-44d7-bf93-4748ff497ad9"/>
    <w:docVar w:name="WAFER_20220302160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36_GUID" w:val="97caea11-fa90-4e3a-84c1-8758b3676175"/>
    <w:docVar w:name="WAFER_202206141254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14_GUID" w:val="6cb2f04a-8351-438b-8b92-015dcdd08e01"/>
    <w:docVar w:name="WAFER_202206221132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38_GUID" w:val="6639e7ce-f6af-4951-8d40-2b8a452a1e3d"/>
    <w:docVar w:name="WAFER_2023061316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62117_GUID" w:val="a8b28dd0-0880-46be-af6f-5ac3007906fc"/>
    <w:docVar w:name="WAFER_2023061316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62216_GUID" w:val="81983de7-4513-42a6-8231-2a5274c07cfe"/>
    <w:docVar w:name="WAFER_20230626131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18_GUID" w:val="4f10c604-bcb8-4d99-a5b0-9d7b4cdc17a6"/>
    <w:docVar w:name="WAFER_20230629121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1154_GUID" w:val="b9549638-7427-4454-a497-cc885123be84"/>
    <w:docVar w:name="WAFER_2023122909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14_GUID" w:val="c3182774-c021-495a-b7e6-99485c3c0fff"/>
    <w:docVar w:name="WAFER_2024062415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54223_GUID" w:val="9bca0de0-90c6-4fdf-ae97-1cb7a52ff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AF26BC4C-07BB-4555-AB6C-4A55C417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Left1cm">
    <w:name w:val="yMiscellaneous Body + Left:  1 cm"/>
    <w:aliases w:val="Hanging:  2 cm"/>
    <w:basedOn w:val="zyMiscellaneousBody"/>
    <w:pPr>
      <w:tabs>
        <w:tab w:val="right" w:leader="dot" w:pos="6803"/>
      </w:tabs>
      <w:ind w:left="1701" w:hanging="1134"/>
    </w:pPr>
  </w:style>
  <w:style w:type="paragraph" w:customStyle="1" w:styleId="yTHeadingNAmLeft075cm">
    <w:name w:val="yTHeadingNAm + Left:  0.75 cm"/>
    <w:basedOn w:val="zyTHeadingNAm"/>
    <w:pPr>
      <w:ind w:left="426"/>
    </w:pPr>
  </w:style>
  <w:style w:type="paragraph" w:customStyle="1" w:styleId="yTHeadingNAmLeft225cm">
    <w:name w:val="yTHeadingNAm + Left:  2.25 cm"/>
    <w:basedOn w:val="zyTHeadingNAm"/>
    <w:pPr>
      <w:ind w:left="1276"/>
    </w:pPr>
  </w:style>
  <w:style w:type="paragraph" w:customStyle="1" w:styleId="yTableNAmRight">
    <w:name w:val="yTableNAm + Right"/>
    <w:aliases w:val="Left:  -0.33 cm,Right:  0.42 cm"/>
    <w:basedOn w:val="zyTableNAm"/>
    <w:pPr>
      <w:ind w:right="99"/>
      <w:jc w:val="right"/>
    </w:pPr>
  </w:style>
  <w:style w:type="paragraph" w:customStyle="1" w:styleId="ySubsectionRight">
    <w:name w:val="ySubsection + Right"/>
    <w:aliases w:val="Before:  0 pt"/>
    <w:basedOn w:val="zyIndenta"/>
    <w:pPr>
      <w:tabs>
        <w:tab w:val="right" w:leader="dot" w:pos="6803"/>
      </w:tabs>
      <w:spacing w:before="0"/>
      <w:jc w:val="right"/>
    </w:pPr>
  </w:style>
  <w:style w:type="paragraph" w:customStyle="1" w:styleId="yTHeadingNAmLeft05cm">
    <w:name w:val="yTHeadingNAm + Left:  0.5 cm"/>
    <w:basedOn w:val="zyTHeadingNAm"/>
    <w:pPr>
      <w:ind w:left="284"/>
    </w:pPr>
  </w:style>
  <w:style w:type="paragraph" w:customStyle="1" w:styleId="yTableNAmLeft-065cm">
    <w:name w:val="yTableNAm + Left:  -0.65 cm"/>
    <w:aliases w:val="Hanging:  0.75 cm,Right:  -0.1 cm"/>
    <w:basedOn w:val="zyTableNAm"/>
    <w:pPr>
      <w:tabs>
        <w:tab w:val="clear" w:pos="567"/>
      </w:tabs>
      <w:ind w:left="397" w:right="-57" w:hanging="425"/>
    </w:pPr>
  </w:style>
  <w:style w:type="paragraph" w:customStyle="1" w:styleId="yTHeadingNAmLeft175cm">
    <w:name w:val="yTHeadingNAm + Left:  1.75 cm"/>
    <w:basedOn w:val="zyTHeadingNAm"/>
    <w:pPr>
      <w:ind w:left="993"/>
    </w:pPr>
  </w:style>
  <w:style w:type="paragraph" w:customStyle="1" w:styleId="yTableNAmLeft-005cm">
    <w:name w:val="yTableNAm + Left:  -0.05 cm"/>
    <w:aliases w:val="Hanging:  0.57 cm"/>
    <w:basedOn w:val="zyTableNAm"/>
    <w:pPr>
      <w:tabs>
        <w:tab w:val="clear" w:pos="567"/>
      </w:tabs>
      <w:ind w:left="294" w:hanging="322"/>
    </w:pPr>
    <w:rPr>
      <w:szCs w:val="22"/>
    </w:rPr>
  </w:style>
  <w:style w:type="paragraph" w:customStyle="1" w:styleId="yTableNAm10pt">
    <w:name w:val="yTableNAm + 10 pt"/>
    <w:aliases w:val="Bold,Centered,yTableNAm + Bold"/>
    <w:basedOn w:val="zyTableNAm"/>
    <w:pPr>
      <w:jc w:val="center"/>
    </w:pPr>
    <w:rPr>
      <w:b/>
      <w:sz w:val="20"/>
    </w:rPr>
  </w:style>
  <w:style w:type="paragraph" w:customStyle="1" w:styleId="yTableNAmLeft0cm">
    <w:name w:val="yTableNAm + Left:  0 cm"/>
    <w:aliases w:val="Hanging:  0.58 cm"/>
    <w:basedOn w:val="zyTableNAm"/>
    <w:pPr>
      <w:tabs>
        <w:tab w:val="clear" w:pos="567"/>
      </w:tabs>
      <w:ind w:left="327" w:hanging="327"/>
    </w:pPr>
  </w:style>
  <w:style w:type="paragraph" w:customStyle="1" w:styleId="yTHeadingNAmLeft25cm">
    <w:name w:val="yTHeadingNAm + Left:  2.5 cm"/>
    <w:basedOn w:val="zyTHeadingNAm"/>
    <w:pPr>
      <w:ind w:left="1418"/>
    </w:pPr>
  </w:style>
  <w:style w:type="paragraph" w:customStyle="1" w:styleId="yTHeadingNAmLeft2cm">
    <w:name w:val="yTHeadingNAm + Left:  2 cm"/>
    <w:basedOn w:val="zyTHeadingNAm"/>
    <w:pPr>
      <w:ind w:left="1134"/>
    </w:pPr>
  </w:style>
  <w:style w:type="paragraph" w:customStyle="1" w:styleId="yMiscellaneousBodyLeft3cm">
    <w:name w:val="yMiscellaneous Body + Left:  3 cm"/>
    <w:basedOn w:val="zyMiscellaneousBody"/>
    <w:pPr>
      <w:tabs>
        <w:tab w:val="right" w:leader="dot" w:pos="6803"/>
      </w:tabs>
      <w:ind w:left="1701"/>
    </w:pPr>
  </w:style>
  <w:style w:type="paragraph" w:customStyle="1" w:styleId="yMiscellaneousBodyLeft425cm">
    <w:name w:val="yMiscellaneous Body + Left:  4.25 cm"/>
    <w:basedOn w:val="zyMiscellaneousBody"/>
    <w:pPr>
      <w:tabs>
        <w:tab w:val="right" w:leader="dot" w:pos="6803"/>
      </w:tabs>
      <w:ind w:left="2410"/>
    </w:pPr>
  </w:style>
  <w:style w:type="paragraph" w:customStyle="1" w:styleId="yTHeadingNAmLeft1cm">
    <w:name w:val="yTHeadingNAm + Left:  1 cm"/>
    <w:basedOn w:val="zyTHeadingNAm"/>
    <w:pPr>
      <w:ind w:left="567"/>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9147">
      <w:bodyDiv w:val="1"/>
      <w:marLeft w:val="0"/>
      <w:marRight w:val="0"/>
      <w:marTop w:val="0"/>
      <w:marBottom w:val="0"/>
      <w:divBdr>
        <w:top w:val="none" w:sz="0" w:space="0" w:color="auto"/>
        <w:left w:val="none" w:sz="0" w:space="0" w:color="auto"/>
        <w:bottom w:val="none" w:sz="0" w:space="0" w:color="auto"/>
        <w:right w:val="none" w:sz="0" w:space="0" w:color="auto"/>
      </w:divBdr>
    </w:div>
    <w:div w:id="44764337">
      <w:bodyDiv w:val="1"/>
      <w:marLeft w:val="0"/>
      <w:marRight w:val="0"/>
      <w:marTop w:val="0"/>
      <w:marBottom w:val="0"/>
      <w:divBdr>
        <w:top w:val="none" w:sz="0" w:space="0" w:color="auto"/>
        <w:left w:val="none" w:sz="0" w:space="0" w:color="auto"/>
        <w:bottom w:val="none" w:sz="0" w:space="0" w:color="auto"/>
        <w:right w:val="none" w:sz="0" w:space="0" w:color="auto"/>
      </w:divBdr>
    </w:div>
    <w:div w:id="205069116">
      <w:bodyDiv w:val="1"/>
      <w:marLeft w:val="0"/>
      <w:marRight w:val="0"/>
      <w:marTop w:val="0"/>
      <w:marBottom w:val="0"/>
      <w:divBdr>
        <w:top w:val="none" w:sz="0" w:space="0" w:color="auto"/>
        <w:left w:val="none" w:sz="0" w:space="0" w:color="auto"/>
        <w:bottom w:val="none" w:sz="0" w:space="0" w:color="auto"/>
        <w:right w:val="none" w:sz="0" w:space="0" w:color="auto"/>
      </w:divBdr>
    </w:div>
    <w:div w:id="210069855">
      <w:bodyDiv w:val="1"/>
      <w:marLeft w:val="0"/>
      <w:marRight w:val="0"/>
      <w:marTop w:val="0"/>
      <w:marBottom w:val="0"/>
      <w:divBdr>
        <w:top w:val="none" w:sz="0" w:space="0" w:color="auto"/>
        <w:left w:val="none" w:sz="0" w:space="0" w:color="auto"/>
        <w:bottom w:val="none" w:sz="0" w:space="0" w:color="auto"/>
        <w:right w:val="none" w:sz="0" w:space="0" w:color="auto"/>
      </w:divBdr>
    </w:div>
    <w:div w:id="287199612">
      <w:bodyDiv w:val="1"/>
      <w:marLeft w:val="0"/>
      <w:marRight w:val="0"/>
      <w:marTop w:val="0"/>
      <w:marBottom w:val="0"/>
      <w:divBdr>
        <w:top w:val="none" w:sz="0" w:space="0" w:color="auto"/>
        <w:left w:val="none" w:sz="0" w:space="0" w:color="auto"/>
        <w:bottom w:val="none" w:sz="0" w:space="0" w:color="auto"/>
        <w:right w:val="none" w:sz="0" w:space="0" w:color="auto"/>
      </w:divBdr>
    </w:div>
    <w:div w:id="331374579">
      <w:bodyDiv w:val="1"/>
      <w:marLeft w:val="0"/>
      <w:marRight w:val="0"/>
      <w:marTop w:val="0"/>
      <w:marBottom w:val="0"/>
      <w:divBdr>
        <w:top w:val="none" w:sz="0" w:space="0" w:color="auto"/>
        <w:left w:val="none" w:sz="0" w:space="0" w:color="auto"/>
        <w:bottom w:val="none" w:sz="0" w:space="0" w:color="auto"/>
        <w:right w:val="none" w:sz="0" w:space="0" w:color="auto"/>
      </w:divBdr>
    </w:div>
    <w:div w:id="420834497">
      <w:bodyDiv w:val="1"/>
      <w:marLeft w:val="0"/>
      <w:marRight w:val="0"/>
      <w:marTop w:val="0"/>
      <w:marBottom w:val="0"/>
      <w:divBdr>
        <w:top w:val="none" w:sz="0" w:space="0" w:color="auto"/>
        <w:left w:val="none" w:sz="0" w:space="0" w:color="auto"/>
        <w:bottom w:val="none" w:sz="0" w:space="0" w:color="auto"/>
        <w:right w:val="none" w:sz="0" w:space="0" w:color="auto"/>
      </w:divBdr>
    </w:div>
    <w:div w:id="483201875">
      <w:bodyDiv w:val="1"/>
      <w:marLeft w:val="0"/>
      <w:marRight w:val="0"/>
      <w:marTop w:val="0"/>
      <w:marBottom w:val="0"/>
      <w:divBdr>
        <w:top w:val="none" w:sz="0" w:space="0" w:color="auto"/>
        <w:left w:val="none" w:sz="0" w:space="0" w:color="auto"/>
        <w:bottom w:val="none" w:sz="0" w:space="0" w:color="auto"/>
        <w:right w:val="none" w:sz="0" w:space="0" w:color="auto"/>
      </w:divBdr>
    </w:div>
    <w:div w:id="490413149">
      <w:bodyDiv w:val="1"/>
      <w:marLeft w:val="0"/>
      <w:marRight w:val="0"/>
      <w:marTop w:val="0"/>
      <w:marBottom w:val="0"/>
      <w:divBdr>
        <w:top w:val="none" w:sz="0" w:space="0" w:color="auto"/>
        <w:left w:val="none" w:sz="0" w:space="0" w:color="auto"/>
        <w:bottom w:val="none" w:sz="0" w:space="0" w:color="auto"/>
        <w:right w:val="none" w:sz="0" w:space="0" w:color="auto"/>
      </w:divBdr>
    </w:div>
    <w:div w:id="552890542">
      <w:bodyDiv w:val="1"/>
      <w:marLeft w:val="0"/>
      <w:marRight w:val="0"/>
      <w:marTop w:val="0"/>
      <w:marBottom w:val="0"/>
      <w:divBdr>
        <w:top w:val="none" w:sz="0" w:space="0" w:color="auto"/>
        <w:left w:val="none" w:sz="0" w:space="0" w:color="auto"/>
        <w:bottom w:val="none" w:sz="0" w:space="0" w:color="auto"/>
        <w:right w:val="none" w:sz="0" w:space="0" w:color="auto"/>
      </w:divBdr>
    </w:div>
    <w:div w:id="606625271">
      <w:bodyDiv w:val="1"/>
      <w:marLeft w:val="0"/>
      <w:marRight w:val="0"/>
      <w:marTop w:val="0"/>
      <w:marBottom w:val="0"/>
      <w:divBdr>
        <w:top w:val="none" w:sz="0" w:space="0" w:color="auto"/>
        <w:left w:val="none" w:sz="0" w:space="0" w:color="auto"/>
        <w:bottom w:val="none" w:sz="0" w:space="0" w:color="auto"/>
        <w:right w:val="none" w:sz="0" w:space="0" w:color="auto"/>
      </w:divBdr>
    </w:div>
    <w:div w:id="798256384">
      <w:bodyDiv w:val="1"/>
      <w:marLeft w:val="0"/>
      <w:marRight w:val="0"/>
      <w:marTop w:val="0"/>
      <w:marBottom w:val="0"/>
      <w:divBdr>
        <w:top w:val="none" w:sz="0" w:space="0" w:color="auto"/>
        <w:left w:val="none" w:sz="0" w:space="0" w:color="auto"/>
        <w:bottom w:val="none" w:sz="0" w:space="0" w:color="auto"/>
        <w:right w:val="none" w:sz="0" w:space="0" w:color="auto"/>
      </w:divBdr>
    </w:div>
    <w:div w:id="857741023">
      <w:bodyDiv w:val="1"/>
      <w:marLeft w:val="0"/>
      <w:marRight w:val="0"/>
      <w:marTop w:val="0"/>
      <w:marBottom w:val="0"/>
      <w:divBdr>
        <w:top w:val="none" w:sz="0" w:space="0" w:color="auto"/>
        <w:left w:val="none" w:sz="0" w:space="0" w:color="auto"/>
        <w:bottom w:val="none" w:sz="0" w:space="0" w:color="auto"/>
        <w:right w:val="none" w:sz="0" w:space="0" w:color="auto"/>
      </w:divBdr>
    </w:div>
    <w:div w:id="936330841">
      <w:bodyDiv w:val="1"/>
      <w:marLeft w:val="0"/>
      <w:marRight w:val="0"/>
      <w:marTop w:val="0"/>
      <w:marBottom w:val="0"/>
      <w:divBdr>
        <w:top w:val="none" w:sz="0" w:space="0" w:color="auto"/>
        <w:left w:val="none" w:sz="0" w:space="0" w:color="auto"/>
        <w:bottom w:val="none" w:sz="0" w:space="0" w:color="auto"/>
        <w:right w:val="none" w:sz="0" w:space="0" w:color="auto"/>
      </w:divBdr>
    </w:div>
    <w:div w:id="950282053">
      <w:bodyDiv w:val="1"/>
      <w:marLeft w:val="0"/>
      <w:marRight w:val="0"/>
      <w:marTop w:val="0"/>
      <w:marBottom w:val="0"/>
      <w:divBdr>
        <w:top w:val="none" w:sz="0" w:space="0" w:color="auto"/>
        <w:left w:val="none" w:sz="0" w:space="0" w:color="auto"/>
        <w:bottom w:val="none" w:sz="0" w:space="0" w:color="auto"/>
        <w:right w:val="none" w:sz="0" w:space="0" w:color="auto"/>
      </w:divBdr>
    </w:div>
    <w:div w:id="957876404">
      <w:bodyDiv w:val="1"/>
      <w:marLeft w:val="0"/>
      <w:marRight w:val="0"/>
      <w:marTop w:val="0"/>
      <w:marBottom w:val="0"/>
      <w:divBdr>
        <w:top w:val="none" w:sz="0" w:space="0" w:color="auto"/>
        <w:left w:val="none" w:sz="0" w:space="0" w:color="auto"/>
        <w:bottom w:val="none" w:sz="0" w:space="0" w:color="auto"/>
        <w:right w:val="none" w:sz="0" w:space="0" w:color="auto"/>
      </w:divBdr>
    </w:div>
    <w:div w:id="1023172191">
      <w:bodyDiv w:val="1"/>
      <w:marLeft w:val="0"/>
      <w:marRight w:val="0"/>
      <w:marTop w:val="0"/>
      <w:marBottom w:val="0"/>
      <w:divBdr>
        <w:top w:val="none" w:sz="0" w:space="0" w:color="auto"/>
        <w:left w:val="none" w:sz="0" w:space="0" w:color="auto"/>
        <w:bottom w:val="none" w:sz="0" w:space="0" w:color="auto"/>
        <w:right w:val="none" w:sz="0" w:space="0" w:color="auto"/>
      </w:divBdr>
    </w:div>
    <w:div w:id="1079518487">
      <w:bodyDiv w:val="1"/>
      <w:marLeft w:val="0"/>
      <w:marRight w:val="0"/>
      <w:marTop w:val="0"/>
      <w:marBottom w:val="0"/>
      <w:divBdr>
        <w:top w:val="none" w:sz="0" w:space="0" w:color="auto"/>
        <w:left w:val="none" w:sz="0" w:space="0" w:color="auto"/>
        <w:bottom w:val="none" w:sz="0" w:space="0" w:color="auto"/>
        <w:right w:val="none" w:sz="0" w:space="0" w:color="auto"/>
      </w:divBdr>
    </w:div>
    <w:div w:id="1105073395">
      <w:bodyDiv w:val="1"/>
      <w:marLeft w:val="0"/>
      <w:marRight w:val="0"/>
      <w:marTop w:val="0"/>
      <w:marBottom w:val="0"/>
      <w:divBdr>
        <w:top w:val="none" w:sz="0" w:space="0" w:color="auto"/>
        <w:left w:val="none" w:sz="0" w:space="0" w:color="auto"/>
        <w:bottom w:val="none" w:sz="0" w:space="0" w:color="auto"/>
        <w:right w:val="none" w:sz="0" w:space="0" w:color="auto"/>
      </w:divBdr>
    </w:div>
    <w:div w:id="1121530775">
      <w:bodyDiv w:val="1"/>
      <w:marLeft w:val="0"/>
      <w:marRight w:val="0"/>
      <w:marTop w:val="0"/>
      <w:marBottom w:val="0"/>
      <w:divBdr>
        <w:top w:val="none" w:sz="0" w:space="0" w:color="auto"/>
        <w:left w:val="none" w:sz="0" w:space="0" w:color="auto"/>
        <w:bottom w:val="none" w:sz="0" w:space="0" w:color="auto"/>
        <w:right w:val="none" w:sz="0" w:space="0" w:color="auto"/>
      </w:divBdr>
    </w:div>
    <w:div w:id="1135947590">
      <w:bodyDiv w:val="1"/>
      <w:marLeft w:val="0"/>
      <w:marRight w:val="0"/>
      <w:marTop w:val="0"/>
      <w:marBottom w:val="0"/>
      <w:divBdr>
        <w:top w:val="none" w:sz="0" w:space="0" w:color="auto"/>
        <w:left w:val="none" w:sz="0" w:space="0" w:color="auto"/>
        <w:bottom w:val="none" w:sz="0" w:space="0" w:color="auto"/>
        <w:right w:val="none" w:sz="0" w:space="0" w:color="auto"/>
      </w:divBdr>
    </w:div>
    <w:div w:id="1198617240">
      <w:bodyDiv w:val="1"/>
      <w:marLeft w:val="0"/>
      <w:marRight w:val="0"/>
      <w:marTop w:val="0"/>
      <w:marBottom w:val="0"/>
      <w:divBdr>
        <w:top w:val="none" w:sz="0" w:space="0" w:color="auto"/>
        <w:left w:val="none" w:sz="0" w:space="0" w:color="auto"/>
        <w:bottom w:val="none" w:sz="0" w:space="0" w:color="auto"/>
        <w:right w:val="none" w:sz="0" w:space="0" w:color="auto"/>
      </w:divBdr>
    </w:div>
    <w:div w:id="1198932232">
      <w:bodyDiv w:val="1"/>
      <w:marLeft w:val="0"/>
      <w:marRight w:val="0"/>
      <w:marTop w:val="0"/>
      <w:marBottom w:val="0"/>
      <w:divBdr>
        <w:top w:val="none" w:sz="0" w:space="0" w:color="auto"/>
        <w:left w:val="none" w:sz="0" w:space="0" w:color="auto"/>
        <w:bottom w:val="none" w:sz="0" w:space="0" w:color="auto"/>
        <w:right w:val="none" w:sz="0" w:space="0" w:color="auto"/>
      </w:divBdr>
    </w:div>
    <w:div w:id="1247571659">
      <w:bodyDiv w:val="1"/>
      <w:marLeft w:val="0"/>
      <w:marRight w:val="0"/>
      <w:marTop w:val="0"/>
      <w:marBottom w:val="0"/>
      <w:divBdr>
        <w:top w:val="none" w:sz="0" w:space="0" w:color="auto"/>
        <w:left w:val="none" w:sz="0" w:space="0" w:color="auto"/>
        <w:bottom w:val="none" w:sz="0" w:space="0" w:color="auto"/>
        <w:right w:val="none" w:sz="0" w:space="0" w:color="auto"/>
      </w:divBdr>
    </w:div>
    <w:div w:id="1253860416">
      <w:bodyDiv w:val="1"/>
      <w:marLeft w:val="0"/>
      <w:marRight w:val="0"/>
      <w:marTop w:val="0"/>
      <w:marBottom w:val="0"/>
      <w:divBdr>
        <w:top w:val="none" w:sz="0" w:space="0" w:color="auto"/>
        <w:left w:val="none" w:sz="0" w:space="0" w:color="auto"/>
        <w:bottom w:val="none" w:sz="0" w:space="0" w:color="auto"/>
        <w:right w:val="none" w:sz="0" w:space="0" w:color="auto"/>
      </w:divBdr>
    </w:div>
    <w:div w:id="1254826439">
      <w:bodyDiv w:val="1"/>
      <w:marLeft w:val="0"/>
      <w:marRight w:val="0"/>
      <w:marTop w:val="0"/>
      <w:marBottom w:val="0"/>
      <w:divBdr>
        <w:top w:val="none" w:sz="0" w:space="0" w:color="auto"/>
        <w:left w:val="none" w:sz="0" w:space="0" w:color="auto"/>
        <w:bottom w:val="none" w:sz="0" w:space="0" w:color="auto"/>
        <w:right w:val="none" w:sz="0" w:space="0" w:color="auto"/>
      </w:divBdr>
    </w:div>
    <w:div w:id="1321425014">
      <w:bodyDiv w:val="1"/>
      <w:marLeft w:val="0"/>
      <w:marRight w:val="0"/>
      <w:marTop w:val="0"/>
      <w:marBottom w:val="0"/>
      <w:divBdr>
        <w:top w:val="none" w:sz="0" w:space="0" w:color="auto"/>
        <w:left w:val="none" w:sz="0" w:space="0" w:color="auto"/>
        <w:bottom w:val="none" w:sz="0" w:space="0" w:color="auto"/>
        <w:right w:val="none" w:sz="0" w:space="0" w:color="auto"/>
      </w:divBdr>
    </w:div>
    <w:div w:id="1352222956">
      <w:bodyDiv w:val="1"/>
      <w:marLeft w:val="0"/>
      <w:marRight w:val="0"/>
      <w:marTop w:val="0"/>
      <w:marBottom w:val="0"/>
      <w:divBdr>
        <w:top w:val="none" w:sz="0" w:space="0" w:color="auto"/>
        <w:left w:val="none" w:sz="0" w:space="0" w:color="auto"/>
        <w:bottom w:val="none" w:sz="0" w:space="0" w:color="auto"/>
        <w:right w:val="none" w:sz="0" w:space="0" w:color="auto"/>
      </w:divBdr>
    </w:div>
    <w:div w:id="1445538025">
      <w:bodyDiv w:val="1"/>
      <w:marLeft w:val="0"/>
      <w:marRight w:val="0"/>
      <w:marTop w:val="0"/>
      <w:marBottom w:val="0"/>
      <w:divBdr>
        <w:top w:val="none" w:sz="0" w:space="0" w:color="auto"/>
        <w:left w:val="none" w:sz="0" w:space="0" w:color="auto"/>
        <w:bottom w:val="none" w:sz="0" w:space="0" w:color="auto"/>
        <w:right w:val="none" w:sz="0" w:space="0" w:color="auto"/>
      </w:divBdr>
    </w:div>
    <w:div w:id="1450272266">
      <w:bodyDiv w:val="1"/>
      <w:marLeft w:val="0"/>
      <w:marRight w:val="0"/>
      <w:marTop w:val="0"/>
      <w:marBottom w:val="0"/>
      <w:divBdr>
        <w:top w:val="none" w:sz="0" w:space="0" w:color="auto"/>
        <w:left w:val="none" w:sz="0" w:space="0" w:color="auto"/>
        <w:bottom w:val="none" w:sz="0" w:space="0" w:color="auto"/>
        <w:right w:val="none" w:sz="0" w:space="0" w:color="auto"/>
      </w:divBdr>
    </w:div>
    <w:div w:id="1604876942">
      <w:bodyDiv w:val="1"/>
      <w:marLeft w:val="0"/>
      <w:marRight w:val="0"/>
      <w:marTop w:val="0"/>
      <w:marBottom w:val="0"/>
      <w:divBdr>
        <w:top w:val="none" w:sz="0" w:space="0" w:color="auto"/>
        <w:left w:val="none" w:sz="0" w:space="0" w:color="auto"/>
        <w:bottom w:val="none" w:sz="0" w:space="0" w:color="auto"/>
        <w:right w:val="none" w:sz="0" w:space="0" w:color="auto"/>
      </w:divBdr>
    </w:div>
    <w:div w:id="1668902055">
      <w:bodyDiv w:val="1"/>
      <w:marLeft w:val="0"/>
      <w:marRight w:val="0"/>
      <w:marTop w:val="0"/>
      <w:marBottom w:val="0"/>
      <w:divBdr>
        <w:top w:val="none" w:sz="0" w:space="0" w:color="auto"/>
        <w:left w:val="none" w:sz="0" w:space="0" w:color="auto"/>
        <w:bottom w:val="none" w:sz="0" w:space="0" w:color="auto"/>
        <w:right w:val="none" w:sz="0" w:space="0" w:color="auto"/>
      </w:divBdr>
    </w:div>
    <w:div w:id="1756780257">
      <w:bodyDiv w:val="1"/>
      <w:marLeft w:val="0"/>
      <w:marRight w:val="0"/>
      <w:marTop w:val="0"/>
      <w:marBottom w:val="0"/>
      <w:divBdr>
        <w:top w:val="none" w:sz="0" w:space="0" w:color="auto"/>
        <w:left w:val="none" w:sz="0" w:space="0" w:color="auto"/>
        <w:bottom w:val="none" w:sz="0" w:space="0" w:color="auto"/>
        <w:right w:val="none" w:sz="0" w:space="0" w:color="auto"/>
      </w:divBdr>
    </w:div>
    <w:div w:id="1760104577">
      <w:bodyDiv w:val="1"/>
      <w:marLeft w:val="0"/>
      <w:marRight w:val="0"/>
      <w:marTop w:val="0"/>
      <w:marBottom w:val="0"/>
      <w:divBdr>
        <w:top w:val="none" w:sz="0" w:space="0" w:color="auto"/>
        <w:left w:val="none" w:sz="0" w:space="0" w:color="auto"/>
        <w:bottom w:val="none" w:sz="0" w:space="0" w:color="auto"/>
        <w:right w:val="none" w:sz="0" w:space="0" w:color="auto"/>
      </w:divBdr>
    </w:div>
    <w:div w:id="1762143867">
      <w:bodyDiv w:val="1"/>
      <w:marLeft w:val="0"/>
      <w:marRight w:val="0"/>
      <w:marTop w:val="0"/>
      <w:marBottom w:val="0"/>
      <w:divBdr>
        <w:top w:val="none" w:sz="0" w:space="0" w:color="auto"/>
        <w:left w:val="none" w:sz="0" w:space="0" w:color="auto"/>
        <w:bottom w:val="none" w:sz="0" w:space="0" w:color="auto"/>
        <w:right w:val="none" w:sz="0" w:space="0" w:color="auto"/>
      </w:divBdr>
    </w:div>
    <w:div w:id="2104646620">
      <w:bodyDiv w:val="1"/>
      <w:marLeft w:val="0"/>
      <w:marRight w:val="0"/>
      <w:marTop w:val="0"/>
      <w:marBottom w:val="0"/>
      <w:divBdr>
        <w:top w:val="none" w:sz="0" w:space="0" w:color="auto"/>
        <w:left w:val="none" w:sz="0" w:space="0" w:color="auto"/>
        <w:bottom w:val="none" w:sz="0" w:space="0" w:color="auto"/>
        <w:right w:val="none" w:sz="0" w:space="0" w:color="auto"/>
      </w:divBdr>
    </w:div>
    <w:div w:id="214272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6DB3A-B781-400D-9688-F6B1888A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28595</Words>
  <Characters>137543</Characters>
  <Application>Microsoft Office Word</Application>
  <DocSecurity>0</DocSecurity>
  <Lines>5980</Lines>
  <Paragraphs>4886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(Water Corporations Charges) Regulations 2014 - 01-y0-00</dc:title>
  <dc:subject/>
  <dc:creator/>
  <cp:keywords/>
  <dc:description/>
  <cp:lastModifiedBy>Master Repository Process</cp:lastModifiedBy>
  <cp:revision>4</cp:revision>
  <cp:lastPrinted>2019-06-24T04:53:00Z</cp:lastPrinted>
  <dcterms:created xsi:type="dcterms:W3CDTF">2025-06-24T01:52:00Z</dcterms:created>
  <dcterms:modified xsi:type="dcterms:W3CDTF">2025-06-24T01:53:00Z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 2014 p 2155-298</vt:lpwstr>
  </property>
  <property fmtid="{D5CDD505-2E9C-101B-9397-08002B2CF9AE}" pid="3" name="DocumentType">
    <vt:lpwstr>Reg</vt:lpwstr>
  </property>
  <property fmtid="{D5CDD505-2E9C-101B-9397-08002B2CF9AE}" pid="4" name="ReprintedAsAt">
    <vt:filetime>2016-01-07T16:00:00Z</vt:filetime>
  </property>
  <property fmtid="{D5CDD505-2E9C-101B-9397-08002B2CF9AE}" pid="5" name="ReprintNo">
    <vt:lpwstr>1</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AsAtDate">
    <vt:lpwstr>01 Jul 2024</vt:lpwstr>
  </property>
  <property fmtid="{D5CDD505-2E9C-101B-9397-08002B2CF9AE}" pid="10" name="Suffix">
    <vt:lpwstr>01-y0-00</vt:lpwstr>
  </property>
  <property fmtid="{D5CDD505-2E9C-101B-9397-08002B2CF9AE}" pid="11" name="Official">
    <vt:lpwstr/>
  </property>
</Properties>
</file>