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Employers Indemnity Policies (Premium Rates) Act 1990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This Act was repealed by the </w:t>
      </w:r>
      <w:r>
        <w:rPr>
          <w:i/>
          <w:iCs/>
        </w:rPr>
        <w:t>Workers Compensation and Injury Management Act 2023</w:t>
      </w:r>
      <w:r>
        <w:t xml:space="preserve"> s. 617 (No. 21 of 2023) on 1 Jul 2024 (see s. 2(d) and SL 2024/34 cl. 2).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Employers Indemnity Policies (Premium Rates) Act 1990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_Toc168928504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_Toc168928505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_Toc168928506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Premium rates for composite policies may be determined</w:t>
      </w:r>
      <w:r>
        <w:tab/>
      </w:r>
      <w:r>
        <w:fldChar w:fldCharType="begin"/>
      </w:r>
      <w:r>
        <w:instrText xml:space="preserve"> PAGEREF _Toc168928507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Information</w:t>
      </w:r>
      <w:r>
        <w:tab/>
      </w:r>
      <w:r>
        <w:fldChar w:fldCharType="begin"/>
      </w:r>
      <w:r>
        <w:instrText xml:space="preserve"> PAGEREF _Toc168928508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Savings</w:t>
      </w:r>
      <w:r>
        <w:tab/>
      </w:r>
      <w:r>
        <w:fldChar w:fldCharType="begin"/>
      </w:r>
      <w:r>
        <w:instrText xml:space="preserve"> PAGEREF _Toc168928509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_Toc168928511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</w:pPr>
      <w:r>
        <w:t xml:space="preserve">Employers Indemnity Policies (Premium Rates) Act 1990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 Act to provide for the determination of recommended premium rates for certain employer indemnity policies and for related purposes. </w:t>
      </w:r>
    </w:p>
    <w:p>
      <w:pPr>
        <w:pStyle w:val="Heading5"/>
        <w:rPr>
          <w:snapToGrid w:val="0"/>
        </w:rPr>
      </w:pPr>
      <w:bookmarkStart w:id="2" w:name="_Toc16892850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Employers Indemnity Policies (Premium Rates) Act 1990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3" w:name="_Toc16892850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shall come into operation on the day on which it receives the Royal Assent.</w:t>
      </w:r>
    </w:p>
    <w:p>
      <w:pPr>
        <w:pStyle w:val="Heading5"/>
        <w:rPr>
          <w:snapToGrid w:val="0"/>
        </w:rPr>
      </w:pPr>
      <w:bookmarkStart w:id="4" w:name="_Toc16892850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In this Act, unless the contrary intention appears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employer indemnity policy</w:t>
      </w:r>
      <w:r>
        <w:t xml:space="preserve"> means a policy of insurance that gives to an employer, in addition to the insurance required by the</w:t>
      </w:r>
      <w:r>
        <w:rPr>
          <w:i/>
        </w:rPr>
        <w:t xml:space="preserve"> Workers’ Compensation and Injury Management Act 1981</w:t>
      </w:r>
      <w:r>
        <w:t xml:space="preserve">, such insurance against liability arising under the </w:t>
      </w:r>
      <w:r>
        <w:rPr>
          <w:i/>
        </w:rPr>
        <w:t>Fatal Accidents Act 1959</w:t>
      </w:r>
      <w:r>
        <w:t xml:space="preserve">, the </w:t>
      </w:r>
      <w:r>
        <w:rPr>
          <w:i/>
        </w:rPr>
        <w:t>Law Reform (Miscellaneous Provisions) Act 1941</w:t>
      </w:r>
      <w:r>
        <w:t xml:space="preserve">, the </w:t>
      </w:r>
      <w:r>
        <w:rPr>
          <w:i/>
        </w:rPr>
        <w:t>Law Reform (Contributory Negligence and Tortfeasors’ Contribution) Act 1947</w:t>
      </w:r>
      <w:r>
        <w:t>, or at common law for personal injury sustained by a person employed by the employer under a contract of service or apprenticeship as may be specified in the policy;</w:t>
      </w:r>
    </w:p>
    <w:p>
      <w:pPr>
        <w:pStyle w:val="Defstart"/>
      </w:pPr>
      <w:r>
        <w:tab/>
      </w:r>
      <w:r>
        <w:rPr>
          <w:rStyle w:val="CharDefText"/>
        </w:rPr>
        <w:t>employer</w:t>
      </w:r>
      <w:r>
        <w:t xml:space="preserve"> means a person required by the </w:t>
      </w:r>
      <w:r>
        <w:rPr>
          <w:i/>
        </w:rPr>
        <w:t xml:space="preserve">Workers’ Compensation and Injury Management Act 1981 </w:t>
      </w:r>
      <w:r>
        <w:t xml:space="preserve">to obtain and </w:t>
      </w:r>
      <w:r>
        <w:lastRenderedPageBreak/>
        <w:t>keep current a policy of insurance for liability to pay compensation under that Act.</w:t>
      </w:r>
    </w:p>
    <w:p>
      <w:pPr>
        <w:pStyle w:val="Subsection"/>
        <w:spacing w:before="8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</w:r>
      <w:r>
        <w:t>In this Act, unless the contrary intention appears, expressions</w:t>
      </w:r>
      <w:r>
        <w:rPr>
          <w:snapToGrid w:val="0"/>
        </w:rPr>
        <w:t xml:space="preserve"> used in the </w:t>
      </w:r>
      <w:r>
        <w:rPr>
          <w:i/>
        </w:rPr>
        <w:t xml:space="preserve">Workers’ Compensation and Injury Management Act 1981 </w:t>
      </w:r>
      <w:r>
        <w:rPr>
          <w:snapToGrid w:val="0"/>
        </w:rPr>
        <w:t>have the same respective meanings as they have in that Act.</w:t>
      </w:r>
    </w:p>
    <w:p>
      <w:pPr>
        <w:pStyle w:val="Footnotesection"/>
      </w:pPr>
      <w:r>
        <w:tab/>
        <w:t>[Section 3 amended: No. 42 of 2004 s. 174; No. 19 of 2010 s. 51.]</w:t>
      </w:r>
    </w:p>
    <w:p>
      <w:pPr>
        <w:pStyle w:val="Heading5"/>
        <w:rPr>
          <w:snapToGrid w:val="0"/>
        </w:rPr>
      </w:pPr>
      <w:bookmarkStart w:id="5" w:name="_Toc16892850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Premium rates for composite policies may be determined</w:t>
      </w:r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</w:r>
      <w:r>
        <w:t>WorkCover WA</w:t>
      </w:r>
      <w:r>
        <w:rPr>
          <w:snapToGrid w:val="0"/>
        </w:rPr>
        <w:t xml:space="preserve"> may determine recommended premium rates for employer indemnity policies that give such insurance, additional to the insurance required by the</w:t>
      </w:r>
      <w:r>
        <w:rPr>
          <w:i/>
        </w:rPr>
        <w:t xml:space="preserve"> Workers’ Compensation and Injury Management Act 1981</w:t>
      </w:r>
      <w:r>
        <w:rPr>
          <w:snapToGrid w:val="0"/>
        </w:rPr>
        <w:t>, as is described in the determination.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Different premium rates may be determined under subsection (1) according to the different categories or groups of businesses referred to in section 151 of the</w:t>
      </w:r>
      <w:r>
        <w:rPr>
          <w:i/>
        </w:rPr>
        <w:t xml:space="preserve"> Workers’ Compensation and Injury Management Act 1981</w:t>
      </w:r>
      <w:r>
        <w:rPr>
          <w:snapToGrid w:val="0"/>
        </w:rPr>
        <w:t>.</w:t>
      </w:r>
    </w:p>
    <w:p>
      <w:pPr>
        <w:pStyle w:val="Footnotesection"/>
      </w:pPr>
      <w:r>
        <w:tab/>
        <w:t>[Section 4 amended: No. 42 of 2004 s. 158(1 and 174).]</w:t>
      </w:r>
    </w:p>
    <w:p>
      <w:pPr>
        <w:pStyle w:val="Heading5"/>
        <w:rPr>
          <w:snapToGrid w:val="0"/>
        </w:rPr>
      </w:pPr>
      <w:bookmarkStart w:id="6" w:name="_Toc168928508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Information</w:t>
      </w:r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Information required by </w:t>
      </w:r>
      <w:r>
        <w:t>WorkCover WA</w:t>
      </w:r>
      <w:r>
        <w:rPr>
          <w:snapToGrid w:val="0"/>
        </w:rPr>
        <w:t xml:space="preserve"> for the purposes of this Act may be obtained under the </w:t>
      </w:r>
      <w:r>
        <w:rPr>
          <w:i/>
        </w:rPr>
        <w:t xml:space="preserve">Workers’ Compensation and Injury Management Act 1981 </w:t>
      </w:r>
      <w:r>
        <w:rPr>
          <w:snapToGrid w:val="0"/>
        </w:rPr>
        <w:t>as if it were required for the purposes of that Act, and information that may be used for the purposes of that Act may be used for the purposes of this Act.</w:t>
      </w:r>
    </w:p>
    <w:p>
      <w:pPr>
        <w:pStyle w:val="Footnotesection"/>
      </w:pPr>
      <w:r>
        <w:tab/>
        <w:t>[Section 5 amended: No. 42 of 2004 s. 158(2) and 174.]</w:t>
      </w:r>
    </w:p>
    <w:p>
      <w:pPr>
        <w:pStyle w:val="Heading5"/>
        <w:rPr>
          <w:snapToGrid w:val="0"/>
        </w:rPr>
      </w:pPr>
      <w:bookmarkStart w:id="7" w:name="_Toc168928509"/>
      <w:r>
        <w:rPr>
          <w:rStyle w:val="CharSectno"/>
        </w:rPr>
        <w:lastRenderedPageBreak/>
        <w:t>6</w:t>
      </w:r>
      <w:r>
        <w:rPr>
          <w:snapToGrid w:val="0"/>
        </w:rPr>
        <w:t>.</w:t>
      </w:r>
      <w:r>
        <w:rPr>
          <w:snapToGrid w:val="0"/>
        </w:rPr>
        <w:tab/>
        <w:t>Savings</w:t>
      </w:r>
      <w:bookmarkEnd w:id="7"/>
      <w:r>
        <w:rPr>
          <w:snapToGrid w:val="0"/>
        </w:rPr>
        <w:t xml:space="preserve"> </w:t>
      </w:r>
    </w:p>
    <w:p>
      <w:pPr>
        <w:pStyle w:val="Subsection"/>
        <w:keepLines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Nothing in this Act shall be construed as affecting the provisions of the </w:t>
      </w:r>
      <w:r>
        <w:rPr>
          <w:i/>
        </w:rPr>
        <w:t xml:space="preserve">Workers’ Compensation and Injury Management Act 1981 </w:t>
      </w:r>
      <w:r>
        <w:rPr>
          <w:snapToGrid w:val="0"/>
        </w:rPr>
        <w:t>relating to premium rates for insurance required by that Act.</w:t>
      </w:r>
    </w:p>
    <w:p>
      <w:pPr>
        <w:pStyle w:val="Footnotesection"/>
      </w:pPr>
      <w:r>
        <w:tab/>
        <w:t>[Section 6 amended: No. 42 of 2004 s. 174.]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168572251"/>
      <w:bookmarkStart w:id="9" w:name="_Toc168928510"/>
      <w:r>
        <w:lastRenderedPageBreak/>
        <w:t>Notes</w:t>
      </w:r>
      <w:bookmarkEnd w:id="8"/>
      <w:bookmarkEnd w:id="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Employers Indemnity Policies (Premium Rates) Act 1990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10" w:name="_Toc168928511"/>
      <w:r>
        <w:t>Compilation table</w:t>
      </w:r>
      <w:bookmarkEnd w:id="10"/>
    </w:p>
    <w:tbl>
      <w:tblPr>
        <w:tblW w:w="7088" w:type="dxa"/>
        <w:tblInd w:w="56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2268" w:type="dxa"/>
          </w:tcPr>
          <w:p>
            <w:pPr>
              <w:pStyle w:val="nTable"/>
              <w:spacing w:before="80"/>
            </w:pPr>
            <w:r>
              <w:rPr>
                <w:i/>
              </w:rPr>
              <w:t>Employers Indemnity Policies (Premium Rates) Act 1990</w:t>
            </w:r>
          </w:p>
        </w:tc>
        <w:tc>
          <w:tcPr>
            <w:tcW w:w="1134" w:type="dxa"/>
          </w:tcPr>
          <w:p>
            <w:pPr>
              <w:pStyle w:val="nTable"/>
              <w:spacing w:before="80"/>
            </w:pPr>
            <w:r>
              <w:t>69 of 1990</w:t>
            </w:r>
          </w:p>
        </w:tc>
        <w:tc>
          <w:tcPr>
            <w:tcW w:w="1134" w:type="dxa"/>
          </w:tcPr>
          <w:p>
            <w:pPr>
              <w:pStyle w:val="nTable"/>
              <w:spacing w:before="80"/>
            </w:pPr>
            <w:r>
              <w:t>17 Dec 1990</w:t>
            </w:r>
          </w:p>
        </w:tc>
        <w:tc>
          <w:tcPr>
            <w:tcW w:w="2552" w:type="dxa"/>
          </w:tcPr>
          <w:p>
            <w:pPr>
              <w:pStyle w:val="nTable"/>
              <w:spacing w:before="80"/>
            </w:pPr>
            <w:r>
              <w:t>17 Dec 1990 (see s. 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4"/>
          </w:tcPr>
          <w:p>
            <w:pPr>
              <w:pStyle w:val="nTable"/>
              <w:spacing w:before="80"/>
              <w:rPr>
                <w:b/>
              </w:rPr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  <w:noProof/>
                <w:snapToGrid w:val="0"/>
              </w:rPr>
              <w:t xml:space="preserve">Employers Indemnity Policies (Premium Rates) Act 1990 </w:t>
            </w:r>
            <w:r>
              <w:rPr>
                <w:b/>
                <w:noProof/>
                <w:snapToGrid w:val="0"/>
              </w:rPr>
              <w:t>as at 4 Oct 2002</w:t>
            </w:r>
          </w:p>
        </w:tc>
      </w:tr>
      <w:tr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nTable"/>
              <w:rPr>
                <w:snapToGrid w:val="0"/>
                <w:vertAlign w:val="superscript"/>
              </w:rPr>
            </w:pPr>
            <w:r>
              <w:rPr>
                <w:i/>
                <w:iCs/>
                <w:snapToGrid w:val="0"/>
              </w:rPr>
              <w:t>Workers’ Compensation Reform Act 2004</w:t>
            </w:r>
            <w:r>
              <w:rPr>
                <w:snapToGrid w:val="0"/>
              </w:rPr>
              <w:t xml:space="preserve"> s. 158 and 174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rPr>
                <w:snapToGrid w:val="0"/>
              </w:rPr>
            </w:pPr>
            <w:r>
              <w:rPr>
                <w:snapToGrid w:val="0"/>
              </w:rPr>
              <w:t>42 of 2004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</w:pPr>
            <w:r>
              <w:t>9 Nov 2004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>
            <w:pPr>
              <w:pStyle w:val="nTable"/>
              <w:rPr>
                <w:snapToGrid w:val="0"/>
              </w:rPr>
            </w:pPr>
            <w:r>
              <w:rPr>
                <w:iCs/>
                <w:snapToGrid w:val="0"/>
                <w:spacing w:val="-2"/>
              </w:rPr>
              <w:t xml:space="preserve">4 Jan 2005 (see s. 2 and </w:t>
            </w:r>
            <w:r>
              <w:rPr>
                <w:i/>
                <w:iCs/>
                <w:snapToGrid w:val="0"/>
                <w:spacing w:val="-2"/>
              </w:rPr>
              <w:t>Gazette</w:t>
            </w:r>
            <w:r>
              <w:rPr>
                <w:iCs/>
                <w:snapToGrid w:val="0"/>
                <w:spacing w:val="-2"/>
              </w:rPr>
              <w:t xml:space="preserve"> 31 Dec 2004 p. 7131)</w:t>
            </w:r>
          </w:p>
        </w:tc>
      </w:tr>
      <w:tr>
        <w:trPr>
          <w:cantSplit/>
        </w:trPr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Cs/>
                <w:snapToGrid w:val="0"/>
              </w:rPr>
            </w:pPr>
            <w:r>
              <w:rPr>
                <w:i/>
                <w:snapToGrid w:val="0"/>
              </w:rPr>
              <w:t>Standardisation of Formatting Act 2010</w:t>
            </w:r>
            <w:r>
              <w:rPr>
                <w:iCs/>
                <w:snapToGrid w:val="0"/>
              </w:rPr>
              <w:t xml:space="preserve"> s. 51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19 of 2010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28 Jun 2010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11 Sep 2010 (see s. 2(b) and </w:t>
            </w:r>
            <w:r>
              <w:rPr>
                <w:i/>
                <w:iCs/>
                <w:snapToGrid w:val="0"/>
              </w:rPr>
              <w:t>Gazette</w:t>
            </w:r>
            <w:r>
              <w:rPr>
                <w:snapToGrid w:val="0"/>
              </w:rPr>
              <w:t xml:space="preserve"> 10 Sep 2010 p. 4341)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4"/>
            <w:tcBorders>
              <w:bottom w:val="single" w:sz="4" w:space="0" w:color="auto"/>
            </w:tcBorders>
          </w:tcPr>
          <w:p>
            <w:pPr>
              <w:rPr>
                <w:b/>
                <w:bCs/>
                <w:szCs w:val="19"/>
              </w:rPr>
            </w:pPr>
            <w:r>
              <w:rPr>
                <w:b/>
                <w:bCs/>
                <w:color w:val="FF0000"/>
                <w:sz w:val="19"/>
                <w:szCs w:val="19"/>
              </w:rPr>
              <w:t xml:space="preserve">This Act was repealed by the </w:t>
            </w:r>
            <w:r>
              <w:rPr>
                <w:b/>
                <w:bCs/>
                <w:i/>
                <w:iCs/>
                <w:color w:val="FF0000"/>
                <w:sz w:val="19"/>
                <w:szCs w:val="19"/>
              </w:rPr>
              <w:t>Workers Compensation and Injury Management Act 2023</w:t>
            </w:r>
            <w:r>
              <w:rPr>
                <w:b/>
                <w:bCs/>
                <w:color w:val="FF0000"/>
                <w:sz w:val="19"/>
                <w:szCs w:val="19"/>
              </w:rPr>
              <w:t xml:space="preserve"> r. 617 (No. 21 of 2023) on 1 Jul 2024 (see s. 2(d) and SL 2024/34 cl. 2)</w:t>
            </w:r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2" w:name="_Toc168572254"/>
      <w:bookmarkStart w:id="13" w:name="_Toc168928512"/>
      <w:r>
        <w:rPr>
          <w:sz w:val="28"/>
        </w:rPr>
        <w:lastRenderedPageBreak/>
        <w:t>Defined terms</w:t>
      </w:r>
      <w:bookmarkEnd w:id="12"/>
      <w:bookmarkEnd w:id="1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employer</w:t>
      </w:r>
      <w:r>
        <w:tab/>
        <w:t>3(1)</w:t>
      </w:r>
    </w:p>
    <w:p>
      <w:pPr>
        <w:pStyle w:val="DefinedTerms"/>
      </w:pPr>
      <w:r>
        <w:t>employer indemnity policy</w:t>
      </w:r>
      <w:r>
        <w:tab/>
        <w:t>3(1)</w:t>
      </w:r>
    </w:p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B05D3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8CB0962" w14:textId="29262108" w:rsidR="004F0393" w:rsidRDefault="003E3E2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53FC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033C586" w14:textId="77777777" w:rsidR="004F0393" w:rsidRDefault="003E3E2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D2D861D" w14:textId="5286F305" w:rsidR="004F0393" w:rsidRDefault="003E3E2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53FC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67ED79C" w14:textId="77777777" w:rsidR="004F0393" w:rsidRDefault="003E3E2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01-f0-00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01-f0-00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01-f0-00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01-f0-00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01-f0-00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01-f0-00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Employers Indemnity Policies (Premium Rates) Act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Employers Indemnity Policies (Premium Rates) Act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Employers Indemnity Policies (Premium Rates) Act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Employers Indemnity Policies (Premium Rates) Act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Employers Indemnity Policies (Premium Rates) Act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Employers Indemnity Policies (Premium Rates) Act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Compilation"/>
    <w:bookmarkEnd w:id="1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Employers Indemnity Policies (Premium Rates) Act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Employers Indemnity Policies (Premium Rates) Act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4" w:name="DefinedTerms"/>
    <w:bookmarkEnd w:id="14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2086CF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6924D7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30C1B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56A9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2D40C5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524BA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548D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01C4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D07A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9828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7CBA833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606131325"/>
    <w:docVar w:name="WAFER_20140123094131" w:val="RemoveTocBookmarks,RemoveUnusedBookmarks,RemoveLanguageTags,UsedStyles,ResetPageSize,UpdateArrangement"/>
    <w:docVar w:name="WAFER_20140123094131_GUID" w:val="55ea3de3-921a-496b-85e0-61655ae9fe15"/>
    <w:docVar w:name="WAFER_20140123094740" w:val="RemoveTocBookmarks,RunningHeaders"/>
    <w:docVar w:name="WAFER_20140123094740_GUID" w:val="d853bc01-dba4-48bf-a4ab-41cd331cbbf1"/>
    <w:docVar w:name="WAFER_20150414135051" w:val="ResetPageSize,UpdateArrangement,UpdateNTable"/>
    <w:docVar w:name="WAFER_20150414135051_GUID" w:val="02f3fd23-28ee-4627-8e6e-122511d2f221"/>
    <w:docVar w:name="WAFER_20151105120131" w:val="UpdateStyles,UsedStyles"/>
    <w:docVar w:name="WAFER_20151105120131_GUID" w:val="430688e7-21f2-4d46-bb4d-7d46e03912c7"/>
    <w:docVar w:name="WAFER_202310191334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31019133410_GUID" w:val="f48b54ee-773f-4344-88ee-b750f873243e"/>
    <w:docVar w:name="WAFER_202312220955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2095524_GUID" w:val="347c9580-29a8-4aae-8f55-438190cad6e5"/>
    <w:docVar w:name="WAFER_202403141623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14162314_GUID" w:val="0b676524-00bf-4781-b579-1b3b91d49cfd"/>
    <w:docVar w:name="WAFER_202406061313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31325_GUID" w:val="2f8d7167-505d-4cc2-bd13-41c592817e8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5:docId w15:val="{93A67632-B509-4080-9FA6-3F984BD8F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826</Words>
  <Characters>4111</Characters>
  <Application>Microsoft Office Word</Application>
  <DocSecurity>0</DocSecurity>
  <Lines>152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Employers Indemnity Policies (Premium Rates) Act 1990 - 01-f0-00</dc:title>
  <dc:subject/>
  <dc:creator/>
  <cp:keywords/>
  <dc:description/>
  <cp:lastModifiedBy>Master Repository Process</cp:lastModifiedBy>
  <cp:revision>4</cp:revision>
  <cp:lastPrinted>2002-10-09T07:56:00Z</cp:lastPrinted>
  <dcterms:created xsi:type="dcterms:W3CDTF">2025-06-24T02:38:00Z</dcterms:created>
  <dcterms:modified xsi:type="dcterms:W3CDTF">2025-06-24T02:38:00Z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69 of 1990</vt:lpwstr>
  </property>
  <property fmtid="{D5CDD505-2E9C-101B-9397-08002B2CF9AE}" pid="3" name="DocumentType">
    <vt:lpwstr>Act</vt:lpwstr>
  </property>
  <property fmtid="{D5CDD505-2E9C-101B-9397-08002B2CF9AE}" pid="4" name="OwlsUID">
    <vt:i4>246</vt:i4>
  </property>
  <property fmtid="{D5CDD505-2E9C-101B-9397-08002B2CF9AE}" pid="5" name="AsAtDate">
    <vt:lpwstr>01 Jul 2024</vt:lpwstr>
  </property>
  <property fmtid="{D5CDD505-2E9C-101B-9397-08002B2CF9AE}" pid="6" name="Suffix">
    <vt:lpwstr>01-f0-00</vt:lpwstr>
  </property>
  <property fmtid="{D5CDD505-2E9C-101B-9397-08002B2CF9AE}" pid="7" name="Official">
    <vt:lpwstr/>
  </property>
  <property fmtid="{D5CDD505-2E9C-101B-9397-08002B2CF9AE}" pid="8" name="Status">
    <vt:lpwstr>NIF</vt:lpwstr>
  </property>
  <property fmtid="{D5CDD505-2E9C-101B-9397-08002B2CF9AE}" pid="9" name="CommencementDate">
    <vt:lpwstr>20240701</vt:lpwstr>
  </property>
  <property fmtid="{D5CDD505-2E9C-101B-9397-08002B2CF9AE}" pid="10" name="CommencementAsAt">
    <vt:filetime>2024-06-30T16:00:00Z</vt:filetime>
  </property>
  <property fmtid="{D5CDD505-2E9C-101B-9397-08002B2CF9AE}" pid="11" name="CommencementYear">
    <vt:lpwstr>2024</vt:lpwstr>
  </property>
</Properties>
</file>