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Disposal of Uncollected Goods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_Toc185502446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_Toc185502447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_Toc185502448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legal rights and powers, effect on of this Act</w:t>
      </w:r>
      <w:r>
        <w:tab/>
      </w:r>
      <w:r>
        <w:fldChar w:fldCharType="begin"/>
      </w:r>
      <w:r>
        <w:instrText xml:space="preserve"> PAGEREF _Toc185502449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to bailment etc. under Sch. 1 Act</w:t>
      </w:r>
      <w:r>
        <w:tab/>
      </w:r>
      <w:r>
        <w:fldChar w:fldCharType="begin"/>
      </w:r>
      <w:r>
        <w:instrText xml:space="preserve"> PAGEREF _Toc185502450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Disposal of uncollected prescribed goods</w:t>
      </w:r>
    </w:p>
    <w:p>
      <w:pPr>
        <w:pStyle w:val="TOC8"/>
        <w:rPr>
          <w:rFonts w:asciiTheme="minorHAnsi" w:eastAsiaTheme="minorEastAsia" w:hAnsiTheme="minorHAnsi" w:cstheme="minorBidi"/>
          <w:szCs w:val="22"/>
        </w:rPr>
      </w:pPr>
      <w:r>
        <w:t>7</w:t>
      </w:r>
      <w:r>
        <w:rPr>
          <w:snapToGrid w:val="0"/>
        </w:rPr>
        <w:t>.</w:t>
      </w:r>
      <w:r>
        <w:rPr>
          <w:snapToGrid w:val="0"/>
        </w:rPr>
        <w:tab/>
        <w:t>Application of this Part</w:t>
      </w:r>
      <w:r>
        <w:tab/>
      </w:r>
      <w:r>
        <w:fldChar w:fldCharType="begin"/>
      </w:r>
      <w:r>
        <w:instrText xml:space="preserve"> PAGEREF _Toc185502452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Bailee’s right to dispose of uncollected prescribed goods</w:t>
      </w:r>
      <w:r>
        <w:tab/>
      </w:r>
      <w:r>
        <w:fldChar w:fldCharType="begin"/>
      </w:r>
      <w:r>
        <w:instrText xml:space="preserve"> PAGEREF _Toc185502453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Preconditions to disposing of goods under s. 8</w:t>
      </w:r>
      <w:r>
        <w:tab/>
      </w:r>
      <w:r>
        <w:fldChar w:fldCharType="begin"/>
      </w:r>
      <w:r>
        <w:instrText xml:space="preserve"> PAGEREF _Toc185502454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Disposal of uncollected goods assessed at a value not exceeding the relevant amount</w:t>
      </w:r>
    </w:p>
    <w:p>
      <w:pPr>
        <w:pStyle w:val="TOC8"/>
        <w:rPr>
          <w:rFonts w:asciiTheme="minorHAnsi" w:eastAsiaTheme="minorEastAsia" w:hAnsiTheme="minorHAnsi" w:cstheme="minorBidi"/>
          <w:szCs w:val="22"/>
        </w:rPr>
      </w:pPr>
      <w:r>
        <w:t>10</w:t>
      </w:r>
      <w:r>
        <w:rPr>
          <w:snapToGrid w:val="0"/>
        </w:rPr>
        <w:t>.</w:t>
      </w:r>
      <w:r>
        <w:rPr>
          <w:snapToGrid w:val="0"/>
        </w:rPr>
        <w:tab/>
        <w:t>Application of this Part</w:t>
      </w:r>
      <w:r>
        <w:tab/>
      </w:r>
      <w:r>
        <w:fldChar w:fldCharType="begin"/>
      </w:r>
      <w:r>
        <w:instrText xml:space="preserve"> PAGEREF _Toc185502456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Bailee’s right to dispose of uncollected goods</w:t>
      </w:r>
      <w:r>
        <w:tab/>
      </w:r>
      <w:r>
        <w:fldChar w:fldCharType="begin"/>
      </w:r>
      <w:r>
        <w:instrText xml:space="preserve"> PAGEREF _Toc185502457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Preconditions to disposing of goods under s. 11</w:t>
      </w:r>
      <w:r>
        <w:tab/>
      </w:r>
      <w:r>
        <w:fldChar w:fldCharType="begin"/>
      </w:r>
      <w:r>
        <w:instrText xml:space="preserve"> PAGEREF _Toc185502458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Procedure after goods are sold or otherwise disposed of pursuant to Parts II and III</w:t>
      </w:r>
    </w:p>
    <w:p>
      <w:pPr>
        <w:pStyle w:val="TOC8"/>
        <w:rPr>
          <w:rFonts w:asciiTheme="minorHAnsi" w:eastAsiaTheme="minorEastAsia" w:hAnsiTheme="minorHAnsi" w:cstheme="minorBidi"/>
          <w:szCs w:val="22"/>
        </w:rPr>
      </w:pPr>
      <w:r>
        <w:t>13</w:t>
      </w:r>
      <w:r>
        <w:rPr>
          <w:snapToGrid w:val="0"/>
        </w:rPr>
        <w:t>.</w:t>
      </w:r>
      <w:r>
        <w:rPr>
          <w:snapToGrid w:val="0"/>
        </w:rPr>
        <w:tab/>
        <w:t>Application of this Part</w:t>
      </w:r>
      <w:r>
        <w:tab/>
      </w:r>
      <w:r>
        <w:fldChar w:fldCharType="begin"/>
      </w:r>
      <w:r>
        <w:instrText xml:space="preserve"> PAGEREF _Toc185502460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Rights of bailor and bailee, and bailee’s duties, after goods disposed of under Part II or III</w:t>
      </w:r>
      <w:r>
        <w:tab/>
      </w:r>
      <w:r>
        <w:fldChar w:fldCharType="begin"/>
      </w:r>
      <w:r>
        <w:instrText xml:space="preserve"> PAGEREF _Toc185502461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Provisions relating to disputes</w:t>
      </w:r>
    </w:p>
    <w:p>
      <w:pPr>
        <w:pStyle w:val="TOC8"/>
        <w:rPr>
          <w:rFonts w:asciiTheme="minorHAnsi" w:eastAsiaTheme="minorEastAsia" w:hAnsiTheme="minorHAnsi" w:cstheme="minorBidi"/>
          <w:szCs w:val="22"/>
        </w:rPr>
      </w:pPr>
      <w:r>
        <w:t>15</w:t>
      </w:r>
      <w:r>
        <w:rPr>
          <w:snapToGrid w:val="0"/>
        </w:rPr>
        <w:t>.</w:t>
      </w:r>
      <w:r>
        <w:rPr>
          <w:snapToGrid w:val="0"/>
        </w:rPr>
        <w:tab/>
        <w:t>Dispute as to charges etc., effect of on bailee’s right under Part II or III</w:t>
      </w:r>
      <w:r>
        <w:tab/>
      </w:r>
      <w:r>
        <w:fldChar w:fldCharType="begin"/>
      </w:r>
      <w:r>
        <w:instrText xml:space="preserve"> PAGEREF _Toc185502463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Dispute as to description or value of goods, effect of on bailee’s right under Part II or III</w:t>
      </w:r>
      <w:r>
        <w:tab/>
      </w:r>
      <w:r>
        <w:fldChar w:fldCharType="begin"/>
      </w:r>
      <w:r>
        <w:instrText xml:space="preserve"> PAGEREF _Toc185502464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Determination of disputes</w:t>
      </w:r>
      <w:r>
        <w:tab/>
      </w:r>
      <w:r>
        <w:fldChar w:fldCharType="begin"/>
      </w:r>
      <w:r>
        <w:instrText xml:space="preserve"> PAGEREF _Toc185502465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 — Disposal of goods valued in excess of the relevant amount</w:t>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_Toc185502467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Bailee may apply for court order to dispose of uncollected goods</w:t>
      </w:r>
      <w:r>
        <w:tab/>
      </w:r>
      <w:r>
        <w:fldChar w:fldCharType="begin"/>
      </w:r>
      <w:r>
        <w:instrText xml:space="preserve"> PAGEREF _Toc185502468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VII — Disposal of goods in possession otherwise than under a bailment in the course of business</w:t>
      </w:r>
    </w:p>
    <w:p>
      <w:pPr>
        <w:pStyle w:val="TOC8"/>
        <w:rPr>
          <w:rFonts w:asciiTheme="minorHAnsi" w:eastAsiaTheme="minorEastAsia" w:hAnsiTheme="minorHAnsi" w:cstheme="minorBidi"/>
          <w:szCs w:val="22"/>
        </w:rPr>
      </w:pPr>
      <w:r>
        <w:t>20</w:t>
      </w:r>
      <w:r>
        <w:rPr>
          <w:snapToGrid w:val="0"/>
        </w:rPr>
        <w:t>.</w:t>
      </w:r>
      <w:r>
        <w:rPr>
          <w:snapToGrid w:val="0"/>
        </w:rPr>
        <w:tab/>
        <w:t>Person possessing another’s goods may apply for court order to dispose of them</w:t>
      </w:r>
      <w:r>
        <w:tab/>
      </w:r>
      <w:r>
        <w:fldChar w:fldCharType="begin"/>
      </w:r>
      <w:r>
        <w:instrText xml:space="preserve"> PAGEREF _Toc185502470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Preconditions to making s. 20 application</w:t>
      </w:r>
      <w:r>
        <w:tab/>
      </w:r>
      <w:r>
        <w:fldChar w:fldCharType="begin"/>
      </w:r>
      <w:r>
        <w:instrText xml:space="preserve"> PAGEREF _Toc185502471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the court</w:t>
      </w:r>
    </w:p>
    <w:p>
      <w:pPr>
        <w:pStyle w:val="TOC8"/>
        <w:rPr>
          <w:rFonts w:asciiTheme="minorHAnsi" w:eastAsiaTheme="minorEastAsia" w:hAnsiTheme="minorHAnsi" w:cstheme="minorBidi"/>
          <w:szCs w:val="22"/>
        </w:rPr>
      </w:pPr>
      <w:r>
        <w:t>22</w:t>
      </w:r>
      <w:r>
        <w:rPr>
          <w:snapToGrid w:val="0"/>
        </w:rPr>
        <w:t>.</w:t>
      </w:r>
      <w:r>
        <w:rPr>
          <w:snapToGrid w:val="0"/>
        </w:rPr>
        <w:tab/>
        <w:t>Court’s powers on s. 17(3), 19(1) or 20 application</w:t>
      </w:r>
      <w:r>
        <w:tab/>
      </w:r>
      <w:r>
        <w:fldChar w:fldCharType="begin"/>
      </w:r>
      <w:r>
        <w:instrText xml:space="preserve"> PAGEREF _Toc185502473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 for disposal of goods, effect of</w:t>
      </w:r>
      <w:r>
        <w:tab/>
      </w:r>
      <w:r>
        <w:fldChar w:fldCharType="begin"/>
      </w:r>
      <w:r>
        <w:instrText xml:space="preserve"> PAGEREF _Toc185502474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Subsidiary charges for goods disposed of under court order</w:t>
      </w:r>
      <w:r>
        <w:tab/>
      </w:r>
      <w:r>
        <w:fldChar w:fldCharType="begin"/>
      </w:r>
      <w:r>
        <w:instrText xml:space="preserve"> PAGEREF _Toc185502475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Rights of bailor etc. and applicant’s duties after goods disposed of under court order</w:t>
      </w:r>
      <w:r>
        <w:tab/>
      </w:r>
      <w:r>
        <w:fldChar w:fldCharType="begin"/>
      </w:r>
      <w:r>
        <w:instrText xml:space="preserve"> PAGEREF _Toc185502476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IX — Provisions as to notices</w:t>
      </w:r>
    </w:p>
    <w:p>
      <w:pPr>
        <w:pStyle w:val="TOC8"/>
        <w:rPr>
          <w:rFonts w:asciiTheme="minorHAnsi" w:eastAsiaTheme="minorEastAsia" w:hAnsiTheme="minorHAnsi" w:cstheme="minorBidi"/>
          <w:szCs w:val="22"/>
        </w:rPr>
      </w:pPr>
      <w:r>
        <w:t>26</w:t>
      </w:r>
      <w:r>
        <w:rPr>
          <w:snapToGrid w:val="0"/>
        </w:rPr>
        <w:t>.</w:t>
      </w:r>
      <w:r>
        <w:rPr>
          <w:snapToGrid w:val="0"/>
        </w:rPr>
        <w:tab/>
        <w:t>Form and content of notices</w:t>
      </w:r>
      <w:r>
        <w:tab/>
      </w:r>
      <w:r>
        <w:fldChar w:fldCharType="begin"/>
      </w:r>
      <w:r>
        <w:instrText xml:space="preserve"> PAGEREF _Toc185502478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27</w:t>
      </w:r>
      <w:r>
        <w:rPr>
          <w:snapToGrid w:val="0"/>
        </w:rPr>
        <w:t>.</w:t>
      </w:r>
      <w:r>
        <w:rPr>
          <w:snapToGrid w:val="0"/>
        </w:rPr>
        <w:tab/>
        <w:t>Court order, evidence of by certificate</w:t>
      </w:r>
      <w:r>
        <w:tab/>
      </w:r>
      <w:r>
        <w:fldChar w:fldCharType="begin"/>
      </w:r>
      <w:r>
        <w:instrText xml:space="preserve"> PAGEREF _Toc185502480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Surplus proceeds of sale, application of</w:t>
      </w:r>
      <w:r>
        <w:tab/>
      </w:r>
      <w:r>
        <w:fldChar w:fldCharType="begin"/>
      </w:r>
      <w:r>
        <w:instrText xml:space="preserve"> PAGEREF _Toc185502481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Bailee’s expenses before sale, recovery of if goods collected</w:t>
      </w:r>
      <w:r>
        <w:tab/>
      </w:r>
      <w:r>
        <w:fldChar w:fldCharType="begin"/>
      </w:r>
      <w:r>
        <w:instrText xml:space="preserve"> PAGEREF _Toc185502482 \h </w:instrText>
      </w:r>
      <w:r>
        <w:fldChar w:fldCharType="separate"/>
      </w:r>
      <w:r>
        <w:t>26</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Title to goods acquired</w:t>
      </w:r>
      <w:r>
        <w:tab/>
      </w:r>
      <w:r>
        <w:fldChar w:fldCharType="begin"/>
      </w:r>
      <w:r>
        <w:instrText xml:space="preserve"> PAGEREF _Toc185502483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to court, making and service of</w:t>
      </w:r>
      <w:r>
        <w:tab/>
      </w:r>
      <w:r>
        <w:fldChar w:fldCharType="begin"/>
      </w:r>
      <w:r>
        <w:instrText xml:space="preserve"> PAGEREF _Toc185502484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Court procedure</w:t>
      </w:r>
      <w:r>
        <w:tab/>
      </w:r>
      <w:r>
        <w:fldChar w:fldCharType="begin"/>
      </w:r>
      <w:r>
        <w:instrText xml:space="preserve"> PAGEREF _Toc185502485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_Toc185502486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_Toc185502487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 Acts custody of goods under which is not subject to this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_Toc185502490 \h </w:instrText>
      </w:r>
      <w:r>
        <w:fldChar w:fldCharType="separate"/>
      </w:r>
      <w:r>
        <w:t>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_Toc185502491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authorise the disposal in specified circumstances of certain uncollected goods. </w:t>
      </w:r>
    </w:p>
    <w:p>
      <w:pPr>
        <w:pStyle w:val="Heading2"/>
      </w:pPr>
      <w:bookmarkStart w:id="2" w:name="_Toc185434441"/>
      <w:bookmarkStart w:id="3" w:name="_Toc185434489"/>
      <w:bookmarkStart w:id="4" w:name="_Toc18550244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5502446"/>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w:t>
      </w:r>
    </w:p>
    <w:p>
      <w:pPr>
        <w:pStyle w:val="Heading5"/>
        <w:rPr>
          <w:snapToGrid w:val="0"/>
        </w:rPr>
      </w:pPr>
      <w:bookmarkStart w:id="6" w:name="_Toc18550244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10 of 1998 s. 76.]</w:t>
      </w:r>
    </w:p>
    <w:p>
      <w:pPr>
        <w:pStyle w:val="Heading5"/>
        <w:rPr>
          <w:snapToGrid w:val="0"/>
        </w:rPr>
      </w:pPr>
      <w:bookmarkStart w:id="7" w:name="_Toc185502448"/>
      <w:r>
        <w:rPr>
          <w:rStyle w:val="CharSectno"/>
        </w:rPr>
        <w:t>4</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prescribed goods</w:t>
      </w:r>
      <w:r>
        <w:t xml:space="preserve"> means goods prescribed by regulation;</w:t>
      </w:r>
    </w:p>
    <w:p>
      <w:pPr>
        <w:pStyle w:val="Defstart"/>
      </w:pPr>
      <w:r>
        <w:tab/>
      </w:r>
      <w:r>
        <w:rPr>
          <w:rStyle w:val="CharDefText"/>
        </w:rPr>
        <w:t>relevant amount</w:t>
      </w:r>
      <w:r>
        <w:t xml:space="preserve"> means $3 500 or such other amount as is prescribed by regulation.</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 xml:space="preserve">in relation to goods accepted for custody, when the period of arranged custody has expired, or, where there </w:t>
      </w:r>
      <w:r>
        <w:rPr>
          <w:snapToGrid w:val="0"/>
        </w:rPr>
        <w:lastRenderedPageBreak/>
        <w:t>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No. 59 of 2004 s. 141; No. 43 of 2016 s. 4.] </w:t>
      </w:r>
    </w:p>
    <w:p>
      <w:pPr>
        <w:pStyle w:val="Heading5"/>
        <w:rPr>
          <w:snapToGrid w:val="0"/>
        </w:rPr>
      </w:pPr>
      <w:bookmarkStart w:id="8" w:name="_Toc185502449"/>
      <w:r>
        <w:rPr>
          <w:rStyle w:val="CharSectno"/>
        </w:rPr>
        <w:t>5</w:t>
      </w:r>
      <w:r>
        <w:rPr>
          <w:snapToGrid w:val="0"/>
        </w:rPr>
        <w:t>.</w:t>
      </w:r>
      <w:r>
        <w:rPr>
          <w:snapToGrid w:val="0"/>
        </w:rPr>
        <w:tab/>
        <w:t>Other legal rights and powers, effect on of this Act</w:t>
      </w:r>
      <w:bookmarkEnd w:id="8"/>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9" w:name="_Toc185502450"/>
      <w:r>
        <w:rPr>
          <w:rStyle w:val="CharSectno"/>
        </w:rPr>
        <w:t>6</w:t>
      </w:r>
      <w:r>
        <w:rPr>
          <w:snapToGrid w:val="0"/>
        </w:rPr>
        <w:t>.</w:t>
      </w:r>
      <w:r>
        <w:rPr>
          <w:snapToGrid w:val="0"/>
        </w:rPr>
        <w:tab/>
        <w:t>Act not to apply to bailment etc. under Sch. 1 Act</w:t>
      </w:r>
      <w:bookmarkEnd w:id="9"/>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No. 128 of 1987 s. 89.] </w:t>
      </w:r>
    </w:p>
    <w:p>
      <w:pPr>
        <w:pStyle w:val="Heading2"/>
      </w:pPr>
      <w:bookmarkStart w:id="10" w:name="_Toc185434447"/>
      <w:bookmarkStart w:id="11" w:name="_Toc185434495"/>
      <w:bookmarkStart w:id="12" w:name="_Toc185502451"/>
      <w:r>
        <w:rPr>
          <w:rStyle w:val="CharPartNo"/>
        </w:rPr>
        <w:lastRenderedPageBreak/>
        <w:t>Part II</w:t>
      </w:r>
      <w:r>
        <w:rPr>
          <w:rStyle w:val="CharDivNo"/>
        </w:rPr>
        <w:t> </w:t>
      </w:r>
      <w:r>
        <w:t>—</w:t>
      </w:r>
      <w:r>
        <w:rPr>
          <w:rStyle w:val="CharDivText"/>
        </w:rPr>
        <w:t> </w:t>
      </w:r>
      <w:r>
        <w:rPr>
          <w:rStyle w:val="CharPartText"/>
        </w:rPr>
        <w:t>Disposal of uncollected prescribed goods</w:t>
      </w:r>
      <w:bookmarkEnd w:id="10"/>
      <w:bookmarkEnd w:id="11"/>
      <w:bookmarkEnd w:id="12"/>
      <w:r>
        <w:rPr>
          <w:rStyle w:val="CharPartText"/>
        </w:rPr>
        <w:t xml:space="preserve"> </w:t>
      </w:r>
    </w:p>
    <w:p>
      <w:pPr>
        <w:pStyle w:val="Heading5"/>
        <w:rPr>
          <w:snapToGrid w:val="0"/>
        </w:rPr>
      </w:pPr>
      <w:bookmarkStart w:id="13" w:name="_Toc185502452"/>
      <w:r>
        <w:rPr>
          <w:rStyle w:val="CharSectno"/>
        </w:rPr>
        <w:t>7</w:t>
      </w:r>
      <w:r>
        <w:rPr>
          <w:snapToGrid w:val="0"/>
        </w:rPr>
        <w:t>.</w:t>
      </w:r>
      <w:r>
        <w:rPr>
          <w:snapToGrid w:val="0"/>
        </w:rPr>
        <w:tab/>
        <w:t>Application of this Part</w:t>
      </w:r>
      <w:bookmarkEnd w:id="13"/>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14" w:name="_Toc185502453"/>
      <w:r>
        <w:rPr>
          <w:rStyle w:val="CharSectno"/>
        </w:rPr>
        <w:t>8</w:t>
      </w:r>
      <w:r>
        <w:rPr>
          <w:snapToGrid w:val="0"/>
        </w:rPr>
        <w:t>.</w:t>
      </w:r>
      <w:r>
        <w:rPr>
          <w:snapToGrid w:val="0"/>
        </w:rPr>
        <w:tab/>
        <w:t>Bailee’s right to dispose of uncollected prescribed goods</w:t>
      </w:r>
      <w:bookmarkEnd w:id="14"/>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15" w:name="_Toc185502454"/>
      <w:r>
        <w:rPr>
          <w:rStyle w:val="CharSectno"/>
        </w:rPr>
        <w:t>9</w:t>
      </w:r>
      <w:r>
        <w:rPr>
          <w:snapToGrid w:val="0"/>
        </w:rPr>
        <w:t>.</w:t>
      </w:r>
      <w:r>
        <w:rPr>
          <w:snapToGrid w:val="0"/>
        </w:rPr>
        <w:tab/>
        <w:t>Preconditions to disposing of goods under s. 8</w:t>
      </w:r>
      <w:bookmarkEnd w:id="15"/>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lastRenderedPageBreak/>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16" w:name="_Toc185434451"/>
      <w:bookmarkStart w:id="17" w:name="_Toc185434499"/>
      <w:bookmarkStart w:id="18" w:name="_Toc185502455"/>
      <w:r>
        <w:rPr>
          <w:rStyle w:val="CharPartNo"/>
        </w:rPr>
        <w:lastRenderedPageBreak/>
        <w:t>Part III</w:t>
      </w:r>
      <w:r>
        <w:rPr>
          <w:rStyle w:val="CharDivNo"/>
        </w:rPr>
        <w:t> </w:t>
      </w:r>
      <w:r>
        <w:t>—</w:t>
      </w:r>
      <w:r>
        <w:rPr>
          <w:rStyle w:val="CharDivText"/>
        </w:rPr>
        <w:t> </w:t>
      </w:r>
      <w:r>
        <w:rPr>
          <w:rStyle w:val="CharPartText"/>
        </w:rPr>
        <w:t>Disposal of uncollected goods assessed at a value not exceeding the relevant amount</w:t>
      </w:r>
      <w:bookmarkEnd w:id="16"/>
      <w:bookmarkEnd w:id="17"/>
      <w:bookmarkEnd w:id="18"/>
    </w:p>
    <w:p>
      <w:pPr>
        <w:pStyle w:val="Footnoteheading"/>
      </w:pPr>
      <w:r>
        <w:tab/>
        <w:t xml:space="preserve">[Heading amended: No. 43 of 2016 s. 5.] </w:t>
      </w:r>
    </w:p>
    <w:p>
      <w:pPr>
        <w:pStyle w:val="Heading5"/>
        <w:rPr>
          <w:snapToGrid w:val="0"/>
        </w:rPr>
      </w:pPr>
      <w:bookmarkStart w:id="19" w:name="_Toc185502456"/>
      <w:r>
        <w:rPr>
          <w:rStyle w:val="CharSectno"/>
        </w:rPr>
        <w:t>10</w:t>
      </w:r>
      <w:r>
        <w:rPr>
          <w:snapToGrid w:val="0"/>
        </w:rPr>
        <w:t>.</w:t>
      </w:r>
      <w:r>
        <w:rPr>
          <w:snapToGrid w:val="0"/>
        </w:rPr>
        <w:tab/>
        <w:t>Application of this Part</w:t>
      </w:r>
      <w:bookmarkEnd w:id="19"/>
      <w:r>
        <w:rPr>
          <w:snapToGrid w:val="0"/>
        </w:rPr>
        <w:t xml:space="preserve"> </w:t>
      </w:r>
    </w:p>
    <w:p>
      <w:pPr>
        <w:pStyle w:val="Subsection"/>
        <w:spacing w:before="120"/>
        <w:rPr>
          <w:snapToGrid w:val="0"/>
        </w:rPr>
      </w:pPr>
      <w:r>
        <w:rPr>
          <w:snapToGrid w:val="0"/>
        </w:rPr>
        <w:tab/>
      </w:r>
      <w:r>
        <w:rPr>
          <w:snapToGrid w:val="0"/>
        </w:rPr>
        <w:tab/>
        <w:t xml:space="preserve">This Part applies in relation to a bailment of goods, other than prescribed goods, of a value not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r>
        <w:tab/>
        <w:t>[Section 10 amended: No. 43 of 2016 s. 6.]</w:t>
      </w:r>
    </w:p>
    <w:p>
      <w:pPr>
        <w:pStyle w:val="Heading5"/>
        <w:rPr>
          <w:snapToGrid w:val="0"/>
        </w:rPr>
      </w:pPr>
      <w:bookmarkStart w:id="20" w:name="_Toc185502457"/>
      <w:r>
        <w:rPr>
          <w:rStyle w:val="CharSectno"/>
        </w:rPr>
        <w:t>11</w:t>
      </w:r>
      <w:r>
        <w:rPr>
          <w:snapToGrid w:val="0"/>
        </w:rPr>
        <w:t>.</w:t>
      </w:r>
      <w:r>
        <w:rPr>
          <w:snapToGrid w:val="0"/>
        </w:rPr>
        <w:tab/>
        <w:t>Bailee’s right to dispose of uncollected goods</w:t>
      </w:r>
      <w:bookmarkEnd w:id="20"/>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21" w:name="_Toc185502458"/>
      <w:r>
        <w:rPr>
          <w:rStyle w:val="CharSectno"/>
        </w:rPr>
        <w:t>12</w:t>
      </w:r>
      <w:r>
        <w:rPr>
          <w:snapToGrid w:val="0"/>
        </w:rPr>
        <w:t>.</w:t>
      </w:r>
      <w:r>
        <w:rPr>
          <w:snapToGrid w:val="0"/>
        </w:rPr>
        <w:tab/>
        <w:t>Preconditions to disposing of goods under s. 11</w:t>
      </w:r>
      <w:bookmarkEnd w:id="21"/>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lastRenderedPageBreak/>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22" w:name="_Toc185434455"/>
      <w:bookmarkStart w:id="23" w:name="_Toc185434503"/>
      <w:bookmarkStart w:id="24" w:name="_Toc185502459"/>
      <w:r>
        <w:rPr>
          <w:rStyle w:val="CharPartNo"/>
        </w:rPr>
        <w:lastRenderedPageBreak/>
        <w:t>Part IV</w:t>
      </w:r>
      <w:r>
        <w:rPr>
          <w:rStyle w:val="CharDivNo"/>
        </w:rPr>
        <w:t> </w:t>
      </w:r>
      <w:r>
        <w:t>—</w:t>
      </w:r>
      <w:r>
        <w:rPr>
          <w:rStyle w:val="CharDivText"/>
        </w:rPr>
        <w:t> </w:t>
      </w:r>
      <w:r>
        <w:rPr>
          <w:rStyle w:val="CharPartText"/>
        </w:rPr>
        <w:t>Procedure after goods are sold or otherwise disposed of pursuant to Parts II and III</w:t>
      </w:r>
      <w:bookmarkEnd w:id="22"/>
      <w:bookmarkEnd w:id="23"/>
      <w:bookmarkEnd w:id="24"/>
    </w:p>
    <w:p>
      <w:pPr>
        <w:pStyle w:val="Heading5"/>
        <w:rPr>
          <w:snapToGrid w:val="0"/>
        </w:rPr>
      </w:pPr>
      <w:bookmarkStart w:id="25" w:name="_Toc185502460"/>
      <w:r>
        <w:rPr>
          <w:rStyle w:val="CharSectno"/>
        </w:rPr>
        <w:t>13</w:t>
      </w:r>
      <w:r>
        <w:rPr>
          <w:snapToGrid w:val="0"/>
        </w:rPr>
        <w:t>.</w:t>
      </w:r>
      <w:r>
        <w:rPr>
          <w:snapToGrid w:val="0"/>
        </w:rPr>
        <w:tab/>
        <w:t>Application of this Part</w:t>
      </w:r>
      <w:bookmarkEnd w:id="25"/>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26" w:name="_Toc185502461"/>
      <w:r>
        <w:rPr>
          <w:rStyle w:val="CharSectno"/>
        </w:rPr>
        <w:t>14</w:t>
      </w:r>
      <w:r>
        <w:rPr>
          <w:snapToGrid w:val="0"/>
        </w:rPr>
        <w:t>.</w:t>
      </w:r>
      <w:r>
        <w:rPr>
          <w:snapToGrid w:val="0"/>
        </w:rPr>
        <w:tab/>
        <w:t>Rights of bailor and bailee, and bailee’s duties, after goods disposed of under Part II or III</w:t>
      </w:r>
      <w:bookmarkEnd w:id="26"/>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lastRenderedPageBreak/>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 xml:space="preserve">and shall, during the period of 6 years from the time the record is prepared, keep the record together with a copy of the notice of </w:t>
      </w:r>
      <w:r>
        <w:rPr>
          <w:snapToGrid w:val="0"/>
        </w:rPr>
        <w:lastRenderedPageBreak/>
        <w:t>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27" w:name="_Toc185434458"/>
      <w:bookmarkStart w:id="28" w:name="_Toc185434506"/>
      <w:bookmarkStart w:id="29" w:name="_Toc185502462"/>
      <w:r>
        <w:rPr>
          <w:rStyle w:val="CharPartNo"/>
        </w:rPr>
        <w:lastRenderedPageBreak/>
        <w:t>Part V</w:t>
      </w:r>
      <w:r>
        <w:rPr>
          <w:rStyle w:val="CharDivNo"/>
        </w:rPr>
        <w:t> </w:t>
      </w:r>
      <w:r>
        <w:t>—</w:t>
      </w:r>
      <w:r>
        <w:rPr>
          <w:rStyle w:val="CharDivText"/>
        </w:rPr>
        <w:t> </w:t>
      </w:r>
      <w:r>
        <w:rPr>
          <w:rStyle w:val="CharPartText"/>
        </w:rPr>
        <w:t>Provisions relating to disputes</w:t>
      </w:r>
      <w:bookmarkEnd w:id="27"/>
      <w:bookmarkEnd w:id="28"/>
      <w:bookmarkEnd w:id="29"/>
      <w:r>
        <w:rPr>
          <w:rStyle w:val="CharPartText"/>
        </w:rPr>
        <w:t xml:space="preserve"> </w:t>
      </w:r>
    </w:p>
    <w:p>
      <w:pPr>
        <w:pStyle w:val="Heading5"/>
        <w:rPr>
          <w:snapToGrid w:val="0"/>
        </w:rPr>
      </w:pPr>
      <w:bookmarkStart w:id="30" w:name="_Toc185502463"/>
      <w:r>
        <w:rPr>
          <w:rStyle w:val="CharSectno"/>
        </w:rPr>
        <w:t>15</w:t>
      </w:r>
      <w:r>
        <w:rPr>
          <w:snapToGrid w:val="0"/>
        </w:rPr>
        <w:t>.</w:t>
      </w:r>
      <w:r>
        <w:rPr>
          <w:snapToGrid w:val="0"/>
        </w:rPr>
        <w:tab/>
        <w:t>Dispute as to charges etc., effect of on bailee’s right under Part II or III</w:t>
      </w:r>
      <w:bookmarkEnd w:id="30"/>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31" w:name="_Toc185502464"/>
      <w:r>
        <w:rPr>
          <w:rStyle w:val="CharSectno"/>
        </w:rPr>
        <w:t>16</w:t>
      </w:r>
      <w:r>
        <w:rPr>
          <w:snapToGrid w:val="0"/>
        </w:rPr>
        <w:t>.</w:t>
      </w:r>
      <w:r>
        <w:rPr>
          <w:snapToGrid w:val="0"/>
        </w:rPr>
        <w:tab/>
        <w:t>Dispute as to description or value of goods, effect of on bailee’s right under Part II or III</w:t>
      </w:r>
      <w:bookmarkEnd w:id="31"/>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 xml:space="preserve">to accept as accurate the assessment of the value of the goods described in the notice as not exceeding </w:t>
      </w:r>
      <w:r>
        <w:t>the relevant amount,</w:t>
      </w:r>
    </w:p>
    <w:p>
      <w:pPr>
        <w:pStyle w:val="Subsection"/>
        <w:rPr>
          <w:snapToGrid w:val="0"/>
        </w:rPr>
      </w:pPr>
      <w:r>
        <w:rPr>
          <w:snapToGrid w:val="0"/>
        </w:rPr>
        <w:lastRenderedPageBreak/>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Footnotesection"/>
      </w:pPr>
      <w:r>
        <w:tab/>
        <w:t>[Section 16 amended: No. 43 of 2016 s. 7.]</w:t>
      </w:r>
    </w:p>
    <w:p>
      <w:pPr>
        <w:pStyle w:val="Heading5"/>
        <w:rPr>
          <w:snapToGrid w:val="0"/>
        </w:rPr>
      </w:pPr>
      <w:bookmarkStart w:id="32" w:name="_Toc185502465"/>
      <w:r>
        <w:rPr>
          <w:rStyle w:val="CharSectno"/>
        </w:rPr>
        <w:t>17</w:t>
      </w:r>
      <w:r>
        <w:rPr>
          <w:snapToGrid w:val="0"/>
        </w:rPr>
        <w:t>.</w:t>
      </w:r>
      <w:r>
        <w:rPr>
          <w:snapToGrid w:val="0"/>
        </w:rPr>
        <w:tab/>
        <w:t>Determination of disputes</w:t>
      </w:r>
      <w:bookmarkEnd w:id="32"/>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lastRenderedPageBreak/>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33" w:name="_Toc185434462"/>
      <w:bookmarkStart w:id="34" w:name="_Toc185434510"/>
      <w:bookmarkStart w:id="35" w:name="_Toc185502466"/>
      <w:r>
        <w:rPr>
          <w:rStyle w:val="CharPartNo"/>
        </w:rPr>
        <w:lastRenderedPageBreak/>
        <w:t>Part VI</w:t>
      </w:r>
      <w:r>
        <w:rPr>
          <w:rStyle w:val="CharDivNo"/>
        </w:rPr>
        <w:t> </w:t>
      </w:r>
      <w:r>
        <w:t>—</w:t>
      </w:r>
      <w:r>
        <w:rPr>
          <w:rStyle w:val="CharDivText"/>
        </w:rPr>
        <w:t> </w:t>
      </w:r>
      <w:r>
        <w:rPr>
          <w:rStyle w:val="CharPartText"/>
        </w:rPr>
        <w:t>Disposal of goods valued in excess of the relevant amount</w:t>
      </w:r>
      <w:bookmarkEnd w:id="33"/>
      <w:bookmarkEnd w:id="34"/>
      <w:bookmarkEnd w:id="35"/>
    </w:p>
    <w:p>
      <w:pPr>
        <w:pStyle w:val="Footnoteheading"/>
      </w:pPr>
      <w:r>
        <w:tab/>
        <w:t>[Heading amended: No. 43 of 2016 s. 8.]</w:t>
      </w:r>
    </w:p>
    <w:p>
      <w:pPr>
        <w:pStyle w:val="Heading5"/>
        <w:rPr>
          <w:snapToGrid w:val="0"/>
        </w:rPr>
      </w:pPr>
      <w:bookmarkStart w:id="36" w:name="_Toc185502467"/>
      <w:r>
        <w:rPr>
          <w:rStyle w:val="CharSectno"/>
        </w:rPr>
        <w:t>18</w:t>
      </w:r>
      <w:r>
        <w:rPr>
          <w:snapToGrid w:val="0"/>
        </w:rPr>
        <w:t>.</w:t>
      </w:r>
      <w:r>
        <w:rPr>
          <w:snapToGrid w:val="0"/>
        </w:rPr>
        <w:tab/>
        <w:t>Application of this Part</w:t>
      </w:r>
      <w:bookmarkEnd w:id="36"/>
      <w:r>
        <w:rPr>
          <w:snapToGrid w:val="0"/>
        </w:rPr>
        <w:t xml:space="preserve"> </w:t>
      </w:r>
    </w:p>
    <w:p>
      <w:pPr>
        <w:pStyle w:val="Subsection"/>
        <w:rPr>
          <w:snapToGrid w:val="0"/>
        </w:rPr>
      </w:pPr>
      <w:r>
        <w:rPr>
          <w:snapToGrid w:val="0"/>
        </w:rPr>
        <w:tab/>
      </w:r>
      <w:r>
        <w:rPr>
          <w:snapToGrid w:val="0"/>
        </w:rPr>
        <w:tab/>
        <w:t xml:space="preserve">This Part applies in relation to a bailment of goods, other than prescribed goods, of a value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r>
        <w:tab/>
        <w:t>[Section 18 amended: No. 43 of 2016 s. 9.]</w:t>
      </w:r>
    </w:p>
    <w:p>
      <w:pPr>
        <w:pStyle w:val="Heading5"/>
        <w:rPr>
          <w:snapToGrid w:val="0"/>
        </w:rPr>
      </w:pPr>
      <w:bookmarkStart w:id="37" w:name="_Toc185502468"/>
      <w:r>
        <w:rPr>
          <w:rStyle w:val="CharSectno"/>
        </w:rPr>
        <w:t>19</w:t>
      </w:r>
      <w:r>
        <w:rPr>
          <w:snapToGrid w:val="0"/>
        </w:rPr>
        <w:t>.</w:t>
      </w:r>
      <w:r>
        <w:rPr>
          <w:snapToGrid w:val="0"/>
        </w:rPr>
        <w:tab/>
        <w:t>Bailee may apply for court order to dispose of uncollected goods</w:t>
      </w:r>
      <w:bookmarkEnd w:id="37"/>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lastRenderedPageBreak/>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38" w:name="_Toc185434465"/>
      <w:bookmarkStart w:id="39" w:name="_Toc185434513"/>
      <w:bookmarkStart w:id="40" w:name="_Toc185502469"/>
      <w:r>
        <w:rPr>
          <w:rStyle w:val="CharPartNo"/>
        </w:rPr>
        <w:lastRenderedPageBreak/>
        <w:t>Part VII</w:t>
      </w:r>
      <w:r>
        <w:rPr>
          <w:rStyle w:val="CharDivNo"/>
        </w:rPr>
        <w:t> </w:t>
      </w:r>
      <w:r>
        <w:t>—</w:t>
      </w:r>
      <w:r>
        <w:rPr>
          <w:rStyle w:val="CharDivText"/>
        </w:rPr>
        <w:t> </w:t>
      </w:r>
      <w:r>
        <w:rPr>
          <w:rStyle w:val="CharPartText"/>
        </w:rPr>
        <w:t>Disposal of goods in possession otherwise than under a bailment in the course of business</w:t>
      </w:r>
      <w:bookmarkEnd w:id="38"/>
      <w:bookmarkEnd w:id="39"/>
      <w:bookmarkEnd w:id="40"/>
      <w:r>
        <w:rPr>
          <w:rStyle w:val="CharPartText"/>
        </w:rPr>
        <w:t xml:space="preserve"> </w:t>
      </w:r>
    </w:p>
    <w:p>
      <w:pPr>
        <w:pStyle w:val="Heading5"/>
        <w:rPr>
          <w:snapToGrid w:val="0"/>
        </w:rPr>
      </w:pPr>
      <w:bookmarkStart w:id="41" w:name="_Toc185502470"/>
      <w:r>
        <w:rPr>
          <w:rStyle w:val="CharSectno"/>
        </w:rPr>
        <w:t>20</w:t>
      </w:r>
      <w:r>
        <w:rPr>
          <w:snapToGrid w:val="0"/>
        </w:rPr>
        <w:t>.</w:t>
      </w:r>
      <w:r>
        <w:rPr>
          <w:snapToGrid w:val="0"/>
        </w:rPr>
        <w:tab/>
        <w:t>Person possessing another’s goods may apply for court order to dispose of them</w:t>
      </w:r>
      <w:bookmarkEnd w:id="41"/>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42" w:name="_Toc185502471"/>
      <w:r>
        <w:rPr>
          <w:rStyle w:val="CharSectno"/>
        </w:rPr>
        <w:t>21</w:t>
      </w:r>
      <w:r>
        <w:rPr>
          <w:snapToGrid w:val="0"/>
        </w:rPr>
        <w:t>.</w:t>
      </w:r>
      <w:r>
        <w:rPr>
          <w:snapToGrid w:val="0"/>
        </w:rPr>
        <w:tab/>
        <w:t>Preconditions to making s. 20 application</w:t>
      </w:r>
      <w:bookmarkEnd w:id="42"/>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43" w:name="_Toc185434468"/>
      <w:bookmarkStart w:id="44" w:name="_Toc185434516"/>
      <w:bookmarkStart w:id="45" w:name="_Toc185502472"/>
      <w:r>
        <w:rPr>
          <w:rStyle w:val="CharPartNo"/>
        </w:rPr>
        <w:lastRenderedPageBreak/>
        <w:t>Part VIII</w:t>
      </w:r>
      <w:r>
        <w:rPr>
          <w:rStyle w:val="CharDivNo"/>
        </w:rPr>
        <w:t> </w:t>
      </w:r>
      <w:r>
        <w:t>—</w:t>
      </w:r>
      <w:r>
        <w:rPr>
          <w:rStyle w:val="CharDivText"/>
        </w:rPr>
        <w:t> </w:t>
      </w:r>
      <w:r>
        <w:rPr>
          <w:rStyle w:val="CharPartText"/>
        </w:rPr>
        <w:t>Powers of the court</w:t>
      </w:r>
      <w:bookmarkEnd w:id="43"/>
      <w:bookmarkEnd w:id="44"/>
      <w:bookmarkEnd w:id="45"/>
      <w:r>
        <w:rPr>
          <w:rStyle w:val="CharPartText"/>
        </w:rPr>
        <w:t xml:space="preserve"> </w:t>
      </w:r>
    </w:p>
    <w:p>
      <w:pPr>
        <w:pStyle w:val="Heading5"/>
        <w:rPr>
          <w:snapToGrid w:val="0"/>
        </w:rPr>
      </w:pPr>
      <w:bookmarkStart w:id="46" w:name="_Toc185502473"/>
      <w:r>
        <w:rPr>
          <w:rStyle w:val="CharSectno"/>
        </w:rPr>
        <w:t>22</w:t>
      </w:r>
      <w:r>
        <w:rPr>
          <w:snapToGrid w:val="0"/>
        </w:rPr>
        <w:t>.</w:t>
      </w:r>
      <w:r>
        <w:rPr>
          <w:snapToGrid w:val="0"/>
        </w:rPr>
        <w:tab/>
        <w:t>Court’s powers on s. 17(3), 19(1) or 20 application</w:t>
      </w:r>
      <w:bookmarkEnd w:id="46"/>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 xml:space="preserve">may prohibit the sale or other disposal of the goods for such period as the court specifies, and may contain such </w:t>
      </w:r>
      <w:r>
        <w:rPr>
          <w:snapToGrid w:val="0"/>
        </w:rPr>
        <w:lastRenderedPageBreak/>
        <w:t>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47" w:name="_Toc185502474"/>
      <w:r>
        <w:rPr>
          <w:rStyle w:val="CharSectno"/>
        </w:rPr>
        <w:t>23</w:t>
      </w:r>
      <w:r>
        <w:rPr>
          <w:snapToGrid w:val="0"/>
        </w:rPr>
        <w:t>.</w:t>
      </w:r>
      <w:r>
        <w:rPr>
          <w:snapToGrid w:val="0"/>
        </w:rPr>
        <w:tab/>
        <w:t>Order for disposal of goods, effect of</w:t>
      </w:r>
      <w:bookmarkEnd w:id="47"/>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 xml:space="preserve">For the purposes of this section an action is deemed not to have commenced until a writ or summons or other originating process </w:t>
      </w:r>
      <w:r>
        <w:rPr>
          <w:snapToGrid w:val="0"/>
        </w:rPr>
        <w:lastRenderedPageBreak/>
        <w:t>in the action has been served upon the party from whom it is sought to recover the goods.</w:t>
      </w:r>
    </w:p>
    <w:p>
      <w:pPr>
        <w:pStyle w:val="Heading5"/>
        <w:spacing w:before="180"/>
        <w:rPr>
          <w:snapToGrid w:val="0"/>
        </w:rPr>
      </w:pPr>
      <w:bookmarkStart w:id="48" w:name="_Toc185502475"/>
      <w:r>
        <w:rPr>
          <w:rStyle w:val="CharSectno"/>
        </w:rPr>
        <w:t>24</w:t>
      </w:r>
      <w:r>
        <w:rPr>
          <w:snapToGrid w:val="0"/>
        </w:rPr>
        <w:t>.</w:t>
      </w:r>
      <w:r>
        <w:rPr>
          <w:snapToGrid w:val="0"/>
        </w:rPr>
        <w:tab/>
        <w:t>Subsidiary charges for goods disposed of under court order</w:t>
      </w:r>
      <w:bookmarkEnd w:id="48"/>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49" w:name="_Toc185502476"/>
      <w:r>
        <w:rPr>
          <w:rStyle w:val="CharSectno"/>
        </w:rPr>
        <w:t>25</w:t>
      </w:r>
      <w:r>
        <w:rPr>
          <w:snapToGrid w:val="0"/>
        </w:rPr>
        <w:t>.</w:t>
      </w:r>
      <w:r>
        <w:rPr>
          <w:snapToGrid w:val="0"/>
        </w:rPr>
        <w:tab/>
        <w:t>Rights of bailor etc. and applicant’s duties after goods disposed of under court order</w:t>
      </w:r>
      <w:bookmarkEnd w:id="49"/>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 xml:space="preserve">is recoverable in a court of competent jurisdiction by the bailor or the person through whom possession was obtained, as the case requires, as a debt due to him by the person authorised to </w:t>
      </w:r>
      <w:r>
        <w:rPr>
          <w:snapToGrid w:val="0"/>
        </w:rPr>
        <w:lastRenderedPageBreak/>
        <w:t>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lastRenderedPageBreak/>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50" w:name="_Toc185434473"/>
      <w:bookmarkStart w:id="51" w:name="_Toc185434521"/>
      <w:bookmarkStart w:id="52" w:name="_Toc185502477"/>
      <w:r>
        <w:rPr>
          <w:rStyle w:val="CharPartNo"/>
        </w:rPr>
        <w:lastRenderedPageBreak/>
        <w:t>Part IX</w:t>
      </w:r>
      <w:r>
        <w:rPr>
          <w:rStyle w:val="CharDivNo"/>
        </w:rPr>
        <w:t> </w:t>
      </w:r>
      <w:r>
        <w:t>—</w:t>
      </w:r>
      <w:r>
        <w:rPr>
          <w:rStyle w:val="CharDivText"/>
        </w:rPr>
        <w:t> </w:t>
      </w:r>
      <w:r>
        <w:rPr>
          <w:rStyle w:val="CharPartText"/>
        </w:rPr>
        <w:t>Provisions as to notices</w:t>
      </w:r>
      <w:bookmarkEnd w:id="50"/>
      <w:bookmarkEnd w:id="51"/>
      <w:bookmarkEnd w:id="52"/>
      <w:r>
        <w:rPr>
          <w:rStyle w:val="CharPartText"/>
        </w:rPr>
        <w:t xml:space="preserve"> </w:t>
      </w:r>
    </w:p>
    <w:p>
      <w:pPr>
        <w:pStyle w:val="Heading5"/>
        <w:rPr>
          <w:snapToGrid w:val="0"/>
        </w:rPr>
      </w:pPr>
      <w:bookmarkStart w:id="53" w:name="_Toc185502478"/>
      <w:r>
        <w:rPr>
          <w:rStyle w:val="CharSectno"/>
        </w:rPr>
        <w:t>26</w:t>
      </w:r>
      <w:r>
        <w:rPr>
          <w:snapToGrid w:val="0"/>
        </w:rPr>
        <w:t>.</w:t>
      </w:r>
      <w:r>
        <w:rPr>
          <w:snapToGrid w:val="0"/>
        </w:rPr>
        <w:tab/>
        <w:t>Form and content of notices</w:t>
      </w:r>
      <w:bookmarkEnd w:id="53"/>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lastRenderedPageBreak/>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 xml:space="preserve">either that the goods are prescribed goods or other goods to the value of an amount, stating it, not exceeding </w:t>
      </w:r>
      <w:r>
        <w:t>the relevant amount,</w:t>
      </w:r>
      <w:r>
        <w:rPr>
          <w:snapToGrid w:val="0"/>
        </w:rPr>
        <w:t xml:space="preserve">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 xml:space="preserve">gives to the bailee a notice in writing that he denies that the goods are prescribed goods or that they are other goods to the value of an amount exceeding </w:t>
      </w:r>
      <w:r>
        <w:t>the relevant amount,</w:t>
      </w:r>
      <w:r>
        <w:rPr>
          <w:snapToGrid w:val="0"/>
        </w:rPr>
        <w:t xml:space="preserve">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lastRenderedPageBreak/>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Footnotesection"/>
      </w:pPr>
      <w:r>
        <w:tab/>
        <w:t>[Section 26 amended: No. 43 of 2016 s. 10.]</w:t>
      </w:r>
    </w:p>
    <w:p>
      <w:pPr>
        <w:pStyle w:val="Heading2"/>
      </w:pPr>
      <w:bookmarkStart w:id="54" w:name="_Toc185434475"/>
      <w:bookmarkStart w:id="55" w:name="_Toc185434523"/>
      <w:bookmarkStart w:id="56" w:name="_Toc185502479"/>
      <w:r>
        <w:rPr>
          <w:rStyle w:val="CharPartNo"/>
        </w:rPr>
        <w:lastRenderedPageBreak/>
        <w:t>Part X</w:t>
      </w:r>
      <w:r>
        <w:rPr>
          <w:rStyle w:val="CharDivNo"/>
        </w:rPr>
        <w:t> </w:t>
      </w:r>
      <w:r>
        <w:t>—</w:t>
      </w:r>
      <w:r>
        <w:rPr>
          <w:rStyle w:val="CharDivText"/>
        </w:rPr>
        <w:t> </w:t>
      </w:r>
      <w:r>
        <w:rPr>
          <w:rStyle w:val="CharPartText"/>
        </w:rPr>
        <w:t>General</w:t>
      </w:r>
      <w:bookmarkEnd w:id="54"/>
      <w:bookmarkEnd w:id="55"/>
      <w:bookmarkEnd w:id="56"/>
      <w:r>
        <w:rPr>
          <w:rStyle w:val="CharPartText"/>
        </w:rPr>
        <w:t xml:space="preserve"> </w:t>
      </w:r>
    </w:p>
    <w:p>
      <w:pPr>
        <w:pStyle w:val="Heading5"/>
        <w:rPr>
          <w:snapToGrid w:val="0"/>
        </w:rPr>
      </w:pPr>
      <w:bookmarkStart w:id="57" w:name="_Toc185502480"/>
      <w:r>
        <w:rPr>
          <w:rStyle w:val="CharSectno"/>
        </w:rPr>
        <w:t>27</w:t>
      </w:r>
      <w:r>
        <w:rPr>
          <w:snapToGrid w:val="0"/>
        </w:rPr>
        <w:t>.</w:t>
      </w:r>
      <w:r>
        <w:rPr>
          <w:snapToGrid w:val="0"/>
        </w:rPr>
        <w:tab/>
        <w:t>Court order, evidence of by certificate</w:t>
      </w:r>
      <w:bookmarkEnd w:id="57"/>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58" w:name="_Toc185502481"/>
      <w:r>
        <w:rPr>
          <w:rStyle w:val="CharSectno"/>
        </w:rPr>
        <w:t>28</w:t>
      </w:r>
      <w:r>
        <w:rPr>
          <w:snapToGrid w:val="0"/>
        </w:rPr>
        <w:t>.</w:t>
      </w:r>
      <w:r>
        <w:rPr>
          <w:snapToGrid w:val="0"/>
        </w:rPr>
        <w:tab/>
        <w:t>Surplus proceeds of sale, application of</w:t>
      </w:r>
      <w:bookmarkEnd w:id="58"/>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59" w:name="_Toc185502482"/>
      <w:r>
        <w:rPr>
          <w:rStyle w:val="CharSectno"/>
        </w:rPr>
        <w:lastRenderedPageBreak/>
        <w:t>29</w:t>
      </w:r>
      <w:r>
        <w:rPr>
          <w:snapToGrid w:val="0"/>
        </w:rPr>
        <w:t>.</w:t>
      </w:r>
      <w:r>
        <w:rPr>
          <w:snapToGrid w:val="0"/>
        </w:rPr>
        <w:tab/>
        <w:t>Bailee’s expenses before sale, recovery of if goods collected</w:t>
      </w:r>
      <w:bookmarkEnd w:id="59"/>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60" w:name="_Toc185502483"/>
      <w:r>
        <w:rPr>
          <w:rStyle w:val="CharSectno"/>
        </w:rPr>
        <w:t>30</w:t>
      </w:r>
      <w:r>
        <w:rPr>
          <w:snapToGrid w:val="0"/>
        </w:rPr>
        <w:t>.</w:t>
      </w:r>
      <w:r>
        <w:rPr>
          <w:snapToGrid w:val="0"/>
        </w:rPr>
        <w:tab/>
        <w:t>Title to goods acquired</w:t>
      </w:r>
      <w:bookmarkEnd w:id="60"/>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61" w:name="_Toc185502484"/>
      <w:r>
        <w:rPr>
          <w:rStyle w:val="CharSectno"/>
        </w:rPr>
        <w:t>31</w:t>
      </w:r>
      <w:r>
        <w:rPr>
          <w:snapToGrid w:val="0"/>
        </w:rPr>
        <w:t>.</w:t>
      </w:r>
      <w:r>
        <w:rPr>
          <w:snapToGrid w:val="0"/>
        </w:rPr>
        <w:tab/>
        <w:t>Application to court, making and service of</w:t>
      </w:r>
      <w:bookmarkEnd w:id="61"/>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lastRenderedPageBreak/>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62" w:name="_Toc185502485"/>
      <w:r>
        <w:rPr>
          <w:rStyle w:val="CharSectno"/>
        </w:rPr>
        <w:t>32</w:t>
      </w:r>
      <w:r>
        <w:rPr>
          <w:snapToGrid w:val="0"/>
        </w:rPr>
        <w:t>.</w:t>
      </w:r>
      <w:r>
        <w:rPr>
          <w:snapToGrid w:val="0"/>
        </w:rPr>
        <w:tab/>
        <w:t>Court procedure</w:t>
      </w:r>
      <w:bookmarkEnd w:id="62"/>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No. 59 of 2004 s. 141.] </w:t>
      </w:r>
    </w:p>
    <w:p>
      <w:pPr>
        <w:pStyle w:val="Ednotesection"/>
      </w:pPr>
      <w:r>
        <w:t>[</w:t>
      </w:r>
      <w:r>
        <w:rPr>
          <w:b/>
        </w:rPr>
        <w:t>33.</w:t>
      </w:r>
      <w:r>
        <w:tab/>
        <w:t>Deleted: No. 59 of 2004 s. 141.]</w:t>
      </w:r>
    </w:p>
    <w:p>
      <w:pPr>
        <w:pStyle w:val="Heading5"/>
        <w:rPr>
          <w:snapToGrid w:val="0"/>
        </w:rPr>
      </w:pPr>
      <w:bookmarkStart w:id="63" w:name="_Toc185502486"/>
      <w:r>
        <w:rPr>
          <w:rStyle w:val="CharSectno"/>
        </w:rPr>
        <w:t>34</w:t>
      </w:r>
      <w:r>
        <w:rPr>
          <w:snapToGrid w:val="0"/>
        </w:rPr>
        <w:t>.</w:t>
      </w:r>
      <w:r>
        <w:rPr>
          <w:snapToGrid w:val="0"/>
        </w:rPr>
        <w:tab/>
        <w:t>Penalties</w:t>
      </w:r>
      <w:bookmarkEnd w:id="63"/>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No. 78 of 1995 s. 147.] </w:t>
      </w:r>
    </w:p>
    <w:p>
      <w:pPr>
        <w:pStyle w:val="Heading5"/>
        <w:rPr>
          <w:snapToGrid w:val="0"/>
        </w:rPr>
      </w:pPr>
      <w:bookmarkStart w:id="64" w:name="_Toc185502487"/>
      <w:r>
        <w:rPr>
          <w:rStyle w:val="CharSectno"/>
        </w:rPr>
        <w:t>35</w:t>
      </w:r>
      <w:r>
        <w:rPr>
          <w:snapToGrid w:val="0"/>
        </w:rPr>
        <w:t>.</w:t>
      </w:r>
      <w:r>
        <w:rPr>
          <w:snapToGrid w:val="0"/>
        </w:rPr>
        <w:tab/>
        <w:t>Regulations</w:t>
      </w:r>
      <w:bookmarkEnd w:id="64"/>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65" w:name="_Toc185434484"/>
      <w:bookmarkStart w:id="66" w:name="_Toc185434532"/>
      <w:bookmarkStart w:id="67" w:name="_Toc185502488"/>
      <w:r>
        <w:rPr>
          <w:rStyle w:val="CharSchNo"/>
        </w:rPr>
        <w:lastRenderedPageBreak/>
        <w:t>Schedule</w:t>
      </w:r>
      <w:r>
        <w:t> — </w:t>
      </w:r>
      <w:r>
        <w:rPr>
          <w:rStyle w:val="CharSchText"/>
        </w:rPr>
        <w:t>Acts custody of goods under which is not subject to this Act</w:t>
      </w:r>
      <w:bookmarkEnd w:id="65"/>
      <w:bookmarkEnd w:id="66"/>
      <w:bookmarkEnd w:id="67"/>
    </w:p>
    <w:p>
      <w:pPr>
        <w:pStyle w:val="yShoulderClause"/>
        <w:spacing w:after="160"/>
        <w:rPr>
          <w:snapToGrid w:val="0"/>
        </w:rPr>
      </w:pPr>
      <w:r>
        <w:rPr>
          <w:snapToGrid w:val="0"/>
        </w:rPr>
        <w:t>[s. 6]</w:t>
      </w:r>
    </w:p>
    <w:p>
      <w:pPr>
        <w:pStyle w:val="yFootnoteheading"/>
      </w:pPr>
      <w:r>
        <w:tab/>
        <w:t>[Heading amended: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snapToGrid w:val="0"/>
                <w:szCs w:val="22"/>
              </w:rPr>
              <w:t>Firearms Act 1973.</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 xml:space="preserve">[Schedule amended: No. 128 of 1987 s. 89; No. 88 of 1994 s. 100; No. 5 of 1999 s. 21; No. 16 of 1999 s. 7(1); No. 31 of 2003 s. 157 and 203; No. 59 of 2006 s. 73; No. 60 of 2011 s. 98.]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2977" w:left="2410" w:header="720" w:footer="3544" w:gutter="0"/>
          <w:cols w:space="720"/>
          <w:noEndnote/>
          <w:docGrid w:linePitch="326"/>
        </w:sectPr>
      </w:pPr>
    </w:p>
    <w:p>
      <w:pPr>
        <w:pStyle w:val="nHeading2"/>
      </w:pPr>
      <w:bookmarkStart w:id="69" w:name="_Toc185434485"/>
      <w:bookmarkStart w:id="70" w:name="_Toc185434533"/>
      <w:bookmarkStart w:id="71" w:name="_Toc185502489"/>
      <w:r>
        <w:lastRenderedPageBreak/>
        <w:t>Notes</w:t>
      </w:r>
      <w:bookmarkEnd w:id="69"/>
      <w:bookmarkEnd w:id="70"/>
      <w:bookmarkEnd w:id="71"/>
    </w:p>
    <w:p>
      <w:pPr>
        <w:pStyle w:val="nStatement"/>
      </w:pPr>
      <w:r>
        <w:t xml:space="preserve">This is a compilation of the </w:t>
      </w:r>
      <w:r>
        <w:rPr>
          <w:i/>
          <w:noProof/>
        </w:rPr>
        <w:t>Disposal of Uncollected Goods Act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72" w:name="_Toc185502490"/>
      <w:r>
        <w:rPr>
          <w:snapToGrid w:val="0"/>
        </w:rPr>
        <w:t>Compilation table</w:t>
      </w:r>
      <w:bookmarkEnd w:id="72"/>
    </w:p>
    <w:tbl>
      <w:tblPr>
        <w:tblW w:w="7103" w:type="dxa"/>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r>
              <w:rPr>
                <w:i/>
              </w:rPr>
              <w:t>Perth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lastRenderedPageBreak/>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r>
        <w:trPr>
          <w:gridBefore w:val="1"/>
          <w:wBefore w:w="14" w:type="dxa"/>
          <w:cantSplit/>
        </w:trPr>
        <w:tc>
          <w:tcPr>
            <w:tcW w:w="2268" w:type="dxa"/>
            <w:gridSpan w:val="2"/>
            <w:tcBorders>
              <w:bottom w:val="single" w:sz="4" w:space="0" w:color="auto"/>
            </w:tcBorders>
            <w:shd w:val="clear" w:color="auto" w:fill="auto"/>
          </w:tcPr>
          <w:p>
            <w:pPr>
              <w:pStyle w:val="nTable"/>
              <w:spacing w:after="40"/>
              <w:ind w:right="113"/>
              <w:rPr>
                <w:iCs/>
                <w:snapToGrid w:val="0"/>
              </w:rPr>
            </w:pPr>
            <w:r>
              <w:rPr>
                <w:i/>
              </w:rPr>
              <w:t>Disposal of Uncollected Goods Amendment Act 2016</w:t>
            </w:r>
          </w:p>
        </w:tc>
        <w:tc>
          <w:tcPr>
            <w:tcW w:w="1134" w:type="dxa"/>
            <w:gridSpan w:val="2"/>
            <w:tcBorders>
              <w:bottom w:val="single" w:sz="4" w:space="0" w:color="auto"/>
            </w:tcBorders>
            <w:shd w:val="clear" w:color="auto" w:fill="auto"/>
          </w:tcPr>
          <w:p>
            <w:pPr>
              <w:pStyle w:val="nTable"/>
              <w:spacing w:after="40"/>
              <w:rPr>
                <w:snapToGrid w:val="0"/>
              </w:rPr>
            </w:pPr>
            <w:r>
              <w:t>43 of 2016</w:t>
            </w:r>
          </w:p>
        </w:tc>
        <w:tc>
          <w:tcPr>
            <w:tcW w:w="1135" w:type="dxa"/>
            <w:gridSpan w:val="2"/>
            <w:tcBorders>
              <w:bottom w:val="single" w:sz="4" w:space="0" w:color="auto"/>
            </w:tcBorders>
            <w:shd w:val="clear" w:color="auto" w:fill="auto"/>
          </w:tcPr>
          <w:p>
            <w:pPr>
              <w:pStyle w:val="nTable"/>
              <w:spacing w:after="40"/>
              <w:rPr>
                <w:snapToGrid w:val="0"/>
              </w:rPr>
            </w:pPr>
            <w:r>
              <w:t>1 Dec 2016</w:t>
            </w:r>
          </w:p>
        </w:tc>
        <w:tc>
          <w:tcPr>
            <w:tcW w:w="2552" w:type="dxa"/>
            <w:gridSpan w:val="2"/>
            <w:tcBorders>
              <w:bottom w:val="single" w:sz="4" w:space="0" w:color="auto"/>
            </w:tcBorders>
            <w:shd w:val="clear" w:color="auto" w:fill="auto"/>
          </w:tcPr>
          <w:p>
            <w:pPr>
              <w:pStyle w:val="nTable"/>
              <w:spacing w:after="40"/>
              <w:rPr>
                <w:snapToGrid w:val="0"/>
              </w:rPr>
            </w:pPr>
            <w:r>
              <w:rPr>
                <w:snapToGrid w:val="0"/>
              </w:rPr>
              <w:t>s. 1 and 2: 1 Dec 2016 (see s. 2 (a));</w:t>
            </w:r>
            <w:r>
              <w:rPr>
                <w:snapToGrid w:val="0"/>
              </w:rPr>
              <w:br/>
              <w:t xml:space="preserve">Act other than s. 1 and 2: 10 Jun 2017 (see s. 2(b) and </w:t>
            </w:r>
            <w:r>
              <w:rPr>
                <w:i/>
                <w:snapToGrid w:val="0"/>
              </w:rPr>
              <w:t>Gazette</w:t>
            </w:r>
            <w:r>
              <w:rPr>
                <w:snapToGrid w:val="0"/>
              </w:rPr>
              <w:t xml:space="preserve"> 9 Jun 2017 p. 2849)</w:t>
            </w:r>
          </w:p>
        </w:tc>
      </w:tr>
    </w:tbl>
    <w:p>
      <w:pPr>
        <w:pStyle w:val="nHeading3"/>
      </w:pPr>
      <w:bookmarkStart w:id="73" w:name="_Toc185502491"/>
      <w:r>
        <w:t>Uncommenced provisions table</w:t>
      </w:r>
      <w:bookmarkEnd w:id="7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Cs/>
              </w:rPr>
            </w:pPr>
            <w:r>
              <w:rPr>
                <w:i/>
              </w:rPr>
              <w:t>Firearms Act 2024</w:t>
            </w:r>
            <w:r>
              <w:rPr>
                <w:iCs/>
              </w:rPr>
              <w:t xml:space="preserve"> Pt. 17 Div. 3 Subdiv. 8</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pPr>
            <w:r>
              <w:rPr>
                <w:snapToGrid w:val="0"/>
              </w:rPr>
              <w:t>31 Mar 2025</w:t>
            </w:r>
            <w:r>
              <w:t xml:space="preserve"> (see s. 2(d)</w:t>
            </w:r>
            <w:r>
              <w:rPr>
                <w:snapToGrid w:val="0"/>
              </w:rPr>
              <w:t xml:space="preserve"> and SL 2024/289 cl. 2</w:t>
            </w:r>
            <w:r>
              <w:t>)</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75" w:name="_Toc185434488"/>
      <w:bookmarkStart w:id="76" w:name="_Toc185434536"/>
      <w:bookmarkStart w:id="77" w:name="_Toc185502492"/>
      <w:r>
        <w:rPr>
          <w:sz w:val="28"/>
        </w:rPr>
        <w:lastRenderedPageBreak/>
        <w:t>Defined terms</w:t>
      </w:r>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4(1)</w:t>
      </w:r>
    </w:p>
    <w:p>
      <w:pPr>
        <w:pStyle w:val="DefinedTerms"/>
      </w:pPr>
      <w:r>
        <w:t>Commissioner</w:t>
      </w:r>
      <w:r>
        <w:tab/>
        <w:t>4(1)</w:t>
      </w:r>
    </w:p>
    <w:p>
      <w:pPr>
        <w:pStyle w:val="DefinedTerms"/>
      </w:pPr>
      <w:r>
        <w:t>court</w:t>
      </w:r>
      <w:r>
        <w:tab/>
        <w:t>4(1)</w:t>
      </w:r>
    </w:p>
    <w:p>
      <w:pPr>
        <w:pStyle w:val="DefinedTerms"/>
      </w:pPr>
      <w:r>
        <w:t>inspection</w:t>
      </w:r>
      <w:r>
        <w:tab/>
        <w:t>4(1)</w:t>
      </w:r>
    </w:p>
    <w:p>
      <w:pPr>
        <w:pStyle w:val="DefinedTerms"/>
      </w:pPr>
      <w:r>
        <w:t>order</w:t>
      </w:r>
      <w:r>
        <w:tab/>
        <w:t>4(1)</w:t>
      </w:r>
    </w:p>
    <w:p>
      <w:pPr>
        <w:pStyle w:val="DefinedTerms"/>
      </w:pPr>
      <w:r>
        <w:t>prescribed goods</w:t>
      </w:r>
      <w:r>
        <w:tab/>
        <w:t>4(1)</w:t>
      </w:r>
    </w:p>
    <w:p>
      <w:pPr>
        <w:pStyle w:val="DefinedTerms"/>
      </w:pPr>
      <w:r>
        <w:t>relevant amount</w:t>
      </w:r>
      <w:r>
        <w:tab/>
        <w:t>4(1)</w:t>
      </w:r>
    </w:p>
    <w:p>
      <w:pPr>
        <w:pStyle w:val="DefinedTerms"/>
      </w:pPr>
      <w:r>
        <w:t>Treasurer</w:t>
      </w:r>
      <w:r>
        <w:tab/>
        <w:t>28(5)</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1AC8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60DAA5D" w14:textId="4ED29C66" w:rsidR="003C2107" w:rsidRDefault="00D52C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05E4">
                        <w:rPr>
                          <w:sz w:val="16"/>
                        </w:rPr>
                        <w:t>2024</w:t>
                      </w:r>
                      <w:r>
                        <w:rPr>
                          <w:sz w:val="16"/>
                        </w:rPr>
                        <w:fldChar w:fldCharType="end"/>
                      </w:r>
                      <w:r>
                        <w:rPr>
                          <w:sz w:val="16"/>
                        </w:rPr>
                        <w:t>.</w:t>
                      </w:r>
                    </w:p>
                    <w:p w14:paraId="754D839B" w14:textId="77777777" w:rsidR="003C2107" w:rsidRDefault="00D52C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BEB8A3" w14:textId="68891E5B" w:rsidR="003C2107" w:rsidRDefault="00D52C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05E4">
                        <w:rPr>
                          <w:sz w:val="16"/>
                        </w:rPr>
                        <w:t>2024</w:t>
                      </w:r>
                      <w:r>
                        <w:rPr>
                          <w:sz w:val="16"/>
                        </w:rPr>
                        <w:fldChar w:fldCharType="end"/>
                      </w:r>
                      <w:r>
                        <w:rPr>
                          <w:sz w:val="16"/>
                        </w:rPr>
                        <w:t>.</w:t>
                      </w:r>
                    </w:p>
                    <w:p w14:paraId="64BE0B45" w14:textId="77777777" w:rsidR="003C2107" w:rsidRDefault="00D52CE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jc w:val="center"/>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jc w:val="center"/>
      </w:trPr>
      <w:tc>
        <w:tcPr>
          <w:tcW w:w="5829" w:type="dxa"/>
        </w:tcPr>
        <w:p>
          <w:pPr>
            <w:pStyle w:val="Header"/>
            <w:spacing w:before="40"/>
            <w:jc w:val="right"/>
          </w:pPr>
        </w:p>
      </w:tc>
      <w:tc>
        <w:tcPr>
          <w:tcW w:w="1434"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Pr>
    <w:bookmarkStart w:id="68" w:name="Schedule"/>
    <w:bookmarkEnd w:id="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A484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B0D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F0EB6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68AF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DE2D8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70230"/>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 w:name="WAFER_20240626154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6154234_GUID" w:val="91df051f-38db-4325-b593-c41b6e55d863"/>
    <w:docVar w:name="WAFER_20241218170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70230_GUID" w:val="f329ee72-29a8-4369-8605-90b286d91aed"/>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7C07BD51-FE7D-4B7B-9FF3-1013E2C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46FCE-7DA2-4A1A-8E7F-D2FC2C30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7784</Words>
  <Characters>34874</Characters>
  <Application>Microsoft Office Word</Application>
  <DocSecurity>0</DocSecurity>
  <Lines>968</Lines>
  <Paragraphs>520</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42138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1970 - 02-e0-01</dc:title>
  <dc:subject/>
  <dc:creator/>
  <cp:keywords/>
  <dc:description/>
  <cp:lastModifiedBy>Master Repository Process</cp:lastModifiedBy>
  <cp:revision>4</cp:revision>
  <cp:lastPrinted>2017-06-08T06:19:00Z</cp:lastPrinted>
  <dcterms:created xsi:type="dcterms:W3CDTF">2025-06-16T04:52:00Z</dcterms:created>
  <dcterms:modified xsi:type="dcterms:W3CDTF">2025-06-16T04:52:00Z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DocumentType">
    <vt:lpwstr>Act</vt:lpwstr>
  </property>
  <property fmtid="{D5CDD505-2E9C-101B-9397-08002B2CF9AE}" pid="4" name="OwlsUID">
    <vt:i4>226</vt:i4>
  </property>
  <property fmtid="{D5CDD505-2E9C-101B-9397-08002B2CF9AE}" pid="5" name="ReprintNo">
    <vt:lpwstr>2</vt:lpwstr>
  </property>
  <property fmtid="{D5CDD505-2E9C-101B-9397-08002B2CF9AE}" pid="6" name="ReprintedAsAt">
    <vt:filetime>2013-01-31T16:00:00Z</vt:filetime>
  </property>
  <property fmtid="{D5CDD505-2E9C-101B-9397-08002B2CF9AE}" pid="7" name="AsAtDate">
    <vt:lpwstr>27 Jun 2024</vt:lpwstr>
  </property>
  <property fmtid="{D5CDD505-2E9C-101B-9397-08002B2CF9AE}" pid="8" name="Suffix">
    <vt:lpwstr>02-e0-01</vt:lpwstr>
  </property>
  <property fmtid="{D5CDD505-2E9C-101B-9397-08002B2CF9AE}" pid="9" name="Official">
    <vt:lpwstr/>
  </property>
  <property fmtid="{D5CDD505-2E9C-101B-9397-08002B2CF9AE}" pid="10" name="CommencementDate">
    <vt:lpwstr>20240627</vt:lpwstr>
  </property>
  <property fmtid="{D5CDD505-2E9C-101B-9397-08002B2CF9AE}" pid="11" name="CommencementAsAt">
    <vt:filetime>2024-06-26T16:00:00Z</vt:filetime>
  </property>
  <property fmtid="{D5CDD505-2E9C-101B-9397-08002B2CF9AE}" pid="12" name="CommencementYear">
    <vt:lpwstr>2024</vt:lpwstr>
  </property>
</Properties>
</file>