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_Toc169105338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(Vehicles) Act</w:t>
      </w:r>
      <w:r>
        <w:tab/>
      </w:r>
      <w:r>
        <w:fldChar w:fldCharType="begin"/>
      </w:r>
      <w:r>
        <w:instrText xml:space="preserve"> PAGEREF _Toc169105339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_Toc169105340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Application of sections 3C and 3D</w:t>
      </w:r>
      <w:r>
        <w:tab/>
      </w:r>
      <w:r>
        <w:fldChar w:fldCharType="begin"/>
      </w:r>
      <w:r>
        <w:instrText xml:space="preserve"> PAGEREF _Toc169105341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Limit on powers of courts</w:t>
      </w:r>
      <w:r>
        <w:tab/>
      </w:r>
      <w:r>
        <w:fldChar w:fldCharType="begin"/>
      </w:r>
      <w:r>
        <w:instrText xml:space="preserve"> PAGEREF _Toc169105342 \h </w:instrText>
      </w:r>
      <w:r>
        <w:fldChar w:fldCharType="separate"/>
      </w:r>
      <w:r>
        <w:t>6</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Restrictions on damages for non</w:t>
      </w:r>
      <w:r>
        <w:rPr>
          <w:snapToGrid w:val="0"/>
        </w:rPr>
        <w:noBreakHyphen/>
        <w:t>pecuniary loss</w:t>
      </w:r>
      <w:r>
        <w:tab/>
      </w:r>
      <w:r>
        <w:fldChar w:fldCharType="begin"/>
      </w:r>
      <w:r>
        <w:instrText xml:space="preserve"> PAGEREF _Toc169105343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Restrictions on damages for provision of home care services</w:t>
      </w:r>
      <w:r>
        <w:tab/>
      </w:r>
      <w:r>
        <w:fldChar w:fldCharType="begin"/>
      </w:r>
      <w:r>
        <w:instrText xml:space="preserve"> PAGEREF _Toc169105344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_Toc169105345 \h </w:instrText>
      </w:r>
      <w:r>
        <w:fldChar w:fldCharType="separate"/>
      </w:r>
      <w:r>
        <w:t>11</w:t>
      </w:r>
      <w:r>
        <w:fldChar w:fldCharType="end"/>
      </w:r>
    </w:p>
    <w:p>
      <w:pPr>
        <w:pStyle w:val="TOC8"/>
        <w:rPr>
          <w:rFonts w:asciiTheme="minorHAnsi" w:eastAsiaTheme="minorEastAsia" w:hAnsiTheme="minorHAnsi" w:cstheme="minorBidi"/>
          <w:szCs w:val="22"/>
        </w:rPr>
      </w:pPr>
      <w:r>
        <w:t>3EA.</w:t>
      </w:r>
      <w:r>
        <w:tab/>
        <w:t>Restrictions on damages if payments received under CISS</w:t>
      </w:r>
      <w:r>
        <w:tab/>
      </w:r>
      <w:r>
        <w:fldChar w:fldCharType="begin"/>
      </w:r>
      <w:r>
        <w:instrText xml:space="preserve"> PAGEREF _Toc169105346 \h </w:instrText>
      </w:r>
      <w:r>
        <w:fldChar w:fldCharType="separate"/>
      </w:r>
      <w:r>
        <w:t>11</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_Toc169105347 \h </w:instrText>
      </w:r>
      <w:r>
        <w:fldChar w:fldCharType="separate"/>
      </w:r>
      <w:r>
        <w:t>12</w:t>
      </w:r>
      <w:r>
        <w:fldChar w:fldCharType="end"/>
      </w:r>
    </w:p>
    <w:p>
      <w:pPr>
        <w:pStyle w:val="TOC8"/>
        <w:rPr>
          <w:rFonts w:asciiTheme="minorHAnsi" w:eastAsiaTheme="minorEastAsia" w:hAnsiTheme="minorHAnsi" w:cstheme="minorBidi"/>
          <w:szCs w:val="22"/>
        </w:rPr>
      </w:pPr>
      <w:r>
        <w:t>3FA.</w:t>
      </w:r>
      <w:r>
        <w:tab/>
        <w:t>Restrictions on damages to be part of the substantive law</w:t>
      </w:r>
      <w:r>
        <w:tab/>
      </w:r>
      <w:r>
        <w:fldChar w:fldCharType="begin"/>
      </w:r>
      <w:r>
        <w:instrText xml:space="preserve"> PAGEREF _Toc169105348 \h </w:instrText>
      </w:r>
      <w:r>
        <w:fldChar w:fldCharType="separate"/>
      </w:r>
      <w:r>
        <w:t>13</w:t>
      </w:r>
      <w:r>
        <w:fldChar w:fldCharType="end"/>
      </w:r>
    </w:p>
    <w:p>
      <w:pPr>
        <w:pStyle w:val="TOC8"/>
        <w:rPr>
          <w:rFonts w:asciiTheme="minorHAnsi" w:eastAsiaTheme="minorEastAsia" w:hAnsiTheme="minorHAnsi" w:cstheme="minorBidi"/>
          <w:szCs w:val="22"/>
        </w:rPr>
      </w:pPr>
      <w:r>
        <w:t>3FB.</w:t>
      </w:r>
      <w:r>
        <w:tab/>
        <w:t>Damages for treatment, care and support needs: catastrophic injury</w:t>
      </w:r>
      <w:r>
        <w:tab/>
      </w:r>
      <w:r>
        <w:fldChar w:fldCharType="begin"/>
      </w:r>
      <w:r>
        <w:instrText xml:space="preserve"> PAGEREF _Toc169105349 \h </w:instrText>
      </w:r>
      <w:r>
        <w:fldChar w:fldCharType="separate"/>
      </w:r>
      <w:r>
        <w:t>14</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_Toc169105350 \h </w:instrText>
      </w:r>
      <w:r>
        <w:fldChar w:fldCharType="separate"/>
      </w:r>
      <w:r>
        <w:t>15</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_Toc169105351 \h </w:instrText>
      </w:r>
      <w:r>
        <w:fldChar w:fldCharType="separate"/>
      </w:r>
      <w:r>
        <w:t>16</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_Toc169105352 \h </w:instrText>
      </w:r>
      <w:r>
        <w:fldChar w:fldCharType="separate"/>
      </w:r>
      <w:r>
        <w:t>16</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_Toc169105353 \h </w:instrText>
      </w:r>
      <w:r>
        <w:fldChar w:fldCharType="separate"/>
      </w:r>
      <w:r>
        <w:t>17</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_Toc169105354 \h </w:instrText>
      </w:r>
      <w:r>
        <w:fldChar w:fldCharType="separate"/>
      </w:r>
      <w:r>
        <w:t>17</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_Toc169105355 \h </w:instrText>
      </w:r>
      <w:r>
        <w:fldChar w:fldCharType="separate"/>
      </w:r>
      <w:r>
        <w:t>18</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_Toc169105356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_Toc169105357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_Toc169105358 \h </w:instrText>
      </w:r>
      <w:r>
        <w:fldChar w:fldCharType="separate"/>
      </w:r>
      <w:r>
        <w:t>23</w:t>
      </w:r>
      <w:r>
        <w:fldChar w:fldCharType="end"/>
      </w:r>
    </w:p>
    <w:p>
      <w:pPr>
        <w:pStyle w:val="TOC8"/>
        <w:rPr>
          <w:rFonts w:asciiTheme="minorHAnsi" w:eastAsiaTheme="minorEastAsia" w:hAnsiTheme="minorHAnsi" w:cstheme="minorBidi"/>
          <w:szCs w:val="22"/>
        </w:rPr>
      </w:pPr>
      <w:r>
        <w:lastRenderedPageBreak/>
        <w:t>6A.</w:t>
      </w:r>
      <w:r>
        <w:tab/>
        <w:t>Insurance relating to catastrophic injury</w:t>
      </w:r>
      <w:r>
        <w:tab/>
      </w:r>
      <w:r>
        <w:fldChar w:fldCharType="begin"/>
      </w:r>
      <w:r>
        <w:instrText xml:space="preserve"> PAGEREF _Toc169105359 \h </w:instrText>
      </w:r>
      <w:r>
        <w:fldChar w:fldCharType="separate"/>
      </w:r>
      <w:r>
        <w:t>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_Toc169105360 \h </w:instrText>
      </w:r>
      <w:r>
        <w:fldChar w:fldCharType="separate"/>
      </w:r>
      <w:r>
        <w:t>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_Toc169105361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_Toc169105362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_Toc169105363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Emergency treatment</w:t>
      </w:r>
      <w:r>
        <w:tab/>
      </w:r>
      <w:r>
        <w:fldChar w:fldCharType="begin"/>
      </w:r>
      <w:r>
        <w:instrText xml:space="preserve"> PAGEREF _Toc169105364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payment for emergency treatment</w:t>
      </w:r>
      <w:r>
        <w:tab/>
      </w:r>
      <w:r>
        <w:fldChar w:fldCharType="begin"/>
      </w:r>
      <w:r>
        <w:instrText xml:space="preserve"> PAGEREF _Toc169105365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_Toc169105366 \h </w:instrText>
      </w:r>
      <w:r>
        <w:fldChar w:fldCharType="separate"/>
      </w:r>
      <w:r>
        <w:t>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_Toc169105367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_Toc169105368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_Toc169105369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_Toc169105370 \h </w:instrText>
      </w:r>
      <w:r>
        <w:fldChar w:fldCharType="separate"/>
      </w:r>
      <w:r>
        <w:t>39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_Toc169105371 \h </w:instrText>
      </w:r>
      <w:r>
        <w:fldChar w:fldCharType="separate"/>
      </w:r>
      <w:r>
        <w:t>40</w:t>
      </w:r>
      <w:r>
        <w:fldChar w:fldCharType="end"/>
      </w:r>
    </w:p>
    <w:p>
      <w:pPr>
        <w:pStyle w:val="TOC8"/>
        <w:rPr>
          <w:rFonts w:asciiTheme="minorHAnsi" w:eastAsiaTheme="minorEastAsia" w:hAnsiTheme="minorHAnsi" w:cstheme="minorBidi"/>
          <w:szCs w:val="22"/>
        </w:rPr>
      </w:pPr>
      <w:r>
        <w:t>21.</w:t>
      </w:r>
      <w:r>
        <w:tab/>
        <w:t>Term of policy of insurance extended in certain cases</w:t>
      </w:r>
      <w:r>
        <w:tab/>
      </w:r>
      <w:r>
        <w:fldChar w:fldCharType="begin"/>
      </w:r>
      <w:r>
        <w:instrText xml:space="preserve"> PAGEREF _Toc169105372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_Toc169105373 \h </w:instrText>
      </w:r>
      <w:r>
        <w:fldChar w:fldCharType="separate"/>
      </w:r>
      <w:r>
        <w:t>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_Toc169105374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_Toc169105375 \h </w:instrText>
      </w:r>
      <w:r>
        <w:fldChar w:fldCharType="separate"/>
      </w:r>
      <w:r>
        <w:t>42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_Toc169105376 \h </w:instrText>
      </w:r>
      <w:r>
        <w:fldChar w:fldCharType="separate"/>
      </w:r>
      <w:r>
        <w:t>43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_Toc169105377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_Toc169105378 \h </w:instrText>
      </w:r>
      <w:r>
        <w:fldChar w:fldCharType="separate"/>
      </w:r>
      <w:r>
        <w:t>43</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_Toc169105379 \h </w:instrText>
      </w:r>
      <w:r>
        <w:fldChar w:fldCharType="separate"/>
      </w:r>
      <w:r>
        <w:t>44</w:t>
      </w:r>
      <w:r>
        <w:fldChar w:fldCharType="end"/>
      </w:r>
    </w:p>
    <w:p>
      <w:pPr>
        <w:pStyle w:val="TOC8"/>
        <w:rPr>
          <w:rFonts w:asciiTheme="minorHAnsi" w:eastAsiaTheme="minorEastAsia" w:hAnsiTheme="minorHAnsi" w:cstheme="minorBidi"/>
          <w:szCs w:val="22"/>
        </w:rPr>
      </w:pPr>
      <w:r>
        <w:t>27B.</w:t>
      </w:r>
      <w:r>
        <w:tab/>
        <w:t>False or misleading information</w:t>
      </w:r>
      <w:r>
        <w:tab/>
      </w:r>
      <w:r>
        <w:fldChar w:fldCharType="begin"/>
      </w:r>
      <w:r>
        <w:instrText xml:space="preserve"> PAGEREF _Toc169105380 \h </w:instrText>
      </w:r>
      <w:r>
        <w:fldChar w:fldCharType="separate"/>
      </w:r>
      <w:r>
        <w:t>45</w:t>
      </w:r>
      <w:r>
        <w:fldChar w:fldCharType="end"/>
      </w:r>
    </w:p>
    <w:p>
      <w:pPr>
        <w:pStyle w:val="TOC8"/>
        <w:rPr>
          <w:rFonts w:asciiTheme="minorHAnsi" w:eastAsiaTheme="minorEastAsia" w:hAnsiTheme="minorHAnsi" w:cstheme="minorBidi"/>
          <w:szCs w:val="22"/>
        </w:rPr>
      </w:pPr>
      <w:r>
        <w:t>27C.</w:t>
      </w:r>
      <w:r>
        <w:tab/>
        <w:t>Obstruction</w:t>
      </w:r>
      <w:r>
        <w:tab/>
      </w:r>
      <w:r>
        <w:fldChar w:fldCharType="begin"/>
      </w:r>
      <w:r>
        <w:instrText xml:space="preserve"> PAGEREF _Toc169105381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_Toc169105382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_Toc169105383 \h </w:instrText>
      </w:r>
      <w:r>
        <w:fldChar w:fldCharType="separate"/>
      </w:r>
      <w:r>
        <w:t>47</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_Toc169105384 \h </w:instrText>
      </w:r>
      <w:r>
        <w:fldChar w:fldCharType="separate"/>
      </w:r>
      <w:r>
        <w:t>48</w:t>
      </w:r>
      <w:r>
        <w:fldChar w:fldCharType="end"/>
      </w:r>
    </w:p>
    <w:p>
      <w:pPr>
        <w:pStyle w:val="TOC8"/>
        <w:rPr>
          <w:rFonts w:asciiTheme="minorHAnsi" w:eastAsiaTheme="minorEastAsia" w:hAnsiTheme="minorHAnsi" w:cstheme="minorBidi"/>
          <w:szCs w:val="22"/>
        </w:rPr>
      </w:pPr>
      <w:r>
        <w:t>30.</w:t>
      </w:r>
      <w:r>
        <w:tab/>
        <w:t>Examination of injured person by health professional</w:t>
      </w:r>
      <w:r>
        <w:tab/>
      </w:r>
      <w:r>
        <w:fldChar w:fldCharType="begin"/>
      </w:r>
      <w:r>
        <w:instrText xml:space="preserve"> PAGEREF _Toc169105385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_Toc169105386 \h </w:instrText>
      </w:r>
      <w:r>
        <w:fldChar w:fldCharType="separate"/>
      </w:r>
      <w:r>
        <w:t>50</w:t>
      </w:r>
      <w:r>
        <w:fldChar w:fldCharType="end"/>
      </w:r>
    </w:p>
    <w:p>
      <w:pPr>
        <w:pStyle w:val="TOC8"/>
        <w:rPr>
          <w:rFonts w:asciiTheme="minorHAnsi" w:eastAsiaTheme="minorEastAsia" w:hAnsiTheme="minorHAnsi" w:cstheme="minorBidi"/>
          <w:szCs w:val="22"/>
        </w:rPr>
      </w:pPr>
      <w:r>
        <w:t>34.</w:t>
      </w:r>
      <w:r>
        <w:tab/>
        <w:t xml:space="preserve">Transitional provision for </w:t>
      </w:r>
      <w:r>
        <w:rPr>
          <w:i/>
        </w:rPr>
        <w:t>Motor Vehicle (Catastrophic Injuries) Act 2016</w:t>
      </w:r>
      <w:r>
        <w:tab/>
      </w:r>
      <w:r>
        <w:fldChar w:fldCharType="begin"/>
      </w:r>
      <w:r>
        <w:instrText xml:space="preserve"> PAGEREF _Toc169105387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_Toc169105390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_Toc169105391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2" w:name="_Toc169105338"/>
      <w:r>
        <w:rPr>
          <w:rStyle w:val="CharSectno"/>
        </w:rPr>
        <w:t>1</w:t>
      </w:r>
      <w:r>
        <w:rPr>
          <w:snapToGrid w:val="0"/>
        </w:rPr>
        <w:t>.</w:t>
      </w:r>
      <w:r>
        <w:rPr>
          <w:snapToGrid w:val="0"/>
        </w:rPr>
        <w:tab/>
        <w:t>Short title and commencement</w:t>
      </w:r>
      <w:bookmarkEnd w:id="2"/>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p>
    <w:p>
      <w:pPr>
        <w:pStyle w:val="Heading5"/>
        <w:rPr>
          <w:snapToGrid w:val="0"/>
        </w:rPr>
      </w:pPr>
      <w:bookmarkStart w:id="3" w:name="_Toc169105339"/>
      <w:r>
        <w:rPr>
          <w:rStyle w:val="CharSectno"/>
        </w:rPr>
        <w:t>2</w:t>
      </w:r>
      <w:r>
        <w:rPr>
          <w:snapToGrid w:val="0"/>
        </w:rPr>
        <w:t>.</w:t>
      </w:r>
      <w:r>
        <w:rPr>
          <w:snapToGrid w:val="0"/>
        </w:rPr>
        <w:tab/>
        <w:t>This Act to be read with the Road Traffic (Vehicles) Act</w:t>
      </w:r>
      <w:bookmarkEnd w:id="3"/>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4" w:name="_Toc169105340"/>
      <w:r>
        <w:rPr>
          <w:rStyle w:val="CharSectno"/>
        </w:rPr>
        <w:t>3</w:t>
      </w:r>
      <w:r>
        <w:rPr>
          <w:snapToGrid w:val="0"/>
        </w:rPr>
        <w:t>.</w:t>
      </w:r>
      <w:r>
        <w:rPr>
          <w:snapToGrid w:val="0"/>
        </w:rPr>
        <w:tab/>
        <w:t>Terms used</w:t>
      </w:r>
      <w:bookmarkEnd w:id="4"/>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MVWA(CI) Act section 18(2);</w:t>
      </w:r>
    </w:p>
    <w:p>
      <w:pPr>
        <w:pStyle w:val="Defstart"/>
      </w:pPr>
      <w:r>
        <w:lastRenderedPageBreak/>
        <w:tab/>
      </w:r>
      <w:r>
        <w:rPr>
          <w:rStyle w:val="CharDefText"/>
        </w:rPr>
        <w:t>catastrophic injury</w:t>
      </w:r>
      <w:r>
        <w:t xml:space="preserve"> has the meaning given in the MVWA(CI) Act section 3(1);</w:t>
      </w:r>
    </w:p>
    <w:p>
      <w:pPr>
        <w:pStyle w:val="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lastRenderedPageBreak/>
        <w:tab/>
      </w:r>
      <w:r>
        <w:rPr>
          <w:rStyle w:val="CharDefText"/>
        </w:rPr>
        <w:t>MVWA(CI) Act</w:t>
      </w:r>
      <w:r>
        <w:t xml:space="preserve"> means the </w:t>
      </w:r>
      <w:r>
        <w:rPr>
          <w:i/>
        </w:rPr>
        <w:t>Motor Vehicle and Workplace Accidents (Catastrophic Injuries) Act 2016</w:t>
      </w:r>
      <w:r>
        <w:t>;</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 xml:space="preserve">This Act shall not render it obligatory to insure any motor vehicle owned by the Crown in right either of the </w:t>
      </w:r>
      <w:r>
        <w:rPr>
          <w:snapToGrid w:val="0"/>
        </w:rPr>
        <w:lastRenderedPageBreak/>
        <w:t>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w:t>
      </w:r>
      <w:r>
        <w:rPr>
          <w:snapToGrid w:val="0"/>
        </w:rPr>
        <w:lastRenderedPageBreak/>
        <w:t>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 No. 21 of 2023 s. 679.]</w:t>
      </w:r>
    </w:p>
    <w:p>
      <w:pPr>
        <w:pStyle w:val="Heading5"/>
        <w:rPr>
          <w:snapToGrid w:val="0"/>
        </w:rPr>
      </w:pPr>
      <w:bookmarkStart w:id="5" w:name="_Toc169105341"/>
      <w:r>
        <w:rPr>
          <w:rStyle w:val="CharSectno"/>
        </w:rPr>
        <w:t>3A</w:t>
      </w:r>
      <w:r>
        <w:rPr>
          <w:snapToGrid w:val="0"/>
        </w:rPr>
        <w:t>.</w:t>
      </w:r>
      <w:r>
        <w:rPr>
          <w:snapToGrid w:val="0"/>
        </w:rPr>
        <w:tab/>
        <w:t>Application of sections 3C and 3D</w:t>
      </w:r>
      <w:bookmarkEnd w:id="5"/>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6" w:name="_Toc169105342"/>
      <w:r>
        <w:rPr>
          <w:rStyle w:val="CharSectno"/>
        </w:rPr>
        <w:lastRenderedPageBreak/>
        <w:t>3B</w:t>
      </w:r>
      <w:r>
        <w:rPr>
          <w:snapToGrid w:val="0"/>
        </w:rPr>
        <w:t>.</w:t>
      </w:r>
      <w:r>
        <w:rPr>
          <w:snapToGrid w:val="0"/>
        </w:rPr>
        <w:tab/>
        <w:t>Limit on powers of courts</w:t>
      </w:r>
      <w:bookmarkEnd w:id="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7" w:name="_Toc169105343"/>
      <w:r>
        <w:rPr>
          <w:rStyle w:val="CharSectno"/>
        </w:rPr>
        <w:t>3C</w:t>
      </w:r>
      <w:r>
        <w:rPr>
          <w:snapToGrid w:val="0"/>
        </w:rPr>
        <w:t>.</w:t>
      </w:r>
      <w:r>
        <w:rPr>
          <w:snapToGrid w:val="0"/>
        </w:rPr>
        <w:tab/>
        <w:t>Restrictions on damages for non</w:t>
      </w:r>
      <w:r>
        <w:rPr>
          <w:snapToGrid w:val="0"/>
        </w:rPr>
        <w:noBreakHyphen/>
        <w:t>pecuniary loss</w:t>
      </w:r>
      <w:bookmarkEnd w:id="7"/>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1</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1</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1</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lastRenderedPageBreak/>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36.75pt" o:ole="" fillcolor="window">
            <v:imagedata r:id="rId21" o:title=""/>
          </v:shape>
          <o:OLEObject Type="Embed" ProgID="Equation.3" ShapeID="_x0000_i1025" DrawAspect="Content" ObjectID="_1810718663" r:id="rId22"/>
        </w:object>
      </w:r>
    </w:p>
    <w:p>
      <w:pPr>
        <w:pStyle w:val="Subsection"/>
        <w:rPr>
          <w:snapToGrid w:val="0"/>
        </w:rPr>
      </w:pPr>
      <w:r>
        <w:rPr>
          <w:snapToGrid w:val="0"/>
        </w:rPr>
        <w:tab/>
        <w:t>(7)</w:t>
      </w:r>
      <w:r>
        <w:rPr>
          <w:snapToGrid w:val="0"/>
        </w:rPr>
        <w:tab/>
        <w:t xml:space="preserve">No entitlement to damages is created by subsection (2), (3), (5) or (6) and those subsections are subject to any </w:t>
      </w:r>
      <w:r>
        <w:t xml:space="preserve">law (other than the </w:t>
      </w:r>
      <w:r>
        <w:rPr>
          <w:i/>
        </w:rPr>
        <w:t>Workers Compensation and Injury Management Act 2023</w:t>
      </w:r>
      <w:r>
        <w:t xml:space="preserve"> Part 7 Division 2)</w:t>
      </w:r>
      <w:r>
        <w:rPr>
          <w:snapToGrid w:val="0"/>
        </w:rPr>
        <w:t xml:space="preserve">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 xml:space="preserve">by the percentage by which the weighted average minimum award rate for adult males under Western Australian State Awards published by the Australian </w:t>
      </w:r>
      <w:r>
        <w:rPr>
          <w:snapToGrid w:val="0"/>
        </w:rPr>
        <w:lastRenderedPageBreak/>
        <w:t>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1</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 No. 21 of 2023 s. 680.]</w:t>
      </w:r>
    </w:p>
    <w:p>
      <w:pPr>
        <w:pStyle w:val="Heading5"/>
        <w:rPr>
          <w:snapToGrid w:val="0"/>
        </w:rPr>
      </w:pPr>
      <w:bookmarkStart w:id="8" w:name="_Toc169105344"/>
      <w:r>
        <w:rPr>
          <w:rStyle w:val="CharSectno"/>
        </w:rPr>
        <w:t>3D</w:t>
      </w:r>
      <w:r>
        <w:rPr>
          <w:snapToGrid w:val="0"/>
        </w:rPr>
        <w:t>.</w:t>
      </w:r>
      <w:r>
        <w:rPr>
          <w:snapToGrid w:val="0"/>
        </w:rPr>
        <w:tab/>
        <w:t>Restrictions on damages for provision of home care services</w:t>
      </w:r>
      <w:bookmarkEnd w:id="8"/>
    </w:p>
    <w:p>
      <w:pPr>
        <w:pStyle w:val="Subsection"/>
        <w:spacing w:before="200"/>
        <w:rPr>
          <w:snapToGrid w:val="0"/>
        </w:rPr>
      </w:pPr>
      <w:r>
        <w:rPr>
          <w:snapToGrid w:val="0"/>
        </w:rPr>
        <w:tab/>
        <w:t>(1)</w:t>
      </w:r>
      <w:r>
        <w:rPr>
          <w:snapToGrid w:val="0"/>
        </w:rPr>
        <w:tab/>
        <w:t xml:space="preserve">This section limits the damages that may be awarded for the value of gratuitous services of a domestic nature or gratuitous </w:t>
      </w:r>
      <w:r>
        <w:rPr>
          <w:snapToGrid w:val="0"/>
        </w:rPr>
        <w:lastRenderedPageBreak/>
        <w:t>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keepNext/>
        <w:rPr>
          <w:snapToGrid w:val="0"/>
        </w:rPr>
      </w:pPr>
      <w:r>
        <w:rPr>
          <w:snapToGrid w:val="0"/>
        </w:rPr>
        <w:lastRenderedPageBreak/>
        <w:tab/>
        <w:t>(7)</w:t>
      </w:r>
      <w:r>
        <w:rPr>
          <w:snapToGrid w:val="0"/>
        </w:rPr>
        <w:tab/>
        <w:t xml:space="preserve">In subsection (6) </w:t>
      </w:r>
      <w:r>
        <w:rPr>
          <w:rStyle w:val="CharDefText"/>
        </w:rPr>
        <w:t>Amount D</w:t>
      </w:r>
      <w:r>
        <w:rPr>
          <w:snapToGrid w:val="0"/>
        </w:rPr>
        <w:t> </w:t>
      </w:r>
      <w:r>
        <w:rPr>
          <w:snapToGrid w:val="0"/>
          <w:vertAlign w:val="superscript"/>
        </w:rPr>
        <w:t>1</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1</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9" w:name="_Toc169105345"/>
      <w:r>
        <w:rPr>
          <w:rStyle w:val="CharSectno"/>
        </w:rPr>
        <w:lastRenderedPageBreak/>
        <w:t>3E</w:t>
      </w:r>
      <w:r>
        <w:rPr>
          <w:snapToGrid w:val="0"/>
        </w:rPr>
        <w:t xml:space="preserve">. </w:t>
      </w:r>
      <w:r>
        <w:rPr>
          <w:snapToGrid w:val="0"/>
        </w:rPr>
        <w:tab/>
        <w:t>Causes of action to which restrictions on damages apply</w:t>
      </w:r>
      <w:bookmarkEnd w:id="9"/>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xml:space="preserve"> in 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10" w:name="_Toc169105346"/>
      <w:r>
        <w:rPr>
          <w:rStyle w:val="CharSectno"/>
        </w:rPr>
        <w:t>3EA</w:t>
      </w:r>
      <w:r>
        <w:t>.</w:t>
      </w:r>
      <w:r>
        <w:tab/>
        <w:t>Restrictions on damages if payments received under CISS</w:t>
      </w:r>
      <w:bookmarkEnd w:id="10"/>
    </w:p>
    <w:p>
      <w:pPr>
        <w:pStyle w:val="Subsection"/>
      </w:pPr>
      <w:r>
        <w:tab/>
        <w:t>(1)</w:t>
      </w:r>
      <w:r>
        <w:tab/>
        <w:t xml:space="preserve">In this section — </w:t>
      </w:r>
    </w:p>
    <w:p>
      <w:pPr>
        <w:pStyle w:val="Defstart"/>
      </w:pPr>
      <w:r>
        <w:tab/>
      </w:r>
      <w:r>
        <w:rPr>
          <w:rStyle w:val="CharDefText"/>
        </w:rPr>
        <w:t>interim participant</w:t>
      </w:r>
      <w:r>
        <w:t xml:space="preserve"> means a person who under the MVWA(CI) Act is an interim participant in the CISS in respect of a motor vehicle injury to which that Act applies;</w:t>
      </w:r>
    </w:p>
    <w:p>
      <w:pPr>
        <w:pStyle w:val="Defstart"/>
      </w:pPr>
      <w:r>
        <w:tab/>
      </w:r>
      <w:r>
        <w:rPr>
          <w:rStyle w:val="CharDefText"/>
        </w:rPr>
        <w:t>lifetime participant</w:t>
      </w:r>
      <w:r>
        <w:t xml:space="preserve"> means a person who under the MVWA(CI) Act is a lifetime participant in the CISS in respect of a motor vehicle injury to which that Act applies;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lastRenderedPageBreak/>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keepNext/>
      </w:pPr>
      <w:r>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 amended: No. 21 of 2023 s. 681.]</w:t>
      </w:r>
    </w:p>
    <w:p>
      <w:pPr>
        <w:pStyle w:val="Heading5"/>
      </w:pPr>
      <w:bookmarkStart w:id="11" w:name="_Toc169105347"/>
      <w:r>
        <w:rPr>
          <w:rStyle w:val="CharSectno"/>
        </w:rPr>
        <w:t>3F</w:t>
      </w:r>
      <w:r>
        <w:t>.</w:t>
      </w:r>
      <w:r>
        <w:tab/>
        <w:t>Restriction on damages for loss relating to earning capacity</w:t>
      </w:r>
      <w:bookmarkEnd w:id="11"/>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lastRenderedPageBreak/>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12" w:name="_Toc169105348"/>
      <w:r>
        <w:rPr>
          <w:rStyle w:val="CharSectno"/>
        </w:rPr>
        <w:t>3FA</w:t>
      </w:r>
      <w:r>
        <w:t>.</w:t>
      </w:r>
      <w:r>
        <w:tab/>
        <w:t>Restrictions on damages to be part of the substantive law</w:t>
      </w:r>
      <w:bookmarkEnd w:id="12"/>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keepNext/>
      </w:pPr>
      <w:r>
        <w:lastRenderedPageBreak/>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13" w:name="_Toc169105349"/>
      <w:r>
        <w:rPr>
          <w:rStyle w:val="CharSectno"/>
        </w:rPr>
        <w:t>3FB</w:t>
      </w:r>
      <w:r>
        <w:rPr>
          <w:szCs w:val="24"/>
        </w:rPr>
        <w:t>.</w:t>
      </w:r>
      <w:r>
        <w:rPr>
          <w:szCs w:val="24"/>
        </w:rPr>
        <w:tab/>
        <w:t>Damages for treatment, care and support needs: catastrophic injury</w:t>
      </w:r>
      <w:bookmarkEnd w:id="13"/>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w:t>
      </w:r>
      <w:r>
        <w:t>MVWA(CI) Act</w:t>
      </w:r>
      <w:r>
        <w:rPr>
          <w:szCs w:val="24"/>
        </w:rPr>
        <w:t xml:space="preserve">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keepNext/>
      </w:pPr>
      <w:r>
        <w:lastRenderedPageBreak/>
        <w:tab/>
        <w:t>(4)</w:t>
      </w:r>
      <w:r>
        <w:tab/>
        <w:t>If subsection (3) applies a court awarding damages to a person is to award them in accordance with that subsection.</w:t>
      </w:r>
    </w:p>
    <w:p>
      <w:pPr>
        <w:pStyle w:val="Footnotesection"/>
      </w:pPr>
      <w:r>
        <w:tab/>
        <w:t>[Section 3FB inserted: No. 8 of 2016 s. 46; amended: No. 21 of 2023 s. 682.]</w:t>
      </w:r>
    </w:p>
    <w:p>
      <w:pPr>
        <w:pStyle w:val="Heading5"/>
      </w:pPr>
      <w:bookmarkStart w:id="14" w:name="_Toc169105350"/>
      <w:r>
        <w:rPr>
          <w:rStyle w:val="CharSectno"/>
        </w:rPr>
        <w:t>3G</w:t>
      </w:r>
      <w:r>
        <w:t>.</w:t>
      </w:r>
      <w:r>
        <w:tab/>
        <w:t>Liability of employers</w:t>
      </w:r>
      <w:bookmarkEnd w:id="14"/>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 amended: No. 21 of 2023 s. 683.]</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15" w:name="_Toc169105351"/>
      <w:r>
        <w:rPr>
          <w:rStyle w:val="CharSectno"/>
        </w:rPr>
        <w:lastRenderedPageBreak/>
        <w:t>3Q</w:t>
      </w:r>
      <w:r>
        <w:rPr>
          <w:snapToGrid w:val="0"/>
        </w:rPr>
        <w:t xml:space="preserve">. </w:t>
      </w:r>
      <w:r>
        <w:rPr>
          <w:snapToGrid w:val="0"/>
        </w:rPr>
        <w:tab/>
        <w:t>Director General’s functions</w:t>
      </w:r>
      <w:bookmarkEnd w:id="15"/>
    </w:p>
    <w:p>
      <w:pPr>
        <w:pStyle w:val="Subsection"/>
        <w:keepNext/>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16" w:name="_Toc169105352"/>
      <w:r>
        <w:rPr>
          <w:rStyle w:val="CharSectno"/>
        </w:rPr>
        <w:t>3QA</w:t>
      </w:r>
      <w:r>
        <w:t>.</w:t>
      </w:r>
      <w:r>
        <w:tab/>
        <w:t>Agreements for performance of functions</w:t>
      </w:r>
      <w:bookmarkEnd w:id="1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17" w:name="_Toc169105353"/>
      <w:r>
        <w:rPr>
          <w:rStyle w:val="CharSectno"/>
        </w:rPr>
        <w:lastRenderedPageBreak/>
        <w:t>3QB</w:t>
      </w:r>
      <w:r>
        <w:t>.</w:t>
      </w:r>
      <w:r>
        <w:tab/>
        <w:t>Delegation</w:t>
      </w:r>
      <w:bookmarkEnd w:id="1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18" w:name="_Toc169105354"/>
      <w:r>
        <w:rPr>
          <w:rStyle w:val="CharSectno"/>
        </w:rPr>
        <w:t>3R</w:t>
      </w:r>
      <w:r>
        <w:rPr>
          <w:snapToGrid w:val="0"/>
        </w:rPr>
        <w:t xml:space="preserve">. </w:t>
      </w:r>
      <w:r>
        <w:rPr>
          <w:snapToGrid w:val="0"/>
        </w:rPr>
        <w:tab/>
        <w:t>Issue of policies of insurance</w:t>
      </w:r>
      <w:bookmarkEnd w:id="18"/>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lastRenderedPageBreak/>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19" w:name="_Toc169105355"/>
      <w:r>
        <w:rPr>
          <w:rStyle w:val="CharSectno"/>
        </w:rPr>
        <w:t>3S</w:t>
      </w:r>
      <w:r>
        <w:rPr>
          <w:snapToGrid w:val="0"/>
        </w:rPr>
        <w:t xml:space="preserve">. </w:t>
      </w:r>
      <w:r>
        <w:rPr>
          <w:snapToGrid w:val="0"/>
        </w:rPr>
        <w:tab/>
        <w:t>Further powers of the Commission</w:t>
      </w:r>
      <w:bookmarkEnd w:id="19"/>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20" w:name="_Toc169105356"/>
      <w:r>
        <w:rPr>
          <w:rStyle w:val="CharSectno"/>
        </w:rPr>
        <w:t>3T</w:t>
      </w:r>
      <w:r>
        <w:rPr>
          <w:snapToGrid w:val="0"/>
        </w:rPr>
        <w:t xml:space="preserve">. </w:t>
      </w:r>
      <w:r>
        <w:rPr>
          <w:snapToGrid w:val="0"/>
        </w:rPr>
        <w:tab/>
        <w:t>Premiums</w:t>
      </w:r>
      <w:bookmarkEnd w:id="20"/>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w:t>
      </w:r>
      <w:r>
        <w:rPr>
          <w:snapToGrid w:val="0"/>
        </w:rPr>
        <w:lastRenderedPageBreak/>
        <w:t xml:space="preserve">premiums, together with other income expected to be received under and for the purposes of this Act </w:t>
      </w:r>
      <w:r>
        <w:t>and the MVWA(CI) Act by</w:t>
      </w:r>
      <w:r>
        <w:rPr>
          <w:snapToGrid w:val="0"/>
        </w:rPr>
        <w:t xml:space="preserve"> </w:t>
      </w:r>
      <w:r>
        <w:t>the Commission, will be sufficient to meet claims, payments, costs and other expenses anticipated to arise or to be incurred under this Act and the MVWA(CI) Act.</w:t>
      </w:r>
    </w:p>
    <w:p>
      <w:pPr>
        <w:pStyle w:val="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and Workplace Accidents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keepNext/>
        <w:rPr>
          <w:snapToGrid w:val="0"/>
        </w:rPr>
      </w:pPr>
      <w:r>
        <w:rPr>
          <w:snapToGrid w:val="0"/>
        </w:rPr>
        <w:tab/>
        <w:t>(5)</w:t>
      </w:r>
      <w:r>
        <w:rPr>
          <w:snapToGrid w:val="0"/>
        </w:rPr>
        <w:tab/>
        <w:t xml:space="preserve">If under subsection (4) the Minister invites the Commission to review all or any of its recommendations, the Commission shall proceed to do so and after such a review the Commission may </w:t>
      </w:r>
      <w:r>
        <w:rPr>
          <w:snapToGrid w:val="0"/>
        </w:rPr>
        <w:lastRenderedPageBreak/>
        <w:t>submit further recommendations for the approval of the Minister.</w:t>
      </w:r>
    </w:p>
    <w:p>
      <w:pPr>
        <w:pStyle w:val="Footnotesection"/>
      </w:pPr>
      <w:r>
        <w:tab/>
        <w:t>[Section 3T inserted: No. 81 of 1982 s. 14; amended: No. 51 of 1986 s. 46(2); No. 15 of 2006 s. 6; No. 8 of 2016 s. 47; No. 21 of 2023 s. 684.]</w:t>
      </w:r>
    </w:p>
    <w:p>
      <w:pPr>
        <w:pStyle w:val="Heading5"/>
        <w:rPr>
          <w:snapToGrid w:val="0"/>
        </w:rPr>
      </w:pPr>
      <w:bookmarkStart w:id="21" w:name="_Toc169105357"/>
      <w:r>
        <w:rPr>
          <w:rStyle w:val="CharSectno"/>
        </w:rPr>
        <w:t>4</w:t>
      </w:r>
      <w:r>
        <w:rPr>
          <w:snapToGrid w:val="0"/>
        </w:rPr>
        <w:t>.</w:t>
      </w:r>
      <w:r>
        <w:rPr>
          <w:snapToGrid w:val="0"/>
        </w:rPr>
        <w:tab/>
        <w:t>Insurance against third party risks</w:t>
      </w:r>
      <w:bookmarkEnd w:id="21"/>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 xml:space="preserve">Upon conviction of a person of an offence under subsection (3A), if the court is satisfied that the owner of the vehicle in question was, at the time of the commission of the offence, not the holder of the requisite vehicle licence for the </w:t>
      </w:r>
      <w:r>
        <w:lastRenderedPageBreak/>
        <w:t>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lastRenderedPageBreak/>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w:t>
      </w:r>
      <w:r>
        <w:rPr>
          <w:snapToGrid w:val="0"/>
        </w:rPr>
        <w:lastRenderedPageBreak/>
        <w:t xml:space="preserve">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22" w:name="_Toc169105358"/>
      <w:r>
        <w:rPr>
          <w:rStyle w:val="CharSectno"/>
        </w:rPr>
        <w:t>6</w:t>
      </w:r>
      <w:r>
        <w:rPr>
          <w:snapToGrid w:val="0"/>
        </w:rPr>
        <w:t>.</w:t>
      </w:r>
      <w:r>
        <w:rPr>
          <w:snapToGrid w:val="0"/>
        </w:rPr>
        <w:tab/>
        <w:t>Requirements in respect of policies</w:t>
      </w:r>
      <w:bookmarkEnd w:id="22"/>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lastRenderedPageBreak/>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23" w:name="_Toc169105359"/>
      <w:r>
        <w:rPr>
          <w:rStyle w:val="CharSectno"/>
        </w:rPr>
        <w:t>6A</w:t>
      </w:r>
      <w:r>
        <w:t>.</w:t>
      </w:r>
      <w:r>
        <w:tab/>
        <w:t>Insurance relating to catastrophic injury</w:t>
      </w:r>
      <w:bookmarkEnd w:id="23"/>
    </w:p>
    <w:p>
      <w:pPr>
        <w:pStyle w:val="Subsection"/>
      </w:pPr>
      <w:r>
        <w:tab/>
        <w:t>(1)</w:t>
      </w:r>
      <w:r>
        <w:tab/>
        <w:t xml:space="preserve">In this section — </w:t>
      </w:r>
    </w:p>
    <w:p>
      <w:pPr>
        <w:pStyle w:val="Defstart"/>
      </w:pPr>
      <w:r>
        <w:tab/>
      </w:r>
      <w:r>
        <w:rPr>
          <w:rStyle w:val="CharDefText"/>
        </w:rPr>
        <w:t>motor vehicle accident</w:t>
      </w:r>
      <w:r>
        <w:t xml:space="preserve"> has the meaning given in the MVWA(CI)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MVWA(CI)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50; amended: No. 21 of 2023 s. 685.]</w:t>
      </w:r>
    </w:p>
    <w:p>
      <w:pPr>
        <w:pStyle w:val="Heading5"/>
        <w:rPr>
          <w:snapToGrid w:val="0"/>
        </w:rPr>
      </w:pPr>
      <w:bookmarkStart w:id="24" w:name="_Toc169105360"/>
      <w:r>
        <w:rPr>
          <w:rStyle w:val="CharSectno"/>
        </w:rPr>
        <w:t>7</w:t>
      </w:r>
      <w:r>
        <w:rPr>
          <w:snapToGrid w:val="0"/>
        </w:rPr>
        <w:t>.</w:t>
      </w:r>
      <w:r>
        <w:rPr>
          <w:snapToGrid w:val="0"/>
        </w:rPr>
        <w:tab/>
        <w:t>Liability of the Commission</w:t>
      </w:r>
      <w:bookmarkEnd w:id="24"/>
    </w:p>
    <w:p>
      <w:pPr>
        <w:pStyle w:val="Subsection"/>
        <w:rPr>
          <w:snapToGrid w:val="0"/>
        </w:rPr>
      </w:pPr>
      <w:r>
        <w:rPr>
          <w:snapToGrid w:val="0"/>
        </w:rPr>
        <w:tab/>
        <w:t>(1)</w:t>
      </w:r>
      <w:r>
        <w:rPr>
          <w:snapToGrid w:val="0"/>
        </w:rPr>
        <w:tab/>
        <w:t xml:space="preserve">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w:t>
      </w:r>
      <w:r>
        <w:rPr>
          <w:snapToGrid w:val="0"/>
        </w:rPr>
        <w:lastRenderedPageBreak/>
        <w:t>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 xml:space="preserve">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w:t>
      </w:r>
      <w:r>
        <w:rPr>
          <w:snapToGrid w:val="0"/>
        </w:rPr>
        <w:lastRenderedPageBreak/>
        <w:t>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lastRenderedPageBreak/>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25" w:name="_Toc169105361"/>
      <w:r>
        <w:rPr>
          <w:rStyle w:val="CharSectno"/>
        </w:rPr>
        <w:lastRenderedPageBreak/>
        <w:t>8</w:t>
      </w:r>
      <w:r>
        <w:rPr>
          <w:snapToGrid w:val="0"/>
        </w:rPr>
        <w:t>.</w:t>
      </w:r>
      <w:r>
        <w:rPr>
          <w:snapToGrid w:val="0"/>
        </w:rPr>
        <w:tab/>
        <w:t>Special provisions in relation to uninsured motor vehicles</w:t>
      </w:r>
      <w:bookmarkEnd w:id="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lastRenderedPageBreak/>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lastRenderedPageBreak/>
        <w:t>[</w:t>
      </w:r>
      <w:r>
        <w:rPr>
          <w:b/>
        </w:rPr>
        <w:t>9.</w:t>
      </w:r>
      <w:r>
        <w:rPr>
          <w:b/>
        </w:rPr>
        <w:tab/>
      </w:r>
      <w:r>
        <w:t>Deleted: No. 31 of 1948 s. 11.]</w:t>
      </w:r>
    </w:p>
    <w:p>
      <w:pPr>
        <w:pStyle w:val="Heading5"/>
        <w:rPr>
          <w:snapToGrid w:val="0"/>
        </w:rPr>
      </w:pPr>
      <w:bookmarkStart w:id="26" w:name="_Toc169105362"/>
      <w:r>
        <w:rPr>
          <w:rStyle w:val="CharSectno"/>
        </w:rPr>
        <w:t>10</w:t>
      </w:r>
      <w:r>
        <w:rPr>
          <w:snapToGrid w:val="0"/>
        </w:rPr>
        <w:t>.</w:t>
      </w:r>
      <w:r>
        <w:rPr>
          <w:snapToGrid w:val="0"/>
        </w:rPr>
        <w:tab/>
        <w:t>Duties of owner or insured person</w:t>
      </w:r>
      <w:bookmarkEnd w:id="26"/>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lastRenderedPageBreak/>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27" w:name="_Toc169105363"/>
      <w:r>
        <w:rPr>
          <w:rStyle w:val="CharSectno"/>
        </w:rPr>
        <w:t>11</w:t>
      </w:r>
      <w:r>
        <w:rPr>
          <w:snapToGrid w:val="0"/>
        </w:rPr>
        <w:t>.</w:t>
      </w:r>
      <w:r>
        <w:rPr>
          <w:snapToGrid w:val="0"/>
        </w:rPr>
        <w:tab/>
        <w:t>Power of the Commission to deal with claims against insured persons</w:t>
      </w:r>
      <w:bookmarkEnd w:id="27"/>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lastRenderedPageBreak/>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28" w:name="_Toc169105364"/>
      <w:r>
        <w:rPr>
          <w:rStyle w:val="CharSectno"/>
        </w:rPr>
        <w:lastRenderedPageBreak/>
        <w:t>12</w:t>
      </w:r>
      <w:r>
        <w:rPr>
          <w:snapToGrid w:val="0"/>
        </w:rPr>
        <w:t>.</w:t>
      </w:r>
      <w:r>
        <w:rPr>
          <w:snapToGrid w:val="0"/>
        </w:rPr>
        <w:tab/>
        <w:t>Emergency treatment</w:t>
      </w:r>
      <w:bookmarkEnd w:id="28"/>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lastRenderedPageBreak/>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29" w:name="_Toc169105365"/>
      <w:r>
        <w:rPr>
          <w:rStyle w:val="CharSectno"/>
        </w:rPr>
        <w:t>14</w:t>
      </w:r>
      <w:r>
        <w:rPr>
          <w:snapToGrid w:val="0"/>
        </w:rPr>
        <w:t>.</w:t>
      </w:r>
      <w:r>
        <w:rPr>
          <w:snapToGrid w:val="0"/>
        </w:rPr>
        <w:tab/>
        <w:t>Recovery of payment for emergency treatment</w:t>
      </w:r>
      <w:bookmarkEnd w:id="29"/>
    </w:p>
    <w:p>
      <w:pPr>
        <w:pStyle w:val="Subsection"/>
        <w:rPr>
          <w:snapToGrid w:val="0"/>
        </w:rPr>
      </w:pPr>
      <w:r>
        <w:rPr>
          <w:snapToGrid w:val="0"/>
        </w:rPr>
        <w:tab/>
      </w:r>
      <w:r>
        <w:rPr>
          <w:snapToGrid w:val="0"/>
        </w:rPr>
        <w:tab/>
        <w:t xml:space="preserve">Where the Commission has made any payment for emergency treatment as mentioned in section 12 in respect of bodily injury </w:t>
      </w:r>
      <w:r>
        <w:rPr>
          <w:snapToGrid w:val="0"/>
        </w:rPr>
        <w:lastRenderedPageBreak/>
        <w:t>(fatal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30" w:name="_Toc169105366"/>
      <w:r>
        <w:rPr>
          <w:rStyle w:val="CharSectno"/>
        </w:rPr>
        <w:t>15</w:t>
      </w:r>
      <w:r>
        <w:rPr>
          <w:snapToGrid w:val="0"/>
        </w:rPr>
        <w:t>.</w:t>
      </w:r>
      <w:r>
        <w:rPr>
          <w:snapToGrid w:val="0"/>
        </w:rPr>
        <w:tab/>
        <w:t>Right of the Commission against unauthorised drivers</w:t>
      </w:r>
      <w:bookmarkEnd w:id="30"/>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31" w:name="_Toc169105367"/>
      <w:r>
        <w:rPr>
          <w:rStyle w:val="CharSectno"/>
        </w:rPr>
        <w:lastRenderedPageBreak/>
        <w:t>16</w:t>
      </w:r>
      <w:r>
        <w:rPr>
          <w:snapToGrid w:val="0"/>
        </w:rPr>
        <w:t>.</w:t>
      </w:r>
      <w:r>
        <w:rPr>
          <w:snapToGrid w:val="0"/>
        </w:rPr>
        <w:tab/>
        <w:t>Jurisdiction</w:t>
      </w:r>
      <w:bookmarkEnd w:id="3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lastRenderedPageBreak/>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32" w:name="_Toc169105368"/>
      <w:r>
        <w:rPr>
          <w:rStyle w:val="CharSectno"/>
        </w:rPr>
        <w:t>17</w:t>
      </w:r>
      <w:r>
        <w:rPr>
          <w:snapToGrid w:val="0"/>
        </w:rPr>
        <w:t>.</w:t>
      </w:r>
      <w:r>
        <w:rPr>
          <w:snapToGrid w:val="0"/>
        </w:rPr>
        <w:tab/>
        <w:t>Insurance by visiting motorists</w:t>
      </w:r>
      <w:bookmarkEnd w:id="32"/>
    </w:p>
    <w:p>
      <w:pPr>
        <w:pStyle w:val="Subsection"/>
        <w:keepNext/>
        <w:rPr>
          <w:snapToGrid w:val="0"/>
        </w:rPr>
      </w:pPr>
      <w:r>
        <w:rPr>
          <w:snapToGrid w:val="0"/>
        </w:rPr>
        <w:tab/>
      </w:r>
      <w:r>
        <w:rPr>
          <w:snapToGrid w:val="0"/>
        </w:rPr>
        <w:tab/>
        <w:t xml:space="preserve">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w:t>
      </w:r>
      <w:r>
        <w:rPr>
          <w:snapToGrid w:val="0"/>
        </w:rPr>
        <w:lastRenderedPageBreak/>
        <w:t>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33" w:name="_Toc169105369"/>
      <w:r>
        <w:rPr>
          <w:rStyle w:val="CharSectno"/>
        </w:rPr>
        <w:t>18</w:t>
      </w:r>
      <w:r>
        <w:rPr>
          <w:snapToGrid w:val="0"/>
        </w:rPr>
        <w:t>.</w:t>
      </w:r>
      <w:r>
        <w:rPr>
          <w:snapToGrid w:val="0"/>
        </w:rPr>
        <w:tab/>
        <w:t>Power to suspend or cancel licences</w:t>
      </w:r>
      <w:bookmarkEnd w:id="33"/>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34" w:name="_Toc169105370"/>
      <w:r>
        <w:rPr>
          <w:rStyle w:val="CharSectno"/>
        </w:rPr>
        <w:t>19</w:t>
      </w:r>
      <w:r>
        <w:rPr>
          <w:snapToGrid w:val="0"/>
        </w:rPr>
        <w:t>.</w:t>
      </w:r>
      <w:r>
        <w:rPr>
          <w:snapToGrid w:val="0"/>
        </w:rPr>
        <w:tab/>
        <w:t>Commission not to terminate policy</w:t>
      </w:r>
      <w:bookmarkEnd w:id="3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35" w:name="_Toc169105371"/>
      <w:r>
        <w:rPr>
          <w:rStyle w:val="CharSectno"/>
        </w:rPr>
        <w:lastRenderedPageBreak/>
        <w:t>20</w:t>
      </w:r>
      <w:r>
        <w:rPr>
          <w:snapToGrid w:val="0"/>
        </w:rPr>
        <w:t>.</w:t>
      </w:r>
      <w:r>
        <w:rPr>
          <w:snapToGrid w:val="0"/>
        </w:rPr>
        <w:tab/>
        <w:t>Policy of insurance to continue notwithstanding change of ownership of vehicle</w:t>
      </w:r>
      <w:bookmarkEnd w:id="35"/>
    </w:p>
    <w:p>
      <w:pPr>
        <w:pStyle w:val="Subsection"/>
        <w:keepNext/>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i w:val="0"/>
          <w:vertAlign w:val="superscript"/>
        </w:rPr>
        <w:t>2</w:t>
      </w:r>
      <w:r>
        <w:t xml:space="preserve"> inserted as s. 19A: No. 40 of 1944 s. 7; amended: No. 36 of 1954 s. 7.]</w:t>
      </w:r>
    </w:p>
    <w:p>
      <w:pPr>
        <w:pStyle w:val="Heading5"/>
      </w:pPr>
      <w:bookmarkStart w:id="36" w:name="_Toc169105372"/>
      <w:r>
        <w:rPr>
          <w:rStyle w:val="CharSectno"/>
        </w:rPr>
        <w:t>21</w:t>
      </w:r>
      <w:r>
        <w:t>.</w:t>
      </w:r>
      <w:r>
        <w:tab/>
        <w:t>Term of policy of insurance extended in certain cases</w:t>
      </w:r>
      <w:bookmarkEnd w:id="36"/>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lastRenderedPageBreak/>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37" w:name="_Toc169105373"/>
      <w:r>
        <w:rPr>
          <w:rStyle w:val="CharSectno"/>
        </w:rPr>
        <w:t>22</w:t>
      </w:r>
      <w:r>
        <w:rPr>
          <w:snapToGrid w:val="0"/>
        </w:rPr>
        <w:t>.</w:t>
      </w:r>
      <w:r>
        <w:rPr>
          <w:snapToGrid w:val="0"/>
        </w:rPr>
        <w:tab/>
        <w:t>Provision regarding motor vehicle of employee used by employee in employer’s business</w:t>
      </w:r>
      <w:bookmarkEnd w:id="37"/>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 xml:space="preserve">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w:t>
      </w:r>
      <w:r>
        <w:rPr>
          <w:snapToGrid w:val="0"/>
        </w:rPr>
        <w:lastRenderedPageBreak/>
        <w:t>person injured by such vehicle whilst being so used by the owner thereof as such servant.</w:t>
      </w:r>
    </w:p>
    <w:p>
      <w:pPr>
        <w:pStyle w:val="Footnotesection"/>
        <w:keepLines w:val="0"/>
        <w:ind w:left="890" w:hanging="890"/>
      </w:pPr>
      <w:r>
        <w:tab/>
        <w:t>[Section 22 </w:t>
      </w:r>
      <w:r>
        <w:rPr>
          <w:i w:val="0"/>
          <w:vertAlign w:val="superscript"/>
        </w:rPr>
        <w:t>2</w:t>
      </w:r>
      <w:r>
        <w:t xml:space="preserve"> inserted as s. 19C: No. 40 of 1944 s. 7.]</w:t>
      </w:r>
    </w:p>
    <w:p>
      <w:pPr>
        <w:pStyle w:val="Heading5"/>
        <w:rPr>
          <w:snapToGrid w:val="0"/>
        </w:rPr>
      </w:pPr>
      <w:bookmarkStart w:id="38" w:name="_Toc169105374"/>
      <w:r>
        <w:rPr>
          <w:rStyle w:val="CharSectno"/>
        </w:rPr>
        <w:t>23</w:t>
      </w:r>
      <w:r>
        <w:rPr>
          <w:snapToGrid w:val="0"/>
        </w:rPr>
        <w:t>.</w:t>
      </w:r>
      <w:r>
        <w:rPr>
          <w:snapToGrid w:val="0"/>
        </w:rPr>
        <w:tab/>
        <w:t>Policies to give cover required by amending Acts</w:t>
      </w:r>
      <w:bookmarkEnd w:id="38"/>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i w:val="0"/>
          <w:vertAlign w:val="superscript"/>
        </w:rPr>
        <w:t>2</w:t>
      </w:r>
      <w:r>
        <w:t xml:space="preserve"> inserted as s. 19D: No. 40 of 1944 s. 7; amended: No. 31 of 1948 s. 22; No. 51 of 1986 s. 46(2); No. 107 of 1987 s. 12.]</w:t>
      </w:r>
    </w:p>
    <w:p>
      <w:pPr>
        <w:pStyle w:val="Heading5"/>
        <w:rPr>
          <w:snapToGrid w:val="0"/>
        </w:rPr>
      </w:pPr>
      <w:bookmarkStart w:id="39" w:name="_Toc169105375"/>
      <w:r>
        <w:rPr>
          <w:rStyle w:val="CharSectno"/>
        </w:rPr>
        <w:t>24</w:t>
      </w:r>
      <w:r>
        <w:rPr>
          <w:snapToGrid w:val="0"/>
        </w:rPr>
        <w:t>.</w:t>
      </w:r>
      <w:r>
        <w:rPr>
          <w:snapToGrid w:val="0"/>
        </w:rPr>
        <w:tab/>
        <w:t>Reference to issue of policy to extend to renewal of policy</w:t>
      </w:r>
      <w:bookmarkEnd w:id="39"/>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i w:val="0"/>
          <w:vertAlign w:val="superscript"/>
        </w:rPr>
        <w:t>2</w:t>
      </w:r>
      <w:r>
        <w:rPr>
          <w:i w:val="0"/>
        </w:rPr>
        <w:t xml:space="preserve"> </w:t>
      </w:r>
      <w:r>
        <w:t>inserted as s. 19E: No. 40 of 1944 s. 7.]</w:t>
      </w:r>
    </w:p>
    <w:p>
      <w:pPr>
        <w:pStyle w:val="Heading5"/>
        <w:rPr>
          <w:snapToGrid w:val="0"/>
        </w:rPr>
      </w:pPr>
      <w:bookmarkStart w:id="40" w:name="_Toc169105376"/>
      <w:r>
        <w:rPr>
          <w:rStyle w:val="CharSectno"/>
        </w:rPr>
        <w:lastRenderedPageBreak/>
        <w:t>25</w:t>
      </w:r>
      <w:r>
        <w:rPr>
          <w:snapToGrid w:val="0"/>
        </w:rPr>
        <w:t>.</w:t>
      </w:r>
      <w:r>
        <w:rPr>
          <w:snapToGrid w:val="0"/>
        </w:rPr>
        <w:tab/>
        <w:t>Information to be furnished by the Commission</w:t>
      </w:r>
      <w:bookmarkEnd w:id="40"/>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2</w:t>
      </w:r>
      <w:r>
        <w:t>, formerly section 20, amended: No. 31 of 1948 s. 23; No. 57 of 1962 s. 5; No. 51 of 1986 s. 46(2); No. 8 of 1988 s. 8.]</w:t>
      </w:r>
    </w:p>
    <w:p>
      <w:pPr>
        <w:pStyle w:val="Heading5"/>
        <w:rPr>
          <w:snapToGrid w:val="0"/>
        </w:rPr>
      </w:pPr>
      <w:bookmarkStart w:id="41" w:name="_Toc169105377"/>
      <w:r>
        <w:rPr>
          <w:rStyle w:val="CharSectno"/>
        </w:rPr>
        <w:t>26</w:t>
      </w:r>
      <w:r>
        <w:rPr>
          <w:snapToGrid w:val="0"/>
        </w:rPr>
        <w:t>.</w:t>
      </w:r>
      <w:r>
        <w:rPr>
          <w:snapToGrid w:val="0"/>
        </w:rPr>
        <w:tab/>
        <w:t>Contracting out of liability for negligence</w:t>
      </w:r>
      <w:bookmarkEnd w:id="41"/>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2</w:t>
      </w:r>
      <w:r>
        <w:t xml:space="preserve"> amended: No. 65 of 1986 s. 3.]</w:t>
      </w:r>
    </w:p>
    <w:p>
      <w:pPr>
        <w:pStyle w:val="Heading5"/>
        <w:rPr>
          <w:snapToGrid w:val="0"/>
        </w:rPr>
      </w:pPr>
      <w:bookmarkStart w:id="42" w:name="_Toc169105378"/>
      <w:r>
        <w:rPr>
          <w:rStyle w:val="CharSectno"/>
        </w:rPr>
        <w:t>27</w:t>
      </w:r>
      <w:r>
        <w:rPr>
          <w:snapToGrid w:val="0"/>
        </w:rPr>
        <w:t>.</w:t>
      </w:r>
      <w:r>
        <w:rPr>
          <w:snapToGrid w:val="0"/>
        </w:rPr>
        <w:tab/>
        <w:t>Soliciting instructions from persons claiming</w:t>
      </w:r>
      <w:bookmarkEnd w:id="42"/>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 xml:space="preserve">for or in the expectation of directly or indirectly receiving any reward, make, commence, cause to be </w:t>
      </w:r>
      <w:r>
        <w:rPr>
          <w:snapToGrid w:val="0"/>
        </w:rPr>
        <w:lastRenderedPageBreak/>
        <w:t>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2</w:t>
      </w:r>
      <w:r>
        <w:t>, formerly section 22, amended: No. 31 of 1948 s. 24; No. 51 of 1986 s. 46(2); No. 107 of 1987 s. 13; No. 13 of 1994 s. 9.]</w:t>
      </w:r>
    </w:p>
    <w:p>
      <w:pPr>
        <w:pStyle w:val="Heading5"/>
        <w:rPr>
          <w:snapToGrid w:val="0"/>
        </w:rPr>
      </w:pPr>
      <w:bookmarkStart w:id="43" w:name="_Toc169105379"/>
      <w:r>
        <w:rPr>
          <w:rStyle w:val="CharSectno"/>
        </w:rPr>
        <w:t>27A</w:t>
      </w:r>
      <w:r>
        <w:rPr>
          <w:snapToGrid w:val="0"/>
        </w:rPr>
        <w:t xml:space="preserve">. </w:t>
      </w:r>
      <w:r>
        <w:rPr>
          <w:snapToGrid w:val="0"/>
        </w:rPr>
        <w:tab/>
        <w:t>Costs between solicitor and client</w:t>
      </w:r>
      <w:bookmarkEnd w:id="43"/>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made under the </w:t>
      </w:r>
      <w:r>
        <w:rPr>
          <w:i/>
        </w:rPr>
        <w:t>Legal Profession Uniform Law Application Act 2022</w:t>
      </w:r>
      <w:r>
        <w:t xml:space="preserve"> section 133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lastRenderedPageBreak/>
        <w:t>Motor Vehicle (Third Party Insurance) Amendment Act 1994</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 No. 9 of 2022 s. 424.]</w:t>
      </w:r>
    </w:p>
    <w:p>
      <w:pPr>
        <w:pStyle w:val="Heading5"/>
      </w:pPr>
      <w:bookmarkStart w:id="44" w:name="_Toc169105380"/>
      <w:r>
        <w:rPr>
          <w:rStyle w:val="CharSectno"/>
        </w:rPr>
        <w:t>27B</w:t>
      </w:r>
      <w:r>
        <w:t>.</w:t>
      </w:r>
      <w:r>
        <w:tab/>
        <w:t>False or misleading information</w:t>
      </w:r>
      <w:bookmarkEnd w:id="44"/>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lastRenderedPageBreak/>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45" w:name="_Toc169105381"/>
      <w:r>
        <w:rPr>
          <w:rStyle w:val="CharSectno"/>
        </w:rPr>
        <w:t>27C</w:t>
      </w:r>
      <w:r>
        <w:t>.</w:t>
      </w:r>
      <w:r>
        <w:tab/>
        <w:t>Obstruction</w:t>
      </w:r>
      <w:bookmarkEnd w:id="45"/>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46" w:name="_Toc169105382"/>
      <w:r>
        <w:rPr>
          <w:rStyle w:val="CharSectno"/>
        </w:rPr>
        <w:t>28</w:t>
      </w:r>
      <w:r>
        <w:rPr>
          <w:snapToGrid w:val="0"/>
        </w:rPr>
        <w:t>.</w:t>
      </w:r>
      <w:r>
        <w:rPr>
          <w:snapToGrid w:val="0"/>
        </w:rPr>
        <w:tab/>
        <w:t>Offences: general penalty</w:t>
      </w:r>
      <w:bookmarkEnd w:id="46"/>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2</w:t>
      </w:r>
      <w:r>
        <w:t xml:space="preserve"> amended: No. 95 of 1966 s. 21; No. 44 of 1971 s. 5.]</w:t>
      </w:r>
    </w:p>
    <w:p>
      <w:pPr>
        <w:pStyle w:val="Heading5"/>
        <w:rPr>
          <w:snapToGrid w:val="0"/>
        </w:rPr>
      </w:pPr>
      <w:bookmarkStart w:id="47" w:name="_Toc169105383"/>
      <w:r>
        <w:rPr>
          <w:rStyle w:val="CharSectno"/>
        </w:rPr>
        <w:lastRenderedPageBreak/>
        <w:t>29</w:t>
      </w:r>
      <w:r>
        <w:rPr>
          <w:snapToGrid w:val="0"/>
        </w:rPr>
        <w:t>.</w:t>
      </w:r>
      <w:r>
        <w:rPr>
          <w:snapToGrid w:val="0"/>
        </w:rPr>
        <w:tab/>
        <w:t>Notice of claim</w:t>
      </w:r>
      <w:bookmarkEnd w:id="4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lastRenderedPageBreak/>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48" w:name="_Toc169105384"/>
      <w:r>
        <w:rPr>
          <w:rStyle w:val="CharSectno"/>
        </w:rPr>
        <w:t>29A</w:t>
      </w:r>
      <w:r>
        <w:rPr>
          <w:snapToGrid w:val="0"/>
        </w:rPr>
        <w:t xml:space="preserve">. </w:t>
      </w:r>
      <w:r>
        <w:rPr>
          <w:snapToGrid w:val="0"/>
        </w:rPr>
        <w:tab/>
        <w:t>Court may grant leave to proceed</w:t>
      </w:r>
      <w:bookmarkEnd w:id="48"/>
    </w:p>
    <w:p>
      <w:pPr>
        <w:pStyle w:val="Subsection"/>
        <w:rPr>
          <w:snapToGrid w:val="0"/>
        </w:rPr>
      </w:pPr>
      <w:r>
        <w:rPr>
          <w:snapToGrid w:val="0"/>
        </w:rPr>
        <w:tab/>
      </w:r>
      <w:r>
        <w:rPr>
          <w:snapToGrid w:val="0"/>
        </w:rPr>
        <w:tab/>
        <w:t xml:space="preserve">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w:t>
      </w:r>
      <w:r>
        <w:rPr>
          <w:snapToGrid w:val="0"/>
        </w:rPr>
        <w:lastRenderedPageBreak/>
        <w:t>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49" w:name="_Toc169105385"/>
      <w:r>
        <w:rPr>
          <w:rStyle w:val="CharSectno"/>
        </w:rPr>
        <w:t>30</w:t>
      </w:r>
      <w:r>
        <w:t>.</w:t>
      </w:r>
      <w:r>
        <w:tab/>
        <w:t>Examination of injured person by health professional</w:t>
      </w:r>
      <w:bookmarkEnd w:id="49"/>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lastRenderedPageBreak/>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50" w:name="_Toc169105386"/>
      <w:r>
        <w:rPr>
          <w:rStyle w:val="CharSectno"/>
        </w:rPr>
        <w:t>33</w:t>
      </w:r>
      <w:r>
        <w:rPr>
          <w:snapToGrid w:val="0"/>
        </w:rPr>
        <w:t>.</w:t>
      </w:r>
      <w:r>
        <w:rPr>
          <w:snapToGrid w:val="0"/>
        </w:rPr>
        <w:tab/>
        <w:t>Regulations</w:t>
      </w:r>
      <w:bookmarkEnd w:id="50"/>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 xml:space="preserve">For the purposes of proceedings making a claim for damages, in respect of the death of or bodily injury to a person directly </w:t>
      </w:r>
      <w:r>
        <w:rPr>
          <w:snapToGrid w:val="0"/>
        </w:rPr>
        <w:lastRenderedPageBreak/>
        <w:t>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51" w:name="_Toc169105387"/>
      <w:r>
        <w:rPr>
          <w:rStyle w:val="CharSectno"/>
        </w:rPr>
        <w:t>34</w:t>
      </w:r>
      <w:r>
        <w:t>.</w:t>
      </w:r>
      <w:r>
        <w:tab/>
        <w:t xml:space="preserve">Transitional provision for </w:t>
      </w:r>
      <w:r>
        <w:rPr>
          <w:i/>
        </w:rPr>
        <w:t>Motor Vehicle (Catastrophic Injuries) Act 2016</w:t>
      </w:r>
      <w:bookmarkEnd w:id="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lastRenderedPageBreak/>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52" w:name="_Toc169082093"/>
      <w:bookmarkStart w:id="53" w:name="_Toc169091204"/>
      <w:bookmarkStart w:id="54" w:name="_Toc169091413"/>
      <w:bookmarkStart w:id="55" w:name="_Toc169105388"/>
      <w:r>
        <w:rPr>
          <w:rStyle w:val="CharSchNo"/>
        </w:rPr>
        <w:lastRenderedPageBreak/>
        <w:t>Schedule</w:t>
      </w:r>
      <w:r>
        <w:rPr>
          <w:rStyle w:val="CharSDivNo"/>
        </w:rPr>
        <w:t> </w:t>
      </w:r>
      <w:r>
        <w:t>—</w:t>
      </w:r>
      <w:r>
        <w:rPr>
          <w:rStyle w:val="CharSDivText"/>
        </w:rPr>
        <w:t> </w:t>
      </w:r>
      <w:r>
        <w:rPr>
          <w:rStyle w:val="CharSchText"/>
        </w:rPr>
        <w:t>Form of insurance policy</w:t>
      </w:r>
      <w:bookmarkEnd w:id="52"/>
      <w:bookmarkEnd w:id="53"/>
      <w:bookmarkEnd w:id="54"/>
      <w:bookmarkEnd w:id="55"/>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lastRenderedPageBreak/>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57" w:name="_Toc169082094"/>
      <w:bookmarkStart w:id="58" w:name="_Toc169091205"/>
      <w:bookmarkStart w:id="59" w:name="_Toc169091414"/>
      <w:bookmarkStart w:id="60" w:name="_Toc169105389"/>
      <w:r>
        <w:lastRenderedPageBreak/>
        <w:t>Notes</w:t>
      </w:r>
      <w:bookmarkEnd w:id="57"/>
      <w:bookmarkEnd w:id="58"/>
      <w:bookmarkEnd w:id="59"/>
      <w:bookmarkEnd w:id="60"/>
    </w:p>
    <w:p>
      <w:pPr>
        <w:pStyle w:val="nStatement"/>
      </w:pPr>
      <w:r>
        <w:t xml:space="preserve">This is a compilation of the </w:t>
      </w:r>
      <w:r>
        <w:rPr>
          <w:i/>
          <w:noProof/>
        </w:rPr>
        <w:t>Motor Vehicle (Third Party Insurance) Act 1943</w:t>
      </w:r>
      <w:r>
        <w:t xml:space="preserve"> and includes amendments made by other written laws. For provisions that have come into operation, and for information about any reprints, see the compilation table. </w:t>
      </w:r>
    </w:p>
    <w:p>
      <w:pPr>
        <w:pStyle w:val="nHeading3"/>
      </w:pPr>
      <w:bookmarkStart w:id="61" w:name="_Toc169105390"/>
      <w:r>
        <w:t>Compilation table</w:t>
      </w:r>
      <w:bookmarkEnd w:id="61"/>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lastRenderedPageBreak/>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lastRenderedPageBreak/>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lastRenderedPageBreak/>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3</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4</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lastRenderedPageBreak/>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5</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lastRenderedPageBreak/>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Pr>
          <w:p>
            <w:pPr>
              <w:pStyle w:val="nTable"/>
              <w:spacing w:after="40"/>
              <w:rPr>
                <w:snapToGrid w:val="0"/>
              </w:rPr>
            </w:pPr>
            <w:r>
              <w:rPr>
                <w:snapToGrid w:val="0"/>
              </w:rPr>
              <w:t>8 of 2016</w:t>
            </w:r>
          </w:p>
        </w:tc>
        <w:tc>
          <w:tcPr>
            <w:tcW w:w="1161" w:type="dxa"/>
          </w:tcPr>
          <w:p>
            <w:pPr>
              <w:pStyle w:val="nTable"/>
              <w:spacing w:after="40"/>
            </w:pPr>
            <w:r>
              <w:t>14 Apr 2016</w:t>
            </w:r>
          </w:p>
        </w:tc>
        <w:tc>
          <w:tcPr>
            <w:tcW w:w="2613" w:type="dxa"/>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r>
        <w:trPr>
          <w:cantSplit/>
        </w:trPr>
        <w:tc>
          <w:tcPr>
            <w:tcW w:w="2323" w:type="dxa"/>
          </w:tcPr>
          <w:p>
            <w:pPr>
              <w:pStyle w:val="nTable"/>
              <w:spacing w:after="40"/>
              <w:ind w:right="113"/>
              <w:rPr>
                <w:i/>
                <w:snapToGrid w:val="0"/>
              </w:rPr>
            </w:pPr>
            <w:r>
              <w:rPr>
                <w:i/>
              </w:rPr>
              <w:t>Legal Profession Uniform Law Application Act 2022</w:t>
            </w:r>
            <w:r>
              <w:t xml:space="preserve"> s. 424</w:t>
            </w:r>
          </w:p>
        </w:tc>
        <w:tc>
          <w:tcPr>
            <w:tcW w:w="1161" w:type="dxa"/>
          </w:tcPr>
          <w:p>
            <w:pPr>
              <w:pStyle w:val="nTable"/>
              <w:spacing w:after="40"/>
              <w:rPr>
                <w:snapToGrid w:val="0"/>
              </w:rPr>
            </w:pPr>
            <w:r>
              <w:t>9 of 2022</w:t>
            </w:r>
          </w:p>
        </w:tc>
        <w:tc>
          <w:tcPr>
            <w:tcW w:w="1161" w:type="dxa"/>
          </w:tcPr>
          <w:p>
            <w:pPr>
              <w:pStyle w:val="nTable"/>
              <w:spacing w:after="40"/>
            </w:pPr>
            <w:r>
              <w:t>14 Apr 2022</w:t>
            </w:r>
          </w:p>
        </w:tc>
        <w:tc>
          <w:tcPr>
            <w:tcW w:w="2613" w:type="dxa"/>
          </w:tcPr>
          <w:p>
            <w:pPr>
              <w:pStyle w:val="nTable"/>
              <w:spacing w:after="40"/>
              <w:rPr>
                <w:snapToGrid w:val="0"/>
              </w:rPr>
            </w:pPr>
            <w:r>
              <w:rPr>
                <w:snapToGrid w:val="0"/>
              </w:rPr>
              <w:t>1 Jul 2022 (see s. 2(c) and SL 2022/113 cl. 2)</w:t>
            </w:r>
          </w:p>
        </w:tc>
      </w:tr>
      <w:tr>
        <w:trPr>
          <w:cantSplit/>
        </w:trPr>
        <w:tc>
          <w:tcPr>
            <w:tcW w:w="2323" w:type="dxa"/>
            <w:tcBorders>
              <w:bottom w:val="single" w:sz="4" w:space="0" w:color="auto"/>
            </w:tcBorders>
          </w:tcPr>
          <w:p>
            <w:pPr>
              <w:pStyle w:val="nTable"/>
              <w:spacing w:after="40"/>
              <w:ind w:right="113"/>
              <w:rPr>
                <w:i/>
              </w:rPr>
            </w:pPr>
            <w:r>
              <w:rPr>
                <w:i/>
                <w:iCs/>
              </w:rPr>
              <w:t>Workers Compensation and Injury Management Act 2023</w:t>
            </w:r>
            <w:r>
              <w:t xml:space="preserve"> Pt. 15 Div. 3 Subdiv. 12</w:t>
            </w:r>
          </w:p>
        </w:tc>
        <w:tc>
          <w:tcPr>
            <w:tcW w:w="1161" w:type="dxa"/>
            <w:tcBorders>
              <w:bottom w:val="single" w:sz="4" w:space="0" w:color="auto"/>
            </w:tcBorders>
          </w:tcPr>
          <w:p>
            <w:pPr>
              <w:pStyle w:val="nTable"/>
              <w:spacing w:after="40"/>
            </w:pPr>
            <w:r>
              <w:t>21 of 2023</w:t>
            </w:r>
          </w:p>
        </w:tc>
        <w:tc>
          <w:tcPr>
            <w:tcW w:w="1161" w:type="dxa"/>
            <w:tcBorders>
              <w:bottom w:val="single" w:sz="4" w:space="0" w:color="auto"/>
            </w:tcBorders>
          </w:tcPr>
          <w:p>
            <w:pPr>
              <w:pStyle w:val="nTable"/>
              <w:spacing w:after="40"/>
            </w:pPr>
            <w:r>
              <w:t>24 Oct 2023</w:t>
            </w:r>
          </w:p>
        </w:tc>
        <w:tc>
          <w:tcPr>
            <w:tcW w:w="2613" w:type="dxa"/>
            <w:tcBorders>
              <w:bottom w:val="single" w:sz="4" w:space="0" w:color="auto"/>
            </w:tcBorders>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62" w:name="_Toc169105391"/>
      <w:r>
        <w:t>Other notes</w:t>
      </w:r>
      <w:bookmarkEnd w:id="62"/>
    </w:p>
    <w:p>
      <w:pPr>
        <w:pStyle w:val="nNote"/>
        <w:keepNext/>
        <w:spacing w:before="120" w:after="60"/>
        <w:rPr>
          <w:snapToGrid w:val="0"/>
        </w:rPr>
      </w:pPr>
      <w:r>
        <w:rPr>
          <w:snapToGrid w:val="0"/>
          <w:vertAlign w:val="superscript"/>
        </w:rPr>
        <w:t>1</w:t>
      </w:r>
      <w:r>
        <w:rPr>
          <w:snapToGrid w:val="0"/>
        </w:rPr>
        <w:tab/>
        <w:t>For the purposes of s. 3C and 3D, the Amounts A, B, C and D for the financial years beginning after 30 June 1994 up to the date of this compilation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lastRenderedPageBreak/>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r>
        <w:rPr>
          <w:snapToGrid w:val="0"/>
          <w:vertAlign w:val="superscript"/>
        </w:rPr>
        <w:t>2</w:t>
      </w:r>
      <w:r>
        <w:rPr>
          <w:snapToGrid w:val="0"/>
          <w:vertAlign w:val="superscript"/>
        </w:rPr>
        <w:tab/>
      </w:r>
      <w:r>
        <w:rPr>
          <w:snapToGrid w:val="0"/>
        </w:rPr>
        <w:t>This provision was renumbered in the 1950 Reprint.</w:t>
      </w:r>
    </w:p>
    <w:p>
      <w:pPr>
        <w:pStyle w:val="nNote"/>
        <w:keepNext/>
        <w:spacing w:before="120"/>
        <w:rPr>
          <w:snapToGrid w:val="0"/>
        </w:rPr>
      </w:pPr>
      <w:r>
        <w:rPr>
          <w:snapToGrid w:val="0"/>
          <w:vertAlign w:val="superscript"/>
        </w:rPr>
        <w:t>3</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r>
        <w:rPr>
          <w:snapToGrid w:val="0"/>
          <w:vertAlign w:val="superscript"/>
        </w:rPr>
        <w:t>4</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keepNext/>
        <w:spacing w:before="100"/>
        <w:rPr>
          <w:snapToGrid w:val="0"/>
        </w:rPr>
      </w:pPr>
      <w:r>
        <w:rPr>
          <w:snapToGrid w:val="0"/>
          <w:vertAlign w:val="superscript"/>
        </w:rPr>
        <w:lastRenderedPageBreak/>
        <w:t>5</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lastRenderedPageBreak/>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lastRenderedPageBreak/>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64" w:name="_Toc169105392"/>
      <w:r>
        <w:rPr>
          <w:sz w:val="28"/>
        </w:rPr>
        <w:lastRenderedPageBreak/>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assessed treatment, care and support needs</w:t>
      </w:r>
      <w:r>
        <w:tab/>
        <w:t>3(1)</w:t>
      </w:r>
    </w:p>
    <w:p>
      <w:pPr>
        <w:pStyle w:val="DefinedTerms"/>
      </w:pPr>
      <w:r>
        <w:t>catastrophic injury</w:t>
      </w:r>
      <w:r>
        <w:tab/>
        <w:t>3(1)</w:t>
      </w:r>
    </w:p>
    <w:p>
      <w:pPr>
        <w:pStyle w:val="DefinedTerms"/>
      </w:pPr>
      <w:r>
        <w:t>CISS</w:t>
      </w:r>
      <w:r>
        <w:tab/>
        <w:t>3(1)</w:t>
      </w:r>
    </w:p>
    <w:p>
      <w:pPr>
        <w:pStyle w:val="DefinedTerms"/>
      </w:pPr>
      <w:r>
        <w:t>commencement day</w:t>
      </w:r>
      <w:r>
        <w:tab/>
        <w:t>34(1)</w:t>
      </w:r>
    </w:p>
    <w:p>
      <w:pPr>
        <w:pStyle w:val="DefinedTerms"/>
      </w:pPr>
      <w:r>
        <w:t>Commission</w:t>
      </w:r>
      <w:r>
        <w:tab/>
        <w:t>3(1)</w:t>
      </w:r>
    </w:p>
    <w:p>
      <w:pPr>
        <w:pStyle w:val="DefinedTerms"/>
      </w:pPr>
      <w:r>
        <w:t>Commission officer</w:t>
      </w:r>
      <w:r>
        <w:tab/>
        <w:t>27C(1)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health profession</w:t>
      </w:r>
      <w:r>
        <w:tab/>
        <w:t>30(1)</w:t>
      </w:r>
    </w:p>
    <w:p>
      <w:pPr>
        <w:pStyle w:val="DefinedTerms"/>
      </w:pPr>
      <w:r>
        <w:t>health professional</w:t>
      </w:r>
      <w:r>
        <w:tab/>
        <w:t>30(1)</w:t>
      </w:r>
    </w:p>
    <w:p>
      <w:pPr>
        <w:pStyle w:val="DefinedTerms"/>
      </w:pPr>
      <w:r>
        <w:t>injured person</w:t>
      </w:r>
      <w:r>
        <w:tab/>
        <w:t>6A(2), 30(2)</w:t>
      </w:r>
    </w:p>
    <w:p>
      <w:pPr>
        <w:pStyle w:val="DefinedTerms"/>
      </w:pPr>
      <w:r>
        <w:t>insured person</w:t>
      </w:r>
      <w:r>
        <w:tab/>
        <w:t>3(1)</w:t>
      </w:r>
    </w:p>
    <w:p>
      <w:pPr>
        <w:pStyle w:val="DefinedTerms"/>
      </w:pPr>
      <w:r>
        <w:t>interim participant</w:t>
      </w:r>
      <w:r>
        <w:tab/>
        <w:t>3EA(1)</w:t>
      </w:r>
    </w:p>
    <w:p>
      <w:pPr>
        <w:pStyle w:val="DefinedTerms"/>
      </w:pPr>
      <w:r>
        <w:t>issued</w:t>
      </w:r>
      <w:r>
        <w:tab/>
        <w:t>34(1)</w:t>
      </w:r>
    </w:p>
    <w:p>
      <w:pPr>
        <w:pStyle w:val="DefinedTerms"/>
      </w:pPr>
      <w:r>
        <w:t>lifetime participant</w:t>
      </w:r>
      <w:r>
        <w:tab/>
        <w:t>3EA(1)</w:t>
      </w:r>
    </w:p>
    <w:p>
      <w:pPr>
        <w:pStyle w:val="DefinedTerms"/>
      </w:pPr>
      <w:r>
        <w:t>Minister</w:t>
      </w:r>
      <w:r>
        <w:tab/>
        <w:t>3(1)</w:t>
      </w:r>
    </w:p>
    <w:p>
      <w:pPr>
        <w:pStyle w:val="DefinedTerms"/>
      </w:pPr>
      <w:r>
        <w:t>motor vehicle</w:t>
      </w:r>
      <w:r>
        <w:tab/>
        <w:t>3(1), 4(10)</w:t>
      </w:r>
    </w:p>
    <w:p>
      <w:pPr>
        <w:pStyle w:val="DefinedTerms"/>
      </w:pPr>
      <w:r>
        <w:t>motor vehicle accident</w:t>
      </w:r>
      <w:r>
        <w:tab/>
        <w:t>6A(1)</w:t>
      </w:r>
    </w:p>
    <w:p>
      <w:pPr>
        <w:pStyle w:val="DefinedTerms"/>
      </w:pPr>
      <w:r>
        <w:t>MVWA(CI) Act</w:t>
      </w:r>
      <w:r>
        <w:tab/>
        <w:t>3(1)</w:t>
      </w:r>
    </w:p>
    <w:p>
      <w:pPr>
        <w:pStyle w:val="DefinedTerms"/>
      </w:pPr>
      <w:r>
        <w:t>non-pecuniary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relevant day</w:t>
      </w:r>
      <w:r>
        <w:tab/>
        <w:t>34(1)</w:t>
      </w:r>
    </w:p>
    <w:p>
      <w:pPr>
        <w:pStyle w:val="DefinedTerms"/>
      </w:pPr>
      <w:r>
        <w:t>repealed provision</w:t>
      </w:r>
      <w:r>
        <w:tab/>
        <w:t>34(1)</w:t>
      </w:r>
    </w:p>
    <w:p>
      <w:pPr>
        <w:pStyle w:val="DefinedTerms"/>
      </w:pPr>
      <w:r>
        <w:t>restrictive provisions</w:t>
      </w:r>
      <w:r>
        <w:tab/>
        <w:t>3FA(1)</w:t>
      </w:r>
    </w:p>
    <w:p>
      <w:pPr>
        <w:pStyle w:val="DefinedTerms"/>
      </w:pPr>
      <w:r>
        <w:t>the Act</w:t>
      </w:r>
      <w:r>
        <w:tab/>
        <w:t>Sch.</w:t>
      </w:r>
    </w:p>
    <w:p>
      <w:pPr>
        <w:pStyle w:val="DefinedTerms"/>
      </w:pPr>
      <w:r>
        <w:t>the claimant</w:t>
      </w:r>
      <w:r>
        <w:tab/>
        <w:t>29(2)</w:t>
      </w:r>
    </w:p>
    <w:p>
      <w:pPr>
        <w:pStyle w:val="DefinedTerms"/>
      </w:pPr>
      <w:r>
        <w:lastRenderedPageBreak/>
        <w:t>the recalculation date</w:t>
      </w:r>
      <w:r>
        <w:tab/>
        <w:t>3C(8), 3D(8)</w:t>
      </w:r>
    </w:p>
    <w:p>
      <w:pPr>
        <w:pStyle w:val="DefinedTerms"/>
      </w:pPr>
      <w:r>
        <w:t>the relevant quarter</w:t>
      </w:r>
      <w:r>
        <w:tab/>
        <w:t>3D(4)</w:t>
      </w:r>
    </w:p>
    <w:p>
      <w:pPr>
        <w:pStyle w:val="DefinedTerms"/>
      </w:pPr>
      <w:r>
        <w:t>the Tribunal</w:t>
      </w:r>
      <w:r>
        <w:tab/>
        <w:t>16(1)</w:t>
      </w:r>
    </w:p>
    <w:p>
      <w:pPr>
        <w:pStyle w:val="DefinedTerms"/>
      </w:pPr>
      <w:r>
        <w:t>treatment, care and support needs</w:t>
      </w:r>
      <w:r>
        <w:tab/>
        <w:t>3EA(1), 3FB(1)</w:t>
      </w:r>
    </w:p>
    <w:p>
      <w:pPr>
        <w:pStyle w:val="DefinedTerms"/>
      </w:pPr>
      <w:r>
        <w:t>uninsured motor vehicle</w:t>
      </w:r>
      <w:r>
        <w:tab/>
        <w:t>3(1)</w:t>
      </w:r>
    </w:p>
    <w:p>
      <w:pPr>
        <w:pStyle w:val="DefinedTerms"/>
      </w:pPr>
      <w:r>
        <w:t>Vehicles Act</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B72A2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3376A9F" w14:textId="556B4EA6" w:rsidR="008C1339" w:rsidRDefault="00DF2FB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37F20">
                        <w:rPr>
                          <w:sz w:val="16"/>
                        </w:rPr>
                        <w:t>2024</w:t>
                      </w:r>
                      <w:r>
                        <w:rPr>
                          <w:sz w:val="16"/>
                        </w:rPr>
                        <w:fldChar w:fldCharType="end"/>
                      </w:r>
                      <w:r>
                        <w:rPr>
                          <w:sz w:val="16"/>
                        </w:rPr>
                        <w:t>.</w:t>
                      </w:r>
                    </w:p>
                    <w:p w14:paraId="70021646" w14:textId="77777777" w:rsidR="008C1339" w:rsidRDefault="00DF2FB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1D7B56" w14:textId="6FF2ADB4" w:rsidR="008C1339" w:rsidRDefault="00DF2FB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37F20">
                        <w:rPr>
                          <w:sz w:val="16"/>
                        </w:rPr>
                        <w:t>2024</w:t>
                      </w:r>
                      <w:r>
                        <w:rPr>
                          <w:sz w:val="16"/>
                        </w:rPr>
                        <w:fldChar w:fldCharType="end"/>
                      </w:r>
                      <w:r>
                        <w:rPr>
                          <w:sz w:val="16"/>
                        </w:rPr>
                        <w:t>.</w:t>
                      </w:r>
                    </w:p>
                    <w:p w14:paraId="5511481D" w14:textId="77777777" w:rsidR="008C1339" w:rsidRDefault="00DF2FB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104955"/>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 w:name="WAFER_2022062908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83007_GUID" w:val="6ddbe586-5d24-4ab5-9432-ae1746a36016"/>
    <w:docVar w:name="WAFER_2023102015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50928_GUID" w:val="f4431d49-f0e6-4bb6-bbfe-c73f13e9b6a4"/>
    <w:docVar w:name="WAFER_2023122713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20_GUID" w:val="a4111e3a-6b9d-4aa5-b176-6ddd5a7fa02f"/>
    <w:docVar w:name="WAFER_2024031516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165931_GUID" w:val="5cba8fb5-0e4e-4a7b-b2ff-6d644b8011a9"/>
    <w:docVar w:name="WAFER_2024061210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104955_GUID" w:val="1b77c1f1-bb9e-4a9f-8b07-ba351d6841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footer" Target="footer9.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63201-D615-4303-AF1C-F350CBCA4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19465</Words>
  <Characters>87593</Characters>
  <Application>Microsoft Office Word</Application>
  <DocSecurity>0</DocSecurity>
  <Lines>2576</Lines>
  <Paragraphs>1305</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1943 - 12-k0-00</dc:title>
  <dc:subject/>
  <dc:creator/>
  <cp:keywords/>
  <dc:description/>
  <cp:lastModifiedBy>Master Repository Process</cp:lastModifiedBy>
  <cp:revision>4</cp:revision>
  <cp:lastPrinted>2010-09-14T06:34:00Z</cp:lastPrinted>
  <dcterms:created xsi:type="dcterms:W3CDTF">2025-06-06T04:37:00Z</dcterms:created>
  <dcterms:modified xsi:type="dcterms:W3CDTF">2025-06-06T04:38:00Z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AsAtDate">
    <vt:lpwstr>01 Jul 2024</vt:lpwstr>
  </property>
  <property fmtid="{D5CDD505-2E9C-101B-9397-08002B2CF9AE}" pid="7" name="Suffix">
    <vt:lpwstr>12-k0-00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