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Residential Tenancies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Act 2024 Commencement Proclamation (No. 2)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Act 2024 Commencement Proclamation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_Toc171419953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_Toc171419954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Residential Tenancies Amendment Act 2024</w:t>
      </w:r>
    </w:p>
    <w:p>
      <w:pPr>
        <w:pStyle w:val="NameofActReg"/>
      </w:pPr>
      <w:r>
        <w:t>Residential Tenancies Amendment Act 2024 Commencement Proclamation (No. 2) 2024</w:t>
      </w:r>
    </w:p>
    <w:p>
      <w:pPr>
        <w:pStyle w:val="MadeBy"/>
      </w:pPr>
      <w:r>
        <w:t xml:space="preserve">Made under the </w:t>
      </w:r>
      <w:r>
        <w:rPr>
          <w:i/>
        </w:rPr>
        <w:t>Residential Tenancies Amendment Act 2024</w:t>
      </w:r>
      <w:r>
        <w:t xml:space="preserve"> section 2(b) by the deputy of the Governor in Executive Council.</w:t>
      </w:r>
    </w:p>
    <w:p>
      <w:pPr>
        <w:pStyle w:val="Heading5"/>
      </w:pPr>
      <w:bookmarkStart w:id="2" w:name="_Toc170988590"/>
      <w:bookmarkStart w:id="3" w:name="_Toc17141995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Residential Tenancies Amendment Act 2024 Commencement Proclamation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70988591"/>
      <w:bookmarkStart w:id="6" w:name="_Toc17141995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following provisions of the </w:t>
      </w:r>
      <w:r>
        <w:rPr>
          <w:i/>
          <w:spacing w:val="-2"/>
        </w:rPr>
        <w:t>Residential Tenancies Amendment Act 2024</w:t>
      </w:r>
      <w:r>
        <w:rPr>
          <w:spacing w:val="-2"/>
        </w:rPr>
        <w:t xml:space="preserve"> come into operation on 29 July 2024 — </w:t>
      </w:r>
    </w:p>
    <w:p>
      <w:pPr>
        <w:pStyle w:val="Indenta"/>
      </w:pPr>
      <w:r>
        <w:tab/>
        <w:t>(a)</w:t>
      </w:r>
      <w:r>
        <w:tab/>
        <w:t>sections 11 and 12;</w:t>
      </w:r>
    </w:p>
    <w:p>
      <w:pPr>
        <w:pStyle w:val="Indenta"/>
      </w:pPr>
      <w:r>
        <w:tab/>
        <w:t>(b)</w:t>
      </w:r>
      <w:r>
        <w:tab/>
        <w:t>section 13(1);</w:t>
      </w:r>
    </w:p>
    <w:p>
      <w:pPr>
        <w:pStyle w:val="Indenta"/>
      </w:pPr>
      <w:r>
        <w:tab/>
        <w:t>(c)</w:t>
      </w:r>
      <w:r>
        <w:tab/>
        <w:t>section 14;</w:t>
      </w:r>
    </w:p>
    <w:p>
      <w:pPr>
        <w:pStyle w:val="Indenta"/>
      </w:pPr>
      <w:r>
        <w:tab/>
        <w:t>(d)</w:t>
      </w:r>
      <w:r>
        <w:tab/>
        <w:t>section 15(1);</w:t>
      </w:r>
    </w:p>
    <w:p>
      <w:pPr>
        <w:pStyle w:val="Indenta"/>
      </w:pPr>
      <w:r>
        <w:tab/>
        <w:t>(e)</w:t>
      </w:r>
      <w:r>
        <w:tab/>
        <w:t>section 18;</w:t>
      </w:r>
    </w:p>
    <w:p>
      <w:pPr>
        <w:pStyle w:val="Indenta"/>
      </w:pPr>
      <w:r>
        <w:tab/>
        <w:t>(f)</w:t>
      </w:r>
      <w:r>
        <w:tab/>
        <w:t>sections 25 to 31;</w:t>
      </w:r>
    </w:p>
    <w:p>
      <w:pPr>
        <w:pStyle w:val="Indenta"/>
      </w:pPr>
      <w:r>
        <w:tab/>
        <w:t>(g)</w:t>
      </w:r>
      <w:r>
        <w:tab/>
        <w:t>section 33;</w:t>
      </w:r>
    </w:p>
    <w:p>
      <w:pPr>
        <w:pStyle w:val="Indenta"/>
      </w:pPr>
      <w:r>
        <w:tab/>
        <w:t>(h)</w:t>
      </w:r>
      <w:r>
        <w:tab/>
        <w:t>section 35;</w:t>
      </w:r>
    </w:p>
    <w:p>
      <w:pPr>
        <w:pStyle w:val="Indenta"/>
      </w:pPr>
      <w:r>
        <w:tab/>
        <w:t>(i)</w:t>
      </w:r>
      <w:r>
        <w:tab/>
        <w:t>section 37;</w:t>
      </w:r>
    </w:p>
    <w:p>
      <w:pPr>
        <w:pStyle w:val="Indenta"/>
      </w:pPr>
      <w:r>
        <w:tab/>
        <w:t>(j)</w:t>
      </w:r>
      <w:r>
        <w:tab/>
        <w:t>sections 39 to 42;</w:t>
      </w:r>
    </w:p>
    <w:p>
      <w:pPr>
        <w:pStyle w:val="Indenta"/>
      </w:pPr>
      <w:r>
        <w:tab/>
        <w:t>(k)</w:t>
      </w:r>
      <w:r>
        <w:tab/>
        <w:t>section 46.</w:t>
      </w:r>
    </w:p>
    <w:p>
      <w:pPr>
        <w:pStyle w:val="ByCommand"/>
        <w:keepNext/>
        <w:tabs>
          <w:tab w:val="clear" w:pos="7088"/>
          <w:tab w:val="right" w:pos="6521"/>
        </w:tabs>
      </w:pPr>
    </w:p>
    <w:p>
      <w:pPr>
        <w:pStyle w:val="ByCommand"/>
        <w:keepNext/>
        <w:tabs>
          <w:tab w:val="clear" w:pos="7088"/>
          <w:tab w:val="right" w:pos="6521"/>
        </w:tabs>
      </w:pPr>
      <w:r>
        <w:t>P. QUINLAN, deputy of the Governor</w:t>
      </w:r>
      <w:r>
        <w:tab/>
        <w:t>L.S.</w:t>
      </w:r>
    </w:p>
    <w:p>
      <w:pPr>
        <w:pStyle w:val="ByCommand"/>
      </w:pPr>
      <w:r>
        <w:t>S. ELLERY, Minister for Commerce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E243E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9CCEB0C" w14:textId="795DF2FD" w:rsidR="00D91C01" w:rsidRDefault="00D91C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C4DE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61EA26" w14:textId="77777777" w:rsidR="00D91C01" w:rsidRDefault="00D91C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6095E4" w14:textId="40C76220" w:rsidR="00D91C01" w:rsidRDefault="00D91C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C4DE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62F662" w14:textId="77777777" w:rsidR="00D91C01" w:rsidRDefault="00D91C0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(No. 2)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(No. 2)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04122357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6121127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612112753_GUID" w:val="880bd0bc-f80f-4277-b6af-9f910eb84c5f"/>
    <w:docVar w:name="WAFER_202406261234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6123412_GUID" w:val="67021098-ff0f-4cea-95ed-4f5f1ebed461"/>
    <w:docVar w:name="WAFER_202407041223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704122357_GUID" w:val="280c11ad-f999-44a6-9130-3160da1606e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80F3588-2203-4618-B8CD-F87306E6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3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231</Words>
  <Characters>1314</Characters>
  <Application>Microsoft Office Word</Application>
  <DocSecurity>0</DocSecurity>
  <Lines>62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Tenancies Amendment Act 2024 Commencement Proclamation (No. 2)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2025-06-18T02:39:00Z</dcterms:created>
  <dcterms:modified xsi:type="dcterms:W3CDTF">2025-06-18T02:39:00Z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54927</vt:lpwstr>
  </property>
  <property fmtid="{D5CDD505-2E9C-101B-9397-08002B2CF9AE}" pid="3" name="ActNo">
    <vt:lpwstr>2024/011</vt:lpwstr>
  </property>
  <property fmtid="{D5CDD505-2E9C-101B-9397-08002B2CF9AE}" pid="4" name="DocumentType">
    <vt:lpwstr>Reg</vt:lpwstr>
  </property>
  <property fmtid="{D5CDD505-2E9C-101B-9397-08002B2CF9AE}" pid="5" name="SLAPId">
    <vt:lpwstr>2024/143</vt:lpwstr>
  </property>
  <property fmtid="{D5CDD505-2E9C-101B-9397-08002B2CF9AE}" pid="6" name="PublishDate">
    <vt:lpwstr>10 Jul 2024</vt:lpwstr>
  </property>
  <property fmtid="{D5CDD505-2E9C-101B-9397-08002B2CF9AE}" pid="7" name="CommencementDate">
    <vt:lpwstr>20240710</vt:lpwstr>
  </property>
  <property fmtid="{D5CDD505-2E9C-101B-9397-08002B2CF9AE}" pid="8" name="CommencementAsAt">
    <vt:filetime>2024-07-09T16:00:00Z</vt:filetime>
  </property>
  <property fmtid="{D5CDD505-2E9C-101B-9397-08002B2CF9AE}" pid="9" name="CommencementYear">
    <vt:lpwstr>2024</vt:lpwstr>
  </property>
  <property fmtid="{D5CDD505-2E9C-101B-9397-08002B2CF9AE}" pid="10" name="AsAtDate">
    <vt:lpwstr>10 Jul 2024</vt:lpwstr>
  </property>
  <property fmtid="{D5CDD505-2E9C-101B-9397-08002B2CF9AE}" pid="11" name="Suffix">
    <vt:lpwstr>00-00-00</vt:lpwstr>
  </property>
  <property fmtid="{D5CDD505-2E9C-101B-9397-08002B2CF9AE}" pid="12" name="Official">
    <vt:lpwstr/>
  </property>
</Properties>
</file>