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_Toc171339436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_Toc171339437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_Toc171339438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_Toc171339440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_Toc171339441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_Toc171339442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_Toc171339443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_Toc171339444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_Toc171339445 \h </w:instrText>
      </w:r>
      <w:r>
        <w:fldChar w:fldCharType="separate"/>
      </w:r>
      <w:r>
        <w:t>4</w:t>
      </w:r>
      <w:r>
        <w:fldChar w:fldCharType="end"/>
      </w:r>
    </w:p>
    <w:p>
      <w:pPr>
        <w:pStyle w:val="TOC8"/>
        <w:rPr>
          <w:rFonts w:asciiTheme="minorHAnsi" w:eastAsiaTheme="minorEastAsia" w:hAnsiTheme="minorHAnsi" w:cstheme="minorBidi"/>
          <w:szCs w:val="22"/>
        </w:rPr>
      </w:pPr>
      <w:r>
        <w:t>5ABA.</w:t>
      </w:r>
      <w:r>
        <w:tab/>
        <w:t>Modified application of Act s. 27A — lessor may enter into agreement amended to reflect lawful terms</w:t>
      </w:r>
      <w:r>
        <w:tab/>
      </w:r>
      <w:r>
        <w:fldChar w:fldCharType="begin"/>
      </w:r>
      <w:r>
        <w:instrText xml:space="preserve"> PAGEREF _Toc171339446 \h </w:instrText>
      </w:r>
      <w:r>
        <w:fldChar w:fldCharType="separate"/>
      </w:r>
      <w:r>
        <w:t>5</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_Toc171339447 \h </w:instrText>
      </w:r>
      <w:r>
        <w:fldChar w:fldCharType="separate"/>
      </w:r>
      <w:r>
        <w:t>6</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_Toc171339448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_Toc171339449 \h </w:instrText>
      </w:r>
      <w:r>
        <w:fldChar w:fldCharType="separate"/>
      </w:r>
      <w:r>
        <w:t>7</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_Toc171339450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_Toc171339451 \h </w:instrText>
      </w:r>
      <w:r>
        <w:fldChar w:fldCharType="separate"/>
      </w:r>
      <w:r>
        <w:t>8</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_Toc171339452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Exemption from section 33 of Act for employment</w:t>
      </w:r>
      <w:r>
        <w:noBreakHyphen/>
        <w:t>linked residential tenancy agreements</w:t>
      </w:r>
      <w:r>
        <w:tab/>
      </w:r>
      <w:r>
        <w:fldChar w:fldCharType="begin"/>
      </w:r>
      <w:r>
        <w:instrText xml:space="preserve"> PAGEREF _Toc171339453 \h </w:instrText>
      </w:r>
      <w:r>
        <w:fldChar w:fldCharType="separate"/>
      </w:r>
      <w:r>
        <w:t>11</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_Toc171339454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_Toc171339455 \h </w:instrText>
      </w:r>
      <w:r>
        <w:fldChar w:fldCharType="separate"/>
      </w:r>
      <w:r>
        <w:t>12</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_Toc171339456 \h </w:instrText>
      </w:r>
      <w:r>
        <w:fldChar w:fldCharType="separate"/>
      </w:r>
      <w:r>
        <w:t>12</w:t>
      </w:r>
      <w:r>
        <w:fldChar w:fldCharType="end"/>
      </w:r>
    </w:p>
    <w:p>
      <w:pPr>
        <w:pStyle w:val="TOC8"/>
        <w:rPr>
          <w:rFonts w:asciiTheme="minorHAnsi" w:eastAsiaTheme="minorEastAsia" w:hAnsiTheme="minorHAnsi" w:cstheme="minorBidi"/>
          <w:szCs w:val="22"/>
        </w:rPr>
      </w:pPr>
      <w:r>
        <w:t>6B.</w:t>
      </w:r>
      <w:r>
        <w:tab/>
        <w:t>Exemption from Act s. 45(2)(b) if Housing Authority is lessor</w:t>
      </w:r>
      <w:r>
        <w:tab/>
      </w:r>
      <w:r>
        <w:fldChar w:fldCharType="begin"/>
      </w:r>
      <w:r>
        <w:instrText xml:space="preserve"> PAGEREF _Toc171339457 \h </w:instrText>
      </w:r>
      <w:r>
        <w:fldChar w:fldCharType="separate"/>
      </w:r>
      <w:r>
        <w:t>13</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_Toc171339458 \h </w:instrText>
      </w:r>
      <w:r>
        <w:fldChar w:fldCharType="separate"/>
      </w:r>
      <w:r>
        <w:t>13</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_Toc171339459 \h </w:instrText>
      </w:r>
      <w:r>
        <w:fldChar w:fldCharType="separate"/>
      </w:r>
      <w:r>
        <w:t>14</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_Toc171339460 \h </w:instrText>
      </w:r>
      <w:r>
        <w:fldChar w:fldCharType="separate"/>
      </w:r>
      <w:r>
        <w:t>14</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_Toc171339461 \h </w:instrText>
      </w:r>
      <w:r>
        <w:fldChar w:fldCharType="separate"/>
      </w:r>
      <w:r>
        <w:t>15</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_Toc171339462 \h </w:instrText>
      </w:r>
      <w:r>
        <w:fldChar w:fldCharType="separate"/>
      </w:r>
      <w:r>
        <w:t>16</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_Toc171339463 \h </w:instrText>
      </w:r>
      <w:r>
        <w:fldChar w:fldCharType="separate"/>
      </w:r>
      <w:r>
        <w:t>16</w:t>
      </w:r>
      <w:r>
        <w:fldChar w:fldCharType="end"/>
      </w:r>
    </w:p>
    <w:p>
      <w:pPr>
        <w:pStyle w:val="TOC8"/>
        <w:rPr>
          <w:rFonts w:asciiTheme="minorHAnsi" w:eastAsiaTheme="minorEastAsia" w:hAnsiTheme="minorHAnsi" w:cstheme="minorBidi"/>
          <w:szCs w:val="22"/>
        </w:rPr>
      </w:pPr>
      <w:r>
        <w:t>7FA.</w:t>
      </w:r>
      <w:r>
        <w:tab/>
        <w:t>Modified application of Act s. 85 for Housing Authority</w:t>
      </w:r>
      <w:r>
        <w:tab/>
      </w:r>
      <w:r>
        <w:fldChar w:fldCharType="begin"/>
      </w:r>
      <w:r>
        <w:instrText xml:space="preserve"> PAGEREF _Toc171339464 \h </w:instrText>
      </w:r>
      <w:r>
        <w:fldChar w:fldCharType="separate"/>
      </w:r>
      <w:r>
        <w:t>16</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_Toc171339465 \h </w:instrText>
      </w:r>
      <w:r>
        <w:fldChar w:fldCharType="separate"/>
      </w:r>
      <w:r>
        <w:t>17</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_Toc171339466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_Toc171339468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_Toc171339469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_Toc171339470 \h </w:instrText>
      </w:r>
      <w:r>
        <w:fldChar w:fldCharType="separate"/>
      </w:r>
      <w:r>
        <w:t>22</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_Toc171339471 \h </w:instrText>
      </w:r>
      <w:r>
        <w:fldChar w:fldCharType="separate"/>
      </w:r>
      <w:r>
        <w:t>22</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_Toc171339472 \h </w:instrText>
      </w:r>
      <w:r>
        <w:fldChar w:fldCharType="separate"/>
      </w:r>
      <w:r>
        <w:t>23</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_Toc171339473 \h </w:instrText>
      </w:r>
      <w:r>
        <w:fldChar w:fldCharType="separate"/>
      </w:r>
      <w:r>
        <w:t>23</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_Toc171339474 \h </w:instrText>
      </w:r>
      <w:r>
        <w:fldChar w:fldCharType="separate"/>
      </w:r>
      <w:r>
        <w:t>23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_Toc171339475 \h </w:instrText>
      </w:r>
      <w:r>
        <w:fldChar w:fldCharType="separate"/>
      </w:r>
      <w:r>
        <w:t>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_Toc171339476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12A.</w:t>
      </w:r>
      <w:r>
        <w:tab/>
        <w:t>Essential services prescribed for section 43(1) of Act</w:t>
      </w:r>
      <w:r>
        <w:tab/>
      </w:r>
      <w:r>
        <w:fldChar w:fldCharType="begin"/>
      </w:r>
      <w:r>
        <w:instrText xml:space="preserve"> PAGEREF _Toc171339477 \h </w:instrText>
      </w:r>
      <w:r>
        <w:fldChar w:fldCharType="separate"/>
      </w:r>
      <w:r>
        <w:t>24</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_Toc171339478 \h </w:instrText>
      </w:r>
      <w:r>
        <w:fldChar w:fldCharType="separate"/>
      </w:r>
      <w:r>
        <w:t>24</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_Toc171339479 \h </w:instrText>
      </w:r>
      <w:r>
        <w:fldChar w:fldCharType="separate"/>
      </w:r>
      <w:r>
        <w:t>26</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_Toc171339480 \h </w:instrText>
      </w:r>
      <w:r>
        <w:fldChar w:fldCharType="separate"/>
      </w:r>
      <w:r>
        <w:t>27</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_Toc171339481 \h </w:instrText>
      </w:r>
      <w:r>
        <w:fldChar w:fldCharType="separate"/>
      </w:r>
      <w:r>
        <w:t>27</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_Toc171339482 \h </w:instrText>
      </w:r>
      <w:r>
        <w:fldChar w:fldCharType="separate"/>
      </w:r>
      <w:r>
        <w:t>28</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_Toc171339483 \h </w:instrText>
      </w:r>
      <w:r>
        <w:fldChar w:fldCharType="separate"/>
      </w:r>
      <w:r>
        <w:t>28</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_Toc171339484 \h </w:instrText>
      </w:r>
      <w:r>
        <w:fldChar w:fldCharType="separate"/>
      </w:r>
      <w:r>
        <w:t>29</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_Toc171339485 \h </w:instrText>
      </w:r>
      <w:r>
        <w:fldChar w:fldCharType="separate"/>
      </w:r>
      <w:r>
        <w:t>29</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_Toc171339486 \h </w:instrText>
      </w:r>
      <w:r>
        <w:fldChar w:fldCharType="separate"/>
      </w:r>
      <w:r>
        <w:t>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_Toc171339487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_Toc171339488 \h </w:instrText>
      </w:r>
      <w:r>
        <w:fldChar w:fldCharType="separate"/>
      </w:r>
      <w:r>
        <w:t>31</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_Toc171339489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_Toc171339494 \h </w:instrText>
      </w:r>
      <w:r>
        <w:fldChar w:fldCharType="separate"/>
      </w:r>
      <w:r>
        <w:t>123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_Toc171339495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_Toc171339496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171330927"/>
      <w:bookmarkStart w:id="3" w:name="_Toc171331541"/>
      <w:bookmarkStart w:id="4" w:name="_Toc171331631"/>
      <w:bookmarkStart w:id="5" w:name="_Toc1713394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Footnoteheading"/>
        <w:spacing w:before="100"/>
      </w:pPr>
      <w:r>
        <w:tab/>
        <w:t>[Heading inserted: Gazette 3 May 2013 p. 1737.]</w:t>
      </w:r>
    </w:p>
    <w:p>
      <w:pPr>
        <w:pStyle w:val="Heading5"/>
        <w:rPr>
          <w:snapToGrid w:val="0"/>
        </w:rPr>
      </w:pPr>
      <w:bookmarkStart w:id="6" w:name="_Toc171339436"/>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7" w:name="_Toc17133943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8" w:name="_Toc171339438"/>
      <w:r>
        <w:rPr>
          <w:rStyle w:val="CharSectno"/>
        </w:rPr>
        <w:t>3A</w:t>
      </w:r>
      <w:r>
        <w:t>.</w:t>
      </w:r>
      <w:r>
        <w:tab/>
        <w:t>Terms used</w:t>
      </w:r>
      <w:bookmarkEnd w:id="8"/>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9" w:name="_Toc171330931"/>
      <w:bookmarkStart w:id="10" w:name="_Toc171331545"/>
      <w:bookmarkStart w:id="11" w:name="_Toc171331635"/>
      <w:bookmarkStart w:id="12" w:name="_Toc171339439"/>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9"/>
      <w:bookmarkEnd w:id="10"/>
      <w:bookmarkEnd w:id="11"/>
      <w:bookmarkEnd w:id="12"/>
    </w:p>
    <w:p>
      <w:pPr>
        <w:pStyle w:val="Footnoteheading"/>
      </w:pPr>
      <w:r>
        <w:tab/>
        <w:t>[Heading inserted: Gazette 21 Mar 2014 p. 731.]</w:t>
      </w:r>
    </w:p>
    <w:p>
      <w:pPr>
        <w:pStyle w:val="Heading5"/>
        <w:spacing w:before="200"/>
        <w:rPr>
          <w:snapToGrid w:val="0"/>
        </w:rPr>
      </w:pPr>
      <w:bookmarkStart w:id="13" w:name="_Toc171339440"/>
      <w:r>
        <w:rPr>
          <w:rStyle w:val="CharSectno"/>
        </w:rPr>
        <w:t>3</w:t>
      </w:r>
      <w:r>
        <w:rPr>
          <w:snapToGrid w:val="0"/>
        </w:rPr>
        <w:t>.</w:t>
      </w:r>
      <w:r>
        <w:rPr>
          <w:snapToGrid w:val="0"/>
        </w:rPr>
        <w:tab/>
        <w:t>Exemption for retirement villages</w:t>
      </w:r>
      <w:bookmarkEnd w:id="13"/>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4" w:name="_Toc171339441"/>
      <w:r>
        <w:rPr>
          <w:rStyle w:val="CharSectno"/>
        </w:rPr>
        <w:t>4</w:t>
      </w:r>
      <w:r>
        <w:rPr>
          <w:snapToGrid w:val="0"/>
        </w:rPr>
        <w:t>.</w:t>
      </w:r>
      <w:r>
        <w:rPr>
          <w:snapToGrid w:val="0"/>
        </w:rPr>
        <w:tab/>
        <w:t>Exemption for certain agreements with squatters</w:t>
      </w:r>
      <w:bookmarkEnd w:id="1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5" w:name="_Toc171339442"/>
      <w:r>
        <w:rPr>
          <w:rStyle w:val="CharSectno"/>
        </w:rPr>
        <w:t>5</w:t>
      </w:r>
      <w:r>
        <w:rPr>
          <w:snapToGrid w:val="0"/>
        </w:rPr>
        <w:t>.</w:t>
      </w:r>
      <w:r>
        <w:rPr>
          <w:snapToGrid w:val="0"/>
        </w:rPr>
        <w:tab/>
        <w:t xml:space="preserve">Exemption for certain agreements under </w:t>
      </w:r>
      <w:r>
        <w:rPr>
          <w:i/>
          <w:snapToGrid w:val="0"/>
        </w:rPr>
        <w:t>Land Act 1933</w:t>
      </w:r>
      <w:bookmarkEnd w:id="15"/>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6" w:name="_Toc171339443"/>
      <w:r>
        <w:rPr>
          <w:rStyle w:val="CharSectno"/>
        </w:rPr>
        <w:t>5AAA</w:t>
      </w:r>
      <w:r>
        <w:t>.</w:t>
      </w:r>
      <w:r>
        <w:tab/>
        <w:t>Application of Act to certain accommodation at St Thomas More College</w:t>
      </w:r>
      <w:bookmarkEnd w:id="16"/>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lastRenderedPageBreak/>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7" w:name="_Toc171339444"/>
      <w:r>
        <w:rPr>
          <w:rStyle w:val="CharSectno"/>
        </w:rPr>
        <w:t>5AA</w:t>
      </w:r>
      <w:r>
        <w:t>.</w:t>
      </w:r>
      <w:r>
        <w:tab/>
        <w:t>Modified application of section 22(2) of Act</w:t>
      </w:r>
      <w:bookmarkEnd w:id="17"/>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8" w:name="_Toc171339445"/>
      <w:r>
        <w:rPr>
          <w:rStyle w:val="CharSectno"/>
        </w:rPr>
        <w:t>5AB</w:t>
      </w:r>
      <w:r>
        <w:t>.</w:t>
      </w:r>
      <w:r>
        <w:tab/>
        <w:t>Exemptions from section 27A of Act — residential agreements not required to be in prescribed form</w:t>
      </w:r>
      <w:bookmarkEnd w:id="18"/>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lastRenderedPageBreak/>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9" w:name="_Toc171339446"/>
      <w:r>
        <w:rPr>
          <w:rStyle w:val="CharSectno"/>
        </w:rPr>
        <w:t>5ABA</w:t>
      </w:r>
      <w:r>
        <w:t>.</w:t>
      </w:r>
      <w:r>
        <w:tab/>
        <w:t>Modified application of Act s. 27A — lessor may enter into agreement amended to reflect lawful terms</w:t>
      </w:r>
      <w:bookmarkEnd w:id="19"/>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does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w:t>
      </w:r>
    </w:p>
    <w:p>
      <w:pPr>
        <w:pStyle w:val="Heading5"/>
      </w:pPr>
      <w:bookmarkStart w:id="20" w:name="_Toc171339447"/>
      <w:r>
        <w:rPr>
          <w:rStyle w:val="CharSectno"/>
        </w:rPr>
        <w:lastRenderedPageBreak/>
        <w:t>5AC</w:t>
      </w:r>
      <w:r>
        <w:t>.</w:t>
      </w:r>
      <w:r>
        <w:tab/>
        <w:t>Exemption from section 27B of Act if residential tenancy agreement extended or renewed</w:t>
      </w:r>
      <w:bookmarkEnd w:id="20"/>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21" w:name="_Toc171339448"/>
      <w:r>
        <w:rPr>
          <w:rStyle w:val="CharSectno"/>
        </w:rPr>
        <w:t>5AD</w:t>
      </w:r>
      <w:r>
        <w:t>.</w:t>
      </w:r>
      <w:r>
        <w:tab/>
        <w:t>Modified application of section 27C(4) of Act for Housing Authority</w:t>
      </w:r>
      <w:bookmarkEnd w:id="2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2" w:name="_Toc171339449"/>
      <w:r>
        <w:rPr>
          <w:rStyle w:val="CharSectno"/>
        </w:rPr>
        <w:t>5A</w:t>
      </w:r>
      <w:r>
        <w:rPr>
          <w:snapToGrid w:val="0"/>
        </w:rPr>
        <w:t>.</w:t>
      </w:r>
      <w:r>
        <w:rPr>
          <w:snapToGrid w:val="0"/>
        </w:rPr>
        <w:tab/>
        <w:t>Exemption of Housing Authority from sections 29(4)(b) and 33 of Act</w:t>
      </w:r>
      <w:bookmarkEnd w:id="22"/>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3" w:name="_Toc171339450"/>
      <w:r>
        <w:rPr>
          <w:rStyle w:val="CharSectno"/>
        </w:rPr>
        <w:lastRenderedPageBreak/>
        <w:t>5BA</w:t>
      </w:r>
      <w:r>
        <w:t>.</w:t>
      </w:r>
      <w:r>
        <w:tab/>
        <w:t>Exemptions from section 29(8) of Act</w:t>
      </w:r>
      <w:bookmarkEnd w:id="23"/>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4" w:name="_Toc171339451"/>
      <w:r>
        <w:rPr>
          <w:rStyle w:val="CharSectno"/>
        </w:rPr>
        <w:t>5B</w:t>
      </w:r>
      <w:r>
        <w:rPr>
          <w:snapToGrid w:val="0"/>
        </w:rPr>
        <w:t>.</w:t>
      </w:r>
      <w:r>
        <w:rPr>
          <w:snapToGrid w:val="0"/>
        </w:rPr>
        <w:tab/>
        <w:t>Exemptions from section 30(1) of Act</w:t>
      </w:r>
      <w:bookmarkEnd w:id="24"/>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lastRenderedPageBreak/>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5" w:name="_Toc171339452"/>
      <w:r>
        <w:rPr>
          <w:rStyle w:val="CharSectno"/>
        </w:rPr>
        <w:t>5CA</w:t>
      </w:r>
      <w:r>
        <w:t>.</w:t>
      </w:r>
      <w:r>
        <w:tab/>
        <w:t>Modified application of section 30(2)(a) of Act</w:t>
      </w:r>
      <w:bookmarkEnd w:id="2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6" w:name="_Toc171339453"/>
      <w:r>
        <w:rPr>
          <w:rStyle w:val="CharSectno"/>
        </w:rPr>
        <w:t>5C</w:t>
      </w:r>
      <w:r>
        <w:t>.</w:t>
      </w:r>
      <w:r>
        <w:tab/>
        <w:t>Exemption from section 33 of Act for employment</w:t>
      </w:r>
      <w:r>
        <w:noBreakHyphen/>
        <w:t>linked residential tenancy agreements</w:t>
      </w:r>
      <w:bookmarkEnd w:id="26"/>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7" w:name="_Toc171339454"/>
      <w:r>
        <w:rPr>
          <w:rStyle w:val="CharSectno"/>
        </w:rPr>
        <w:t>5D</w:t>
      </w:r>
      <w:r>
        <w:t>.</w:t>
      </w:r>
      <w:r>
        <w:tab/>
        <w:t xml:space="preserve">Exemption for certain agreements under </w:t>
      </w:r>
      <w:r>
        <w:rPr>
          <w:i/>
        </w:rPr>
        <w:t>Land Administration Act 1997</w:t>
      </w:r>
      <w:bookmarkEnd w:id="27"/>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28" w:name="_Toc171339455"/>
      <w:r>
        <w:rPr>
          <w:rStyle w:val="CharSectno"/>
        </w:rPr>
        <w:t>6</w:t>
      </w:r>
      <w:r>
        <w:t>.</w:t>
      </w:r>
      <w:r>
        <w:tab/>
        <w:t>Modified application of section 43(3) of Act when Housing Authority is lessor of premises outside metropolitan region</w:t>
      </w:r>
      <w:bookmarkEnd w:id="28"/>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9" w:name="_Toc171339456"/>
      <w:r>
        <w:rPr>
          <w:rStyle w:val="CharSectno"/>
        </w:rPr>
        <w:t>6A</w:t>
      </w:r>
      <w:r>
        <w:t>.</w:t>
      </w:r>
      <w:r>
        <w:tab/>
        <w:t>Modified application of s. 71AD(2) of Act when Housing Authority is lessor of premises</w:t>
      </w:r>
      <w:bookmarkEnd w:id="29"/>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30" w:name="_Toc171339457"/>
      <w:r>
        <w:rPr>
          <w:rStyle w:val="CharSectno"/>
        </w:rPr>
        <w:t>6B</w:t>
      </w:r>
      <w:r>
        <w:t>.</w:t>
      </w:r>
      <w:r>
        <w:tab/>
        <w:t>Exemption from Act s. 45(2)(b) if Housing Authority is lessor</w:t>
      </w:r>
      <w:bookmarkEnd w:id="30"/>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31" w:name="_Toc171339458"/>
      <w:r>
        <w:rPr>
          <w:rStyle w:val="CharSectno"/>
        </w:rPr>
        <w:t>7A</w:t>
      </w:r>
      <w:r>
        <w:t>.</w:t>
      </w:r>
      <w:r>
        <w:tab/>
        <w:t>Modified application of s. 45(1) of Act</w:t>
      </w:r>
      <w:bookmarkEnd w:id="31"/>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lastRenderedPageBreak/>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spacing w:before="180"/>
      </w:pPr>
      <w:bookmarkStart w:id="32" w:name="_Toc171339459"/>
      <w:r>
        <w:rPr>
          <w:rStyle w:val="CharSectno"/>
        </w:rPr>
        <w:t>7B</w:t>
      </w:r>
      <w:r>
        <w:t>.</w:t>
      </w:r>
      <w:r>
        <w:tab/>
        <w:t>Modified application of section 47(1)(b) of Act for Housing Authority</w:t>
      </w:r>
      <w:bookmarkEnd w:id="32"/>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3" w:name="_Toc171339460"/>
      <w:r>
        <w:rPr>
          <w:rStyle w:val="CharSectno"/>
        </w:rPr>
        <w:t>7C</w:t>
      </w:r>
      <w:r>
        <w:t>.</w:t>
      </w:r>
      <w:r>
        <w:tab/>
        <w:t>Modified application of s. 60(1) of Act</w:t>
      </w:r>
      <w:bookmarkEnd w:id="3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lastRenderedPageBreak/>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4" w:name="_Toc171339461"/>
      <w:r>
        <w:rPr>
          <w:rStyle w:val="CharSectno"/>
        </w:rPr>
        <w:t>7D</w:t>
      </w:r>
      <w:r>
        <w:t>.</w:t>
      </w:r>
      <w:r>
        <w:tab/>
        <w:t>Modified application of section 70A of Act for Foyer Oxford</w:t>
      </w:r>
      <w:bookmarkEnd w:id="34"/>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5" w:name="_Toc171339462"/>
      <w:r>
        <w:rPr>
          <w:rStyle w:val="CharSectno"/>
        </w:rPr>
        <w:lastRenderedPageBreak/>
        <w:t>7E</w:t>
      </w:r>
      <w:r>
        <w:t>.</w:t>
      </w:r>
      <w:r>
        <w:tab/>
        <w:t>Modified application of section 72 of Act</w:t>
      </w:r>
      <w:bookmarkEnd w:id="3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6" w:name="_Toc171339463"/>
      <w:r>
        <w:rPr>
          <w:rStyle w:val="CharSectno"/>
        </w:rPr>
        <w:t>7F</w:t>
      </w:r>
      <w:r>
        <w:t>.</w:t>
      </w:r>
      <w:r>
        <w:tab/>
        <w:t>Exemption from section 82 of Act</w:t>
      </w:r>
      <w:bookmarkEnd w:id="36"/>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7" w:name="_Toc171339464"/>
      <w:r>
        <w:rPr>
          <w:rStyle w:val="CharSectno"/>
        </w:rPr>
        <w:t>7FA</w:t>
      </w:r>
      <w:r>
        <w:t>.</w:t>
      </w:r>
      <w:r>
        <w:tab/>
        <w:t>Modified application of Act s. 85 for Housing Authority</w:t>
      </w:r>
      <w:bookmarkEnd w:id="37"/>
    </w:p>
    <w:p>
      <w:pPr>
        <w:pStyle w:val="Subsection"/>
      </w:pPr>
      <w:r>
        <w:tab/>
        <w:t>(1)</w:t>
      </w:r>
      <w:r>
        <w:tab/>
        <w:t>This regulation applies if the Housing Authority is the lessor of residential premises.</w:t>
      </w:r>
    </w:p>
    <w:p>
      <w:pPr>
        <w:pStyle w:val="Subsection"/>
      </w:pPr>
      <w:r>
        <w:lastRenderedPageBreak/>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38" w:name="_Toc171339465"/>
      <w:r>
        <w:rPr>
          <w:rStyle w:val="CharSectno"/>
        </w:rPr>
        <w:t>7G</w:t>
      </w:r>
      <w:r>
        <w:t>.</w:t>
      </w:r>
      <w:r>
        <w:tab/>
        <w:t>Modified application of section 93 of Act for Housing Authority</w:t>
      </w:r>
      <w:bookmarkEnd w:id="3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9" w:name="_Toc171339466"/>
      <w:r>
        <w:rPr>
          <w:rStyle w:val="CharSectno"/>
        </w:rPr>
        <w:t>7H</w:t>
      </w:r>
      <w:r>
        <w:t>.</w:t>
      </w:r>
      <w:r>
        <w:tab/>
        <w:t>Modified application of Schedule 1 clauses 5A and 5 of Act</w:t>
      </w:r>
      <w:bookmarkEnd w:id="39"/>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 xml:space="preserve">otherwise, using the Bonds Online eTransactions system administered by the bond administrator and available on </w:t>
      </w:r>
      <w:r>
        <w:lastRenderedPageBreak/>
        <w:t>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lastRenderedPageBreak/>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lastRenderedPageBreak/>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40" w:name="_Toc171330959"/>
      <w:bookmarkStart w:id="41" w:name="_Toc171331573"/>
      <w:bookmarkStart w:id="42" w:name="_Toc171331663"/>
      <w:bookmarkStart w:id="43" w:name="_Toc171339467"/>
      <w:r>
        <w:rPr>
          <w:rStyle w:val="CharPartNo"/>
        </w:rPr>
        <w:lastRenderedPageBreak/>
        <w:t>Part 3</w:t>
      </w:r>
      <w:r>
        <w:rPr>
          <w:rStyle w:val="CharDivNo"/>
        </w:rPr>
        <w:t> </w:t>
      </w:r>
      <w:r>
        <w:t>—</w:t>
      </w:r>
      <w:r>
        <w:rPr>
          <w:rStyle w:val="CharDivText"/>
        </w:rPr>
        <w:t> </w:t>
      </w:r>
      <w:r>
        <w:rPr>
          <w:rStyle w:val="CharPartText"/>
        </w:rPr>
        <w:t>Other matters</w:t>
      </w:r>
      <w:bookmarkEnd w:id="40"/>
      <w:bookmarkEnd w:id="41"/>
      <w:bookmarkEnd w:id="42"/>
      <w:bookmarkEnd w:id="43"/>
    </w:p>
    <w:p>
      <w:pPr>
        <w:pStyle w:val="Footnoteheading"/>
      </w:pPr>
      <w:r>
        <w:tab/>
        <w:t>[Heading inserted: Gazette 3 May 2013 p. 1749.]</w:t>
      </w:r>
    </w:p>
    <w:p>
      <w:pPr>
        <w:pStyle w:val="Heading5"/>
        <w:rPr>
          <w:snapToGrid w:val="0"/>
        </w:rPr>
      </w:pPr>
      <w:bookmarkStart w:id="44" w:name="_Toc171339468"/>
      <w:r>
        <w:rPr>
          <w:rStyle w:val="CharSectno"/>
        </w:rPr>
        <w:t>7</w:t>
      </w:r>
      <w:r>
        <w:rPr>
          <w:snapToGrid w:val="0"/>
        </w:rPr>
        <w:t>.</w:t>
      </w:r>
      <w:r>
        <w:rPr>
          <w:snapToGrid w:val="0"/>
        </w:rPr>
        <w:tab/>
        <w:t>Applications prescribed for the purposes of section 13A(2)(a) of Act</w:t>
      </w:r>
      <w:bookmarkEnd w:id="4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lastRenderedPageBreak/>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5" w:name="_Toc171339469"/>
      <w:r>
        <w:rPr>
          <w:rStyle w:val="CharSectno"/>
        </w:rPr>
        <w:t>9</w:t>
      </w:r>
      <w:r>
        <w:rPr>
          <w:snapToGrid w:val="0"/>
        </w:rPr>
        <w:t>.</w:t>
      </w:r>
      <w:r>
        <w:rPr>
          <w:snapToGrid w:val="0"/>
        </w:rPr>
        <w:tab/>
        <w:t>Determination of nearest Magistrates Court</w:t>
      </w:r>
      <w:bookmarkEnd w:id="45"/>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6" w:name="_Toc171339470"/>
      <w:r>
        <w:rPr>
          <w:rStyle w:val="CharSectno"/>
        </w:rPr>
        <w:t>10</w:t>
      </w:r>
      <w:r>
        <w:rPr>
          <w:snapToGrid w:val="0"/>
        </w:rPr>
        <w:t>.</w:t>
      </w:r>
      <w:r>
        <w:rPr>
          <w:snapToGrid w:val="0"/>
        </w:rPr>
        <w:tab/>
        <w:t>Scale of costs for section 24 of Act</w:t>
      </w:r>
      <w:bookmarkEnd w:id="4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47" w:name="_Toc171339471"/>
      <w:r>
        <w:rPr>
          <w:rStyle w:val="CharSectno"/>
        </w:rPr>
        <w:t>10AA</w:t>
      </w:r>
      <w:r>
        <w:t>.</w:t>
      </w:r>
      <w:r>
        <w:tab/>
        <w:t>Form of written residential tenancy agreement for section 27A of Act</w:t>
      </w:r>
      <w:bookmarkEnd w:id="47"/>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8" w:name="_Toc171339472"/>
      <w:r>
        <w:rPr>
          <w:rStyle w:val="CharSectno"/>
        </w:rPr>
        <w:lastRenderedPageBreak/>
        <w:t>10AB</w:t>
      </w:r>
      <w:r>
        <w:t>.</w:t>
      </w:r>
      <w:r>
        <w:tab/>
        <w:t>Information to be given to tenant for section 27B of Act</w:t>
      </w:r>
      <w:bookmarkEnd w:id="48"/>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spacing w:before="100"/>
        <w:ind w:left="890" w:hanging="890"/>
      </w:pPr>
      <w:r>
        <w:tab/>
        <w:t xml:space="preserve">[Regulation 10AB inserted: Gazette 3 May 2013 p. 1751.] </w:t>
      </w:r>
    </w:p>
    <w:p>
      <w:pPr>
        <w:pStyle w:val="Heading5"/>
      </w:pPr>
      <w:bookmarkStart w:id="49" w:name="_Toc171339473"/>
      <w:r>
        <w:rPr>
          <w:rStyle w:val="CharSectno"/>
        </w:rPr>
        <w:t>10AC</w:t>
      </w:r>
      <w:r>
        <w:t>.</w:t>
      </w:r>
      <w:r>
        <w:tab/>
        <w:t>Information to be included in property condition report for section 27C(6) of Act</w:t>
      </w:r>
      <w:bookmarkEnd w:id="49"/>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50" w:name="_Toc171339474"/>
      <w:r>
        <w:rPr>
          <w:rStyle w:val="CharSectno"/>
        </w:rPr>
        <w:t>10AD</w:t>
      </w:r>
      <w:r>
        <w:t>.</w:t>
      </w:r>
      <w:r>
        <w:tab/>
        <w:t>Amount prescribed for section 27(2)(a) of Act</w:t>
      </w:r>
      <w:bookmarkEnd w:id="50"/>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51" w:name="_Toc171339475"/>
      <w:r>
        <w:rPr>
          <w:rStyle w:val="CharSectno"/>
        </w:rPr>
        <w:lastRenderedPageBreak/>
        <w:t>10A</w:t>
      </w:r>
      <w:r>
        <w:rPr>
          <w:snapToGrid w:val="0"/>
        </w:rPr>
        <w:t>.</w:t>
      </w:r>
      <w:r>
        <w:rPr>
          <w:snapToGrid w:val="0"/>
        </w:rPr>
        <w:tab/>
        <w:t>Amount prescribed for section 29(1)(b)(ii) of Act</w:t>
      </w:r>
      <w:bookmarkEnd w:id="5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52" w:name="_Toc171339476"/>
      <w:r>
        <w:rPr>
          <w:rStyle w:val="CharSectno"/>
        </w:rPr>
        <w:t>11</w:t>
      </w:r>
      <w:r>
        <w:rPr>
          <w:snapToGrid w:val="0"/>
        </w:rPr>
        <w:t>.</w:t>
      </w:r>
      <w:r>
        <w:rPr>
          <w:snapToGrid w:val="0"/>
        </w:rPr>
        <w:tab/>
        <w:t>Amount prescribed for section 29(2) of Act</w:t>
      </w:r>
      <w:bookmarkEnd w:id="52"/>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3" w:name="_Toc171339477"/>
      <w:r>
        <w:rPr>
          <w:rStyle w:val="CharSectno"/>
        </w:rPr>
        <w:t>12A</w:t>
      </w:r>
      <w:r>
        <w:t>.</w:t>
      </w:r>
      <w:r>
        <w:tab/>
        <w:t>Essential services prescribed for section 43(1) of Act</w:t>
      </w:r>
      <w:bookmarkEnd w:id="53"/>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4" w:name="_Toc171339478"/>
      <w:r>
        <w:rPr>
          <w:rStyle w:val="CharSectno"/>
        </w:rPr>
        <w:t>12B</w:t>
      </w:r>
      <w:r>
        <w:t>.</w:t>
      </w:r>
      <w:r>
        <w:tab/>
        <w:t>Means to secure residential premises prescribed for s. 45(1)(a) of Act</w:t>
      </w:r>
      <w:bookmarkEnd w:id="54"/>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xml:space="preserve">), or any </w:t>
      </w:r>
      <w:r>
        <w:lastRenderedPageBreak/>
        <w:t>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lastRenderedPageBreak/>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55" w:name="_Toc171339479"/>
      <w:r>
        <w:rPr>
          <w:rStyle w:val="CharSectno"/>
        </w:rPr>
        <w:t>12BA</w:t>
      </w:r>
      <w:r>
        <w:t>.</w:t>
      </w:r>
      <w:r>
        <w:tab/>
        <w:t>Prescribed alterations for s. 47(4) of Act</w:t>
      </w:r>
      <w:bookmarkEnd w:id="55"/>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lastRenderedPageBreak/>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6" w:name="_Toc171339480"/>
      <w:r>
        <w:rPr>
          <w:rStyle w:val="CharSectno"/>
        </w:rPr>
        <w:t>12C</w:t>
      </w:r>
      <w:r>
        <w:t>.</w:t>
      </w:r>
      <w:r>
        <w:tab/>
        <w:t>Social housing tenancy agreement for the purposes of section 71A of Act</w:t>
      </w:r>
      <w:bookmarkEnd w:id="56"/>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7" w:name="_Toc171339481"/>
      <w:r>
        <w:rPr>
          <w:rStyle w:val="CharSectno"/>
        </w:rPr>
        <w:t>12CA</w:t>
      </w:r>
      <w:r>
        <w:t>.</w:t>
      </w:r>
      <w:r>
        <w:tab/>
        <w:t>Prescribed person for s. 71AB(2)(d)(vi) of Act</w:t>
      </w:r>
      <w:bookmarkEnd w:id="57"/>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lastRenderedPageBreak/>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8" w:name="_Toc171339482"/>
      <w:r>
        <w:rPr>
          <w:rStyle w:val="CharSectno"/>
        </w:rPr>
        <w:t>12D</w:t>
      </w:r>
      <w:r>
        <w:t>.</w:t>
      </w:r>
      <w:r>
        <w:tab/>
        <w:t>Manner prescribed for purposes of section 79(3)(b) of Act</w:t>
      </w:r>
      <w:bookmarkEnd w:id="58"/>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9" w:name="_Toc171339483"/>
      <w:r>
        <w:rPr>
          <w:rStyle w:val="CharSectno"/>
        </w:rPr>
        <w:t>12E</w:t>
      </w:r>
      <w:r>
        <w:t>.</w:t>
      </w:r>
      <w:r>
        <w:tab/>
        <w:t>Information prescribed for section 79(10) of Act</w:t>
      </w:r>
      <w:bookmarkEnd w:id="59"/>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lastRenderedPageBreak/>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60" w:name="_Toc171339484"/>
      <w:r>
        <w:rPr>
          <w:rStyle w:val="CharSectno"/>
        </w:rPr>
        <w:t>12</w:t>
      </w:r>
      <w:r>
        <w:t>.</w:t>
      </w:r>
      <w:r>
        <w:tab/>
        <w:t>Manner prescribed for purposes of section 85(3)(c) of Act</w:t>
      </w:r>
      <w:bookmarkEnd w:id="60"/>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61" w:name="_Toc171339485"/>
      <w:r>
        <w:rPr>
          <w:rStyle w:val="CharSectno"/>
        </w:rPr>
        <w:t>13</w:t>
      </w:r>
      <w:r>
        <w:t>.</w:t>
      </w:r>
      <w:r>
        <w:tab/>
        <w:t>Infringement notices</w:t>
      </w:r>
      <w:bookmarkEnd w:id="61"/>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62" w:name="_Toc171339486"/>
      <w:r>
        <w:rPr>
          <w:rStyle w:val="CharSectno"/>
        </w:rPr>
        <w:t>14</w:t>
      </w:r>
      <w:r>
        <w:t>.</w:t>
      </w:r>
      <w:r>
        <w:tab/>
        <w:t>Matters prescribed for section 94 of Act</w:t>
      </w:r>
      <w:bookmarkEnd w:id="62"/>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lastRenderedPageBreak/>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3" w:name="_Toc171339487"/>
      <w:r>
        <w:rPr>
          <w:rStyle w:val="CharSectno"/>
        </w:rPr>
        <w:t>15</w:t>
      </w:r>
      <w:r>
        <w:rPr>
          <w:snapToGrid w:val="0"/>
        </w:rPr>
        <w:t>.</w:t>
      </w:r>
      <w:r>
        <w:rPr>
          <w:snapToGrid w:val="0"/>
        </w:rPr>
        <w:tab/>
        <w:t>Disposal of unclaimed security bonds</w:t>
      </w:r>
      <w:bookmarkEnd w:id="63"/>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 xml:space="preserve">notifying them that if the security bond is still in the hands of the bond holder after 60 days from the date of </w:t>
      </w:r>
      <w:r>
        <w:rPr>
          <w:snapToGrid w:val="0"/>
        </w:rPr>
        <w:lastRenderedPageBreak/>
        <w:t>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64" w:name="_Toc171339488"/>
      <w:r>
        <w:rPr>
          <w:rStyle w:val="CharSectno"/>
        </w:rPr>
        <w:t>17</w:t>
      </w:r>
      <w:r>
        <w:rPr>
          <w:snapToGrid w:val="0"/>
        </w:rPr>
        <w:t>.</w:t>
      </w:r>
      <w:r>
        <w:rPr>
          <w:snapToGrid w:val="0"/>
        </w:rPr>
        <w:tab/>
        <w:t>Fees prescribed</w:t>
      </w:r>
      <w:bookmarkEnd w:id="64"/>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5" w:name="_Toc171339489"/>
      <w:r>
        <w:rPr>
          <w:rStyle w:val="CharSectno"/>
        </w:rPr>
        <w:lastRenderedPageBreak/>
        <w:t>18</w:t>
      </w:r>
      <w:r>
        <w:t>.</w:t>
      </w:r>
      <w:r>
        <w:tab/>
        <w:t>Forms</w:t>
      </w:r>
      <w:bookmarkEnd w:id="65"/>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6" w:name="_Toc171330982"/>
      <w:bookmarkStart w:id="67" w:name="_Toc171331596"/>
      <w:bookmarkStart w:id="68" w:name="_Toc171331686"/>
      <w:bookmarkStart w:id="69" w:name="_Toc171339490"/>
      <w:r>
        <w:rPr>
          <w:rStyle w:val="CharSchNo"/>
        </w:rPr>
        <w:lastRenderedPageBreak/>
        <w:t>Schedule 3</w:t>
      </w:r>
      <w:bookmarkEnd w:id="66"/>
      <w:bookmarkEnd w:id="67"/>
      <w:bookmarkEnd w:id="68"/>
      <w:bookmarkEnd w:id="6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22.60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79.00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1" w:name="_Toc171330983"/>
      <w:bookmarkStart w:id="72" w:name="_Toc171331597"/>
      <w:bookmarkStart w:id="73" w:name="_Toc171331687"/>
      <w:bookmarkStart w:id="74" w:name="_Toc171339491"/>
      <w:r>
        <w:rPr>
          <w:rStyle w:val="CharSchNo"/>
        </w:rPr>
        <w:lastRenderedPageBreak/>
        <w:t>Schedule 4</w:t>
      </w:r>
      <w:r>
        <w:rPr>
          <w:rStyle w:val="CharSDivNo"/>
        </w:rPr>
        <w:t> </w:t>
      </w:r>
      <w:r>
        <w:t>—</w:t>
      </w:r>
      <w:r>
        <w:rPr>
          <w:rStyle w:val="CharSDivText"/>
        </w:rPr>
        <w:t> </w:t>
      </w:r>
      <w:r>
        <w:rPr>
          <w:rStyle w:val="CharSchText"/>
        </w:rPr>
        <w:t>Forms</w:t>
      </w:r>
      <w:bookmarkEnd w:id="71"/>
      <w:bookmarkEnd w:id="72"/>
      <w:bookmarkEnd w:id="73"/>
      <w:bookmarkEnd w:id="74"/>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lastRenderedPageBreak/>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keepNext/>
        <w:spacing w:before="60"/>
        <w:ind w:left="567" w:hanging="567"/>
      </w:pPr>
      <w:r>
        <w:lastRenderedPageBreak/>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lastRenderedPageBreak/>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lastRenderedPageBreak/>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lastRenderedPageBreak/>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lastRenderedPageBreak/>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lastRenderedPageBreak/>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lastRenderedPageBreak/>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lastRenderedPageBreak/>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lastRenderedPageBreak/>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lastRenderedPageBreak/>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lastRenderedPageBreak/>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 xml:space="preserve">The tenant should generally approach the lessor or property manager to solve any problem before approaching the Department of Commerce.  </w:t>
      </w:r>
      <w:r>
        <w:lastRenderedPageBreak/>
        <w:t>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keepNext/>
      </w:pPr>
      <w:r>
        <w:lastRenderedPageBreak/>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lastRenderedPageBreak/>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lastRenderedPageBreak/>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lastRenderedPageBreak/>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lastRenderedPageBreak/>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lastRenderedPageBreak/>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 xml:space="preserve">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w:t>
      </w:r>
      <w:r>
        <w:lastRenderedPageBreak/>
        <w:t>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lastRenderedPageBreak/>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lastRenderedPageBreak/>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lastRenderedPageBreak/>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lastRenderedPageBreak/>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lastRenderedPageBreak/>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 xml:space="preserve">section 60(1)(bc) if a family violence order is in force against a tenant to protect another tenant or if the court is satisfied that the </w:t>
      </w:r>
      <w:r>
        <w:lastRenderedPageBreak/>
        <w:t>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w:t>
      </w:r>
      <w:r>
        <w:lastRenderedPageBreak/>
        <w:t>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w:t>
      </w:r>
      <w:r>
        <w:lastRenderedPageBreak/>
        <w:t>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lastRenderedPageBreak/>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lastRenderedPageBreak/>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lastRenderedPageBreak/>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lastRenderedPageBreak/>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t>
      </w:r>
      <w:r>
        <w:lastRenderedPageBreak/>
        <w:t>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lastRenderedPageBreak/>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w:t>
      </w:r>
      <w:r>
        <w:lastRenderedPageBreak/>
        <w:t xml:space="preserve">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lastRenderedPageBreak/>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lastRenderedPageBreak/>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w:t>
      </w:r>
      <w:r>
        <w:lastRenderedPageBreak/>
        <w:t>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lastRenderedPageBreak/>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 xml:space="preserve">If it would unduly inconvenience the tenant for the lessor or property manager to enter the premises as specified in a notice of an intention to </w:t>
      </w:r>
      <w:r>
        <w:lastRenderedPageBreak/>
        <w:t>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lastRenderedPageBreak/>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lastRenderedPageBreak/>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lastRenderedPageBreak/>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lastRenderedPageBreak/>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lastRenderedPageBreak/>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lastRenderedPageBreak/>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lastRenderedPageBreak/>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lastRenderedPageBreak/>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lastRenderedPageBreak/>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w:t>
            </w:r>
            <w:r>
              <w:rPr>
                <w:sz w:val="20"/>
              </w:rPr>
              <w:lastRenderedPageBreak/>
              <w:t>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75" w:name="_Toc171330984"/>
      <w:bookmarkStart w:id="76" w:name="_Toc171331598"/>
      <w:bookmarkStart w:id="77" w:name="_Toc171331688"/>
      <w:bookmarkStart w:id="78" w:name="_Toc171339492"/>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75"/>
      <w:bookmarkEnd w:id="76"/>
      <w:bookmarkEnd w:id="77"/>
      <w:bookmarkEnd w:id="78"/>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lastRenderedPageBreak/>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lastRenderedPageBreak/>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lastRenderedPageBreak/>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79" w:name="_Toc171330985"/>
      <w:bookmarkStart w:id="80" w:name="_Toc171331599"/>
      <w:bookmarkStart w:id="81" w:name="_Toc171331689"/>
      <w:bookmarkStart w:id="82" w:name="_Toc171339493"/>
      <w:r>
        <w:lastRenderedPageBreak/>
        <w:t>Notes</w:t>
      </w:r>
      <w:bookmarkEnd w:id="79"/>
      <w:bookmarkEnd w:id="80"/>
      <w:bookmarkEnd w:id="81"/>
      <w:bookmarkEnd w:id="82"/>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3" w:name="_Toc171339494"/>
      <w:r>
        <w:t>Compilation table</w:t>
      </w:r>
      <w:bookmarkEnd w:id="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lastRenderedPageBreak/>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lastRenderedPageBreak/>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84" w:name="_Toc171339495"/>
      <w:r>
        <w:t>Uncommenced provisions table</w:t>
      </w:r>
      <w:bookmarkEnd w:id="8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Residential Tenancies Amendment Regulations (No. 2) 2024</w:t>
            </w:r>
            <w:r>
              <w:rPr>
                <w:iCs/>
              </w:rPr>
              <w:t xml:space="preserve"> r. 3</w:t>
            </w:r>
            <w:r>
              <w:rPr>
                <w:iCs/>
              </w:rPr>
              <w:noBreakHyphen/>
              <w:t>20</w:t>
            </w:r>
          </w:p>
        </w:tc>
        <w:tc>
          <w:tcPr>
            <w:tcW w:w="1276" w:type="dxa"/>
          </w:tcPr>
          <w:p>
            <w:pPr>
              <w:pStyle w:val="nTable"/>
              <w:spacing w:after="40"/>
            </w:pPr>
            <w:r>
              <w:t>SL 2024/149 10 Jul 2024</w:t>
            </w:r>
          </w:p>
        </w:tc>
        <w:tc>
          <w:tcPr>
            <w:tcW w:w="2693" w:type="dxa"/>
          </w:tcPr>
          <w:p>
            <w:pPr>
              <w:pStyle w:val="nTable"/>
              <w:spacing w:after="40"/>
            </w:pPr>
            <w:r>
              <w:t>29 Jul 2024 (see r. 2(b))</w:t>
            </w:r>
          </w:p>
        </w:tc>
      </w:tr>
    </w:tbl>
    <w:p>
      <w:pPr>
        <w:pStyle w:val="nHeading3"/>
      </w:pPr>
      <w:bookmarkStart w:id="85" w:name="_Toc171339496"/>
      <w:r>
        <w:t>Other notes</w:t>
      </w:r>
      <w:bookmarkEnd w:id="85"/>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87" w:name="_Toc171330988"/>
      <w:bookmarkStart w:id="88" w:name="_Toc171331603"/>
      <w:bookmarkStart w:id="89" w:name="_Toc171331693"/>
      <w:bookmarkStart w:id="90" w:name="_Toc171339497"/>
      <w:r>
        <w:rPr>
          <w:sz w:val="28"/>
        </w:rPr>
        <w:lastRenderedPageBreak/>
        <w:t>Defined terms</w:t>
      </w:r>
      <w:bookmarkEnd w:id="87"/>
      <w:bookmarkEnd w:id="88"/>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belongs</w:t>
      </w:r>
      <w:r>
        <w:tab/>
        <w:t>Sch. 4</w:t>
      </w:r>
    </w:p>
    <w:p>
      <w:pPr>
        <w:pStyle w:val="DefinedTerms"/>
      </w:pPr>
      <w:r>
        <w:t>bond holder</w:t>
      </w:r>
      <w:r>
        <w:tab/>
        <w:t>15(7)</w:t>
      </w:r>
    </w:p>
    <w:p>
      <w:pPr>
        <w:pStyle w:val="DefinedTerms"/>
      </w:pPr>
      <w:r>
        <w:t>commencement day</w:t>
      </w:r>
      <w:r>
        <w:tab/>
        <w:t>5A(1A)</w:t>
      </w:r>
    </w:p>
    <w:p>
      <w:pPr>
        <w:pStyle w:val="DefinedTerms"/>
      </w:pPr>
      <w:r>
        <w:t>community titles scheme</w:t>
      </w:r>
      <w:r>
        <w:tab/>
        <w:t>Sch. 4</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scheme by-laws</w:t>
      </w:r>
      <w:r>
        <w:tab/>
        <w:t>Sch. 4</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tier 2 scheme</w:t>
      </w:r>
      <w:r>
        <w:tab/>
        <w:t>Sch. 4</w:t>
      </w:r>
    </w:p>
    <w:p>
      <w:pPr>
        <w:pStyle w:val="DefinedTerms"/>
      </w:pPr>
      <w:r>
        <w:t>tier 3 scheme</w:t>
      </w:r>
      <w:r>
        <w:tab/>
        <w:t>Sch. 4</w:t>
      </w:r>
    </w:p>
    <w:p>
      <w:pPr>
        <w:pStyle w:val="DefinedTerms"/>
      </w:pPr>
      <w:r>
        <w:t>Unclaimed Security Bond Account</w:t>
      </w:r>
      <w:r>
        <w:tab/>
        <w:t>15(7)</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20CA1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B366294" w14:textId="45F0DB41" w:rsidR="00D31A71" w:rsidRDefault="005F08B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4D38">
                        <w:rPr>
                          <w:sz w:val="16"/>
                        </w:rPr>
                        <w:t>2024</w:t>
                      </w:r>
                      <w:r>
                        <w:rPr>
                          <w:sz w:val="16"/>
                        </w:rPr>
                        <w:fldChar w:fldCharType="end"/>
                      </w:r>
                      <w:r>
                        <w:rPr>
                          <w:sz w:val="16"/>
                        </w:rPr>
                        <w:t>.</w:t>
                      </w:r>
                    </w:p>
                    <w:p w14:paraId="0070A79A" w14:textId="77777777" w:rsidR="00D31A71" w:rsidRDefault="005F08B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DA7EA2" w14:textId="2E16C441" w:rsidR="00D31A71" w:rsidRDefault="005F08B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4D38">
                        <w:rPr>
                          <w:sz w:val="16"/>
                        </w:rPr>
                        <w:t>2024</w:t>
                      </w:r>
                      <w:r>
                        <w:rPr>
                          <w:sz w:val="16"/>
                        </w:rPr>
                        <w:fldChar w:fldCharType="end"/>
                      </w:r>
                      <w:r>
                        <w:rPr>
                          <w:sz w:val="16"/>
                        </w:rPr>
                        <w:t>.</w:t>
                      </w:r>
                    </w:p>
                    <w:p w14:paraId="6538F5D3" w14:textId="77777777" w:rsidR="00D31A71" w:rsidRDefault="005F08B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70" w:name="Schedule"/>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8113202"/>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32122</Words>
  <Characters>160932</Characters>
  <Application>Microsoft Office Word</Application>
  <DocSecurity>0</DocSecurity>
  <Lines>4876</Lines>
  <Paragraphs>2608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190446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1989 - 05-v0-00</dc:title>
  <dc:subject/>
  <dc:creator/>
  <cp:keywords/>
  <dc:description/>
  <cp:lastModifiedBy>Master Repository Process</cp:lastModifiedBy>
  <cp:revision>4</cp:revision>
  <cp:lastPrinted>2016-12-22T08:06:00Z</cp:lastPrinted>
  <dcterms:created xsi:type="dcterms:W3CDTF">2025-06-20T03:18:00Z</dcterms:created>
  <dcterms:modified xsi:type="dcterms:W3CDTF">2025-06-20T03:18:00Z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10 Jul 2024</vt:lpwstr>
  </property>
  <property fmtid="{D5CDD505-2E9C-101B-9397-08002B2CF9AE}" pid="8" name="Suffix">
    <vt:lpwstr>05-v0-00</vt:lpwstr>
  </property>
  <property fmtid="{D5CDD505-2E9C-101B-9397-08002B2CF9AE}" pid="9" name="Official">
    <vt:lpwstr/>
  </property>
  <property fmtid="{D5CDD505-2E9C-101B-9397-08002B2CF9AE}" pid="10" name="CommencementDate">
    <vt:lpwstr>20240710</vt:lpwstr>
  </property>
  <property fmtid="{D5CDD505-2E9C-101B-9397-08002B2CF9AE}" pid="11" name="CommencementAsAt">
    <vt:filetime>2024-07-09T16:00:00Z</vt:filetime>
  </property>
  <property fmtid="{D5CDD505-2E9C-101B-9397-08002B2CF9AE}" pid="12" name="CommencementYear">
    <vt:lpwstr>2024</vt:lpwstr>
  </property>
</Properties>
</file>