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_Toc172290751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_Toc172290752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_Toc172290753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_Toc172290754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_Toc172290755 \h </w:instrText>
      </w:r>
      <w:r>
        <w:fldChar w:fldCharType="separate"/>
      </w:r>
      <w:r>
        <w:t>4</w:t>
      </w:r>
      <w:r>
        <w:fldChar w:fldCharType="end"/>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_Toc172290756 \h </w:instrText>
      </w:r>
      <w:r>
        <w:fldChar w:fldCharType="separate"/>
      </w:r>
      <w:r>
        <w:t>5</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_Toc172290757 \h </w:instrText>
      </w:r>
      <w:r>
        <w:fldChar w:fldCharType="separate"/>
      </w:r>
      <w:r>
        <w:t>6</w:t>
      </w:r>
      <w:r>
        <w:fldChar w:fldCharType="end"/>
      </w:r>
    </w:p>
    <w:p>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_Toc172290758 \h </w:instrText>
      </w:r>
      <w:r>
        <w:fldChar w:fldCharType="separate"/>
      </w:r>
      <w:r>
        <w:t>7</w:t>
      </w:r>
      <w:r>
        <w:fldChar w:fldCharType="end"/>
      </w:r>
    </w:p>
    <w:p>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_Toc172290759 \h </w:instrText>
      </w:r>
      <w:r>
        <w:fldChar w:fldCharType="separate"/>
      </w:r>
      <w:r>
        <w:t>9</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_Toc172290760 \h </w:instrText>
      </w:r>
      <w:r>
        <w:fldChar w:fldCharType="separate"/>
      </w:r>
      <w:r>
        <w:t>9</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_Toc172290761 \h </w:instrText>
      </w:r>
      <w:r>
        <w:fldChar w:fldCharType="separate"/>
      </w:r>
      <w:r>
        <w:t>10</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_Toc172290762 \h </w:instrText>
      </w:r>
      <w:r>
        <w:fldChar w:fldCharType="separate"/>
      </w:r>
      <w:r>
        <w:t>14</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_Toc172290763 \h </w:instrText>
      </w:r>
      <w:r>
        <w:fldChar w:fldCharType="separate"/>
      </w:r>
      <w:r>
        <w:t>18</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_Toc172290764 \h </w:instrText>
      </w:r>
      <w:r>
        <w:fldChar w:fldCharType="separate"/>
      </w:r>
      <w:r>
        <w:t>19</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_Toc172290765 \h </w:instrText>
      </w:r>
      <w:r>
        <w:fldChar w:fldCharType="separate"/>
      </w:r>
      <w:r>
        <w:t>20</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_Toc172290766 \h </w:instrText>
      </w:r>
      <w:r>
        <w:fldChar w:fldCharType="separate"/>
      </w:r>
      <w:r>
        <w:t>21</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_Toc172290767 \h </w:instrText>
      </w:r>
      <w:r>
        <w:fldChar w:fldCharType="separate"/>
      </w:r>
      <w:r>
        <w:t>21</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_Toc172290768 \h </w:instrText>
      </w:r>
      <w:r>
        <w:fldChar w:fldCharType="separate"/>
      </w:r>
      <w:r>
        <w:t>22</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_Toc172290769 \h </w:instrText>
      </w:r>
      <w:r>
        <w:fldChar w:fldCharType="separate"/>
      </w:r>
      <w:r>
        <w:t>22</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_Toc172290770 \h </w:instrText>
      </w:r>
      <w:r>
        <w:fldChar w:fldCharType="separate"/>
      </w:r>
      <w:r>
        <w:t>23</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_Toc172290771 \h </w:instrText>
      </w:r>
      <w:r>
        <w:fldChar w:fldCharType="separate"/>
      </w:r>
      <w:r>
        <w:t>23</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Registers (Act s. 133(2))</w:t>
      </w:r>
      <w:r>
        <w:tab/>
      </w:r>
      <w:r>
        <w:fldChar w:fldCharType="begin"/>
      </w:r>
      <w:r>
        <w:instrText xml:space="preserve"> PAGEREF _Toc172290772 \h </w:instrText>
      </w:r>
      <w:r>
        <w:fldChar w:fldCharType="separate"/>
      </w:r>
      <w:r>
        <w:t>24</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_Toc172290773 \h </w:instrText>
      </w:r>
      <w:r>
        <w:fldChar w:fldCharType="separate"/>
      </w:r>
      <w:r>
        <w:t>26</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_Toc172290774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_Toc172290775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_Toc172290776 \h </w:instrText>
      </w:r>
      <w:r>
        <w:fldChar w:fldCharType="separate"/>
      </w:r>
      <w:r>
        <w:t>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_Toc172290777 \h </w:instrText>
      </w:r>
      <w:r>
        <w:fldChar w:fldCharType="separate"/>
      </w:r>
      <w:r>
        <w:t>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_Toc172290778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_Toc172290779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_Toc172290780 \h </w:instrText>
      </w:r>
      <w:r>
        <w:fldChar w:fldCharType="separate"/>
      </w:r>
      <w:r>
        <w:t>29</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_Toc172290781 \h </w:instrText>
      </w:r>
      <w:r>
        <w:fldChar w:fldCharType="separate"/>
      </w:r>
      <w:r>
        <w:t>29</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_Toc172290782 \h </w:instrText>
      </w:r>
      <w:r>
        <w:fldChar w:fldCharType="separate"/>
      </w:r>
      <w:r>
        <w:t>30</w:t>
      </w:r>
      <w:r>
        <w:fldChar w:fldCharType="end"/>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_Toc172290783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_Toc172290789 \h </w:instrText>
      </w:r>
      <w:r>
        <w:fldChar w:fldCharType="separate"/>
      </w:r>
      <w:r>
        <w:t>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_Toc172290790 \h </w:instrText>
      </w:r>
      <w:r>
        <w:fldChar w:fldCharType="separate"/>
      </w:r>
      <w:r>
        <w:t>49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_Toc172290791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2" w:name="_Toc172290751"/>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172290752"/>
      <w:r>
        <w:rPr>
          <w:rStyle w:val="CharSectno"/>
        </w:rPr>
        <w:t>2</w:t>
      </w:r>
      <w:r>
        <w:rPr>
          <w:snapToGrid w:val="0"/>
        </w:rPr>
        <w:t>.</w:t>
      </w:r>
      <w:r>
        <w:rPr>
          <w:snapToGrid w:val="0"/>
        </w:rPr>
        <w:tab/>
        <w:t>Terms used</w:t>
      </w:r>
      <w:bookmarkEnd w:id="3"/>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4" w:name="_Toc172290753"/>
      <w:r>
        <w:rPr>
          <w:rStyle w:val="CharSectno"/>
        </w:rPr>
        <w:t>3A</w:t>
      </w:r>
      <w:r>
        <w:t>.</w:t>
      </w:r>
      <w:r>
        <w:tab/>
        <w:t>Prescribed duty (Act s. 4(4)(d))</w:t>
      </w:r>
      <w:bookmarkEnd w:id="4"/>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5" w:name="_Toc172290754"/>
      <w:r>
        <w:rPr>
          <w:rStyle w:val="CharSectno"/>
        </w:rPr>
        <w:lastRenderedPageBreak/>
        <w:t>4</w:t>
      </w:r>
      <w:r>
        <w:t>.</w:t>
      </w:r>
      <w:r>
        <w:tab/>
        <w:t>Fees (Sch. 1)</w:t>
      </w:r>
      <w:bookmarkEnd w:id="5"/>
    </w:p>
    <w:p>
      <w:pPr>
        <w:pStyle w:val="Subsection"/>
        <w:keepNext/>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Subsection"/>
      </w:pPr>
      <w:r>
        <w:tab/>
        <w:t>(3)</w:t>
      </w:r>
      <w:r>
        <w:tab/>
        <w:t>For the purposes of calculating the fee payable under Schedule 1 item 11, a certificate about 2 or more persons who constitute a firm is taken to be a certificate about 1 person.</w:t>
      </w:r>
    </w:p>
    <w:p>
      <w:pPr>
        <w:pStyle w:val="Footnotesection"/>
      </w:pPr>
      <w:r>
        <w:tab/>
        <w:t>[Regulation 4 amended: Gazette 2 Jul 1982 p. 2334; 25 Jun 1996 p. 2924; SL 2024/96 r. 50.]</w:t>
      </w:r>
    </w:p>
    <w:p>
      <w:pPr>
        <w:pStyle w:val="Heading5"/>
        <w:rPr>
          <w:snapToGrid w:val="0"/>
        </w:rPr>
      </w:pPr>
      <w:bookmarkStart w:id="6" w:name="_Toc172290755"/>
      <w:r>
        <w:rPr>
          <w:rStyle w:val="CharSectno"/>
        </w:rPr>
        <w:t>4A</w:t>
      </w:r>
      <w:r>
        <w:rPr>
          <w:snapToGrid w:val="0"/>
        </w:rPr>
        <w:t>.</w:t>
      </w:r>
      <w:r>
        <w:rPr>
          <w:snapToGrid w:val="0"/>
        </w:rPr>
        <w:tab/>
        <w:t xml:space="preserve">Holding </w:t>
      </w:r>
      <w:r>
        <w:t>fee</w:t>
      </w:r>
      <w:bookmarkEnd w:id="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lastRenderedPageBreak/>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5"/>
      </w:pPr>
      <w:bookmarkStart w:id="7" w:name="_Toc172290756"/>
      <w:r>
        <w:rPr>
          <w:rStyle w:val="CharSectno"/>
        </w:rPr>
        <w:t>4AA</w:t>
      </w:r>
      <w:r>
        <w:t>.</w:t>
      </w:r>
      <w:r>
        <w:tab/>
        <w:t>Educational requirements (Act s. 40B and 50C)</w:t>
      </w:r>
      <w:bookmarkEnd w:id="7"/>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keepNext/>
      </w:pPr>
      <w:r>
        <w:lastRenderedPageBreak/>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8" w:name="_Toc172290757"/>
      <w:r>
        <w:rPr>
          <w:rStyle w:val="CharSectno"/>
        </w:rPr>
        <w:t>4AB</w:t>
      </w:r>
      <w:r>
        <w:t>.</w:t>
      </w:r>
      <w:r>
        <w:tab/>
        <w:t>Exemption from educational requirements</w:t>
      </w:r>
      <w:bookmarkEnd w:id="8"/>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lastRenderedPageBreak/>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9" w:name="_Toc172290758"/>
      <w:r>
        <w:rPr>
          <w:rStyle w:val="CharSectno"/>
        </w:rPr>
        <w:t>4AC</w:t>
      </w:r>
      <w:r>
        <w:t>.</w:t>
      </w:r>
      <w:r>
        <w:tab/>
        <w:t>Commissioner to approve continuing professional development activities</w:t>
      </w:r>
      <w:bookmarkEnd w:id="9"/>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lastRenderedPageBreak/>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lastRenderedPageBreak/>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0" w:name="_Toc172290759"/>
      <w:r>
        <w:rPr>
          <w:rStyle w:val="CharSectno"/>
        </w:rPr>
        <w:t>4AD</w:t>
      </w:r>
      <w:r>
        <w:t>.</w:t>
      </w:r>
      <w:r>
        <w:tab/>
        <w:t>Commissioner to publish list of continuing professional development activities on website</w:t>
      </w:r>
      <w:bookmarkEnd w:id="10"/>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1" w:name="_Toc172290760"/>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172290761"/>
      <w:r>
        <w:rPr>
          <w:rStyle w:val="CharSectno"/>
        </w:rPr>
        <w:lastRenderedPageBreak/>
        <w:t>6</w:t>
      </w:r>
      <w:r>
        <w:t>.</w:t>
      </w:r>
      <w:r>
        <w:tab/>
        <w:t>Prescribed examinations for licence applicants (Act Sch. 1 cl. 1(a))</w:t>
      </w:r>
      <w:bookmarkEnd w:id="1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or</w:t>
      </w:r>
    </w:p>
    <w:p>
      <w:pPr>
        <w:pStyle w:val="Indenta"/>
      </w:pPr>
      <w:r>
        <w:tab/>
        <w:t>(d)</w:t>
      </w:r>
      <w:r>
        <w:tab/>
        <w:t xml:space="preserve">for an applicant who was a licensee and who ceased to be licensed under section 30(2a) of the Act, the </w:t>
      </w:r>
      <w:r>
        <w:lastRenderedPageBreak/>
        <w:t xml:space="preserve">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 xml:space="preserve">the examinations required to be passed for the conferral of a Certificate IV in Property </w:t>
            </w:r>
            <w:r>
              <w:rPr>
                <w:sz w:val="22"/>
              </w:rPr>
              <w:lastRenderedPageBreak/>
              <w:t>Services (Real Estate) registered qualification CPP40307.</w:t>
            </w:r>
          </w:p>
        </w:tc>
      </w:tr>
      <w:tr>
        <w:tc>
          <w:tcPr>
            <w:tcW w:w="3261" w:type="dxa"/>
            <w:noWrap/>
            <w:vAlign w:val="center"/>
          </w:tcPr>
          <w:p>
            <w:pPr>
              <w:pStyle w:val="TableNAm"/>
              <w:rPr>
                <w:sz w:val="22"/>
              </w:rPr>
            </w:pPr>
            <w:r>
              <w:rPr>
                <w:sz w:val="22"/>
              </w:rPr>
              <w:lastRenderedPageBreak/>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which would be the prescribed qualification under regulation 6A(3)(a) if </w:t>
            </w:r>
            <w:r>
              <w:rPr>
                <w:sz w:val="22"/>
              </w:rPr>
              <w:lastRenderedPageBreak/>
              <w:t>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lastRenderedPageBreak/>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w:t>
      </w:r>
    </w:p>
    <w:p>
      <w:pPr>
        <w:pStyle w:val="Heading5"/>
      </w:pPr>
      <w:bookmarkStart w:id="13" w:name="_Toc172290762"/>
      <w:r>
        <w:rPr>
          <w:rStyle w:val="CharSectno"/>
        </w:rPr>
        <w:t>6A</w:t>
      </w:r>
      <w:r>
        <w:t>.</w:t>
      </w:r>
      <w:r>
        <w:tab/>
        <w:t>Prescribed qualifications for certificate applicants (Act s. 47(2))</w:t>
      </w:r>
      <w:bookmarkEnd w:id="13"/>
    </w:p>
    <w:p>
      <w:pPr>
        <w:pStyle w:val="Subsection"/>
      </w:pPr>
      <w:r>
        <w:tab/>
        <w:t>(1)</w:t>
      </w:r>
      <w:r>
        <w:tab/>
        <w:t>For a person who applies for a restricted certificate (property management), the prescribed qualification for the purposes of section 47(2) of the Act is —</w:t>
      </w:r>
    </w:p>
    <w:p>
      <w:pPr>
        <w:pStyle w:val="Indenta"/>
        <w:keepNext/>
      </w:pPr>
      <w:r>
        <w:tab/>
        <w:t>(a)</w:t>
      </w:r>
      <w:r>
        <w:tab/>
        <w:t xml:space="preserve">if the application is made on or before 30 September 2021, the successful completion of each of the modules from the CPP07 Property Services </w:t>
      </w:r>
      <w:r>
        <w:lastRenderedPageBreak/>
        <w:t>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lastRenderedPageBreak/>
        <w:t>Table 1 — Modules of CPP07 Property Services Training Package</w:t>
      </w:r>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lastRenderedPageBreak/>
        <w:t>Table 2 — Modules of CPP Property Services Training Package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lastRenderedPageBreak/>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4" w:name="_Toc172290763"/>
      <w:r>
        <w:rPr>
          <w:rStyle w:val="CharSectno"/>
        </w:rPr>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lastRenderedPageBreak/>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5" w:name="_Toc172290764"/>
      <w:r>
        <w:rPr>
          <w:rStyle w:val="CharSectno"/>
        </w:rPr>
        <w:t>6BA</w:t>
      </w:r>
      <w:r>
        <w:rPr>
          <w:snapToGrid w:val="0"/>
        </w:rPr>
        <w:t>.</w:t>
      </w:r>
      <w:r>
        <w:rPr>
          <w:snapToGrid w:val="0"/>
        </w:rPr>
        <w:tab/>
        <w:t>Appointment to act as agent, content of</w:t>
      </w:r>
      <w:bookmarkEnd w:id="15"/>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lastRenderedPageBreak/>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172290765"/>
      <w:r>
        <w:rPr>
          <w:rStyle w:val="CharSectno"/>
        </w:rPr>
        <w:t>6BB</w:t>
      </w:r>
      <w:r>
        <w:t>.</w:t>
      </w:r>
      <w:r>
        <w:tab/>
        <w:t>Prescribed transaction</w:t>
      </w:r>
      <w:bookmarkEnd w:id="1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7" w:name="_Toc172290766"/>
      <w:r>
        <w:rPr>
          <w:rStyle w:val="CharSectno"/>
        </w:rPr>
        <w:lastRenderedPageBreak/>
        <w:t>6C</w:t>
      </w:r>
      <w:r>
        <w:t>.</w:t>
      </w:r>
      <w:r>
        <w:tab/>
        <w:t>Authorised financial institution (Act s. 67), classes of body prescribed</w:t>
      </w:r>
      <w:bookmarkEnd w:id="1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8" w:name="_Toc172290767"/>
      <w:r>
        <w:rPr>
          <w:rStyle w:val="CharSectno"/>
        </w:rPr>
        <w:t>6D</w:t>
      </w:r>
      <w:r>
        <w:t>.</w:t>
      </w:r>
      <w:r>
        <w:tab/>
        <w:t>Trust accounts, designation of (Act s. 68(1))</w:t>
      </w:r>
      <w:bookmarkEnd w:id="1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lastRenderedPageBreak/>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9" w:name="_Toc172290768"/>
      <w:r>
        <w:rPr>
          <w:rStyle w:val="CharSectno"/>
        </w:rPr>
        <w:t>6E</w:t>
      </w:r>
      <w:r>
        <w:t>.</w:t>
      </w:r>
      <w:r>
        <w:tab/>
        <w:t>Separate trust accounts, requests for, requirements prescribed (Act s. 68A(4))</w:t>
      </w:r>
      <w:bookmarkEnd w:id="19"/>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0" w:name="_Toc172290769"/>
      <w:r>
        <w:rPr>
          <w:rStyle w:val="CharSectno"/>
        </w:rPr>
        <w:t>6F</w:t>
      </w:r>
      <w:r>
        <w:t>.</w:t>
      </w:r>
      <w:r>
        <w:tab/>
        <w:t>Trust accounts, interest on (Act s. 68B(1))</w:t>
      </w:r>
      <w:bookmarkEnd w:id="2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w:t>
      </w:r>
      <w:r>
        <w:lastRenderedPageBreak/>
        <w:t>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1" w:name="_Toc172290770"/>
      <w:r>
        <w:rPr>
          <w:rStyle w:val="CharSectno"/>
        </w:rPr>
        <w:t>6G</w:t>
      </w:r>
      <w:r>
        <w:t>.</w:t>
      </w:r>
      <w:r>
        <w:tab/>
        <w:t>Receipts by agents, information in (Act s. 69(1)(a))</w:t>
      </w:r>
      <w:bookmarkEnd w:id="2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2" w:name="_Toc172290771"/>
      <w:r>
        <w:rPr>
          <w:rStyle w:val="CharSectno"/>
        </w:rPr>
        <w:t>6H</w:t>
      </w:r>
      <w:r>
        <w:rPr>
          <w:snapToGrid w:val="0"/>
        </w:rPr>
        <w:t>.</w:t>
      </w:r>
      <w:r>
        <w:rPr>
          <w:snapToGrid w:val="0"/>
        </w:rPr>
        <w:tab/>
        <w:t>Record keeping requirements</w:t>
      </w:r>
      <w:bookmarkEnd w:id="22"/>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lastRenderedPageBreak/>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3" w:name="_Toc172290772"/>
      <w:r>
        <w:rPr>
          <w:rStyle w:val="CharSectno"/>
        </w:rPr>
        <w:t>7</w:t>
      </w:r>
      <w:r>
        <w:rPr>
          <w:snapToGrid w:val="0"/>
        </w:rPr>
        <w:t>.</w:t>
      </w:r>
      <w:r>
        <w:rPr>
          <w:snapToGrid w:val="0"/>
        </w:rPr>
        <w:tab/>
        <w:t>Registers (Act s. 133(2))</w:t>
      </w:r>
      <w:bookmarkEnd w:id="23"/>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lastRenderedPageBreak/>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lastRenderedPageBreak/>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4" w:name="_Toc172290773"/>
      <w:r>
        <w:rPr>
          <w:rStyle w:val="CharSectno"/>
        </w:rPr>
        <w:t>7AA</w:t>
      </w:r>
      <w:r>
        <w:t>.</w:t>
      </w:r>
      <w:r>
        <w:tab/>
        <w:t>Lending institution (Act s. 131A), classes of body prescribed</w:t>
      </w:r>
      <w:bookmarkEnd w:id="2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5" w:name="_Toc172290774"/>
      <w:r>
        <w:rPr>
          <w:rStyle w:val="CharSectno"/>
        </w:rPr>
        <w:lastRenderedPageBreak/>
        <w:t>7B</w:t>
      </w:r>
      <w:r>
        <w:rPr>
          <w:snapToGrid w:val="0"/>
        </w:rPr>
        <w:t>.</w:t>
      </w:r>
      <w:r>
        <w:rPr>
          <w:snapToGrid w:val="0"/>
        </w:rPr>
        <w:tab/>
        <w:t>Maximum amount prescribed (Act s. 131M(3))</w:t>
      </w:r>
      <w:bookmarkEnd w:id="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6" w:name="_Toc172290775"/>
      <w:r>
        <w:rPr>
          <w:rStyle w:val="CharSectno"/>
        </w:rPr>
        <w:t>8</w:t>
      </w:r>
      <w:r>
        <w:rPr>
          <w:snapToGrid w:val="0"/>
        </w:rPr>
        <w:t>.</w:t>
      </w:r>
      <w:r>
        <w:rPr>
          <w:snapToGrid w:val="0"/>
        </w:rPr>
        <w:tab/>
        <w:t>Changes in particulars, licensees to notify Commissioner of</w:t>
      </w:r>
      <w:bookmarkEnd w:id="26"/>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27" w:name="_Toc172290776"/>
      <w:r>
        <w:rPr>
          <w:rStyle w:val="CharSectno"/>
        </w:rPr>
        <w:t>9</w:t>
      </w:r>
      <w:r>
        <w:rPr>
          <w:snapToGrid w:val="0"/>
        </w:rPr>
        <w:t>.</w:t>
      </w:r>
      <w:r>
        <w:rPr>
          <w:snapToGrid w:val="0"/>
        </w:rPr>
        <w:tab/>
        <w:t xml:space="preserve">Fees and costs, </w:t>
      </w:r>
      <w:r>
        <w:t>recovery</w:t>
      </w:r>
      <w:r>
        <w:rPr>
          <w:snapToGrid w:val="0"/>
        </w:rPr>
        <w:t xml:space="preserve"> of</w:t>
      </w:r>
      <w:bookmarkEnd w:id="27"/>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lastRenderedPageBreak/>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8" w:name="_Toc172290777"/>
      <w:r>
        <w:rPr>
          <w:rStyle w:val="CharSectno"/>
        </w:rPr>
        <w:t>10</w:t>
      </w:r>
      <w:r>
        <w:rPr>
          <w:snapToGrid w:val="0"/>
        </w:rPr>
        <w:t>.</w:t>
      </w:r>
      <w:r>
        <w:rPr>
          <w:snapToGrid w:val="0"/>
        </w:rPr>
        <w:tab/>
      </w:r>
      <w:r>
        <w:t>Unsuccessful</w:t>
      </w:r>
      <w:r>
        <w:rPr>
          <w:snapToGrid w:val="0"/>
        </w:rPr>
        <w:t xml:space="preserve"> applicant for licence etc., refund to (Act s. 113)</w:t>
      </w:r>
      <w:bookmarkEnd w:id="28"/>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29" w:name="_Toc172290778"/>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29"/>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0" w:name="_Toc172290779"/>
      <w:r>
        <w:rPr>
          <w:rStyle w:val="CharSectno"/>
        </w:rPr>
        <w:lastRenderedPageBreak/>
        <w:t>12</w:t>
      </w:r>
      <w:r>
        <w:rPr>
          <w:snapToGrid w:val="0"/>
        </w:rPr>
        <w:t>.</w:t>
      </w:r>
      <w:r>
        <w:rPr>
          <w:snapToGrid w:val="0"/>
        </w:rPr>
        <w:tab/>
        <w:t>Fidelity Guarantee Account, claims against</w:t>
      </w:r>
      <w:bookmarkEnd w:id="3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1" w:name="_Toc172290780"/>
      <w:r>
        <w:rPr>
          <w:rStyle w:val="CharSectno"/>
        </w:rPr>
        <w:t>13</w:t>
      </w:r>
      <w:r>
        <w:rPr>
          <w:snapToGrid w:val="0"/>
        </w:rPr>
        <w:t>.</w:t>
      </w:r>
      <w:r>
        <w:rPr>
          <w:snapToGrid w:val="0"/>
        </w:rPr>
        <w:tab/>
        <w:t>Codes of conduct prescribed to be published (Act s. 101)</w:t>
      </w:r>
      <w:bookmarkEnd w:id="3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2" w:name="_Toc172290781"/>
      <w:r>
        <w:rPr>
          <w:rStyle w:val="CharSectno"/>
        </w:rPr>
        <w:t>14</w:t>
      </w:r>
      <w:r>
        <w:t>.</w:t>
      </w:r>
      <w:r>
        <w:tab/>
        <w:t>Infringement notices</w:t>
      </w:r>
      <w:bookmarkEnd w:id="3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3" w:name="_Toc172290782"/>
      <w:r>
        <w:rPr>
          <w:rStyle w:val="CharSectno"/>
        </w:rPr>
        <w:lastRenderedPageBreak/>
        <w:t>15</w:t>
      </w:r>
      <w:r>
        <w:t>.</w:t>
      </w:r>
      <w:r>
        <w:tab/>
        <w:t>Forms (Sch. 2)</w:t>
      </w:r>
      <w:bookmarkEnd w:id="33"/>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34" w:name="_Toc172290783"/>
      <w:r>
        <w:rPr>
          <w:rStyle w:val="CharSectno"/>
        </w:rPr>
        <w:t>16</w:t>
      </w:r>
      <w:r>
        <w:t>.</w:t>
      </w:r>
      <w:r>
        <w:tab/>
        <w:t xml:space="preserve">Transitional regulation for </w:t>
      </w:r>
      <w:r>
        <w:rPr>
          <w:i/>
        </w:rPr>
        <w:t>Real Estate and Business Agents (General) Amendment Regulations (No. 2) 2020</w:t>
      </w:r>
      <w:bookmarkEnd w:id="34"/>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35" w:name="_Toc172201040"/>
      <w:bookmarkStart w:id="36" w:name="_Toc172201888"/>
      <w:bookmarkStart w:id="37" w:name="_Toc172290395"/>
      <w:bookmarkStart w:id="38" w:name="_Toc172290784"/>
      <w:r>
        <w:rPr>
          <w:rStyle w:val="CharSchNo"/>
        </w:rPr>
        <w:lastRenderedPageBreak/>
        <w:t>Schedule 1</w:t>
      </w:r>
      <w:r>
        <w:t> — </w:t>
      </w:r>
      <w:r>
        <w:rPr>
          <w:rStyle w:val="CharSchText"/>
        </w:rPr>
        <w:t>Fees</w:t>
      </w:r>
      <w:bookmarkEnd w:id="35"/>
      <w:bookmarkEnd w:id="36"/>
      <w:bookmarkEnd w:id="37"/>
      <w:bookmarkEnd w:id="38"/>
    </w:p>
    <w:p>
      <w:pPr>
        <w:pStyle w:val="yShoulderClause"/>
      </w:pPr>
      <w:r>
        <w:t>[r. 4 and 4A]</w:t>
      </w:r>
    </w:p>
    <w:p>
      <w:pPr>
        <w:pStyle w:val="yFootnoteheading"/>
        <w:spacing w:after="60"/>
      </w:pPr>
      <w:r>
        <w:tab/>
        <w:t>[Heading inserted: SL 2024/96 r. 52.]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97.50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1 040.00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864.00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34.60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264.00</w:t>
            </w:r>
          </w:p>
        </w:tc>
      </w:tr>
      <w:tr>
        <w:trPr>
          <w:cantSplit/>
          <w:jc w:val="center"/>
        </w:trPr>
        <w:tc>
          <w:tcPr>
            <w:tcW w:w="709" w:type="dxa"/>
            <w:noWrap/>
          </w:tcPr>
          <w:p>
            <w:pPr>
              <w:pStyle w:val="yTableNAm"/>
            </w:pPr>
            <w:r>
              <w:t>9.</w:t>
            </w:r>
          </w:p>
        </w:tc>
        <w:tc>
          <w:tcPr>
            <w:tcW w:w="4961" w:type="dxa"/>
            <w:noWrap/>
          </w:tcPr>
          <w:p>
            <w:pPr>
              <w:pStyle w:val="yTableNAm"/>
            </w:pPr>
            <w:r>
              <w:t>Renewal of certificate of registration under section 48 of the Act</w:t>
            </w:r>
          </w:p>
        </w:tc>
        <w:tc>
          <w:tcPr>
            <w:tcW w:w="1418" w:type="dxa"/>
            <w:noWrap/>
            <w:vAlign w:val="bottom"/>
          </w:tcPr>
          <w:p>
            <w:pPr>
              <w:pStyle w:val="yTableNAm"/>
              <w:ind w:right="182"/>
              <w:jc w:val="right"/>
            </w:pPr>
            <w:r>
              <w:t>218.00</w:t>
            </w:r>
          </w:p>
        </w:tc>
      </w:tr>
      <w:tr>
        <w:trPr>
          <w:cantSplit/>
          <w:jc w:val="center"/>
        </w:trPr>
        <w:tc>
          <w:tcPr>
            <w:tcW w:w="709" w:type="dxa"/>
            <w:noWrap/>
          </w:tcPr>
          <w:p>
            <w:pPr>
              <w:pStyle w:val="yTableNAm"/>
            </w:pPr>
            <w:r>
              <w:t>10.</w:t>
            </w:r>
          </w:p>
        </w:tc>
        <w:tc>
          <w:tcPr>
            <w:tcW w:w="4961" w:type="dxa"/>
            <w:noWrap/>
          </w:tcPr>
          <w:p>
            <w:pPr>
              <w:pStyle w:val="yTableNAm"/>
            </w:pPr>
            <w:r>
              <w:t>Inspection of a register under section 133(4) of the Act</w:t>
            </w:r>
          </w:p>
        </w:tc>
        <w:tc>
          <w:tcPr>
            <w:tcW w:w="1418" w:type="dxa"/>
            <w:noWrap/>
            <w:vAlign w:val="bottom"/>
          </w:tcPr>
          <w:p>
            <w:pPr>
              <w:pStyle w:val="yTableNAm"/>
              <w:ind w:right="182"/>
              <w:jc w:val="right"/>
            </w:pPr>
            <w:r>
              <w:t>11.80</w:t>
            </w:r>
          </w:p>
        </w:tc>
      </w:tr>
      <w:tr>
        <w:trPr>
          <w:jc w:val="center"/>
        </w:trPr>
        <w:tc>
          <w:tcPr>
            <w:tcW w:w="709" w:type="dxa"/>
            <w:noWrap/>
          </w:tcPr>
          <w:p>
            <w:pPr>
              <w:pStyle w:val="yTableNAm"/>
            </w:pPr>
            <w:r>
              <w:t>11.</w:t>
            </w:r>
          </w:p>
        </w:tc>
        <w:tc>
          <w:tcPr>
            <w:tcW w:w="4961" w:type="dxa"/>
            <w:noWrap/>
          </w:tcPr>
          <w:p>
            <w:pPr>
              <w:pStyle w:val="yTableNAm"/>
            </w:pPr>
            <w:r>
              <w:t>Certificate as to the contents of 1 or more registers under section 134(4) of the Act —</w:t>
            </w:r>
          </w:p>
          <w:p>
            <w:pPr>
              <w:pStyle w:val="yTableNAm"/>
            </w:pPr>
            <w:r>
              <w:t>(a)</w:t>
            </w:r>
            <w:r>
              <w:tab/>
              <w:t>in relation to records for 1 person</w:t>
            </w:r>
          </w:p>
        </w:tc>
        <w:tc>
          <w:tcPr>
            <w:tcW w:w="1418" w:type="dxa"/>
            <w:noWrap/>
            <w:vAlign w:val="bottom"/>
          </w:tcPr>
          <w:p>
            <w:pPr>
              <w:pStyle w:val="yTableNAm"/>
              <w:ind w:right="182"/>
              <w:jc w:val="right"/>
            </w:pPr>
            <w:r>
              <w:t>14.70</w:t>
            </w:r>
          </w:p>
        </w:tc>
      </w:tr>
      <w:tr>
        <w:trPr>
          <w:trHeight w:val="1652"/>
          <w:jc w:val="center"/>
        </w:trPr>
        <w:tc>
          <w:tcPr>
            <w:tcW w:w="709" w:type="dxa"/>
            <w:noWrap/>
          </w:tcPr>
          <w:p>
            <w:pPr>
              <w:pStyle w:val="yTableNAm"/>
            </w:pPr>
          </w:p>
        </w:tc>
        <w:tc>
          <w:tcPr>
            <w:tcW w:w="4961" w:type="dxa"/>
            <w:noWrap/>
          </w:tcPr>
          <w:p>
            <w:pPr>
              <w:pStyle w:val="yTableNAm"/>
              <w:ind w:left="567" w:hanging="567"/>
            </w:pPr>
            <w:r>
              <w:t>(b)</w:t>
            </w:r>
            <w:r>
              <w:tab/>
              <w:t>in relation to records for 2 or more persons, other than as mentioned in item 12</w:t>
            </w:r>
          </w:p>
        </w:tc>
        <w:tc>
          <w:tcPr>
            <w:tcW w:w="1418" w:type="dxa"/>
            <w:noWrap/>
            <w:vAlign w:val="bottom"/>
          </w:tcPr>
          <w:p>
            <w:pPr>
              <w:pStyle w:val="yTableNAm"/>
              <w:ind w:right="182"/>
              <w:jc w:val="right"/>
            </w:pPr>
            <w:r>
              <w:br/>
              <w:t>14.70 for first person plus 2.30 for each additional person</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Certificate as to the contents of a register in relation to all persons recorded in the register</w:t>
            </w:r>
          </w:p>
        </w:tc>
        <w:tc>
          <w:tcPr>
            <w:tcW w:w="1418" w:type="dxa"/>
            <w:tcBorders>
              <w:bottom w:val="single" w:sz="4" w:space="0" w:color="auto"/>
            </w:tcBorders>
            <w:noWrap/>
            <w:vAlign w:val="bottom"/>
          </w:tcPr>
          <w:p>
            <w:pPr>
              <w:pStyle w:val="yTableNAm"/>
              <w:ind w:right="182"/>
              <w:jc w:val="right"/>
            </w:pPr>
            <w:r>
              <w:t>133.00</w:t>
            </w:r>
          </w:p>
        </w:tc>
      </w:tr>
    </w:tbl>
    <w:p>
      <w:pPr>
        <w:pStyle w:val="Footnotesection"/>
      </w:pPr>
      <w:r>
        <w:tab/>
        <w:t>[Schedule 1 inserted: SL 2024/96 r. 52.]</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40" w:name="_Toc172201041"/>
      <w:bookmarkStart w:id="41" w:name="_Toc172201889"/>
      <w:bookmarkStart w:id="42" w:name="_Toc172290396"/>
      <w:bookmarkStart w:id="43" w:name="_Toc172290785"/>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0"/>
      <w:bookmarkEnd w:id="41"/>
      <w:bookmarkEnd w:id="42"/>
      <w:bookmarkEnd w:id="43"/>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44" w:name="_Toc172201042"/>
      <w:bookmarkStart w:id="45" w:name="_Toc172201890"/>
      <w:bookmarkStart w:id="46" w:name="_Toc172290397"/>
      <w:bookmarkStart w:id="47" w:name="_Toc172290786"/>
      <w:r>
        <w:rPr>
          <w:rStyle w:val="CharSchNo"/>
        </w:rPr>
        <w:lastRenderedPageBreak/>
        <w:t>Schedule 2</w:t>
      </w:r>
      <w:r>
        <w:rPr>
          <w:rStyle w:val="CharSDivNo"/>
        </w:rPr>
        <w:t> </w:t>
      </w:r>
      <w:r>
        <w:t>—</w:t>
      </w:r>
      <w:r>
        <w:rPr>
          <w:rStyle w:val="CharSDivText"/>
        </w:rPr>
        <w:t> </w:t>
      </w:r>
      <w:r>
        <w:rPr>
          <w:rStyle w:val="CharSchText"/>
        </w:rPr>
        <w:t>Forms</w:t>
      </w:r>
      <w:bookmarkEnd w:id="44"/>
      <w:bookmarkEnd w:id="45"/>
      <w:bookmarkEnd w:id="46"/>
      <w:bookmarkEnd w:id="47"/>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lastRenderedPageBreak/>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lastRenderedPageBreak/>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48" w:name="_Toc172201043"/>
      <w:bookmarkStart w:id="49" w:name="_Toc172201891"/>
      <w:bookmarkStart w:id="50" w:name="_Toc172290398"/>
      <w:bookmarkStart w:id="51" w:name="_Toc172290787"/>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8"/>
      <w:bookmarkEnd w:id="49"/>
      <w:bookmarkEnd w:id="50"/>
      <w:bookmarkEnd w:id="51"/>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52" w:name="_Toc172201044"/>
      <w:bookmarkStart w:id="53" w:name="_Toc172201892"/>
      <w:bookmarkStart w:id="54" w:name="_Toc172290399"/>
      <w:bookmarkStart w:id="55" w:name="_Toc172290788"/>
      <w:r>
        <w:lastRenderedPageBreak/>
        <w:t>Notes</w:t>
      </w:r>
      <w:bookmarkEnd w:id="52"/>
      <w:bookmarkEnd w:id="53"/>
      <w:bookmarkEnd w:id="54"/>
      <w:bookmarkEnd w:id="55"/>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6" w:name="_Toc172290789"/>
      <w:r>
        <w:t>Compilation table</w:t>
      </w:r>
      <w:bookmarkEnd w:id="5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57" w:name="_Toc172290790"/>
      <w:r>
        <w:lastRenderedPageBreak/>
        <w:t>Uncommenced provisions table</w:t>
      </w:r>
      <w:bookmarkEnd w:id="5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Real Estate and Business Agents (General) Amendment Regulations 2024</w:t>
            </w:r>
            <w:r>
              <w:rPr>
                <w:iCs/>
              </w:rPr>
              <w:t xml:space="preserve"> r. 3</w:t>
            </w:r>
            <w:r>
              <w:rPr>
                <w:iCs/>
              </w:rPr>
              <w:noBreakHyphen/>
              <w:t>5</w:t>
            </w:r>
          </w:p>
        </w:tc>
        <w:tc>
          <w:tcPr>
            <w:tcW w:w="1276" w:type="dxa"/>
          </w:tcPr>
          <w:p>
            <w:pPr>
              <w:pStyle w:val="nTable"/>
              <w:spacing w:after="40"/>
            </w:pPr>
            <w:r>
              <w:t>SL 2024/152 24 Jul 2024</w:t>
            </w:r>
          </w:p>
        </w:tc>
        <w:tc>
          <w:tcPr>
            <w:tcW w:w="2693" w:type="dxa"/>
          </w:tcPr>
          <w:p>
            <w:pPr>
              <w:pStyle w:val="nTable"/>
              <w:spacing w:after="40"/>
            </w:pPr>
            <w:r>
              <w:t>2 Sep 2024 (see r. 2(b))</w:t>
            </w:r>
          </w:p>
        </w:tc>
      </w:tr>
    </w:tbl>
    <w:p>
      <w:pPr>
        <w:pStyle w:val="nHeading3"/>
      </w:pPr>
      <w:bookmarkStart w:id="58" w:name="_Toc172290791"/>
      <w:r>
        <w:t>Other notes</w:t>
      </w:r>
      <w:bookmarkEnd w:id="58"/>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60" w:name="_Toc172201047"/>
      <w:bookmarkStart w:id="61" w:name="_Toc172201896"/>
      <w:bookmarkStart w:id="62" w:name="_Toc172290403"/>
      <w:bookmarkStart w:id="63" w:name="_Toc172290792"/>
      <w:r>
        <w:rPr>
          <w:sz w:val="28"/>
        </w:rPr>
        <w:lastRenderedPageBreak/>
        <w:t>Defined terms</w:t>
      </w:r>
      <w:bookmarkEnd w:id="60"/>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2(1)</w:t>
      </w:r>
    </w:p>
    <w:p>
      <w:pPr>
        <w:pStyle w:val="DefinedTerms"/>
      </w:pPr>
      <w:r>
        <w:t>applicant</w:t>
      </w:r>
      <w:r>
        <w:tab/>
        <w:t>4AB(1)</w:t>
      </w:r>
    </w:p>
    <w:p>
      <w:pPr>
        <w:pStyle w:val="DefinedTerms"/>
      </w:pPr>
      <w:r>
        <w:t>approved CPD activity</w:t>
      </w:r>
      <w:r>
        <w:tab/>
        <w:t>2(1)</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16(1)</w:t>
      </w:r>
    </w:p>
    <w:p>
      <w:pPr>
        <w:pStyle w:val="DefinedTerms"/>
      </w:pPr>
      <w:r>
        <w:t>continuing professional development</w:t>
      </w:r>
      <w:r>
        <w:tab/>
        <w:t>2(1)</w:t>
      </w:r>
    </w:p>
    <w:p>
      <w:pPr>
        <w:pStyle w:val="DefinedTerms"/>
      </w:pPr>
      <w:r>
        <w:t>CPD subject</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activity</w:t>
      </w:r>
      <w:r>
        <w:tab/>
        <w:t>2(1)</w:t>
      </w:r>
    </w:p>
    <w:p>
      <w:pPr>
        <w:pStyle w:val="DefinedTerms"/>
      </w:pPr>
      <w:r>
        <w:t>point value</w:t>
      </w:r>
      <w:r>
        <w:tab/>
        <w:t>2(1)</w:t>
      </w:r>
    </w:p>
    <w:p>
      <w:pPr>
        <w:pStyle w:val="DefinedTerms"/>
      </w:pPr>
      <w:r>
        <w:t>record</w:t>
      </w:r>
      <w:r>
        <w:tab/>
        <w:t>2(1)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FD07C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1E11CF0" w14:textId="6EDC24EA" w:rsidR="003A7E71" w:rsidRDefault="003A7E7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303E0">
                        <w:rPr>
                          <w:sz w:val="16"/>
                        </w:rPr>
                        <w:t>2024</w:t>
                      </w:r>
                      <w:r>
                        <w:rPr>
                          <w:sz w:val="16"/>
                        </w:rPr>
                        <w:fldChar w:fldCharType="end"/>
                      </w:r>
                      <w:r>
                        <w:rPr>
                          <w:sz w:val="16"/>
                        </w:rPr>
                        <w:t>.</w:t>
                      </w:r>
                    </w:p>
                    <w:p w14:paraId="741FEC8A" w14:textId="77777777" w:rsidR="003A7E71" w:rsidRDefault="003A7E7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C263AC" w14:textId="1FAD60C3" w:rsidR="003A7E71" w:rsidRDefault="003A7E7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303E0">
                        <w:rPr>
                          <w:sz w:val="16"/>
                        </w:rPr>
                        <w:t>2024</w:t>
                      </w:r>
                      <w:r>
                        <w:rPr>
                          <w:sz w:val="16"/>
                        </w:rPr>
                        <w:fldChar w:fldCharType="end"/>
                      </w:r>
                      <w:r>
                        <w:rPr>
                          <w:sz w:val="16"/>
                        </w:rPr>
                        <w:t>.</w:t>
                      </w:r>
                    </w:p>
                    <w:p w14:paraId="47766293" w14:textId="77777777" w:rsidR="003A7E71" w:rsidRDefault="003A7E7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2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18131517"/>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93"/>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10555</Words>
  <Characters>52565</Characters>
  <Application>Microsoft Office Word</Application>
  <DocSecurity>0</DocSecurity>
  <Lines>2190</Lines>
  <Paragraphs>1342</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1979 - 08-aa0-00</dc:title>
  <dc:subject/>
  <dc:creator/>
  <cp:keywords/>
  <dc:description/>
  <cp:lastModifiedBy>Master Repository Process</cp:lastModifiedBy>
  <cp:revision>4</cp:revision>
  <cp:lastPrinted>2014-10-02T03:16:00Z</cp:lastPrinted>
  <dcterms:created xsi:type="dcterms:W3CDTF">2025-06-17T01:55:00Z</dcterms:created>
  <dcterms:modified xsi:type="dcterms:W3CDTF">2025-06-17T01:56:00Z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24 Jul 2024</vt:lpwstr>
  </property>
  <property fmtid="{D5CDD505-2E9C-101B-9397-08002B2CF9AE}" pid="8" name="Suffix">
    <vt:lpwstr>08-aa0-00</vt:lpwstr>
  </property>
  <property fmtid="{D5CDD505-2E9C-101B-9397-08002B2CF9AE}" pid="9" name="Official">
    <vt:lpwstr/>
  </property>
  <property fmtid="{D5CDD505-2E9C-101B-9397-08002B2CF9AE}" pid="10" name="CommencementDate">
    <vt:lpwstr>20240724</vt:lpwstr>
  </property>
  <property fmtid="{D5CDD505-2E9C-101B-9397-08002B2CF9AE}" pid="11" name="CommencementAsAt">
    <vt:filetime>2024-07-23T16:00:00Z</vt:filetime>
  </property>
  <property fmtid="{D5CDD505-2E9C-101B-9397-08002B2CF9AE}" pid="12" name="CommencementYear">
    <vt:lpwstr>2024</vt:lpwstr>
  </property>
</Properties>
</file>