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_Toc173151898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_Toc173151899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_Toc173151900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_Toc173151902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_Toc173151903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_Toc173151904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_Toc173151905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approved form</w:t>
      </w:r>
      <w:r>
        <w:tab/>
      </w:r>
      <w:r>
        <w:fldChar w:fldCharType="begin"/>
      </w:r>
      <w:r>
        <w:instrText xml:space="preserve"> PAGEREF _Toc173151906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_Toc173151907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_Toc173151908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_Toc173151909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_Toc173151910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_Toc173151911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_Toc173151912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_Toc173151913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_Toc173151914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_Toc173151915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_Toc173151916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_Toc173151917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_Toc173151918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_Toc173151919 \h </w:instrText>
      </w:r>
      <w:r>
        <w:fldChar w:fldCharType="separate"/>
      </w:r>
      <w:r>
        <w:t>13</w:t>
      </w:r>
      <w:r>
        <w:fldChar w:fldCharType="end"/>
      </w:r>
    </w:p>
    <w:p>
      <w:pPr>
        <w:pStyle w:val="TOC8"/>
        <w:rPr>
          <w:rFonts w:asciiTheme="minorHAnsi" w:eastAsiaTheme="minorEastAsia" w:hAnsiTheme="minorHAnsi" w:cstheme="minorBidi"/>
          <w:szCs w:val="22"/>
        </w:rPr>
      </w:pPr>
      <w:r>
        <w:t>7BA.</w:t>
      </w:r>
      <w:r>
        <w:tab/>
        <w:t>Modified application of section 50W of Act</w:t>
      </w:r>
      <w:r>
        <w:tab/>
      </w:r>
      <w:r>
        <w:fldChar w:fldCharType="begin"/>
      </w:r>
      <w:r>
        <w:instrText xml:space="preserve"> PAGEREF _Toc173151920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_Toc173151921 \h </w:instrText>
      </w:r>
      <w:r>
        <w:fldChar w:fldCharType="separate"/>
      </w:r>
      <w:r>
        <w:t>16</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_Toc173151922 \h </w:instrText>
      </w:r>
      <w:r>
        <w:fldChar w:fldCharType="separate"/>
      </w:r>
      <w:r>
        <w:t>17</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_Toc173151923 \h </w:instrText>
      </w:r>
      <w:r>
        <w:fldChar w:fldCharType="separate"/>
      </w:r>
      <w:r>
        <w:t>17</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_Toc173151924 \h </w:instrText>
      </w:r>
      <w:r>
        <w:fldChar w:fldCharType="separate"/>
      </w:r>
      <w:r>
        <w:t>18</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_Toc173151925 \h </w:instrText>
      </w:r>
      <w:r>
        <w:fldChar w:fldCharType="separate"/>
      </w:r>
      <w:r>
        <w:t>18</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_Toc173151926 \h </w:instrText>
      </w:r>
      <w:r>
        <w:fldChar w:fldCharType="separate"/>
      </w:r>
      <w:r>
        <w:t>19</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_Toc173151927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7I.</w:t>
      </w:r>
      <w:r>
        <w:tab/>
        <w:t>Minor modification (s. 3 of Act)</w:t>
      </w:r>
      <w:r>
        <w:tab/>
      </w:r>
      <w:r>
        <w:fldChar w:fldCharType="begin"/>
      </w:r>
      <w:r>
        <w:instrText xml:space="preserve"> PAGEREF _Toc173151929 \h </w:instrText>
      </w:r>
      <w:r>
        <w:fldChar w:fldCharType="separate"/>
      </w:r>
      <w:r>
        <w:t>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_Toc173151930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_Toc173151931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_Toc173151932 \h </w:instrText>
      </w:r>
      <w:r>
        <w:fldChar w:fldCharType="separate"/>
      </w:r>
      <w:r>
        <w:t>24</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_Toc173151933 \h </w:instrText>
      </w:r>
      <w:r>
        <w:fldChar w:fldCharType="separate"/>
      </w:r>
      <w:r>
        <w:t>25</w:t>
      </w:r>
      <w:r>
        <w:fldChar w:fldCharType="end"/>
      </w:r>
    </w:p>
    <w:p>
      <w:pPr>
        <w:pStyle w:val="TOC8"/>
        <w:rPr>
          <w:rFonts w:asciiTheme="minorHAnsi" w:eastAsiaTheme="minorEastAsia" w:hAnsiTheme="minorHAnsi" w:cstheme="minorBidi"/>
          <w:szCs w:val="22"/>
        </w:rPr>
      </w:pPr>
      <w:r>
        <w:t>10ABA.</w:t>
      </w:r>
      <w:r>
        <w:tab/>
        <w:t>Information prescribed by regulation 10AB must be given to tenant in approved form</w:t>
      </w:r>
      <w:r>
        <w:tab/>
      </w:r>
      <w:r>
        <w:fldChar w:fldCharType="begin"/>
      </w:r>
      <w:r>
        <w:instrText xml:space="preserve"> PAGEREF _Toc173151934 \h </w:instrText>
      </w:r>
      <w:r>
        <w:fldChar w:fldCharType="separate"/>
      </w:r>
      <w:r>
        <w:t>26</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_Toc173151935 \h </w:instrText>
      </w:r>
      <w:r>
        <w:fldChar w:fldCharType="separate"/>
      </w:r>
      <w:r>
        <w:t>27</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_Toc173151936 \h </w:instrText>
      </w:r>
      <w:r>
        <w:fldChar w:fldCharType="separate"/>
      </w:r>
      <w:r>
        <w:t>27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_Toc173151937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_Toc173151938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_Toc173151939 \h </w:instrText>
      </w:r>
      <w:r>
        <w:fldChar w:fldCharType="separate"/>
      </w:r>
      <w:r>
        <w:t>28</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_Toc173151940 \h </w:instrText>
      </w:r>
      <w:r>
        <w:fldChar w:fldCharType="separate"/>
      </w:r>
      <w:r>
        <w:t>28</w:t>
      </w:r>
      <w:r>
        <w:fldChar w:fldCharType="end"/>
      </w:r>
    </w:p>
    <w:p>
      <w:pPr>
        <w:pStyle w:val="TOC8"/>
        <w:rPr>
          <w:rFonts w:asciiTheme="minorHAnsi" w:eastAsiaTheme="minorEastAsia" w:hAnsiTheme="minorHAnsi" w:cstheme="minorBidi"/>
          <w:szCs w:val="22"/>
        </w:rPr>
      </w:pPr>
      <w:r>
        <w:t>12BB.</w:t>
      </w:r>
      <w:r>
        <w:tab/>
        <w:t>Ground for approval to refuse consent for pet prescribed for section 50E(3)(f) of Act</w:t>
      </w:r>
      <w:r>
        <w:tab/>
      </w:r>
      <w:r>
        <w:fldChar w:fldCharType="begin"/>
      </w:r>
      <w:r>
        <w:instrText xml:space="preserve"> PAGEREF _Toc173151941 \h </w:instrText>
      </w:r>
      <w:r>
        <w:fldChar w:fldCharType="separate"/>
      </w:r>
      <w:r>
        <w:t>30</w:t>
      </w:r>
      <w:r>
        <w:fldChar w:fldCharType="end"/>
      </w:r>
    </w:p>
    <w:p>
      <w:pPr>
        <w:pStyle w:val="TOC8"/>
        <w:rPr>
          <w:rFonts w:asciiTheme="minorHAnsi" w:eastAsiaTheme="minorEastAsia" w:hAnsiTheme="minorHAnsi" w:cstheme="minorBidi"/>
          <w:szCs w:val="22"/>
        </w:rPr>
      </w:pPr>
      <w:r>
        <w:t>12BC.</w:t>
      </w:r>
      <w:r>
        <w:tab/>
        <w:t>Prescribed modifications to prevent entry in circumstances of family violence for section 50M(2) of Act</w:t>
      </w:r>
      <w:r>
        <w:tab/>
      </w:r>
      <w:r>
        <w:fldChar w:fldCharType="begin"/>
      </w:r>
      <w:r>
        <w:instrText xml:space="preserve"> PAGEREF _Toc173151942 \h </w:instrText>
      </w:r>
      <w:r>
        <w:fldChar w:fldCharType="separate"/>
      </w:r>
      <w:r>
        <w:t>30</w:t>
      </w:r>
      <w:r>
        <w:fldChar w:fldCharType="end"/>
      </w:r>
    </w:p>
    <w:p>
      <w:pPr>
        <w:pStyle w:val="TOC8"/>
        <w:rPr>
          <w:rFonts w:asciiTheme="minorHAnsi" w:eastAsiaTheme="minorEastAsia" w:hAnsiTheme="minorHAnsi" w:cstheme="minorBidi"/>
          <w:szCs w:val="22"/>
        </w:rPr>
      </w:pPr>
      <w:r>
        <w:t>12BD.</w:t>
      </w:r>
      <w:r>
        <w:tab/>
        <w:t>Types of modifications which may be subject to condition prescribed for section 50P(a) of Act</w:t>
      </w:r>
      <w:r>
        <w:tab/>
      </w:r>
      <w:r>
        <w:fldChar w:fldCharType="begin"/>
      </w:r>
      <w:r>
        <w:instrText xml:space="preserve"> PAGEREF _Toc173151943 \h </w:instrText>
      </w:r>
      <w:r>
        <w:fldChar w:fldCharType="separate"/>
      </w:r>
      <w:r>
        <w:t>31</w:t>
      </w:r>
      <w:r>
        <w:fldChar w:fldCharType="end"/>
      </w:r>
    </w:p>
    <w:p>
      <w:pPr>
        <w:pStyle w:val="TOC8"/>
        <w:rPr>
          <w:rFonts w:asciiTheme="minorHAnsi" w:eastAsiaTheme="minorEastAsia" w:hAnsiTheme="minorHAnsi" w:cstheme="minorBidi"/>
          <w:szCs w:val="22"/>
        </w:rPr>
      </w:pPr>
      <w:r>
        <w:t>12BE.</w:t>
      </w:r>
      <w:r>
        <w:tab/>
        <w:t>Matters prescribed for section 50P(b) of Act</w:t>
      </w:r>
      <w:r>
        <w:tab/>
      </w:r>
      <w:r>
        <w:fldChar w:fldCharType="begin"/>
      </w:r>
      <w:r>
        <w:instrText xml:space="preserve"> PAGEREF _Toc173151944 \h </w:instrText>
      </w:r>
      <w:r>
        <w:fldChar w:fldCharType="separate"/>
      </w:r>
      <w:r>
        <w:t>31</w:t>
      </w:r>
      <w:r>
        <w:fldChar w:fldCharType="end"/>
      </w:r>
    </w:p>
    <w:p>
      <w:pPr>
        <w:pStyle w:val="TOC8"/>
        <w:rPr>
          <w:rFonts w:asciiTheme="minorHAnsi" w:eastAsiaTheme="minorEastAsia" w:hAnsiTheme="minorHAnsi" w:cstheme="minorBidi"/>
          <w:szCs w:val="22"/>
        </w:rPr>
      </w:pPr>
      <w:r>
        <w:t>12BF.</w:t>
      </w:r>
      <w:r>
        <w:tab/>
        <w:t>Grounds for approval to refuse consent prescribed for section 50S(3)(g) of Act</w:t>
      </w:r>
      <w:r>
        <w:tab/>
      </w:r>
      <w:r>
        <w:fldChar w:fldCharType="begin"/>
      </w:r>
      <w:r>
        <w:instrText xml:space="preserve"> PAGEREF _Toc173151945 \h </w:instrText>
      </w:r>
      <w:r>
        <w:fldChar w:fldCharType="separate"/>
      </w:r>
      <w:r>
        <w:t>32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_Toc173151946 \h </w:instrText>
      </w:r>
      <w:r>
        <w:fldChar w:fldCharType="separate"/>
      </w:r>
      <w:r>
        <w:t>32</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_Toc173151947 \h </w:instrText>
      </w:r>
      <w:r>
        <w:fldChar w:fldCharType="separate"/>
      </w:r>
      <w:r>
        <w:t>33</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_Toc173151948 \h </w:instrText>
      </w:r>
      <w:r>
        <w:fldChar w:fldCharType="separate"/>
      </w:r>
      <w:r>
        <w:t>33</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_Toc173151949 \h </w:instrText>
      </w:r>
      <w:r>
        <w:fldChar w:fldCharType="separate"/>
      </w:r>
      <w:r>
        <w:t>33</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_Toc173151950 \h </w:instrText>
      </w:r>
      <w:r>
        <w:fldChar w:fldCharType="separate"/>
      </w:r>
      <w:r>
        <w:t>34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_Toc173151951 \h </w:instrText>
      </w:r>
      <w:r>
        <w:fldChar w:fldCharType="separate"/>
      </w:r>
      <w:r>
        <w:t>34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_Toc173151952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_Toc173151953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_Toc173151954 \h </w:instrText>
      </w:r>
      <w:r>
        <w:fldChar w:fldCharType="separate"/>
      </w:r>
      <w:r>
        <w:t>37</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_Toc173151955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19.</w:t>
      </w:r>
      <w:r>
        <w:tab/>
        <w:t xml:space="preserve">Transitional provision — </w:t>
      </w:r>
      <w:r>
        <w:rPr>
          <w:i/>
          <w:iCs/>
        </w:rPr>
        <w:t>Residential Tenancies Amendment Regulations (No. 2) 2024</w:t>
      </w:r>
      <w:r>
        <w:tab/>
      </w:r>
      <w:r>
        <w:fldChar w:fldCharType="begin"/>
      </w:r>
      <w:r>
        <w:instrText xml:space="preserve"> PAGEREF _Toc173151957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_Toc173151962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_Toc173151963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73143085"/>
      <w:bookmarkStart w:id="3" w:name="_Toc173149209"/>
      <w:bookmarkStart w:id="4" w:name="_Toc17315189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173151898"/>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17315189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173151900"/>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8" w:name="_Toc173143089"/>
      <w:bookmarkStart w:id="9" w:name="_Toc173149213"/>
      <w:bookmarkStart w:id="10" w:name="_Toc17315190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173151902"/>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173151903"/>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173151904"/>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173151905"/>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15" w:name="_Toc173151906"/>
      <w:r>
        <w:rPr>
          <w:rStyle w:val="CharSectno"/>
        </w:rPr>
        <w:t>5AB</w:t>
      </w:r>
      <w:r>
        <w:t>.</w:t>
      </w:r>
      <w:r>
        <w:tab/>
        <w:t>Exemptions from section 27A of Act — residential agreements not required to be in approved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6" w:name="_Toc173151907"/>
      <w:r>
        <w:rPr>
          <w:rStyle w:val="CharSectno"/>
        </w:rPr>
        <w:lastRenderedPageBreak/>
        <w:t>5ABA</w:t>
      </w:r>
      <w:r>
        <w:t>.</w:t>
      </w:r>
      <w:r>
        <w:tab/>
        <w:t>Modified application of Act s. 27A — lessor may enter into agreement amended to reflect lawful terms</w:t>
      </w:r>
      <w:bookmarkEnd w:id="16"/>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17" w:name="_Toc173151908"/>
      <w:r>
        <w:rPr>
          <w:rStyle w:val="CharSectno"/>
        </w:rPr>
        <w:t>5AC</w:t>
      </w:r>
      <w:r>
        <w:t>.</w:t>
      </w:r>
      <w:r>
        <w:tab/>
        <w:t>Exemption from section 27B of Act if residential tenancy agreement extended or renewed</w:t>
      </w:r>
      <w:bookmarkEnd w:id="1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8" w:name="_Toc173151909"/>
      <w:r>
        <w:rPr>
          <w:rStyle w:val="CharSectno"/>
        </w:rPr>
        <w:lastRenderedPageBreak/>
        <w:t>5AD</w:t>
      </w:r>
      <w:r>
        <w:t>.</w:t>
      </w:r>
      <w:r>
        <w:tab/>
        <w:t>Modified application of section 27C(4) of Act for Housing Authority</w:t>
      </w:r>
      <w:bookmarkEnd w:id="1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9" w:name="_Toc173151910"/>
      <w:r>
        <w:rPr>
          <w:rStyle w:val="CharSectno"/>
        </w:rPr>
        <w:lastRenderedPageBreak/>
        <w:t>5A</w:t>
      </w:r>
      <w:r>
        <w:rPr>
          <w:snapToGrid w:val="0"/>
        </w:rPr>
        <w:t>.</w:t>
      </w:r>
      <w:r>
        <w:rPr>
          <w:snapToGrid w:val="0"/>
        </w:rPr>
        <w:tab/>
        <w:t>Exemption of Housing Authority from sections 29(4)(b) and 33 of Act</w:t>
      </w:r>
      <w:bookmarkEnd w:id="1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0" w:name="_Toc173151911"/>
      <w:r>
        <w:rPr>
          <w:rStyle w:val="CharSectno"/>
        </w:rPr>
        <w:t>5BA</w:t>
      </w:r>
      <w:r>
        <w:t>.</w:t>
      </w:r>
      <w:r>
        <w:tab/>
        <w:t>Exemptions from section 29(8) of Act</w:t>
      </w:r>
      <w:bookmarkEnd w:id="20"/>
    </w:p>
    <w:p>
      <w:pPr>
        <w:pStyle w:val="Subsection"/>
        <w:keepNext/>
      </w:pPr>
      <w:r>
        <w:tab/>
      </w:r>
      <w:r>
        <w:tab/>
        <w:t xml:space="preserve">Under section 6(a) of the Act it is provided that section 29(8) of the Act does not apply in relation to a residential tenancy agreement if the application form referred to in Schedule 1 </w:t>
      </w:r>
      <w:r>
        <w:lastRenderedPageBreak/>
        <w:t xml:space="preserve">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1" w:name="_Toc173151912"/>
      <w:r>
        <w:rPr>
          <w:rStyle w:val="CharSectno"/>
        </w:rPr>
        <w:t>5B</w:t>
      </w:r>
      <w:r>
        <w:rPr>
          <w:snapToGrid w:val="0"/>
        </w:rPr>
        <w:t>.</w:t>
      </w:r>
      <w:r>
        <w:rPr>
          <w:snapToGrid w:val="0"/>
        </w:rPr>
        <w:tab/>
        <w:t>Exemptions from section 30(1) of Act</w:t>
      </w:r>
      <w:bookmarkEnd w:id="21"/>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lastRenderedPageBreak/>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lastRenderedPageBreak/>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2" w:name="_Toc173151913"/>
      <w:r>
        <w:rPr>
          <w:rStyle w:val="CharSectno"/>
        </w:rPr>
        <w:t>5CA</w:t>
      </w:r>
      <w:r>
        <w:t>.</w:t>
      </w:r>
      <w:r>
        <w:tab/>
        <w:t>Modified application of section 30(2)(a) of Act</w:t>
      </w:r>
      <w:bookmarkEnd w:id="2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3" w:name="_Toc173151914"/>
      <w:r>
        <w:rPr>
          <w:rStyle w:val="CharSectno"/>
        </w:rPr>
        <w:t>5C</w:t>
      </w:r>
      <w:r>
        <w:t>.</w:t>
      </w:r>
      <w:r>
        <w:tab/>
        <w:t>Exemption from section 33 of Act for employment</w:t>
      </w:r>
      <w:r>
        <w:noBreakHyphen/>
        <w:t>linked residential tenancy agreements</w:t>
      </w:r>
      <w:bookmarkEnd w:id="2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4" w:name="_Toc173151915"/>
      <w:r>
        <w:rPr>
          <w:rStyle w:val="CharSectno"/>
        </w:rPr>
        <w:t>5D</w:t>
      </w:r>
      <w:r>
        <w:t>.</w:t>
      </w:r>
      <w:r>
        <w:tab/>
        <w:t xml:space="preserve">Exemption for certain agreements under </w:t>
      </w:r>
      <w:r>
        <w:rPr>
          <w:i/>
        </w:rPr>
        <w:t>Land Administration Act 1997</w:t>
      </w:r>
      <w:bookmarkEnd w:id="24"/>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5" w:name="_Toc173151916"/>
      <w:r>
        <w:rPr>
          <w:rStyle w:val="CharSectno"/>
        </w:rPr>
        <w:t>6</w:t>
      </w:r>
      <w:r>
        <w:t>.</w:t>
      </w:r>
      <w:r>
        <w:tab/>
        <w:t>Modified application of section 43(3) of Act when Housing Authority is lessor of premises outside metropolitan region</w:t>
      </w:r>
      <w:bookmarkEnd w:id="2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6" w:name="_Toc173151917"/>
      <w:r>
        <w:rPr>
          <w:rStyle w:val="CharSectno"/>
        </w:rPr>
        <w:t>6A</w:t>
      </w:r>
      <w:r>
        <w:t>.</w:t>
      </w:r>
      <w:r>
        <w:tab/>
        <w:t>Modified application of s. 71AD(2) of Act when Housing Authority is lessor of premises</w:t>
      </w:r>
      <w:bookmarkEnd w:id="26"/>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27" w:name="_Toc173151918"/>
      <w:r>
        <w:rPr>
          <w:rStyle w:val="CharSectno"/>
        </w:rPr>
        <w:t>6B</w:t>
      </w:r>
      <w:r>
        <w:t>.</w:t>
      </w:r>
      <w:r>
        <w:tab/>
        <w:t>Exemption from Act s. 45(2)(b) if Housing Authority is lessor</w:t>
      </w:r>
      <w:bookmarkEnd w:id="27"/>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28" w:name="_Toc173151919"/>
      <w:r>
        <w:rPr>
          <w:rStyle w:val="CharSectno"/>
        </w:rPr>
        <w:t>7A</w:t>
      </w:r>
      <w:r>
        <w:t>.</w:t>
      </w:r>
      <w:r>
        <w:tab/>
        <w:t>Modified application of s. 45(1) of Act</w:t>
      </w:r>
      <w:bookmarkEnd w:id="28"/>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29" w:name="_Toc170989853"/>
      <w:bookmarkStart w:id="30" w:name="_Toc170990024"/>
      <w:bookmarkStart w:id="31" w:name="_Toc173151920"/>
      <w:r>
        <w:rPr>
          <w:rStyle w:val="CharSectno"/>
        </w:rPr>
        <w:t>7BA</w:t>
      </w:r>
      <w:r>
        <w:t>.</w:t>
      </w:r>
      <w:r>
        <w:tab/>
        <w:t>Modified application of section 50W of Act</w:t>
      </w:r>
      <w:bookmarkEnd w:id="29"/>
      <w:bookmarkEnd w:id="30"/>
      <w:bookmarkEnd w:id="31"/>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 xml:space="preserve">the tenant may make a major modification not stated in the agreement that is </w:t>
      </w:r>
      <w:r>
        <w:lastRenderedPageBreak/>
        <w:t>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 xml:space="preserve">the making of a major modification of the kind referred to in paragraph (a) is subject to any reasonable conditions of the </w:t>
      </w:r>
      <w:r>
        <w:rPr>
          <w:sz w:val="24"/>
          <w:szCs w:val="24"/>
        </w:rPr>
        <w:lastRenderedPageBreak/>
        <w:t>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32" w:name="_Toc173151921"/>
      <w:r>
        <w:rPr>
          <w:rStyle w:val="CharSectno"/>
        </w:rPr>
        <w:t>7C</w:t>
      </w:r>
      <w:r>
        <w:t>.</w:t>
      </w:r>
      <w:r>
        <w:tab/>
        <w:t>Modified application of s. 60(1)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3" w:name="_Toc173151922"/>
      <w:r>
        <w:rPr>
          <w:rStyle w:val="CharSectno"/>
        </w:rPr>
        <w:lastRenderedPageBreak/>
        <w:t>7D</w:t>
      </w:r>
      <w:r>
        <w:t>.</w:t>
      </w:r>
      <w:r>
        <w:tab/>
        <w:t>Modified application of section 70A of Act for Foyer Oxford</w:t>
      </w:r>
      <w:bookmarkEnd w:id="3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4" w:name="_Toc173151923"/>
      <w:r>
        <w:rPr>
          <w:rStyle w:val="CharSectno"/>
        </w:rPr>
        <w:t>7E</w:t>
      </w:r>
      <w:r>
        <w:t>.</w:t>
      </w:r>
      <w:r>
        <w:tab/>
        <w:t>Modified application of section 72 of Act</w:t>
      </w:r>
      <w:bookmarkEnd w:id="3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t>
      </w:r>
      <w:r>
        <w:rPr>
          <w:snapToGrid w:val="0"/>
        </w:rPr>
        <w:lastRenderedPageBreak/>
        <w:t xml:space="preserve">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5" w:name="_Toc173151924"/>
      <w:r>
        <w:rPr>
          <w:rStyle w:val="CharSectno"/>
        </w:rPr>
        <w:t>7F</w:t>
      </w:r>
      <w:r>
        <w:t>.</w:t>
      </w:r>
      <w:r>
        <w:tab/>
        <w:t>Exemption from section 82 of Act</w:t>
      </w:r>
      <w:bookmarkEnd w:id="3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6" w:name="_Toc173151925"/>
      <w:r>
        <w:rPr>
          <w:rStyle w:val="CharSectno"/>
        </w:rPr>
        <w:t>7FA</w:t>
      </w:r>
      <w:r>
        <w:t>.</w:t>
      </w:r>
      <w:r>
        <w:tab/>
        <w:t>Modified application of Act s. 85 for Housing Authority</w:t>
      </w:r>
      <w:bookmarkEnd w:id="36"/>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7" w:name="_Toc173151926"/>
      <w:r>
        <w:rPr>
          <w:rStyle w:val="CharSectno"/>
        </w:rPr>
        <w:lastRenderedPageBreak/>
        <w:t>7G</w:t>
      </w:r>
      <w:r>
        <w:t>.</w:t>
      </w:r>
      <w:r>
        <w:tab/>
        <w:t>Modified application of section 93 of Act for Housing Authority</w:t>
      </w:r>
      <w:bookmarkEnd w:id="37"/>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8" w:name="_Toc173151927"/>
      <w:r>
        <w:rPr>
          <w:rStyle w:val="CharSectno"/>
        </w:rPr>
        <w:t>7H</w:t>
      </w:r>
      <w:r>
        <w:t>.</w:t>
      </w:r>
      <w:r>
        <w:tab/>
        <w:t>Modified application of Schedule 1 clauses 5A and 5 of Act</w:t>
      </w:r>
      <w:bookmarkEnd w:id="38"/>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r>
        <w:lastRenderedPageBreak/>
        <w:t>&lt;www.commerce.wa.gov.au/consumer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9" w:name="_Toc173143117"/>
      <w:bookmarkStart w:id="40" w:name="_Toc173149240"/>
      <w:bookmarkStart w:id="41" w:name="_Toc173151928"/>
      <w:r>
        <w:rPr>
          <w:rStyle w:val="CharPartNo"/>
        </w:rPr>
        <w:lastRenderedPageBreak/>
        <w:t>Part 3</w:t>
      </w:r>
      <w:r>
        <w:rPr>
          <w:rStyle w:val="CharDivNo"/>
        </w:rPr>
        <w:t> </w:t>
      </w:r>
      <w:r>
        <w:t>—</w:t>
      </w:r>
      <w:r>
        <w:rPr>
          <w:rStyle w:val="CharDivText"/>
        </w:rPr>
        <w:t> </w:t>
      </w:r>
      <w:r>
        <w:rPr>
          <w:rStyle w:val="CharPartText"/>
        </w:rPr>
        <w:t>Other matters</w:t>
      </w:r>
      <w:bookmarkEnd w:id="39"/>
      <w:bookmarkEnd w:id="40"/>
      <w:bookmarkEnd w:id="41"/>
    </w:p>
    <w:p>
      <w:pPr>
        <w:pStyle w:val="Footnoteheading"/>
      </w:pPr>
      <w:r>
        <w:tab/>
        <w:t>[Heading inserted: Gazette 3 May 2013 p. 1749.]</w:t>
      </w:r>
    </w:p>
    <w:p>
      <w:pPr>
        <w:pStyle w:val="Heading5"/>
        <w:rPr>
          <w:rStyle w:val="DraftersNotes"/>
          <w:b/>
          <w:i w:val="0"/>
        </w:rPr>
      </w:pPr>
      <w:bookmarkStart w:id="42" w:name="_Toc170989855"/>
      <w:bookmarkStart w:id="43" w:name="_Toc170990026"/>
      <w:bookmarkStart w:id="44" w:name="_Toc173151929"/>
      <w:r>
        <w:rPr>
          <w:rStyle w:val="CharSectno"/>
        </w:rPr>
        <w:t>7I</w:t>
      </w:r>
      <w:r>
        <w:t>.</w:t>
      </w:r>
      <w:r>
        <w:tab/>
        <w:t>Minor modification (s. 3 of Act)</w:t>
      </w:r>
      <w:bookmarkEnd w:id="42"/>
      <w:bookmarkEnd w:id="43"/>
      <w:bookmarkEnd w:id="44"/>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lastRenderedPageBreak/>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45" w:name="_Toc173151930"/>
      <w:r>
        <w:rPr>
          <w:rStyle w:val="CharSectno"/>
        </w:rPr>
        <w:t>7</w:t>
      </w:r>
      <w:r>
        <w:rPr>
          <w:snapToGrid w:val="0"/>
        </w:rPr>
        <w:t>.</w:t>
      </w:r>
      <w:r>
        <w:rPr>
          <w:snapToGrid w:val="0"/>
        </w:rPr>
        <w:tab/>
        <w:t>Applications prescribed for the purposes of section 13A(2)(a) of Act</w:t>
      </w:r>
      <w:bookmarkEnd w:id="4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 xml:space="preserve">any other application under the Act that is not an application in respect of which a party objects to a </w:t>
      </w:r>
      <w:r>
        <w:lastRenderedPageBreak/>
        <w:t>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6" w:name="_Toc173151931"/>
      <w:r>
        <w:rPr>
          <w:rStyle w:val="CharSectno"/>
        </w:rPr>
        <w:t>9</w:t>
      </w:r>
      <w:r>
        <w:rPr>
          <w:snapToGrid w:val="0"/>
        </w:rPr>
        <w:t>.</w:t>
      </w:r>
      <w:r>
        <w:rPr>
          <w:snapToGrid w:val="0"/>
        </w:rPr>
        <w:tab/>
        <w:t>Determination of nearest Magistrates Court</w:t>
      </w:r>
      <w:bookmarkEnd w:id="4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7" w:name="_Toc173151932"/>
      <w:r>
        <w:rPr>
          <w:rStyle w:val="CharSectno"/>
        </w:rPr>
        <w:t>10</w:t>
      </w:r>
      <w:r>
        <w:rPr>
          <w:snapToGrid w:val="0"/>
        </w:rPr>
        <w:t>.</w:t>
      </w:r>
      <w:r>
        <w:rPr>
          <w:snapToGrid w:val="0"/>
        </w:rPr>
        <w:tab/>
        <w:t>Scale of costs for section 24 of Act</w:t>
      </w:r>
      <w:bookmarkEnd w:id="4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bookmarkStart w:id="48" w:name="_Toc170989857"/>
      <w:bookmarkStart w:id="49" w:name="_Toc170990028"/>
      <w:r>
        <w:lastRenderedPageBreak/>
        <w:t>[</w:t>
      </w:r>
      <w:r>
        <w:rPr>
          <w:b/>
          <w:bCs/>
        </w:rPr>
        <w:t>10AA.</w:t>
      </w:r>
      <w:r>
        <w:tab/>
        <w:t>Deleted: SL 2024/149 r. 10.]</w:t>
      </w:r>
    </w:p>
    <w:p>
      <w:pPr>
        <w:pStyle w:val="Heading5"/>
      </w:pPr>
      <w:bookmarkStart w:id="50" w:name="_Toc173151933"/>
      <w:r>
        <w:rPr>
          <w:rStyle w:val="CharSectno"/>
        </w:rPr>
        <w:t>10AB</w:t>
      </w:r>
      <w:r>
        <w:t>.</w:t>
      </w:r>
      <w:r>
        <w:tab/>
        <w:t>Information to be given to tenant for section 27B of Act</w:t>
      </w:r>
      <w:bookmarkEnd w:id="48"/>
      <w:bookmarkEnd w:id="49"/>
      <w:bookmarkEnd w:id="50"/>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lastRenderedPageBreak/>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51" w:name="_Toc170989858"/>
      <w:bookmarkStart w:id="52" w:name="_Toc170990029"/>
      <w:bookmarkStart w:id="53" w:name="_Toc173151934"/>
      <w:r>
        <w:rPr>
          <w:rStyle w:val="CharSectno"/>
        </w:rPr>
        <w:t>10ABA</w:t>
      </w:r>
      <w:r>
        <w:t>.</w:t>
      </w:r>
      <w:r>
        <w:tab/>
        <w:t>Information prescribed by regulation 10AB must be given to tenant in approved form</w:t>
      </w:r>
      <w:bookmarkEnd w:id="51"/>
      <w:bookmarkEnd w:id="52"/>
      <w:bookmarkEnd w:id="53"/>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54" w:name="_Toc173151935"/>
      <w:r>
        <w:rPr>
          <w:rStyle w:val="CharSectno"/>
        </w:rPr>
        <w:lastRenderedPageBreak/>
        <w:t>10AC</w:t>
      </w:r>
      <w:r>
        <w:t>.</w:t>
      </w:r>
      <w:r>
        <w:tab/>
        <w:t>Information to be included in property condition report for section 27C(6) of Act</w:t>
      </w:r>
      <w:bookmarkEnd w:id="54"/>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55" w:name="_Toc173151936"/>
      <w:r>
        <w:rPr>
          <w:rStyle w:val="CharSectno"/>
        </w:rPr>
        <w:t>10AD</w:t>
      </w:r>
      <w:r>
        <w:t>.</w:t>
      </w:r>
      <w:r>
        <w:tab/>
        <w:t>Amount prescribed for section 27(2)(a) of Act</w:t>
      </w:r>
      <w:bookmarkEnd w:id="5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56" w:name="_Toc173151937"/>
      <w:r>
        <w:rPr>
          <w:rStyle w:val="CharSectno"/>
        </w:rPr>
        <w:t>10A</w:t>
      </w:r>
      <w:r>
        <w:rPr>
          <w:snapToGrid w:val="0"/>
        </w:rPr>
        <w:t>.</w:t>
      </w:r>
      <w:r>
        <w:rPr>
          <w:snapToGrid w:val="0"/>
        </w:rPr>
        <w:tab/>
        <w:t>Amount prescribed for section 29(1)(b)(ii) of Act</w:t>
      </w:r>
      <w:bookmarkEnd w:id="5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7" w:name="_Toc173151938"/>
      <w:r>
        <w:rPr>
          <w:rStyle w:val="CharSectno"/>
        </w:rPr>
        <w:lastRenderedPageBreak/>
        <w:t>11</w:t>
      </w:r>
      <w:r>
        <w:rPr>
          <w:snapToGrid w:val="0"/>
        </w:rPr>
        <w:t>.</w:t>
      </w:r>
      <w:r>
        <w:rPr>
          <w:snapToGrid w:val="0"/>
        </w:rPr>
        <w:tab/>
        <w:t>Amount prescribed for section 29(2) of Act</w:t>
      </w:r>
      <w:bookmarkEnd w:id="5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8" w:name="_Toc173151939"/>
      <w:r>
        <w:rPr>
          <w:rStyle w:val="CharSectno"/>
        </w:rPr>
        <w:t>12A</w:t>
      </w:r>
      <w:r>
        <w:t>.</w:t>
      </w:r>
      <w:r>
        <w:tab/>
        <w:t>Essential services prescribed for section 43(1) of Act</w:t>
      </w:r>
      <w:bookmarkEnd w:id="5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9" w:name="_Toc173151940"/>
      <w:r>
        <w:rPr>
          <w:rStyle w:val="CharSectno"/>
        </w:rPr>
        <w:t>12B</w:t>
      </w:r>
      <w:r>
        <w:t>.</w:t>
      </w:r>
      <w:r>
        <w:tab/>
        <w:t>Means to secure residential premises prescribed for s. 45(1)(a) of Act</w:t>
      </w:r>
      <w:bookmarkEnd w:id="59"/>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lastRenderedPageBreak/>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lastRenderedPageBreak/>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60" w:name="_Toc170989861"/>
      <w:bookmarkStart w:id="61" w:name="_Toc170990032"/>
      <w:bookmarkStart w:id="62" w:name="_Toc173151941"/>
      <w:r>
        <w:rPr>
          <w:rStyle w:val="CharSectno"/>
        </w:rPr>
        <w:t>12BB</w:t>
      </w:r>
      <w:r>
        <w:t>.</w:t>
      </w:r>
      <w:r>
        <w:tab/>
        <w:t>Ground for approval to refuse consent for pet prescribed for section 50E(3)(f) of Act</w:t>
      </w:r>
      <w:bookmarkEnd w:id="60"/>
      <w:bookmarkEnd w:id="61"/>
      <w:bookmarkEnd w:id="6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63" w:name="_Toc170989862"/>
      <w:bookmarkStart w:id="64" w:name="_Toc170990033"/>
      <w:bookmarkStart w:id="65" w:name="_Toc173151942"/>
      <w:r>
        <w:rPr>
          <w:rStyle w:val="CharSectno"/>
        </w:rPr>
        <w:t>12BC</w:t>
      </w:r>
      <w:r>
        <w:t>.</w:t>
      </w:r>
      <w:r>
        <w:tab/>
        <w:t>Prescribed modifications to prevent entry in circumstances of family violence for section 50M(2) of Act</w:t>
      </w:r>
      <w:bookmarkEnd w:id="63"/>
      <w:bookmarkEnd w:id="64"/>
      <w:bookmarkEnd w:id="65"/>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lastRenderedPageBreak/>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66" w:name="_Toc170989863"/>
      <w:bookmarkStart w:id="67" w:name="_Toc170990034"/>
      <w:bookmarkStart w:id="68" w:name="_Toc173151943"/>
      <w:r>
        <w:rPr>
          <w:rStyle w:val="CharSectno"/>
        </w:rPr>
        <w:t>12BD</w:t>
      </w:r>
      <w:r>
        <w:t>.</w:t>
      </w:r>
      <w:r>
        <w:tab/>
        <w:t>Types of modifications which may be subject to condition prescribed for section 50P(a) of Act</w:t>
      </w:r>
      <w:bookmarkEnd w:id="66"/>
      <w:bookmarkEnd w:id="67"/>
      <w:bookmarkEnd w:id="68"/>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69" w:name="_Toc170989864"/>
      <w:bookmarkStart w:id="70" w:name="_Toc170990035"/>
      <w:bookmarkStart w:id="71" w:name="_Toc173151944"/>
      <w:r>
        <w:rPr>
          <w:rStyle w:val="CharSectno"/>
        </w:rPr>
        <w:t>12BE</w:t>
      </w:r>
      <w:r>
        <w:t>.</w:t>
      </w:r>
      <w:r>
        <w:tab/>
        <w:t>Matters prescribed for section 50P(b) of Act</w:t>
      </w:r>
      <w:bookmarkEnd w:id="69"/>
      <w:bookmarkEnd w:id="70"/>
      <w:bookmarkEnd w:id="71"/>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 xml:space="preserve">if the lessor’s consent for the tenant to make the minor modification is subject to a condition under section 50P(a), the provision by the tenant to the lessor </w:t>
      </w:r>
      <w:r>
        <w:lastRenderedPageBreak/>
        <w:t>of a copy of the invoice of the person who carried out the modification.</w:t>
      </w:r>
    </w:p>
    <w:p>
      <w:pPr>
        <w:pStyle w:val="Footnotesection"/>
      </w:pPr>
      <w:r>
        <w:tab/>
        <w:t>[Regulation 12BE inserted: SL 2024/149 r. 12.]</w:t>
      </w:r>
    </w:p>
    <w:p>
      <w:pPr>
        <w:pStyle w:val="Heading5"/>
      </w:pPr>
      <w:bookmarkStart w:id="72" w:name="_Toc170989865"/>
      <w:bookmarkStart w:id="73" w:name="_Toc170990036"/>
      <w:bookmarkStart w:id="74" w:name="_Toc173151945"/>
      <w:r>
        <w:rPr>
          <w:rStyle w:val="CharSectno"/>
        </w:rPr>
        <w:t>12BF</w:t>
      </w:r>
      <w:r>
        <w:t>.</w:t>
      </w:r>
      <w:r>
        <w:tab/>
        <w:t>Grounds for approval to refuse consent prescribed for section 50S(3)(g) of Act</w:t>
      </w:r>
      <w:bookmarkEnd w:id="72"/>
      <w:bookmarkEnd w:id="73"/>
      <w:bookmarkEnd w:id="74"/>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75" w:name="_Toc173151946"/>
      <w:r>
        <w:rPr>
          <w:rStyle w:val="CharSectno"/>
        </w:rPr>
        <w:t>12C</w:t>
      </w:r>
      <w:r>
        <w:t>.</w:t>
      </w:r>
      <w:r>
        <w:tab/>
        <w:t>Social housing tenancy agreement for the purposes of section 71A of Act</w:t>
      </w:r>
      <w:bookmarkEnd w:id="75"/>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before the agreement is entered into, the Housing Authority determines, as the result of an assessment carried out under section 71D of the </w:t>
      </w:r>
      <w:r>
        <w:lastRenderedPageBreak/>
        <w:t>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76" w:name="_Toc173151947"/>
      <w:r>
        <w:rPr>
          <w:rStyle w:val="CharSectno"/>
        </w:rPr>
        <w:t>12CA</w:t>
      </w:r>
      <w:r>
        <w:t>.</w:t>
      </w:r>
      <w:r>
        <w:tab/>
        <w:t>Prescribed person for s. 71AB(2)(d)(vi) of Act</w:t>
      </w:r>
      <w:bookmarkEnd w:id="76"/>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77" w:name="_Toc173151948"/>
      <w:r>
        <w:rPr>
          <w:rStyle w:val="CharSectno"/>
        </w:rPr>
        <w:t>12D</w:t>
      </w:r>
      <w:r>
        <w:t>.</w:t>
      </w:r>
      <w:r>
        <w:tab/>
        <w:t>Manner prescribed for purposes of section 79(3)(b) of Act</w:t>
      </w:r>
      <w:bookmarkEnd w:id="77"/>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78" w:name="_Toc173151949"/>
      <w:r>
        <w:rPr>
          <w:rStyle w:val="CharSectno"/>
        </w:rPr>
        <w:t>12E</w:t>
      </w:r>
      <w:r>
        <w:t>.</w:t>
      </w:r>
      <w:r>
        <w:tab/>
        <w:t>Information prescribed for section 79(10) of Act</w:t>
      </w:r>
      <w:bookmarkEnd w:id="7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lastRenderedPageBreak/>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79" w:name="_Toc173151950"/>
      <w:r>
        <w:rPr>
          <w:rStyle w:val="CharSectno"/>
        </w:rPr>
        <w:t>12</w:t>
      </w:r>
      <w:r>
        <w:t>.</w:t>
      </w:r>
      <w:r>
        <w:tab/>
        <w:t>Manner prescribed for purposes of section 85(3)(c) of Act</w:t>
      </w:r>
      <w:bookmarkEnd w:id="7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80" w:name="_Toc173151951"/>
      <w:r>
        <w:rPr>
          <w:rStyle w:val="CharSectno"/>
        </w:rPr>
        <w:t>13</w:t>
      </w:r>
      <w:r>
        <w:t>.</w:t>
      </w:r>
      <w:r>
        <w:tab/>
        <w:t>Infringement notices</w:t>
      </w:r>
      <w:bookmarkEnd w:id="8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81" w:name="_Toc173151952"/>
      <w:r>
        <w:rPr>
          <w:rStyle w:val="CharSectno"/>
        </w:rPr>
        <w:t>14</w:t>
      </w:r>
      <w:r>
        <w:t>.</w:t>
      </w:r>
      <w:r>
        <w:tab/>
        <w:t>Matters prescribed for section 94 of Act</w:t>
      </w:r>
      <w:bookmarkEnd w:id="8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82" w:name="_Toc173151953"/>
      <w:r>
        <w:rPr>
          <w:rStyle w:val="CharSectno"/>
        </w:rPr>
        <w:t>15</w:t>
      </w:r>
      <w:r>
        <w:rPr>
          <w:snapToGrid w:val="0"/>
        </w:rPr>
        <w:t>.</w:t>
      </w:r>
      <w:r>
        <w:rPr>
          <w:snapToGrid w:val="0"/>
        </w:rPr>
        <w:tab/>
        <w:t>Disposal of unclaimed security bonds</w:t>
      </w:r>
      <w:bookmarkEnd w:id="8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 xml:space="preserve">informing them that the bond holder has reason to believe that 6 months have elapsed since the termination </w:t>
      </w:r>
      <w:r>
        <w:rPr>
          <w:snapToGrid w:val="0"/>
        </w:rPr>
        <w:lastRenderedPageBreak/>
        <w:t>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lastRenderedPageBreak/>
        <w:t>[</w:t>
      </w:r>
      <w:r>
        <w:rPr>
          <w:b/>
        </w:rPr>
        <w:t>16.</w:t>
      </w:r>
      <w:r>
        <w:tab/>
        <w:t>Deleted: Gazette 3 May 2013 p. 1756.]</w:t>
      </w:r>
    </w:p>
    <w:p>
      <w:pPr>
        <w:pStyle w:val="Heading5"/>
        <w:keepLines w:val="0"/>
        <w:spacing w:before="180"/>
        <w:rPr>
          <w:snapToGrid w:val="0"/>
        </w:rPr>
      </w:pPr>
      <w:bookmarkStart w:id="83" w:name="_Toc173151954"/>
      <w:r>
        <w:rPr>
          <w:rStyle w:val="CharSectno"/>
        </w:rPr>
        <w:t>17</w:t>
      </w:r>
      <w:r>
        <w:rPr>
          <w:snapToGrid w:val="0"/>
        </w:rPr>
        <w:t>.</w:t>
      </w:r>
      <w:r>
        <w:rPr>
          <w:snapToGrid w:val="0"/>
        </w:rPr>
        <w:tab/>
        <w:t>Fees prescribed</w:t>
      </w:r>
      <w:bookmarkEnd w:id="83"/>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84" w:name="_Toc173151955"/>
      <w:r>
        <w:rPr>
          <w:rStyle w:val="CharSectno"/>
        </w:rPr>
        <w:t>18</w:t>
      </w:r>
      <w:r>
        <w:t>.</w:t>
      </w:r>
      <w:r>
        <w:tab/>
        <w:t>Forms</w:t>
      </w:r>
      <w:bookmarkEnd w:id="84"/>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85" w:name="_Toc170989867"/>
      <w:bookmarkStart w:id="86" w:name="_Toc170989927"/>
      <w:bookmarkStart w:id="87" w:name="_Toc170989986"/>
      <w:bookmarkStart w:id="88" w:name="_Toc170990038"/>
      <w:bookmarkStart w:id="89" w:name="_Toc173149268"/>
      <w:bookmarkStart w:id="90" w:name="_Toc173151956"/>
      <w:r>
        <w:rPr>
          <w:rStyle w:val="CharPartNo"/>
        </w:rPr>
        <w:lastRenderedPageBreak/>
        <w:t>Part 4</w:t>
      </w:r>
      <w:r>
        <w:t> — </w:t>
      </w:r>
      <w:r>
        <w:rPr>
          <w:rStyle w:val="CharPartText"/>
        </w:rPr>
        <w:t>Transitional provisions</w:t>
      </w:r>
      <w:bookmarkEnd w:id="85"/>
      <w:bookmarkEnd w:id="86"/>
      <w:bookmarkEnd w:id="87"/>
      <w:bookmarkEnd w:id="88"/>
      <w:bookmarkEnd w:id="89"/>
      <w:bookmarkEnd w:id="90"/>
    </w:p>
    <w:p>
      <w:pPr>
        <w:pStyle w:val="Footnoteheading"/>
      </w:pPr>
      <w:r>
        <w:tab/>
        <w:t>[Heading inserted: SL 2024/149 r. 13.]</w:t>
      </w:r>
    </w:p>
    <w:p>
      <w:pPr>
        <w:pStyle w:val="Heading5"/>
      </w:pPr>
      <w:bookmarkStart w:id="91" w:name="_Toc170989868"/>
      <w:bookmarkStart w:id="92" w:name="_Toc170990039"/>
      <w:bookmarkStart w:id="93" w:name="_Toc173151957"/>
      <w:r>
        <w:rPr>
          <w:rStyle w:val="CharSectno"/>
        </w:rPr>
        <w:t>19</w:t>
      </w:r>
      <w:r>
        <w:t>.</w:t>
      </w:r>
      <w:r>
        <w:tab/>
        <w:t xml:space="preserve">Transitional provision — </w:t>
      </w:r>
      <w:r>
        <w:rPr>
          <w:i/>
          <w:iCs/>
        </w:rPr>
        <w:t>Residential Tenancies Amendment Regulations (No. 2) 2024</w:t>
      </w:r>
      <w:bookmarkEnd w:id="91"/>
      <w:bookmarkEnd w:id="92"/>
      <w:bookmarkEnd w:id="93"/>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4" w:name="_Toc173143140"/>
      <w:bookmarkStart w:id="95" w:name="_Toc173149270"/>
      <w:bookmarkStart w:id="96" w:name="_Toc173151958"/>
      <w:r>
        <w:rPr>
          <w:rStyle w:val="CharSchNo"/>
        </w:rPr>
        <w:lastRenderedPageBreak/>
        <w:t>Schedule 3</w:t>
      </w:r>
      <w:bookmarkEnd w:id="94"/>
      <w:bookmarkEnd w:id="95"/>
      <w:bookmarkEnd w:id="9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8" w:name="_Toc173143141"/>
      <w:bookmarkStart w:id="99" w:name="_Toc173149271"/>
      <w:bookmarkStart w:id="100" w:name="_Toc173151959"/>
      <w:r>
        <w:rPr>
          <w:rStyle w:val="CharSchNo"/>
        </w:rPr>
        <w:lastRenderedPageBreak/>
        <w:t>Schedule 4</w:t>
      </w:r>
      <w:r>
        <w:rPr>
          <w:rStyle w:val="CharSDivNo"/>
        </w:rPr>
        <w:t> </w:t>
      </w:r>
      <w:r>
        <w:t>—</w:t>
      </w:r>
      <w:r>
        <w:rPr>
          <w:rStyle w:val="CharSDivText"/>
        </w:rPr>
        <w:t> </w:t>
      </w:r>
      <w:r>
        <w:rPr>
          <w:rStyle w:val="CharSchText"/>
        </w:rPr>
        <w:t>Forms</w:t>
      </w:r>
      <w:bookmarkEnd w:id="98"/>
      <w:bookmarkEnd w:id="99"/>
      <w:bookmarkEnd w:id="100"/>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lastRenderedPageBreak/>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01" w:name="_Toc173143142"/>
      <w:bookmarkStart w:id="102" w:name="_Toc173149272"/>
      <w:bookmarkStart w:id="103" w:name="_Toc173151960"/>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101"/>
      <w:bookmarkEnd w:id="102"/>
      <w:bookmarkEnd w:id="103"/>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bookmarkStart w:id="104" w:name="_Hlk173151019"/>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bookmarkEnd w:id="104"/>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lastRenderedPageBreak/>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05" w:name="_Toc173143143"/>
      <w:bookmarkStart w:id="106" w:name="_Toc173149273"/>
      <w:bookmarkStart w:id="107" w:name="_Toc173151961"/>
      <w:r>
        <w:lastRenderedPageBreak/>
        <w:t>Notes</w:t>
      </w:r>
      <w:bookmarkEnd w:id="105"/>
      <w:bookmarkEnd w:id="106"/>
      <w:bookmarkEnd w:id="107"/>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108" w:name="_Toc173151962"/>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2024</w:t>
            </w:r>
          </w:p>
        </w:tc>
        <w:tc>
          <w:tcPr>
            <w:tcW w:w="1276" w:type="dxa"/>
            <w:tcBorders>
              <w:top w:val="nil"/>
              <w:bottom w:val="single" w:sz="4" w:space="0" w:color="auto"/>
            </w:tcBorders>
          </w:tcPr>
          <w:p>
            <w:pPr>
              <w:pStyle w:val="nTable"/>
              <w:spacing w:after="40"/>
            </w:pPr>
            <w:r>
              <w:t>SL 2024/149 10 Jul 2024</w:t>
            </w:r>
          </w:p>
        </w:tc>
        <w:tc>
          <w:tcPr>
            <w:tcW w:w="2693" w:type="dxa"/>
            <w:tcBorders>
              <w:top w:val="nil"/>
              <w:bottom w:val="single" w:sz="4" w:space="0" w:color="auto"/>
            </w:tcBorders>
          </w:tcPr>
          <w:p>
            <w:pPr>
              <w:pStyle w:val="nTable"/>
              <w:spacing w:after="40"/>
            </w:pPr>
            <w:r>
              <w:t>r. 1 and 2: 10 Jul 2024 (see r. 2(a));</w:t>
            </w:r>
            <w:r>
              <w:br/>
              <w:t>Regulations other than r. 1 and 2: 29 Jul 2024 (see r. 2(b))</w:t>
            </w:r>
          </w:p>
        </w:tc>
      </w:tr>
    </w:tbl>
    <w:p>
      <w:pPr>
        <w:pStyle w:val="nHeading3"/>
      </w:pPr>
      <w:bookmarkStart w:id="109" w:name="_Toc173151963"/>
      <w:r>
        <w:t>Other notes</w:t>
      </w:r>
      <w:bookmarkEnd w:id="109"/>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11" w:name="_Toc173151964"/>
      <w:r>
        <w:rPr>
          <w:sz w:val="28"/>
        </w:rPr>
        <w:lastRenderedPageBreak/>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bond holder</w:t>
      </w:r>
      <w:r>
        <w:tab/>
        <w:t>15(7)</w:t>
      </w:r>
    </w:p>
    <w:p>
      <w:pPr>
        <w:pStyle w:val="DefinedTerms"/>
      </w:pPr>
      <w:r>
        <w:t>commencement day</w:t>
      </w:r>
      <w:r>
        <w:tab/>
        <w:t>5A(1A), 19(1)</w:t>
      </w:r>
    </w:p>
    <w:p>
      <w:pPr>
        <w:pStyle w:val="DefinedTerms"/>
      </w:pPr>
      <w:r>
        <w:t>dangerous dog</w:t>
      </w:r>
      <w:r>
        <w:tab/>
        <w:t>12BB(1)</w:t>
      </w:r>
    </w:p>
    <w:p>
      <w:pPr>
        <w:pStyle w:val="DefinedTerms"/>
      </w:pPr>
      <w:r>
        <w:t>deadlock</w:t>
      </w:r>
      <w:r>
        <w:tab/>
        <w:t>12B(1)</w:t>
      </w:r>
    </w:p>
    <w:p>
      <w:pPr>
        <w:pStyle w:val="DefinedTerms"/>
      </w:pPr>
      <w:r>
        <w:t>draughtproofing</w:t>
      </w:r>
      <w:r>
        <w:tab/>
        <w:t>7I(1)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installing</w:t>
      </w:r>
      <w:r>
        <w:tab/>
        <w:t>3A</w:t>
      </w:r>
    </w:p>
    <w:p>
      <w:pPr>
        <w:pStyle w:val="DefinedTerms"/>
      </w:pPr>
      <w:r>
        <w:t>minor modification</w:t>
      </w:r>
      <w:r>
        <w:tab/>
        <w:t>7I(2)</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Pr>
        <w:pStyle w:val="DefinedTerms"/>
      </w:pPr>
      <w:r>
        <w:t>water-efficient shower head</w:t>
      </w:r>
      <w:r>
        <w:tab/>
        <w:t>7I(1)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C9F55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E17091" w14:textId="3FEC5BF3" w:rsidR="00114369" w:rsidRDefault="00F003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1E87">
                        <w:rPr>
                          <w:sz w:val="16"/>
                        </w:rPr>
                        <w:t>2024</w:t>
                      </w:r>
                      <w:r>
                        <w:rPr>
                          <w:sz w:val="16"/>
                        </w:rPr>
                        <w:fldChar w:fldCharType="end"/>
                      </w:r>
                      <w:r>
                        <w:rPr>
                          <w:sz w:val="16"/>
                        </w:rPr>
                        <w:t>.</w:t>
                      </w:r>
                    </w:p>
                    <w:p w14:paraId="3DA839CD" w14:textId="77777777" w:rsidR="00114369" w:rsidRDefault="00F003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BE401E" w14:textId="5E7CBABA" w:rsidR="00114369" w:rsidRDefault="00F003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1E87">
                        <w:rPr>
                          <w:sz w:val="16"/>
                        </w:rPr>
                        <w:t>2024</w:t>
                      </w:r>
                      <w:r>
                        <w:rPr>
                          <w:sz w:val="16"/>
                        </w:rPr>
                        <w:fldChar w:fldCharType="end"/>
                      </w:r>
                      <w:r>
                        <w:rPr>
                          <w:sz w:val="16"/>
                        </w:rPr>
                        <w:t>.</w:t>
                      </w:r>
                    </w:p>
                    <w:p w14:paraId="12AEA627" w14:textId="77777777" w:rsidR="00114369" w:rsidRDefault="00F003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97" w:name="Schedule"/>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2910542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15517</Words>
  <Characters>79758</Characters>
  <Application>Microsoft Office Word</Application>
  <DocSecurity>0</DocSecurity>
  <Lines>3190</Lines>
  <Paragraphs>1701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93574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1989 - 05-w0-00</dc:title>
  <dc:subject/>
  <dc:creator/>
  <cp:keywords/>
  <dc:description/>
  <cp:lastModifiedBy>Master Repository Process</cp:lastModifiedBy>
  <cp:revision>4</cp:revision>
  <cp:lastPrinted>2016-12-22T08:06:00Z</cp:lastPrinted>
  <dcterms:created xsi:type="dcterms:W3CDTF">2025-05-28T05:55:00Z</dcterms:created>
  <dcterms:modified xsi:type="dcterms:W3CDTF">2025-05-28T05:56:00Z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29 Jul 2024</vt:lpwstr>
  </property>
  <property fmtid="{D5CDD505-2E9C-101B-9397-08002B2CF9AE}" pid="8" name="Suffix">
    <vt:lpwstr>05-w0-00</vt:lpwstr>
  </property>
  <property fmtid="{D5CDD505-2E9C-101B-9397-08002B2CF9AE}" pid="9" name="Official">
    <vt:lpwstr/>
  </property>
  <property fmtid="{D5CDD505-2E9C-101B-9397-08002B2CF9AE}" pid="10" name="CommencementDate">
    <vt:lpwstr>20240729</vt:lpwstr>
  </property>
  <property fmtid="{D5CDD505-2E9C-101B-9397-08002B2CF9AE}" pid="11" name="CommencementAsAt">
    <vt:filetime>2024-07-28T16:00:00Z</vt:filetime>
  </property>
  <property fmtid="{D5CDD505-2E9C-101B-9397-08002B2CF9AE}" pid="12" name="CommencementYear">
    <vt:lpwstr>2024</vt:lpwstr>
  </property>
</Properties>
</file>