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(Noise)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(Noise)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_Toc173502667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w:t>
      </w:r>
      <w:r>
        <w:tab/>
      </w:r>
      <w:r>
        <w:fldChar w:fldCharType="begin"/>
      </w:r>
      <w:r>
        <w:instrText xml:space="preserve"> PAGEREF _Toc173502668 \h </w:instrText>
      </w:r>
      <w:r>
        <w:fldChar w:fldCharType="separate"/>
      </w:r>
      <w:r>
        <w:t>1</w:t>
      </w:r>
      <w:r>
        <w:fldChar w:fldCharType="end"/>
      </w:r>
    </w:p>
    <w:p>
      <w:pPr>
        <w:pStyle w:val="TOC8"/>
        <w:rPr>
          <w:rFonts w:asciiTheme="minorHAnsi" w:eastAsiaTheme="minorEastAsia" w:hAnsiTheme="minorHAnsi" w:cstheme="minorBidi"/>
          <w:szCs w:val="22"/>
        </w:rPr>
      </w:pPr>
      <w:r>
        <w:t>3.</w:t>
      </w:r>
      <w:r>
        <w:tab/>
        <w:t>Regulations do not apply to certain noise emissions</w:t>
      </w:r>
      <w:r>
        <w:tab/>
      </w:r>
      <w:r>
        <w:fldChar w:fldCharType="begin"/>
      </w:r>
      <w:r>
        <w:instrText xml:space="preserve"> PAGEREF _Toc173502669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Allowable noise emissions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w:t>
      </w:r>
      <w:r>
        <w:rPr>
          <w:snapToGrid w:val="0"/>
        </w:rPr>
        <w:t xml:space="preserve">. </w:t>
      </w:r>
      <w:r>
        <w:rPr>
          <w:snapToGrid w:val="0"/>
        </w:rPr>
        <w:tab/>
        <w:t>General effect of this Part</w:t>
      </w:r>
      <w:r>
        <w:tab/>
      </w:r>
      <w:r>
        <w:fldChar w:fldCharType="begin"/>
      </w:r>
      <w:r>
        <w:instrText xml:space="preserve"> PAGEREF _Toc173502672 \h </w:instrText>
      </w:r>
      <w:r>
        <w:fldChar w:fldCharType="separate"/>
      </w:r>
      <w:r>
        <w:t>6</w:t>
      </w:r>
      <w:r>
        <w:fldChar w:fldCharType="end"/>
      </w:r>
    </w:p>
    <w:p>
      <w:pPr>
        <w:pStyle w:val="TOC8"/>
        <w:rPr>
          <w:rFonts w:asciiTheme="minorHAnsi" w:eastAsiaTheme="minorEastAsia" w:hAnsiTheme="minorHAnsi" w:cstheme="minorBidi"/>
          <w:szCs w:val="22"/>
        </w:rPr>
      </w:pPr>
      <w:r>
        <w:t>5.</w:t>
      </w:r>
      <w:r>
        <w:tab/>
        <w:t>Unreasonable noise</w:t>
      </w:r>
      <w:r>
        <w:tab/>
      </w:r>
      <w:r>
        <w:fldChar w:fldCharType="begin"/>
      </w:r>
      <w:r>
        <w:instrText xml:space="preserve"> PAGEREF _Toc173502673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Regulation of noise from public places</w:t>
      </w:r>
      <w:r>
        <w:tab/>
      </w:r>
      <w:r>
        <w:fldChar w:fldCharType="begin"/>
      </w:r>
      <w:r>
        <w:instrText xml:space="preserve"> PAGEREF _Toc173502674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Prescribed standard for noise emissions</w:t>
      </w:r>
      <w:r>
        <w:tab/>
      </w:r>
      <w:r>
        <w:fldChar w:fldCharType="begin"/>
      </w:r>
      <w:r>
        <w:instrText xml:space="preserve"> PAGEREF _Toc173502675 \h </w:instrText>
      </w:r>
      <w:r>
        <w:fldChar w:fldCharType="separate"/>
      </w:r>
      <w:r>
        <w:t>7</w:t>
      </w:r>
      <w:r>
        <w:fldChar w:fldCharType="end"/>
      </w:r>
    </w:p>
    <w:p>
      <w:pPr>
        <w:pStyle w:val="TOC8"/>
        <w:rPr>
          <w:rFonts w:asciiTheme="minorHAnsi" w:eastAsiaTheme="minorEastAsia" w:hAnsiTheme="minorHAnsi" w:cstheme="minorBidi"/>
          <w:szCs w:val="22"/>
        </w:rPr>
      </w:pPr>
      <w:r>
        <w:t>8.</w:t>
      </w:r>
      <w:r>
        <w:tab/>
        <w:t>Assigned levels</w:t>
      </w:r>
      <w:r>
        <w:tab/>
      </w:r>
      <w:r>
        <w:fldChar w:fldCharType="begin"/>
      </w:r>
      <w:r>
        <w:instrText xml:space="preserve"> PAGEREF _Toc173502676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Intrusive or dominant noise characteristics</w:t>
      </w:r>
      <w:r>
        <w:tab/>
      </w:r>
      <w:r>
        <w:fldChar w:fldCharType="begin"/>
      </w:r>
      <w:r>
        <w:instrText xml:space="preserve"> PAGEREF _Toc173502677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Non</w:t>
      </w:r>
      <w:r>
        <w:rPr>
          <w:snapToGrid w:val="0"/>
        </w:rPr>
        <w:noBreakHyphen/>
        <w:t>conforming uses and changes of zoning</w:t>
      </w:r>
      <w:r>
        <w:tab/>
      </w:r>
      <w:r>
        <w:fldChar w:fldCharType="begin"/>
      </w:r>
      <w:r>
        <w:instrText xml:space="preserve"> PAGEREF _Toc173502678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Various premises and activities</w:t>
      </w:r>
    </w:p>
    <w:p>
      <w:pPr>
        <w:pStyle w:val="TOC8"/>
        <w:rPr>
          <w:rFonts w:asciiTheme="minorHAnsi" w:eastAsiaTheme="minorEastAsia" w:hAnsiTheme="minorHAnsi" w:cstheme="minorBidi"/>
          <w:szCs w:val="22"/>
        </w:rPr>
      </w:pPr>
      <w:r>
        <w:t>11.</w:t>
      </w:r>
      <w:r>
        <w:tab/>
        <w:t>Airblast levels due to blasting</w:t>
      </w:r>
      <w:r>
        <w:tab/>
      </w:r>
      <w:r>
        <w:fldChar w:fldCharType="begin"/>
      </w:r>
      <w:r>
        <w:instrText xml:space="preserve"> PAGEREF _Toc173502680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Rural premises</w:t>
      </w:r>
      <w:r>
        <w:tab/>
      </w:r>
      <w:r>
        <w:fldChar w:fldCharType="begin"/>
      </w:r>
      <w:r>
        <w:instrText xml:space="preserve"> PAGEREF _Toc173502681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Construction sites</w:t>
      </w:r>
      <w:r>
        <w:tab/>
      </w:r>
      <w:r>
        <w:fldChar w:fldCharType="begin"/>
      </w:r>
      <w:r>
        <w:instrText xml:space="preserve"> PAGEREF _Toc173502682 \h </w:instrText>
      </w:r>
      <w:r>
        <w:fldChar w:fldCharType="separate"/>
      </w:r>
      <w:r>
        <w:t>20</w:t>
      </w:r>
      <w:r>
        <w:fldChar w:fldCharType="end"/>
      </w:r>
    </w:p>
    <w:p>
      <w:pPr>
        <w:pStyle w:val="TOC8"/>
        <w:rPr>
          <w:rFonts w:asciiTheme="minorHAnsi" w:eastAsiaTheme="minorEastAsia" w:hAnsiTheme="minorHAnsi" w:cstheme="minorBidi"/>
          <w:szCs w:val="22"/>
        </w:rPr>
      </w:pPr>
      <w:r>
        <w:t>14A.</w:t>
      </w:r>
      <w:r>
        <w:tab/>
        <w:t>Waste collection and other works</w:t>
      </w:r>
      <w:r>
        <w:tab/>
      </w:r>
      <w:r>
        <w:fldChar w:fldCharType="begin"/>
      </w:r>
      <w:r>
        <w:instrText xml:space="preserve"> PAGEREF _Toc173502683 \h </w:instrText>
      </w:r>
      <w:r>
        <w:fldChar w:fldCharType="separate"/>
      </w:r>
      <w:r>
        <w:t>24</w:t>
      </w:r>
      <w:r>
        <w:fldChar w:fldCharType="end"/>
      </w:r>
    </w:p>
    <w:p>
      <w:pPr>
        <w:pStyle w:val="TOC8"/>
        <w:rPr>
          <w:rFonts w:asciiTheme="minorHAnsi" w:eastAsiaTheme="minorEastAsia" w:hAnsiTheme="minorHAnsi" w:cstheme="minorBidi"/>
          <w:szCs w:val="22"/>
        </w:rPr>
      </w:pPr>
      <w:r>
        <w:t>14B.</w:t>
      </w:r>
      <w:r>
        <w:tab/>
        <w:t>Ancillary measures: waste collection and other works</w:t>
      </w:r>
      <w:r>
        <w:tab/>
      </w:r>
      <w:r>
        <w:fldChar w:fldCharType="begin"/>
      </w:r>
      <w:r>
        <w:instrText xml:space="preserve"> PAGEREF _Toc173502684 \h </w:instrText>
      </w:r>
      <w:r>
        <w:fldChar w:fldCharType="separate"/>
      </w:r>
      <w:r>
        <w:t>28</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Equipment used on residential premises</w:t>
      </w:r>
      <w:r>
        <w:tab/>
      </w:r>
      <w:r>
        <w:fldChar w:fldCharType="begin"/>
      </w:r>
      <w:r>
        <w:instrText xml:space="preserve"> PAGEREF _Toc173502685 \h </w:instrText>
      </w:r>
      <w:r>
        <w:fldChar w:fldCharType="separate"/>
      </w:r>
      <w:r>
        <w:t>29</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Bellringing and calls to worship</w:t>
      </w:r>
      <w:r>
        <w:tab/>
      </w:r>
      <w:r>
        <w:fldChar w:fldCharType="begin"/>
      </w:r>
      <w:r>
        <w:instrText xml:space="preserve"> PAGEREF _Toc173502686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Motor sport venues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_Toc173502688 \h </w:instrText>
      </w:r>
      <w:r>
        <w:fldChar w:fldCharType="separate"/>
      </w:r>
      <w:r>
        <w:t>33</w:t>
      </w:r>
      <w:r>
        <w:fldChar w:fldCharType="end"/>
      </w:r>
    </w:p>
    <w:p>
      <w:pPr>
        <w:pStyle w:val="TOC8"/>
        <w:rPr>
          <w:rFonts w:asciiTheme="minorHAnsi" w:eastAsiaTheme="minorEastAsia" w:hAnsiTheme="minorHAnsi" w:cstheme="minorBidi"/>
          <w:szCs w:val="22"/>
        </w:rPr>
      </w:pPr>
      <w:r>
        <w:lastRenderedPageBreak/>
        <w:t>16AA.</w:t>
      </w:r>
      <w:r>
        <w:tab/>
        <w:t>Approval of noise management plan: motor sport venue</w:t>
      </w:r>
      <w:r>
        <w:tab/>
      </w:r>
      <w:r>
        <w:fldChar w:fldCharType="begin"/>
      </w:r>
      <w:r>
        <w:instrText xml:space="preserve"> PAGEREF _Toc173502689 \h </w:instrText>
      </w:r>
      <w:r>
        <w:fldChar w:fldCharType="separate"/>
      </w:r>
      <w:r>
        <w:t>34</w:t>
      </w:r>
      <w:r>
        <w:fldChar w:fldCharType="end"/>
      </w:r>
    </w:p>
    <w:p>
      <w:pPr>
        <w:pStyle w:val="TOC8"/>
        <w:rPr>
          <w:rFonts w:asciiTheme="minorHAnsi" w:eastAsiaTheme="minorEastAsia" w:hAnsiTheme="minorHAnsi" w:cstheme="minorBidi"/>
          <w:szCs w:val="22"/>
        </w:rPr>
      </w:pPr>
      <w:r>
        <w:t>16AB.</w:t>
      </w:r>
      <w:r>
        <w:tab/>
        <w:t>Ancillary measures: motor sport venue</w:t>
      </w:r>
      <w:r>
        <w:tab/>
      </w:r>
      <w:r>
        <w:fldChar w:fldCharType="begin"/>
      </w:r>
      <w:r>
        <w:instrText xml:space="preserve"> PAGEREF _Toc173502690 \h </w:instrText>
      </w:r>
      <w:r>
        <w:fldChar w:fldCharType="separate"/>
      </w:r>
      <w:r>
        <w:t>37</w:t>
      </w:r>
      <w:r>
        <w:fldChar w:fldCharType="end"/>
      </w:r>
    </w:p>
    <w:p>
      <w:pPr>
        <w:pStyle w:val="TOC8"/>
        <w:rPr>
          <w:rFonts w:asciiTheme="minorHAnsi" w:eastAsiaTheme="minorEastAsia" w:hAnsiTheme="minorHAnsi" w:cstheme="minorBidi"/>
          <w:szCs w:val="22"/>
        </w:rPr>
      </w:pPr>
      <w:r>
        <w:t>16AC.</w:t>
      </w:r>
      <w:r>
        <w:tab/>
        <w:t>Revocation of noise management plan for motor sport venue</w:t>
      </w:r>
      <w:r>
        <w:tab/>
      </w:r>
      <w:r>
        <w:fldChar w:fldCharType="begin"/>
      </w:r>
      <w:r>
        <w:instrText xml:space="preserve"> PAGEREF _Toc173502691 \h </w:instrText>
      </w:r>
      <w:r>
        <w:fldChar w:fldCharType="separate"/>
      </w:r>
      <w:r>
        <w:t>37</w:t>
      </w:r>
      <w:r>
        <w:fldChar w:fldCharType="end"/>
      </w:r>
    </w:p>
    <w:p>
      <w:pPr>
        <w:pStyle w:val="TOC8"/>
        <w:rPr>
          <w:rFonts w:asciiTheme="minorHAnsi" w:eastAsiaTheme="minorEastAsia" w:hAnsiTheme="minorHAnsi" w:cstheme="minorBidi"/>
          <w:szCs w:val="22"/>
        </w:rPr>
      </w:pPr>
      <w:r>
        <w:t>16AD.</w:t>
      </w:r>
      <w:r>
        <w:tab/>
        <w:t>Notice of appellable decision</w:t>
      </w:r>
      <w:r>
        <w:tab/>
      </w:r>
      <w:r>
        <w:fldChar w:fldCharType="begin"/>
      </w:r>
      <w:r>
        <w:instrText xml:space="preserve"> PAGEREF _Toc173502692 \h </w:instrText>
      </w:r>
      <w:r>
        <w:fldChar w:fldCharType="separate"/>
      </w:r>
      <w:r>
        <w:t>38</w:t>
      </w:r>
      <w:r>
        <w:fldChar w:fldCharType="end"/>
      </w:r>
    </w:p>
    <w:p>
      <w:pPr>
        <w:pStyle w:val="TOC8"/>
        <w:rPr>
          <w:rFonts w:asciiTheme="minorHAnsi" w:eastAsiaTheme="minorEastAsia" w:hAnsiTheme="minorHAnsi" w:cstheme="minorBidi"/>
          <w:szCs w:val="22"/>
        </w:rPr>
      </w:pPr>
      <w:r>
        <w:t>16AE.</w:t>
      </w:r>
      <w:r>
        <w:tab/>
        <w:t>Appeals against decisions in respect of noise management plan for motor sport venue</w:t>
      </w:r>
      <w:r>
        <w:tab/>
      </w:r>
      <w:r>
        <w:fldChar w:fldCharType="begin"/>
      </w:r>
      <w:r>
        <w:instrText xml:space="preserve"> PAGEREF _Toc173502693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4 — Shooting venues</w:t>
      </w:r>
    </w:p>
    <w:p>
      <w:pPr>
        <w:pStyle w:val="TOC8"/>
        <w:rPr>
          <w:rFonts w:asciiTheme="minorHAnsi" w:eastAsiaTheme="minorEastAsia" w:hAnsiTheme="minorHAnsi" w:cstheme="minorBidi"/>
          <w:szCs w:val="22"/>
        </w:rPr>
      </w:pPr>
      <w:r>
        <w:t>16B.</w:t>
      </w:r>
      <w:r>
        <w:tab/>
        <w:t>Terms used</w:t>
      </w:r>
      <w:r>
        <w:tab/>
      </w:r>
      <w:r>
        <w:fldChar w:fldCharType="begin"/>
      </w:r>
      <w:r>
        <w:instrText xml:space="preserve"> PAGEREF _Toc173502695 \h </w:instrText>
      </w:r>
      <w:r>
        <w:fldChar w:fldCharType="separate"/>
      </w:r>
      <w:r>
        <w:t>40</w:t>
      </w:r>
      <w:r>
        <w:fldChar w:fldCharType="end"/>
      </w:r>
    </w:p>
    <w:p>
      <w:pPr>
        <w:pStyle w:val="TOC8"/>
        <w:rPr>
          <w:rFonts w:asciiTheme="minorHAnsi" w:eastAsiaTheme="minorEastAsia" w:hAnsiTheme="minorHAnsi" w:cstheme="minorBidi"/>
          <w:szCs w:val="22"/>
        </w:rPr>
      </w:pPr>
      <w:r>
        <w:t>16BA.</w:t>
      </w:r>
      <w:r>
        <w:tab/>
        <w:t>Approval of noise management plan: shooting venue</w:t>
      </w:r>
      <w:r>
        <w:tab/>
      </w:r>
      <w:r>
        <w:fldChar w:fldCharType="begin"/>
      </w:r>
      <w:r>
        <w:instrText xml:space="preserve"> PAGEREF _Toc173502696 \h </w:instrText>
      </w:r>
      <w:r>
        <w:fldChar w:fldCharType="separate"/>
      </w:r>
      <w:r>
        <w:t>40</w:t>
      </w:r>
      <w:r>
        <w:fldChar w:fldCharType="end"/>
      </w:r>
    </w:p>
    <w:p>
      <w:pPr>
        <w:pStyle w:val="TOC8"/>
        <w:rPr>
          <w:rFonts w:asciiTheme="minorHAnsi" w:eastAsiaTheme="minorEastAsia" w:hAnsiTheme="minorHAnsi" w:cstheme="minorBidi"/>
          <w:szCs w:val="22"/>
        </w:rPr>
      </w:pPr>
      <w:r>
        <w:t>16BB.</w:t>
      </w:r>
      <w:r>
        <w:tab/>
        <w:t>Ancillary measures: shooting venue</w:t>
      </w:r>
      <w:r>
        <w:tab/>
      </w:r>
      <w:r>
        <w:fldChar w:fldCharType="begin"/>
      </w:r>
      <w:r>
        <w:instrText xml:space="preserve"> PAGEREF _Toc173502697 \h </w:instrText>
      </w:r>
      <w:r>
        <w:fldChar w:fldCharType="separate"/>
      </w:r>
      <w:r>
        <w:t>43</w:t>
      </w:r>
      <w:r>
        <w:fldChar w:fldCharType="end"/>
      </w:r>
    </w:p>
    <w:p>
      <w:pPr>
        <w:pStyle w:val="TOC8"/>
        <w:rPr>
          <w:rFonts w:asciiTheme="minorHAnsi" w:eastAsiaTheme="minorEastAsia" w:hAnsiTheme="minorHAnsi" w:cstheme="minorBidi"/>
          <w:szCs w:val="22"/>
        </w:rPr>
      </w:pPr>
      <w:r>
        <w:t>16BC.</w:t>
      </w:r>
      <w:r>
        <w:tab/>
        <w:t>Revocation of noise management plan for shooting venue</w:t>
      </w:r>
      <w:r>
        <w:tab/>
      </w:r>
      <w:r>
        <w:fldChar w:fldCharType="begin"/>
      </w:r>
      <w:r>
        <w:instrText xml:space="preserve"> PAGEREF _Toc173502698 \h </w:instrText>
      </w:r>
      <w:r>
        <w:fldChar w:fldCharType="separate"/>
      </w:r>
      <w:r>
        <w:t>43</w:t>
      </w:r>
      <w:r>
        <w:fldChar w:fldCharType="end"/>
      </w:r>
    </w:p>
    <w:p>
      <w:pPr>
        <w:pStyle w:val="TOC8"/>
        <w:rPr>
          <w:rFonts w:asciiTheme="minorHAnsi" w:eastAsiaTheme="minorEastAsia" w:hAnsiTheme="minorHAnsi" w:cstheme="minorBidi"/>
          <w:szCs w:val="22"/>
        </w:rPr>
      </w:pPr>
      <w:r>
        <w:t>16BD.</w:t>
      </w:r>
      <w:r>
        <w:tab/>
        <w:t>Notice of appellable decision</w:t>
      </w:r>
      <w:r>
        <w:tab/>
      </w:r>
      <w:r>
        <w:fldChar w:fldCharType="begin"/>
      </w:r>
      <w:r>
        <w:instrText xml:space="preserve"> PAGEREF _Toc173502699 \h </w:instrText>
      </w:r>
      <w:r>
        <w:fldChar w:fldCharType="separate"/>
      </w:r>
      <w:r>
        <w:t>45</w:t>
      </w:r>
      <w:r>
        <w:fldChar w:fldCharType="end"/>
      </w:r>
    </w:p>
    <w:p>
      <w:pPr>
        <w:pStyle w:val="TOC8"/>
        <w:rPr>
          <w:rFonts w:asciiTheme="minorHAnsi" w:eastAsiaTheme="minorEastAsia" w:hAnsiTheme="minorHAnsi" w:cstheme="minorBidi"/>
          <w:szCs w:val="22"/>
        </w:rPr>
      </w:pPr>
      <w:r>
        <w:t>16BE.</w:t>
      </w:r>
      <w:r>
        <w:tab/>
        <w:t>Appeals against decisions in respect of noise management plan for shooting venue</w:t>
      </w:r>
      <w:r>
        <w:tab/>
      </w:r>
      <w:r>
        <w:fldChar w:fldCharType="begin"/>
      </w:r>
      <w:r>
        <w:instrText xml:space="preserve"> PAGEREF _Toc173502700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Community activities</w:t>
      </w:r>
    </w:p>
    <w:p>
      <w:pPr>
        <w:pStyle w:val="TOC8"/>
        <w:rPr>
          <w:rFonts w:asciiTheme="minorHAnsi" w:eastAsiaTheme="minorEastAsia" w:hAnsiTheme="minorHAnsi" w:cstheme="minorBidi"/>
          <w:szCs w:val="22"/>
        </w:rPr>
      </w:pPr>
      <w:r>
        <w:t>16</w:t>
      </w:r>
      <w:r>
        <w:rPr>
          <w:snapToGrid w:val="0"/>
        </w:rPr>
        <w:t xml:space="preserve">. </w:t>
      </w:r>
      <w:r>
        <w:rPr>
          <w:snapToGrid w:val="0"/>
        </w:rPr>
        <w:tab/>
        <w:t>Community noise</w:t>
      </w:r>
      <w:r>
        <w:tab/>
      </w:r>
      <w:r>
        <w:fldChar w:fldCharType="begin"/>
      </w:r>
      <w:r>
        <w:instrText xml:space="preserve"> PAGEREF _Toc173502702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6 — Where standard cannot reasonably be met</w:t>
      </w:r>
    </w:p>
    <w:p>
      <w:pPr>
        <w:pStyle w:val="TOC8"/>
        <w:rPr>
          <w:rFonts w:asciiTheme="minorHAnsi" w:eastAsiaTheme="minorEastAsia" w:hAnsiTheme="minorHAnsi" w:cstheme="minorBidi"/>
          <w:szCs w:val="22"/>
        </w:rPr>
      </w:pPr>
      <w:r>
        <w:t>17.</w:t>
      </w:r>
      <w:r>
        <w:tab/>
        <w:t>Approval to allow emission of noise to exceed or vary from standard: application and referral</w:t>
      </w:r>
      <w:r>
        <w:tab/>
      </w:r>
      <w:r>
        <w:fldChar w:fldCharType="begin"/>
      </w:r>
      <w:r>
        <w:instrText xml:space="preserve"> PAGEREF _Toc173502704 \h </w:instrText>
      </w:r>
      <w:r>
        <w:fldChar w:fldCharType="separate"/>
      </w:r>
      <w:r>
        <w:t>49</w:t>
      </w:r>
      <w:r>
        <w:fldChar w:fldCharType="end"/>
      </w:r>
    </w:p>
    <w:p>
      <w:pPr>
        <w:pStyle w:val="TOC8"/>
        <w:rPr>
          <w:rFonts w:asciiTheme="minorHAnsi" w:eastAsiaTheme="minorEastAsia" w:hAnsiTheme="minorHAnsi" w:cstheme="minorBidi"/>
          <w:szCs w:val="22"/>
        </w:rPr>
      </w:pPr>
      <w:r>
        <w:t>18A.</w:t>
      </w:r>
      <w:r>
        <w:tab/>
        <w:t>Assessment by CEO</w:t>
      </w:r>
      <w:r>
        <w:tab/>
      </w:r>
      <w:r>
        <w:fldChar w:fldCharType="begin"/>
      </w:r>
      <w:r>
        <w:instrText xml:space="preserve"> PAGEREF _Toc173502705 \h </w:instrText>
      </w:r>
      <w:r>
        <w:fldChar w:fldCharType="separate"/>
      </w:r>
      <w:r>
        <w:t>51</w:t>
      </w:r>
      <w:r>
        <w:fldChar w:fldCharType="end"/>
      </w:r>
    </w:p>
    <w:p>
      <w:pPr>
        <w:pStyle w:val="TOC8"/>
        <w:rPr>
          <w:rFonts w:asciiTheme="minorHAnsi" w:eastAsiaTheme="minorEastAsia" w:hAnsiTheme="minorHAnsi" w:cstheme="minorBidi"/>
          <w:szCs w:val="22"/>
        </w:rPr>
      </w:pPr>
      <w:r>
        <w:t>18B.</w:t>
      </w:r>
      <w:r>
        <w:tab/>
        <w:t>Decision by Minister</w:t>
      </w:r>
      <w:r>
        <w:tab/>
      </w:r>
      <w:r>
        <w:fldChar w:fldCharType="begin"/>
      </w:r>
      <w:r>
        <w:instrText xml:space="preserve"> PAGEREF _Toc173502706 \h </w:instrText>
      </w:r>
      <w:r>
        <w:fldChar w:fldCharType="separate"/>
      </w:r>
      <w:r>
        <w:t>53</w:t>
      </w:r>
      <w:r>
        <w:fldChar w:fldCharType="end"/>
      </w:r>
    </w:p>
    <w:p>
      <w:pPr>
        <w:pStyle w:val="TOC8"/>
        <w:rPr>
          <w:rFonts w:asciiTheme="minorHAnsi" w:eastAsiaTheme="minorEastAsia" w:hAnsiTheme="minorHAnsi" w:cstheme="minorBidi"/>
          <w:szCs w:val="22"/>
        </w:rPr>
      </w:pPr>
      <w:r>
        <w:t>18C.</w:t>
      </w:r>
      <w:r>
        <w:tab/>
        <w:t>Notification of approval, amendment or revocation</w:t>
      </w:r>
      <w:r>
        <w:tab/>
      </w:r>
      <w:r>
        <w:fldChar w:fldCharType="begin"/>
      </w:r>
      <w:r>
        <w:instrText xml:space="preserve"> PAGEREF _Toc173502707 \h </w:instrText>
      </w:r>
      <w:r>
        <w:fldChar w:fldCharType="separate"/>
      </w:r>
      <w:r>
        <w:t>53</w:t>
      </w:r>
      <w:r>
        <w:fldChar w:fldCharType="end"/>
      </w:r>
    </w:p>
    <w:p>
      <w:pPr>
        <w:pStyle w:val="TOC8"/>
        <w:rPr>
          <w:rFonts w:asciiTheme="minorHAnsi" w:eastAsiaTheme="minorEastAsia" w:hAnsiTheme="minorHAnsi" w:cstheme="minorBidi"/>
          <w:szCs w:val="22"/>
        </w:rPr>
      </w:pPr>
      <w:r>
        <w:t>18D.</w:t>
      </w:r>
      <w:r>
        <w:tab/>
        <w:t>Ancillary conditions</w:t>
      </w:r>
      <w:r>
        <w:tab/>
      </w:r>
      <w:r>
        <w:fldChar w:fldCharType="begin"/>
      </w:r>
      <w:r>
        <w:instrText xml:space="preserve"> PAGEREF _Toc173502708 \h </w:instrText>
      </w:r>
      <w:r>
        <w:fldChar w:fldCharType="separate"/>
      </w:r>
      <w:r>
        <w:t>53</w:t>
      </w:r>
      <w:r>
        <w:fldChar w:fldCharType="end"/>
      </w:r>
    </w:p>
    <w:p>
      <w:pPr>
        <w:pStyle w:val="TOC8"/>
        <w:rPr>
          <w:rFonts w:asciiTheme="minorHAnsi" w:eastAsiaTheme="minorEastAsia" w:hAnsiTheme="minorHAnsi" w:cstheme="minorBidi"/>
          <w:szCs w:val="22"/>
        </w:rPr>
      </w:pPr>
      <w:r>
        <w:t>18E.</w:t>
      </w:r>
      <w:r>
        <w:tab/>
        <w:t>Amendment or revocation of approval</w:t>
      </w:r>
      <w:r>
        <w:tab/>
      </w:r>
      <w:r>
        <w:fldChar w:fldCharType="begin"/>
      </w:r>
      <w:r>
        <w:instrText xml:space="preserve"> PAGEREF _Toc173502709 \h </w:instrText>
      </w:r>
      <w:r>
        <w:fldChar w:fldCharType="separate"/>
      </w:r>
      <w:r>
        <w:t>54</w:t>
      </w:r>
      <w:r>
        <w:fldChar w:fldCharType="end"/>
      </w:r>
    </w:p>
    <w:p>
      <w:pPr>
        <w:pStyle w:val="TOC8"/>
        <w:rPr>
          <w:rFonts w:asciiTheme="minorHAnsi" w:eastAsiaTheme="minorEastAsia" w:hAnsiTheme="minorHAnsi" w:cstheme="minorBidi"/>
          <w:szCs w:val="22"/>
        </w:rPr>
      </w:pPr>
      <w:r>
        <w:t>18F.</w:t>
      </w:r>
      <w:r>
        <w:tab/>
        <w:t>Effect of breach of condition or revocation of approval</w:t>
      </w:r>
      <w:r>
        <w:tab/>
      </w:r>
      <w:r>
        <w:fldChar w:fldCharType="begin"/>
      </w:r>
      <w:r>
        <w:instrText xml:space="preserve"> PAGEREF _Toc173502710 \h </w:instrText>
      </w:r>
      <w:r>
        <w:fldChar w:fldCharType="separate"/>
      </w:r>
      <w:r>
        <w:t>54</w:t>
      </w:r>
      <w:r>
        <w:fldChar w:fldCharType="end"/>
      </w:r>
    </w:p>
    <w:p>
      <w:pPr>
        <w:pStyle w:val="TOC8"/>
        <w:rPr>
          <w:rFonts w:asciiTheme="minorHAnsi" w:eastAsiaTheme="minorEastAsia" w:hAnsiTheme="minorHAnsi" w:cstheme="minorBidi"/>
          <w:szCs w:val="22"/>
        </w:rPr>
      </w:pPr>
      <w:r>
        <w:t>18G.</w:t>
      </w:r>
      <w:r>
        <w:tab/>
        <w:t>Noise monitoring fees</w:t>
      </w:r>
      <w:r>
        <w:tab/>
      </w:r>
      <w:r>
        <w:fldChar w:fldCharType="begin"/>
      </w:r>
      <w:r>
        <w:instrText xml:space="preserve"> PAGEREF _Toc173502711 \h </w:instrText>
      </w:r>
      <w:r>
        <w:fldChar w:fldCharType="separate"/>
      </w:r>
      <w:r>
        <w:t>55</w:t>
      </w:r>
      <w:r>
        <w:fldChar w:fldCharType="end"/>
      </w:r>
    </w:p>
    <w:p>
      <w:pPr>
        <w:pStyle w:val="TOC8"/>
        <w:rPr>
          <w:rFonts w:asciiTheme="minorHAnsi" w:eastAsiaTheme="minorEastAsia" w:hAnsiTheme="minorHAnsi" w:cstheme="minorBidi"/>
          <w:szCs w:val="22"/>
        </w:rPr>
      </w:pPr>
      <w:r>
        <w:t>18H.</w:t>
      </w:r>
      <w:r>
        <w:tab/>
        <w:t>Appeals against decisions under this Division</w:t>
      </w:r>
      <w:r>
        <w:tab/>
      </w:r>
      <w:r>
        <w:fldChar w:fldCharType="begin"/>
      </w:r>
      <w:r>
        <w:instrText xml:space="preserve"> PAGEREF _Toc173502712 \h </w:instrText>
      </w:r>
      <w:r>
        <w:fldChar w:fldCharType="separate"/>
      </w:r>
      <w:r>
        <w:t>55</w:t>
      </w:r>
      <w:r>
        <w:fldChar w:fldCharType="end"/>
      </w:r>
    </w:p>
    <w:p>
      <w:pPr>
        <w:pStyle w:val="TOC8"/>
        <w:rPr>
          <w:rFonts w:asciiTheme="minorHAnsi" w:eastAsiaTheme="minorEastAsia" w:hAnsiTheme="minorHAnsi" w:cstheme="minorBidi"/>
          <w:szCs w:val="22"/>
        </w:rPr>
      </w:pPr>
      <w:r>
        <w:t>18I.</w:t>
      </w:r>
      <w:r>
        <w:tab/>
        <w:t>Transitional provisions</w:t>
      </w:r>
      <w:r>
        <w:tab/>
      </w:r>
      <w:r>
        <w:fldChar w:fldCharType="begin"/>
      </w:r>
      <w:r>
        <w:instrText xml:space="preserve"> PAGEREF _Toc173502713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7 — Sporting, cultural and entertainment events</w:t>
      </w:r>
    </w:p>
    <w:p>
      <w:pPr>
        <w:pStyle w:val="TOC8"/>
        <w:rPr>
          <w:rFonts w:asciiTheme="minorHAnsi" w:eastAsiaTheme="minorEastAsia" w:hAnsiTheme="minorHAnsi" w:cstheme="minorBidi"/>
          <w:szCs w:val="22"/>
        </w:rPr>
      </w:pPr>
      <w:r>
        <w:t>18J.</w:t>
      </w:r>
      <w:r>
        <w:tab/>
        <w:t>Terms used</w:t>
      </w:r>
      <w:r>
        <w:tab/>
      </w:r>
      <w:r>
        <w:fldChar w:fldCharType="begin"/>
      </w:r>
      <w:r>
        <w:instrText xml:space="preserve"> PAGEREF _Toc173502715 \h </w:instrText>
      </w:r>
      <w:r>
        <w:fldChar w:fldCharType="separate"/>
      </w:r>
      <w:r>
        <w:t>57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Approved sporting, cultural and entertainment events</w:t>
      </w:r>
      <w:r>
        <w:tab/>
      </w:r>
      <w:r>
        <w:fldChar w:fldCharType="begin"/>
      </w:r>
      <w:r>
        <w:instrText xml:space="preserve"> PAGEREF _Toc173502716 \h </w:instrText>
      </w:r>
      <w:r>
        <w:fldChar w:fldCharType="separate"/>
      </w:r>
      <w:r>
        <w:t>58</w:t>
      </w:r>
      <w:r>
        <w:fldChar w:fldCharType="end"/>
      </w:r>
    </w:p>
    <w:p>
      <w:pPr>
        <w:pStyle w:val="TOC8"/>
        <w:rPr>
          <w:rFonts w:asciiTheme="minorHAnsi" w:eastAsiaTheme="minorEastAsia" w:hAnsiTheme="minorHAnsi" w:cstheme="minorBidi"/>
          <w:szCs w:val="22"/>
        </w:rPr>
      </w:pPr>
      <w:r>
        <w:lastRenderedPageBreak/>
        <w:t>19A.</w:t>
      </w:r>
      <w:r>
        <w:tab/>
        <w:t>Ancillary conditions: approved events</w:t>
      </w:r>
      <w:r>
        <w:tab/>
      </w:r>
      <w:r>
        <w:fldChar w:fldCharType="begin"/>
      </w:r>
      <w:r>
        <w:instrText xml:space="preserve"> PAGEREF _Toc173502717 \h </w:instrText>
      </w:r>
      <w:r>
        <w:fldChar w:fldCharType="separate"/>
      </w:r>
      <w:r>
        <w:t>61</w:t>
      </w:r>
      <w:r>
        <w:fldChar w:fldCharType="end"/>
      </w:r>
    </w:p>
    <w:p>
      <w:pPr>
        <w:pStyle w:val="TOC8"/>
        <w:rPr>
          <w:rFonts w:asciiTheme="minorHAnsi" w:eastAsiaTheme="minorEastAsia" w:hAnsiTheme="minorHAnsi" w:cstheme="minorBidi"/>
          <w:szCs w:val="22"/>
        </w:rPr>
      </w:pPr>
      <w:r>
        <w:t>19B.</w:t>
      </w:r>
      <w:r>
        <w:tab/>
        <w:t>Approved venues for sporting, cultural or entertainment events</w:t>
      </w:r>
      <w:r>
        <w:tab/>
      </w:r>
      <w:r>
        <w:fldChar w:fldCharType="begin"/>
      </w:r>
      <w:r>
        <w:instrText xml:space="preserve"> PAGEREF _Toc173502718 \h </w:instrText>
      </w:r>
      <w:r>
        <w:fldChar w:fldCharType="separate"/>
      </w:r>
      <w:r>
        <w:t>62</w:t>
      </w:r>
      <w:r>
        <w:fldChar w:fldCharType="end"/>
      </w:r>
    </w:p>
    <w:p>
      <w:pPr>
        <w:pStyle w:val="TOC8"/>
        <w:rPr>
          <w:rFonts w:asciiTheme="minorHAnsi" w:eastAsiaTheme="minorEastAsia" w:hAnsiTheme="minorHAnsi" w:cstheme="minorBidi"/>
          <w:szCs w:val="22"/>
        </w:rPr>
      </w:pPr>
      <w:r>
        <w:t>19C.</w:t>
      </w:r>
      <w:r>
        <w:tab/>
        <w:t>Ancillary conditions: venue approval</w:t>
      </w:r>
      <w:r>
        <w:tab/>
      </w:r>
      <w:r>
        <w:fldChar w:fldCharType="begin"/>
      </w:r>
      <w:r>
        <w:instrText xml:space="preserve"> PAGEREF _Toc173502719 \h </w:instrText>
      </w:r>
      <w:r>
        <w:fldChar w:fldCharType="separate"/>
      </w:r>
      <w:r>
        <w:t>65</w:t>
      </w:r>
      <w:r>
        <w:fldChar w:fldCharType="end"/>
      </w:r>
    </w:p>
    <w:p>
      <w:pPr>
        <w:pStyle w:val="TOC8"/>
        <w:rPr>
          <w:rFonts w:asciiTheme="minorHAnsi" w:eastAsiaTheme="minorEastAsia" w:hAnsiTheme="minorHAnsi" w:cstheme="minorBidi"/>
          <w:szCs w:val="22"/>
        </w:rPr>
      </w:pPr>
      <w:r>
        <w:t>19D.</w:t>
      </w:r>
      <w:r>
        <w:tab/>
        <w:t>Notifiable event at approved venue</w:t>
      </w:r>
      <w:r>
        <w:tab/>
      </w:r>
      <w:r>
        <w:fldChar w:fldCharType="begin"/>
      </w:r>
      <w:r>
        <w:instrText xml:space="preserve"> PAGEREF _Toc173502720 \h </w:instrText>
      </w:r>
      <w:r>
        <w:fldChar w:fldCharType="separate"/>
      </w:r>
      <w:r>
        <w:t>66</w:t>
      </w:r>
      <w:r>
        <w:fldChar w:fldCharType="end"/>
      </w:r>
    </w:p>
    <w:p>
      <w:pPr>
        <w:pStyle w:val="TOC8"/>
        <w:rPr>
          <w:rFonts w:asciiTheme="minorHAnsi" w:eastAsiaTheme="minorEastAsia" w:hAnsiTheme="minorHAnsi" w:cstheme="minorBidi"/>
          <w:szCs w:val="22"/>
        </w:rPr>
      </w:pPr>
      <w:r>
        <w:t>19E.</w:t>
      </w:r>
      <w:r>
        <w:tab/>
        <w:t>Amendment or revocation of venue approval</w:t>
      </w:r>
      <w:r>
        <w:tab/>
      </w:r>
      <w:r>
        <w:fldChar w:fldCharType="begin"/>
      </w:r>
      <w:r>
        <w:instrText xml:space="preserve"> PAGEREF _Toc173502721 \h </w:instrText>
      </w:r>
      <w:r>
        <w:fldChar w:fldCharType="separate"/>
      </w:r>
      <w:r>
        <w:t>68</w:t>
      </w:r>
      <w:r>
        <w:fldChar w:fldCharType="end"/>
      </w:r>
    </w:p>
    <w:p>
      <w:pPr>
        <w:pStyle w:val="TOC8"/>
        <w:rPr>
          <w:rFonts w:asciiTheme="minorHAnsi" w:eastAsiaTheme="minorEastAsia" w:hAnsiTheme="minorHAnsi" w:cstheme="minorBidi"/>
          <w:szCs w:val="22"/>
        </w:rPr>
      </w:pPr>
      <w:r>
        <w:t>19F.</w:t>
      </w:r>
      <w:r>
        <w:tab/>
        <w:t>Notice of appellable decision</w:t>
      </w:r>
      <w:r>
        <w:tab/>
      </w:r>
      <w:r>
        <w:fldChar w:fldCharType="begin"/>
      </w:r>
      <w:r>
        <w:instrText xml:space="preserve"> PAGEREF _Toc173502722 \h </w:instrText>
      </w:r>
      <w:r>
        <w:fldChar w:fldCharType="separate"/>
      </w:r>
      <w:r>
        <w:t>69</w:t>
      </w:r>
      <w:r>
        <w:fldChar w:fldCharType="end"/>
      </w:r>
    </w:p>
    <w:p>
      <w:pPr>
        <w:pStyle w:val="TOC8"/>
        <w:rPr>
          <w:rFonts w:asciiTheme="minorHAnsi" w:eastAsiaTheme="minorEastAsia" w:hAnsiTheme="minorHAnsi" w:cstheme="minorBidi"/>
          <w:szCs w:val="22"/>
        </w:rPr>
      </w:pPr>
      <w:r>
        <w:t>19G.</w:t>
      </w:r>
      <w:r>
        <w:tab/>
        <w:t>Appeals against decisions under this Division</w:t>
      </w:r>
      <w:r>
        <w:tab/>
      </w:r>
      <w:r>
        <w:fldChar w:fldCharType="begin"/>
      </w:r>
      <w:r>
        <w:instrText xml:space="preserve"> PAGEREF _Toc173502723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3 — Noise measurement</w:t>
      </w:r>
    </w:p>
    <w:p>
      <w:pPr>
        <w:pStyle w:val="TOC8"/>
        <w:rPr>
          <w:rFonts w:asciiTheme="minorHAnsi" w:eastAsiaTheme="minorEastAsia" w:hAnsiTheme="minorHAnsi" w:cstheme="minorBidi"/>
          <w:szCs w:val="22"/>
        </w:rPr>
      </w:pPr>
      <w:r>
        <w:t>19</w:t>
      </w:r>
      <w:r>
        <w:rPr>
          <w:snapToGrid w:val="0"/>
        </w:rPr>
        <w:t xml:space="preserve">. </w:t>
      </w:r>
      <w:r>
        <w:rPr>
          <w:snapToGrid w:val="0"/>
        </w:rPr>
        <w:tab/>
        <w:t>Place of measurement of noise</w:t>
      </w:r>
      <w:r>
        <w:tab/>
      </w:r>
      <w:r>
        <w:fldChar w:fldCharType="begin"/>
      </w:r>
      <w:r>
        <w:instrText xml:space="preserve"> PAGEREF _Toc173502725 \h </w:instrText>
      </w:r>
      <w:r>
        <w:fldChar w:fldCharType="separate"/>
      </w:r>
      <w:r>
        <w:t>71</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Measurement of noise at premises</w:t>
      </w:r>
      <w:r>
        <w:tab/>
      </w:r>
      <w:r>
        <w:fldChar w:fldCharType="begin"/>
      </w:r>
      <w:r>
        <w:instrText xml:space="preserve"> PAGEREF _Toc173502726 \h </w:instrText>
      </w:r>
      <w:r>
        <w:fldChar w:fldCharType="separate"/>
      </w:r>
      <w:r>
        <w:t>72</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Measurement of airblast levels</w:t>
      </w:r>
      <w:r>
        <w:tab/>
      </w:r>
      <w:r>
        <w:fldChar w:fldCharType="begin"/>
      </w:r>
      <w:r>
        <w:instrText xml:space="preserve"> PAGEREF _Toc173502727 \h </w:instrText>
      </w:r>
      <w:r>
        <w:fldChar w:fldCharType="separate"/>
      </w:r>
      <w:r>
        <w:t>72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Sound measuring equipment must comply with Schedule 4</w:t>
      </w:r>
      <w:r>
        <w:tab/>
      </w:r>
      <w:r>
        <w:fldChar w:fldCharType="begin"/>
      </w:r>
      <w:r>
        <w:instrText xml:space="preserve"> PAGEREF _Toc173502728 \h </w:instrText>
      </w:r>
      <w:r>
        <w:fldChar w:fldCharType="separate"/>
      </w:r>
      <w:r>
        <w:t>73</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Calibration results to be available</w:t>
      </w:r>
      <w:r>
        <w:tab/>
      </w:r>
      <w:r>
        <w:fldChar w:fldCharType="begin"/>
      </w:r>
      <w:r>
        <w:instrText xml:space="preserve"> PAGEREF _Toc173502729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Classification of premises</w:t>
      </w:r>
    </w:p>
    <w:p>
      <w:pPr>
        <w:pStyle w:val="TOC2"/>
        <w:tabs>
          <w:tab w:val="right" w:leader="dot" w:pos="7077"/>
        </w:tabs>
        <w:rPr>
          <w:rFonts w:asciiTheme="minorHAnsi" w:eastAsiaTheme="minorEastAsia" w:hAnsiTheme="minorHAnsi" w:cstheme="minorBidi"/>
          <w:b w:val="0"/>
          <w:sz w:val="22"/>
          <w:szCs w:val="22"/>
        </w:rPr>
      </w:pPr>
      <w:r>
        <w:t>Schedule 2 — Community noise</w:t>
      </w:r>
    </w:p>
    <w:p>
      <w:pPr>
        <w:pStyle w:val="TOC2"/>
        <w:tabs>
          <w:tab w:val="right" w:leader="dot" w:pos="7077"/>
        </w:tabs>
        <w:rPr>
          <w:rFonts w:asciiTheme="minorHAnsi" w:eastAsiaTheme="minorEastAsia" w:hAnsiTheme="minorHAnsi" w:cstheme="minorBidi"/>
          <w:b w:val="0"/>
          <w:sz w:val="22"/>
          <w:szCs w:val="22"/>
        </w:rPr>
      </w:pPr>
      <w:r>
        <w:t>Schedule 3 — Determination of influencing factor on noise sensitive premises</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_Toc173502733 \h </w:instrText>
      </w:r>
      <w:r>
        <w:fldChar w:fldCharType="separate"/>
      </w:r>
      <w:r>
        <w:t>79</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Influencing factor</w:t>
      </w:r>
      <w:r>
        <w:tab/>
      </w:r>
      <w:r>
        <w:fldChar w:fldCharType="begin"/>
      </w:r>
      <w:r>
        <w:instrText xml:space="preserve"> PAGEREF _Toc173502734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4 — Rules for sound measuring equipment</w:t>
      </w:r>
    </w:p>
    <w:p>
      <w:pPr>
        <w:pStyle w:val="TOC8"/>
        <w:rPr>
          <w:rFonts w:asciiTheme="minorHAnsi" w:eastAsiaTheme="minorEastAsia" w:hAnsiTheme="minorHAnsi" w:cstheme="minorBidi"/>
          <w:szCs w:val="22"/>
        </w:rPr>
      </w:pPr>
      <w:r>
        <w:t>1.</w:t>
      </w:r>
      <w:r>
        <w:tab/>
        <w:t>Sound measuring equipment</w:t>
      </w:r>
      <w:r>
        <w:tab/>
      </w:r>
      <w:r>
        <w:fldChar w:fldCharType="begin"/>
      </w:r>
      <w:r>
        <w:instrText xml:space="preserve"> PAGEREF _Toc173502736 \h </w:instrText>
      </w:r>
      <w:r>
        <w:fldChar w:fldCharType="separate"/>
      </w:r>
      <w:r>
        <w:t>84</w:t>
      </w:r>
      <w:r>
        <w:fldChar w:fldCharType="end"/>
      </w:r>
    </w:p>
    <w:p>
      <w:pPr>
        <w:pStyle w:val="TOC8"/>
        <w:rPr>
          <w:rFonts w:asciiTheme="minorHAnsi" w:eastAsiaTheme="minorEastAsia" w:hAnsiTheme="minorHAnsi" w:cstheme="minorBidi"/>
          <w:szCs w:val="22"/>
        </w:rPr>
      </w:pPr>
      <w:r>
        <w:t>2.</w:t>
      </w:r>
      <w:r>
        <w:tab/>
        <w:t>Calibration of sound measuring equipment</w:t>
      </w:r>
      <w:r>
        <w:tab/>
      </w:r>
      <w:r>
        <w:fldChar w:fldCharType="begin"/>
      </w:r>
      <w:r>
        <w:instrText xml:space="preserve"> PAGEREF _Toc173502737 \h </w:instrText>
      </w:r>
      <w:r>
        <w:fldChar w:fldCharType="separate"/>
      </w:r>
      <w:r>
        <w:t>84</w:t>
      </w:r>
      <w:r>
        <w:fldChar w:fldCharType="end"/>
      </w:r>
    </w:p>
    <w:p>
      <w:pPr>
        <w:pStyle w:val="TOC8"/>
        <w:rPr>
          <w:rFonts w:asciiTheme="minorHAnsi" w:eastAsiaTheme="minorEastAsia" w:hAnsiTheme="minorHAnsi" w:cstheme="minorBidi"/>
          <w:szCs w:val="22"/>
        </w:rPr>
      </w:pPr>
      <w:r>
        <w:t>3.</w:t>
      </w:r>
      <w:r>
        <w:tab/>
        <w:t>Field performance checks</w:t>
      </w:r>
      <w:r>
        <w:tab/>
      </w:r>
      <w:r>
        <w:fldChar w:fldCharType="begin"/>
      </w:r>
      <w:r>
        <w:instrText xml:space="preserve"> PAGEREF _Toc173502738 \h </w:instrText>
      </w:r>
      <w:r>
        <w:fldChar w:fldCharType="separate"/>
      </w:r>
      <w:r>
        <w:t>86</w:t>
      </w:r>
      <w:r>
        <w:fldChar w:fldCharType="end"/>
      </w:r>
    </w:p>
    <w:p>
      <w:pPr>
        <w:pStyle w:val="TOC8"/>
        <w:rPr>
          <w:rFonts w:asciiTheme="minorHAnsi" w:eastAsiaTheme="minorEastAsia" w:hAnsiTheme="minorHAnsi" w:cstheme="minorBidi"/>
          <w:szCs w:val="22"/>
        </w:rPr>
      </w:pPr>
      <w:r>
        <w:t>4.</w:t>
      </w:r>
      <w:r>
        <w:tab/>
        <w:t>Equipment</w:t>
      </w:r>
      <w:r>
        <w:rPr>
          <w:snapToGrid w:val="0"/>
        </w:rPr>
        <w:t xml:space="preserve"> used for measurement of airblast levels</w:t>
      </w:r>
      <w:r>
        <w:tab/>
      </w:r>
      <w:r>
        <w:fldChar w:fldCharType="begin"/>
      </w:r>
      <w:r>
        <w:instrText xml:space="preserve"> PAGEREF _Toc173502739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_Toc173502741 \h </w:instrText>
      </w:r>
      <w:r>
        <w:fldChar w:fldCharType="separate"/>
      </w:r>
      <w:r>
        <w:t>88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_Toc173502742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Environmental Protection Act 1986</w:t>
      </w:r>
    </w:p>
    <w:p>
      <w:pPr>
        <w:pStyle w:val="NameofActReg"/>
        <w:spacing w:before="600" w:after="720"/>
      </w:pPr>
      <w:r>
        <w:t>Environmental Protection (Noise) Regulations 1997</w:t>
      </w:r>
    </w:p>
    <w:p>
      <w:pPr>
        <w:pStyle w:val="Heading2"/>
        <w:pageBreakBefore w:val="0"/>
        <w:spacing w:before="240"/>
      </w:pPr>
      <w:bookmarkStart w:id="2" w:name="_Toc173498458"/>
      <w:bookmarkStart w:id="3" w:name="_Toc173499594"/>
      <w:bookmarkStart w:id="4" w:name="_Toc173502666"/>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spacing w:before="240"/>
        <w:rPr>
          <w:snapToGrid w:val="0"/>
        </w:rPr>
      </w:pPr>
      <w:bookmarkStart w:id="5" w:name="_Toc173502667"/>
      <w:r>
        <w:rPr>
          <w:rStyle w:val="CharSectno"/>
        </w:rPr>
        <w:t>1</w:t>
      </w:r>
      <w:r>
        <w:rPr>
          <w:snapToGrid w:val="0"/>
        </w:rPr>
        <w:t xml:space="preserve">. </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rPr>
        <w:t>.</w:t>
      </w:r>
    </w:p>
    <w:p>
      <w:pPr>
        <w:pStyle w:val="Heading5"/>
        <w:rPr>
          <w:snapToGrid w:val="0"/>
        </w:rPr>
      </w:pPr>
      <w:bookmarkStart w:id="6" w:name="_Toc173502668"/>
      <w:r>
        <w:rPr>
          <w:rStyle w:val="CharSectno"/>
        </w:rPr>
        <w:t>2</w:t>
      </w:r>
      <w:r>
        <w:rPr>
          <w:snapToGrid w:val="0"/>
        </w:rPr>
        <w:t xml:space="preserve">. </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amusement structure</w:t>
      </w:r>
      <w:r>
        <w:t xml:space="preserve"> means equipment operated for hire or reward that provides entertainment or amusement through movement of the equipment, or part of the equipment, or when passengers travel on, around or along the equipment or move the equipment through self</w:t>
      </w:r>
      <w:r>
        <w:noBreakHyphen/>
        <w:t>powered motion;</w:t>
      </w:r>
    </w:p>
    <w:p>
      <w:pPr>
        <w:pStyle w:val="Defstart"/>
      </w:pPr>
      <w:r>
        <w:rPr>
          <w:b/>
        </w:rPr>
        <w:tab/>
      </w:r>
      <w:r>
        <w:rPr>
          <w:rStyle w:val="CharDefText"/>
        </w:rPr>
        <w:t>assigned level</w:t>
      </w:r>
      <w:r>
        <w:t xml:space="preserve"> means a noise level determined under regulation 8;</w:t>
      </w:r>
    </w:p>
    <w:p>
      <w:pPr>
        <w:pStyle w:val="Defstart"/>
      </w:pPr>
      <w:r>
        <w:rPr>
          <w:b/>
        </w:rPr>
        <w:tab/>
      </w:r>
      <w:r>
        <w:rPr>
          <w:rStyle w:val="CharDefText"/>
        </w:rPr>
        <w:t>blasting</w:t>
      </w:r>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keepNext/>
      </w:pPr>
      <w:r>
        <w:lastRenderedPageBreak/>
        <w:tab/>
      </w:r>
      <w:r>
        <w:rPr>
          <w:rStyle w:val="CharDefText"/>
        </w:rPr>
        <w:t>caravan park or camping ground</w:t>
      </w:r>
      <w:r>
        <w:t xml:space="preserve"> means — </w:t>
      </w:r>
    </w:p>
    <w:p>
      <w:pPr>
        <w:pStyle w:val="Defpara"/>
      </w:pPr>
      <w:r>
        <w:tab/>
        <w:t>(a)</w:t>
      </w:r>
      <w:r>
        <w:tab/>
        <w:t xml:space="preserve">a caravan park or camping ground licensed or taken to be licensed under the </w:t>
      </w:r>
      <w:r>
        <w:rPr>
          <w:i/>
        </w:rPr>
        <w:t>Caravan Parks and Camping Grounds Act 1995</w:t>
      </w:r>
      <w:r>
        <w:t>; or</w:t>
      </w:r>
    </w:p>
    <w:p>
      <w:pPr>
        <w:pStyle w:val="Defpara"/>
      </w:pPr>
      <w:r>
        <w:tab/>
        <w:t>(b)</w:t>
      </w:r>
      <w:r>
        <w:tab/>
        <w:t xml:space="preserve">a caravan park or camping ground that is operated by a public sector body as defined in the </w:t>
      </w:r>
      <w:r>
        <w:rPr>
          <w:i/>
        </w:rPr>
        <w:t>Public Sector Management Act 1994</w:t>
      </w:r>
      <w:r>
        <w:t xml:space="preserve"> section 3(1); or</w:t>
      </w:r>
    </w:p>
    <w:p>
      <w:pPr>
        <w:pStyle w:val="Defpara"/>
      </w:pPr>
      <w:r>
        <w:tab/>
        <w:t>(c)</w:t>
      </w:r>
      <w:r>
        <w:tab/>
        <w:t xml:space="preserve">a camping area as defined in the </w:t>
      </w:r>
      <w:r>
        <w:rPr>
          <w:i/>
        </w:rPr>
        <w:t>Conservation and Land Management Regulations 2002</w:t>
      </w:r>
      <w:r>
        <w:t xml:space="preserve"> regulation 2;</w:t>
      </w:r>
    </w:p>
    <w:p>
      <w:pPr>
        <w:pStyle w:val="Defstart"/>
      </w:pPr>
      <w:r>
        <w:rPr>
          <w:b/>
        </w:rPr>
        <w:tab/>
      </w:r>
      <w:r>
        <w:rPr>
          <w:rStyle w:val="CharDefText"/>
        </w:rPr>
        <w:t>commercial premises</w:t>
      </w:r>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r>
        <w:rPr>
          <w:rStyle w:val="CharDefText"/>
        </w:rPr>
        <w:t>industrial and utility premises</w:t>
      </w:r>
      <w:r>
        <w:t xml:space="preserve"> means premises referred to in Part A of Schedule 1;</w:t>
      </w:r>
    </w:p>
    <w:p>
      <w:pPr>
        <w:pStyle w:val="Defstart"/>
      </w:pPr>
      <w:r>
        <w:tab/>
      </w:r>
      <w:r>
        <w:rPr>
          <w:rStyle w:val="CharDefText"/>
        </w:rPr>
        <w:t>L</w:t>
      </w:r>
      <w:r>
        <w:rPr>
          <w:rStyle w:val="CharDefText"/>
          <w:vertAlign w:val="subscript"/>
        </w:rPr>
        <w:t>A Slow</w:t>
      </w:r>
      <w:r>
        <w:t xml:space="preserve"> means the reading in decibels (dB) obtained using the “A” frequency weighting characteristic and the “S” time weighting characteristic, as specified in AS IEC 61672.1</w:t>
      </w:r>
      <w:r>
        <w:noBreakHyphen/>
        <w:t>2004 Electroacoustics</w:t>
      </w:r>
      <w:r>
        <w:noBreakHyphen/>
        <w:t>Sound level meters Part 1: Specifications, for class 1 and class 2 meters, with sound measuring equipment that complies with the requirements of Schedule 4;</w:t>
      </w:r>
    </w:p>
    <w:p>
      <w:pPr>
        <w:pStyle w:val="Defstart"/>
      </w:pPr>
      <w:r>
        <w:rPr>
          <w:b/>
        </w:rPr>
        <w:tab/>
      </w:r>
      <w:r>
        <w:rPr>
          <w:rStyle w:val="CharDefText"/>
        </w:rPr>
        <w:t>local government</w:t>
      </w:r>
      <w:r>
        <w:t xml:space="preserve"> means a local government within the meaning of the </w:t>
      </w:r>
      <w:r>
        <w:rPr>
          <w:i/>
        </w:rPr>
        <w:t>Local Government Act 1995</w:t>
      </w:r>
      <w:r>
        <w:t>;</w:t>
      </w:r>
    </w:p>
    <w:p>
      <w:pPr>
        <w:pStyle w:val="Defstart"/>
      </w:pPr>
      <w:r>
        <w:rPr>
          <w:b/>
        </w:rPr>
        <w:tab/>
      </w:r>
      <w:r>
        <w:rPr>
          <w:rStyle w:val="CharDefText"/>
        </w:rPr>
        <w:t>measured</w:t>
      </w:r>
      <w:r>
        <w:t>, in relation to the measurement of a noise emission, means measured and adjusted in accordance with these regulations;</w:t>
      </w:r>
    </w:p>
    <w:p>
      <w:pPr>
        <w:pStyle w:val="Defstart"/>
      </w:pPr>
      <w:r>
        <w:tab/>
      </w:r>
      <w:r>
        <w:rPr>
          <w:rStyle w:val="CharDefText"/>
        </w:rPr>
        <w:t>mine operator</w:t>
      </w:r>
      <w:r>
        <w:t xml:space="preserve"> has the meaning given in the </w:t>
      </w:r>
      <w:r>
        <w:rPr>
          <w:i/>
        </w:rPr>
        <w:t>Work Health and Safety (Mines) Regulations 2022</w:t>
      </w:r>
      <w:r>
        <w:t xml:space="preserve"> regulation 5C; </w:t>
      </w:r>
    </w:p>
    <w:p>
      <w:pPr>
        <w:pStyle w:val="Defstart"/>
      </w:pPr>
      <w:r>
        <w:tab/>
      </w:r>
      <w:r>
        <w:rPr>
          <w:rStyle w:val="CharDefText"/>
        </w:rPr>
        <w:t>noise sensitive premises</w:t>
      </w:r>
      <w:r>
        <w:t xml:space="preserve"> means premises that — </w:t>
      </w:r>
    </w:p>
    <w:p>
      <w:pPr>
        <w:pStyle w:val="Defpara"/>
      </w:pPr>
      <w:r>
        <w:tab/>
        <w:t>(a)</w:t>
      </w:r>
      <w:r>
        <w:tab/>
        <w:t xml:space="preserve">are referred to in Schedule 1 Part C; and </w:t>
      </w:r>
    </w:p>
    <w:p>
      <w:pPr>
        <w:pStyle w:val="Defpara"/>
      </w:pPr>
      <w:r>
        <w:tab/>
        <w:t>(b)</w:t>
      </w:r>
      <w:r>
        <w:tab/>
        <w:t>are not premises, or part of premises, referred to in Schedule 1 Part A or Part B;</w:t>
      </w:r>
    </w:p>
    <w:p>
      <w:pPr>
        <w:pStyle w:val="Defstart"/>
      </w:pPr>
      <w:r>
        <w:lastRenderedPageBreak/>
        <w:tab/>
      </w:r>
      <w:r>
        <w:rPr>
          <w:rStyle w:val="CharDefText"/>
        </w:rPr>
        <w:t>noise sensitive purpose</w:t>
      </w:r>
      <w:r>
        <w:t xml:space="preserve">, in relation to a building, or part of a building, on noise sensitive premises, means — </w:t>
      </w:r>
    </w:p>
    <w:p>
      <w:pPr>
        <w:pStyle w:val="Defpara"/>
      </w:pPr>
      <w:r>
        <w:tab/>
        <w:t>(a)</w:t>
      </w:r>
      <w:r>
        <w:tab/>
        <w:t>a residential or accommodation purpose; or</w:t>
      </w:r>
    </w:p>
    <w:p>
      <w:pPr>
        <w:pStyle w:val="Defpara"/>
      </w:pPr>
      <w:r>
        <w:tab/>
        <w:t>(b)</w:t>
      </w:r>
      <w:r>
        <w:tab/>
        <w:t>a purpose set out in Schedule 1 Part C item 3;</w:t>
      </w:r>
    </w:p>
    <w:p>
      <w:pPr>
        <w:pStyle w:val="Defstart"/>
      </w:pPr>
      <w:r>
        <w:rPr>
          <w:b/>
        </w:rPr>
        <w:tab/>
      </w:r>
      <w:r>
        <w:rPr>
          <w:rStyle w:val="CharDefText"/>
        </w:rPr>
        <w:t>public holiday</w:t>
      </w:r>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r>
        <w:rPr>
          <w:rStyle w:val="CharDefText"/>
        </w:rPr>
        <w:t>representative assessment period</w:t>
      </w:r>
      <w:r>
        <w:t xml:space="preserve"> means a period of time of not less than 15 minutes, and not exceeding 4 hours, determined by an inspector or authorised person to be appropriate for the assessment of a noise emission, having regard to the type and nature of the noise emission;</w:t>
      </w:r>
    </w:p>
    <w:p>
      <w:pPr>
        <w:pStyle w:val="Defstart"/>
      </w:pPr>
      <w:r>
        <w:rPr>
          <w:b/>
        </w:rPr>
        <w:tab/>
      </w:r>
      <w:r>
        <w:rPr>
          <w:rStyle w:val="CharDefText"/>
        </w:rPr>
        <w:t>rural premises</w:t>
      </w:r>
      <w:r>
        <w:t xml:space="preserve"> means premises used primarily for pastoral or agricultural purposes on land classified or zoned agricultural or rural use, or for rural lifestyle living, under a planning scheme as defined in the </w:t>
      </w:r>
      <w:r>
        <w:rPr>
          <w:i/>
        </w:rPr>
        <w:t>Planning and Development Act 2005</w:t>
      </w:r>
      <w:r>
        <w:t xml:space="preserve"> section 4(1);</w:t>
      </w:r>
    </w:p>
    <w:p>
      <w:pPr>
        <w:pStyle w:val="Defstart"/>
      </w:pPr>
      <w:r>
        <w:tab/>
      </w:r>
      <w:r>
        <w:rPr>
          <w:rStyle w:val="CharDefText"/>
        </w:rPr>
        <w:t>surface mining operations</w:t>
      </w:r>
      <w:r>
        <w:t xml:space="preserve"> means mining operations within the meaning of the </w:t>
      </w:r>
      <w:r>
        <w:rPr>
          <w:i/>
        </w:rPr>
        <w:t>Work Health and Safety (Mines) Regulations 2022</w:t>
      </w:r>
      <w:r>
        <w:t xml:space="preserve"> that are not underground.</w:t>
      </w:r>
    </w:p>
    <w:p>
      <w:pPr>
        <w:pStyle w:val="Subsection"/>
        <w:keepNext/>
        <w:spacing w:before="120"/>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Standards Australia as amended from time to time, and includes a reference to an Australian Standard made in substitution for the standard specified in the regulation;</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 xml:space="preserve">a reference to </w:t>
      </w:r>
      <w:r>
        <w:t>IEC</w:t>
      </w:r>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w:t>
      </w:r>
      <w:r>
        <w:rPr>
          <w:snapToGrid w:val="0"/>
        </w:rPr>
        <w:lastRenderedPageBreak/>
        <w:t>Publication made in substitution for the publication specified in the regulation.</w:t>
      </w:r>
    </w:p>
    <w:p>
      <w:pPr>
        <w:pStyle w:val="Footnotesection"/>
        <w:spacing w:before="80"/>
        <w:ind w:left="890" w:hanging="890"/>
      </w:pPr>
      <w:r>
        <w:tab/>
        <w:t>[Regulation 2 amended: Gazette 5 Dec 2013 p. 5647</w:t>
      </w:r>
      <w:r>
        <w:noBreakHyphen/>
        <w:t>9; SL 2022/25 r. 4.]</w:t>
      </w:r>
    </w:p>
    <w:p>
      <w:pPr>
        <w:pStyle w:val="Heading5"/>
        <w:spacing w:before="180"/>
      </w:pPr>
      <w:bookmarkStart w:id="7" w:name="_Toc173502669"/>
      <w:r>
        <w:rPr>
          <w:rStyle w:val="CharSectno"/>
        </w:rPr>
        <w:t>3</w:t>
      </w:r>
      <w:r>
        <w:t>.</w:t>
      </w:r>
      <w:r>
        <w:tab/>
        <w:t>Regulations do not apply to certain noise emissions</w:t>
      </w:r>
      <w:bookmarkEnd w:id="7"/>
    </w:p>
    <w:p>
      <w:pPr>
        <w:pStyle w:val="Subsection"/>
        <w:spacing w:before="120"/>
        <w:rPr>
          <w:snapToGrid w:val="0"/>
        </w:rPr>
      </w:pPr>
      <w:r>
        <w:tab/>
        <w:t>(1)</w:t>
      </w:r>
      <w:r>
        <w:tab/>
      </w:r>
      <w:r>
        <w:rPr>
          <w:snapToGrid w:val="0"/>
        </w:rPr>
        <w:t>Nothing in these regulations applies to the following noise emissions — </w:t>
      </w:r>
    </w:p>
    <w:p>
      <w:pPr>
        <w:pStyle w:val="Indenta"/>
        <w:rPr>
          <w:snapToGrid w:val="0"/>
        </w:rPr>
      </w:pPr>
      <w:r>
        <w:rPr>
          <w:snapToGrid w:val="0"/>
        </w:rPr>
        <w:tab/>
        <w:t>(a)</w:t>
      </w:r>
      <w:r>
        <w:rPr>
          <w:snapToGrid w:val="0"/>
        </w:rPr>
        <w:tab/>
        <w:t>noise emissions from the propulsion and braking systems of motor vehicles operating on a road;</w:t>
      </w:r>
    </w:p>
    <w:p>
      <w:pPr>
        <w:pStyle w:val="Indenta"/>
        <w:spacing w:before="60"/>
        <w:rPr>
          <w:snapToGrid w:val="0"/>
        </w:rPr>
      </w:pPr>
      <w:r>
        <w:rPr>
          <w:snapToGrid w:val="0"/>
        </w:rPr>
        <w:tab/>
        <w:t>(b)</w:t>
      </w:r>
      <w:r>
        <w:rPr>
          <w:snapToGrid w:val="0"/>
        </w:rPr>
        <w:tab/>
        <w:t>noise emissions from a safety warning device, other than a reversing alarm, fitted to a motor vehicle operating on a road;</w:t>
      </w:r>
    </w:p>
    <w:p>
      <w:pPr>
        <w:pStyle w:val="Indenta"/>
        <w:rPr>
          <w:snapToGrid w:val="0"/>
        </w:rPr>
      </w:pPr>
      <w:r>
        <w:rPr>
          <w:snapToGrid w:val="0"/>
        </w:rPr>
        <w:tab/>
        <w:t>(c)</w:t>
      </w:r>
      <w:r>
        <w:rPr>
          <w:snapToGrid w:val="0"/>
        </w:rPr>
        <w:tab/>
        <w:t>noise emissions from trains or aircraft (other than model aircraft and trains operating on railways with a gauge of less than 70 cm);</w:t>
      </w:r>
    </w:p>
    <w:p>
      <w:pPr>
        <w:pStyle w:val="Indenta"/>
        <w:rPr>
          <w:snapToGrid w:val="0"/>
        </w:rPr>
      </w:pPr>
      <w:r>
        <w:rPr>
          <w:snapToGrid w:val="0"/>
        </w:rPr>
        <w:tab/>
        <w:t>(d)</w:t>
      </w:r>
      <w:r>
        <w:rPr>
          <w:snapToGrid w:val="0"/>
        </w:rPr>
        <w:tab/>
        <w:t>noise emissions from a safety warning device fitted to a train or vessel;</w:t>
      </w:r>
    </w:p>
    <w:p>
      <w:pPr>
        <w:pStyle w:val="Indenta"/>
      </w:pPr>
      <w:r>
        <w:tab/>
        <w:t>(e)</w:t>
      </w:r>
      <w:r>
        <w:tab/>
        <w:t xml:space="preserve">noise emissions from an emergency vehicle as defined in the </w:t>
      </w:r>
      <w:r>
        <w:rPr>
          <w:i/>
        </w:rPr>
        <w:t>Road Traffic Code 2000</w:t>
      </w:r>
      <w:r>
        <w:t xml:space="preserve"> regulation 3(1);</w:t>
      </w:r>
    </w:p>
    <w:p>
      <w:pPr>
        <w:pStyle w:val="Indenta"/>
      </w:pPr>
      <w:r>
        <w:tab/>
        <w:t>(f)</w:t>
      </w:r>
      <w:r>
        <w:tab/>
        <w:t>noise emissions from the propulsion system or the movement through the water of a vessel operating in water other than water on private premises;</w:t>
      </w:r>
    </w:p>
    <w:p>
      <w:pPr>
        <w:pStyle w:val="Indenta"/>
      </w:pPr>
      <w:r>
        <w:tab/>
        <w:t>(g)</w:t>
      </w:r>
      <w:r>
        <w:tab/>
        <w:t xml:space="preserve">noise emissions of any of the following kinds, but only if every reasonable and practicable measure has been taken to reduce the effect of the noise emission consistent with providing an audible warning to people — </w:t>
      </w:r>
    </w:p>
    <w:p>
      <w:pPr>
        <w:pStyle w:val="Indenti"/>
      </w:pPr>
      <w:r>
        <w:tab/>
        <w:t>(i)</w:t>
      </w:r>
      <w:r>
        <w:tab/>
        <w:t>noise emissions from a device for warning pedestrians installed at a pedestrian crossing on a road;</w:t>
      </w:r>
    </w:p>
    <w:p>
      <w:pPr>
        <w:pStyle w:val="Indenti"/>
      </w:pPr>
      <w:r>
        <w:tab/>
        <w:t>(ii)</w:t>
      </w:r>
      <w:r>
        <w:tab/>
        <w:t>noise emissions from a device for warning of the passage of a train installed at a level crossing;</w:t>
      </w:r>
    </w:p>
    <w:p>
      <w:pPr>
        <w:pStyle w:val="Indenti"/>
      </w:pPr>
      <w:r>
        <w:lastRenderedPageBreak/>
        <w:tab/>
        <w:t>(iii)</w:t>
      </w:r>
      <w:r>
        <w:tab/>
        <w:t xml:space="preserve">noise emissions from a safety warning device fitted to a building as a requirement of the Building Code as defined in the </w:t>
      </w:r>
      <w:r>
        <w:rPr>
          <w:i/>
        </w:rPr>
        <w:t>Building Regulations 2012</w:t>
      </w:r>
      <w:r>
        <w:t xml:space="preserve"> regulation 3;</w:t>
      </w:r>
    </w:p>
    <w:p>
      <w:pPr>
        <w:pStyle w:val="Indenti"/>
      </w:pPr>
      <w:r>
        <w:tab/>
        <w:t>(iv)</w:t>
      </w:r>
      <w:r>
        <w:tab/>
        <w:t xml:space="preserve">noise emissions from an audible warning device installed at a mine for the purpose of giving a blast warning referred to in the </w:t>
      </w:r>
      <w:r>
        <w:rPr>
          <w:i/>
        </w:rPr>
        <w:t>Work Health and Safety (Mines) Regulations 2022</w:t>
      </w:r>
      <w:r>
        <w:t xml:space="preserve"> to warn of a public nuisance or danger.</w:t>
      </w:r>
    </w:p>
    <w:p>
      <w:pPr>
        <w:pStyle w:val="Indenta"/>
      </w:pPr>
      <w:r>
        <w:tab/>
        <w:t>(h)</w:t>
      </w:r>
      <w:r>
        <w:tab/>
        <w:t>noise emissions from —</w:t>
      </w:r>
    </w:p>
    <w:p>
      <w:pPr>
        <w:pStyle w:val="Indenti"/>
        <w:rPr>
          <w:snapToGrid w:val="0"/>
        </w:rPr>
      </w:pPr>
      <w:r>
        <w:rPr>
          <w:snapToGrid w:val="0"/>
        </w:rPr>
        <w:tab/>
        <w:t>(i)</w:t>
      </w:r>
      <w:r>
        <w:rPr>
          <w:snapToGrid w:val="0"/>
        </w:rPr>
        <w:tab/>
        <w:t>a reversing alarm fitted to a motor vehicle, mobile plant, or mining or earthmoving equipment; or</w:t>
      </w:r>
    </w:p>
    <w:p>
      <w:pPr>
        <w:pStyle w:val="Indenti"/>
        <w:rPr>
          <w:snapToGrid w:val="0"/>
        </w:rPr>
      </w:pPr>
      <w:r>
        <w:rPr>
          <w:snapToGrid w:val="0"/>
        </w:rPr>
        <w:tab/>
        <w:t>(ii)</w:t>
      </w:r>
      <w:r>
        <w:rPr>
          <w:snapToGrid w:val="0"/>
        </w:rPr>
        <w:tab/>
        <w:t>a startup or movement alarm fitted to plant,</w:t>
      </w:r>
    </w:p>
    <w:p>
      <w:pPr>
        <w:pStyle w:val="Indenta"/>
      </w:pPr>
      <w:r>
        <w:tab/>
      </w:r>
      <w:r>
        <w:tab/>
        <w:t>if —</w:t>
      </w:r>
    </w:p>
    <w:p>
      <w:pPr>
        <w:pStyle w:val="Indenti"/>
        <w:rPr>
          <w:snapToGrid w:val="0"/>
        </w:rPr>
      </w:pPr>
      <w:r>
        <w:rPr>
          <w:snapToGrid w:val="0"/>
        </w:rPr>
        <w:tab/>
        <w:t>(iii)</w:t>
      </w:r>
      <w:r>
        <w:rPr>
          <w:snapToGrid w:val="0"/>
        </w:rPr>
        <w:tab/>
        <w:t>it is a requirement under another written law that such an alarm be fitted; and</w:t>
      </w:r>
    </w:p>
    <w:p>
      <w:pPr>
        <w:pStyle w:val="Indenti"/>
        <w:rPr>
          <w:snapToGrid w:val="0"/>
        </w:rPr>
      </w:pPr>
      <w:r>
        <w:rPr>
          <w:snapToGrid w:val="0"/>
        </w:rPr>
        <w:tab/>
        <w:t>(iv)</w:t>
      </w:r>
      <w:r>
        <w:rPr>
          <w:snapToGrid w:val="0"/>
        </w:rPr>
        <w:tab/>
        <w:t>it is not practicable to fit an alarm that complies with the written law under which it is required to be fitted and emits noise that complies with these regulations;</w:t>
      </w:r>
    </w:p>
    <w:p>
      <w:pPr>
        <w:pStyle w:val="Indenta"/>
      </w:pPr>
      <w:r>
        <w:tab/>
        <w:t>(i)</w:t>
      </w:r>
      <w:r>
        <w:tab/>
        <w:t>noise emissions from an engine, equipment, machinery or plant on a vessel while the vessel is in a port.</w:t>
      </w:r>
    </w:p>
    <w:p>
      <w:pPr>
        <w:pStyle w:val="Subsection"/>
        <w:keepNext/>
      </w:pPr>
      <w:r>
        <w:tab/>
        <w:t>(2)</w:t>
      </w:r>
      <w:r>
        <w:tab/>
        <w:t xml:space="preserve">In subregulation (1)(i) — </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keepNext/>
      </w:pPr>
      <w:r>
        <w:tab/>
        <w:t>(b)</w:t>
      </w:r>
      <w:r>
        <w:tab/>
        <w:t xml:space="preserve">a port as defined in the </w:t>
      </w:r>
      <w:r>
        <w:rPr>
          <w:i/>
        </w:rPr>
        <w:t>Shipping and Pilotage Act 1967</w:t>
      </w:r>
      <w:r>
        <w:t xml:space="preserve"> section 3.</w:t>
      </w:r>
    </w:p>
    <w:p>
      <w:pPr>
        <w:pStyle w:val="Footnotesection"/>
      </w:pPr>
      <w:r>
        <w:tab/>
        <w:t>[Regulation 3 inserted: Gazette 5 Dec 2013 p. 5649</w:t>
      </w:r>
      <w:r>
        <w:noBreakHyphen/>
        <w:t>51; amended: SL 2022/25 r. 5.]</w:t>
      </w:r>
    </w:p>
    <w:p>
      <w:pPr>
        <w:pStyle w:val="Heading2"/>
      </w:pPr>
      <w:bookmarkStart w:id="8" w:name="_Toc173498462"/>
      <w:bookmarkStart w:id="9" w:name="_Toc173499598"/>
      <w:bookmarkStart w:id="10" w:name="_Toc173502670"/>
      <w:r>
        <w:rPr>
          <w:rStyle w:val="CharPartNo"/>
        </w:rPr>
        <w:lastRenderedPageBreak/>
        <w:t>Part 2</w:t>
      </w:r>
      <w:r>
        <w:t> — </w:t>
      </w:r>
      <w:r>
        <w:rPr>
          <w:rStyle w:val="CharPartText"/>
        </w:rPr>
        <w:t>Allowable noise emissions</w:t>
      </w:r>
      <w:bookmarkEnd w:id="8"/>
      <w:bookmarkEnd w:id="9"/>
      <w:bookmarkEnd w:id="10"/>
      <w:r>
        <w:rPr>
          <w:rStyle w:val="CharPartText"/>
        </w:rPr>
        <w:t xml:space="preserve"> </w:t>
      </w:r>
    </w:p>
    <w:p>
      <w:pPr>
        <w:pStyle w:val="Heading3"/>
      </w:pPr>
      <w:bookmarkStart w:id="11" w:name="_Toc173498463"/>
      <w:bookmarkStart w:id="12" w:name="_Toc173499599"/>
      <w:bookmarkStart w:id="13" w:name="_Toc173502671"/>
      <w:r>
        <w:rPr>
          <w:rStyle w:val="CharDivNo"/>
        </w:rPr>
        <w:t>Division 1</w:t>
      </w:r>
      <w:r>
        <w:t> — </w:t>
      </w:r>
      <w:r>
        <w:rPr>
          <w:rStyle w:val="CharDivText"/>
        </w:rPr>
        <w:t>General provisions</w:t>
      </w:r>
      <w:bookmarkEnd w:id="11"/>
      <w:bookmarkEnd w:id="12"/>
      <w:bookmarkEnd w:id="13"/>
    </w:p>
    <w:p>
      <w:pPr>
        <w:pStyle w:val="Footnoteheading"/>
      </w:pPr>
      <w:r>
        <w:tab/>
        <w:t>[Heading inserted: Gazette 5 Dec 2013 p. 5651.]</w:t>
      </w:r>
    </w:p>
    <w:p>
      <w:pPr>
        <w:pStyle w:val="Heading5"/>
        <w:rPr>
          <w:snapToGrid w:val="0"/>
        </w:rPr>
      </w:pPr>
      <w:bookmarkStart w:id="14" w:name="_Toc173502672"/>
      <w:r>
        <w:rPr>
          <w:rStyle w:val="CharSectno"/>
        </w:rPr>
        <w:t>4</w:t>
      </w:r>
      <w:r>
        <w:rPr>
          <w:snapToGrid w:val="0"/>
        </w:rPr>
        <w:t xml:space="preserve">. </w:t>
      </w:r>
      <w:r>
        <w:rPr>
          <w:snapToGrid w:val="0"/>
        </w:rPr>
        <w:tab/>
        <w:t>General effect of this Part</w:t>
      </w:r>
      <w:bookmarkEnd w:id="14"/>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sections 51, 59(1)(i), 60(3)(a), 62(3), 65 and 74A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w:t>
      </w:r>
      <w:r>
        <w:rPr>
          <w:b/>
          <w:i/>
          <w:snapToGrid w:val="0"/>
        </w:rPr>
        <w:t>pollution</w:t>
      </w:r>
      <w:r>
        <w:rPr>
          <w:snapToGrid w:val="0"/>
        </w:rPr>
        <w:t xml:space="preserve"> in </w:t>
      </w:r>
      <w:r>
        <w:t xml:space="preserve">section 3A(1)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Gazette 7 Nov 2000 p. 6143; 5 Dec 2013 p. 5652.]</w:t>
      </w:r>
    </w:p>
    <w:p>
      <w:pPr>
        <w:pStyle w:val="Heading5"/>
      </w:pPr>
      <w:bookmarkStart w:id="15" w:name="_Toc173502673"/>
      <w:r>
        <w:rPr>
          <w:rStyle w:val="CharSectno"/>
        </w:rPr>
        <w:t>5</w:t>
      </w:r>
      <w:r>
        <w:t>.</w:t>
      </w:r>
      <w:r>
        <w:tab/>
        <w:t>Unreasonable noise</w:t>
      </w:r>
      <w:bookmarkEnd w:id="15"/>
    </w:p>
    <w:p>
      <w:pPr>
        <w:pStyle w:val="Subsection"/>
        <w:rPr>
          <w:snapToGrid w:val="0"/>
        </w:rPr>
      </w:pPr>
      <w:r>
        <w:tab/>
        <w:t>(1)</w:t>
      </w:r>
      <w:r>
        <w:tab/>
      </w:r>
      <w:r>
        <w:rPr>
          <w:snapToGrid w:val="0"/>
        </w:rPr>
        <w:t>Without limiting section 3(3)(a) of the Act and subject to subregulation (2), noise emitted in contravention of a standard prescribed under regulation 7 or 11 is to be taken to be unreasonable.</w:t>
      </w:r>
    </w:p>
    <w:p>
      <w:pPr>
        <w:pStyle w:val="Subsection"/>
        <w:rPr>
          <w:snapToGrid w:val="0"/>
        </w:rPr>
      </w:pPr>
      <w:r>
        <w:tab/>
        <w:t>(2)</w:t>
      </w:r>
      <w:r>
        <w:tab/>
      </w:r>
      <w:r>
        <w:rPr>
          <w:snapToGrid w:val="0"/>
        </w:rPr>
        <w:t>Noise is not to be taken to be unreasonable under subregulation (1) if the person causing the noise emission shows that — </w:t>
      </w:r>
    </w:p>
    <w:p>
      <w:pPr>
        <w:pStyle w:val="Indenta"/>
        <w:rPr>
          <w:snapToGrid w:val="0"/>
        </w:rPr>
      </w:pPr>
      <w:r>
        <w:rPr>
          <w:snapToGrid w:val="0"/>
        </w:rPr>
        <w:tab/>
        <w:t>(a)</w:t>
      </w:r>
      <w:r>
        <w:rPr>
          <w:snapToGrid w:val="0"/>
        </w:rPr>
        <w:tab/>
        <w:t>by virtue of regulation 12, 13, 14A, 14, 15, 16AA(9), 16BA(9) or 16(3), regulation 7 does not apply to the noise emitted; or</w:t>
      </w:r>
    </w:p>
    <w:p>
      <w:pPr>
        <w:pStyle w:val="Indenta"/>
        <w:keepNext/>
        <w:rPr>
          <w:snapToGrid w:val="0"/>
        </w:rPr>
      </w:pPr>
      <w:r>
        <w:rPr>
          <w:snapToGrid w:val="0"/>
        </w:rPr>
        <w:lastRenderedPageBreak/>
        <w:tab/>
        <w:t>(b)</w:t>
      </w:r>
      <w:r>
        <w:rPr>
          <w:snapToGrid w:val="0"/>
        </w:rPr>
        <w:tab/>
        <w:t>the noise is emitted in accordance with an approval granted under regulation 18B, 18 or 19B.</w:t>
      </w:r>
    </w:p>
    <w:p>
      <w:pPr>
        <w:pStyle w:val="Footnotesection"/>
      </w:pPr>
      <w:r>
        <w:tab/>
        <w:t>[Regulation 5 inserted: Gazette 5 Dec 2013 p. 5652.]</w:t>
      </w:r>
    </w:p>
    <w:p>
      <w:pPr>
        <w:pStyle w:val="Heading5"/>
        <w:rPr>
          <w:snapToGrid w:val="0"/>
        </w:rPr>
      </w:pPr>
      <w:bookmarkStart w:id="16" w:name="_Toc173502674"/>
      <w:r>
        <w:rPr>
          <w:rStyle w:val="CharSectno"/>
        </w:rPr>
        <w:t>6</w:t>
      </w:r>
      <w:r>
        <w:rPr>
          <w:snapToGrid w:val="0"/>
        </w:rPr>
        <w:t xml:space="preserve">. </w:t>
      </w:r>
      <w:r>
        <w:rPr>
          <w:snapToGrid w:val="0"/>
        </w:rPr>
        <w:tab/>
        <w:t>Regulation of noise from public places</w:t>
      </w:r>
      <w:bookmarkEnd w:id="16"/>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15 </w:t>
      </w:r>
      <w:r>
        <w:rPr>
          <w:snapToGrid w:val="0"/>
        </w:rPr>
        <w:t>of Schedule 2 of the Act — </w:t>
      </w:r>
    </w:p>
    <w:p>
      <w:pPr>
        <w:pStyle w:val="Indenta"/>
        <w:rPr>
          <w:snapToGrid w:val="0"/>
        </w:rPr>
      </w:pPr>
      <w:r>
        <w:rPr>
          <w:snapToGrid w:val="0"/>
        </w:rPr>
        <w:tab/>
        <w:t>(a)</w:t>
      </w:r>
      <w:r>
        <w:rPr>
          <w:snapToGrid w:val="0"/>
        </w:rPr>
        <w:tab/>
        <w:t>public places are to be treated as premises to which sections 51, 75, 79, 80, 81, 81A, 82, 90, 92, 93, 95</w:t>
      </w:r>
      <w:r>
        <w:t xml:space="preserve"> and 99 </w:t>
      </w:r>
      <w:r>
        <w:rPr>
          <w:snapToGrid w:val="0"/>
        </w:rPr>
        <w:t>of the Act apply; and</w:t>
      </w:r>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sections 51, 75, 90, 92, 93 and 95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Gazette 11 Dec 1998 p. 6613; 7 Nov 2000 p. 6144; 5 Dec 2013 p. 5653.]</w:t>
      </w:r>
    </w:p>
    <w:p>
      <w:pPr>
        <w:pStyle w:val="Heading5"/>
        <w:rPr>
          <w:snapToGrid w:val="0"/>
        </w:rPr>
      </w:pPr>
      <w:bookmarkStart w:id="17" w:name="_Toc173502675"/>
      <w:r>
        <w:rPr>
          <w:rStyle w:val="CharSectno"/>
        </w:rPr>
        <w:t>7</w:t>
      </w:r>
      <w:r>
        <w:rPr>
          <w:snapToGrid w:val="0"/>
        </w:rPr>
        <w:t xml:space="preserve">. </w:t>
      </w:r>
      <w:r>
        <w:rPr>
          <w:snapToGrid w:val="0"/>
        </w:rPr>
        <w:tab/>
        <w:t>Prescribed standard for noise emissions</w:t>
      </w:r>
      <w:bookmarkEnd w:id="17"/>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lastRenderedPageBreak/>
        <w:tab/>
        <w:t>(b)</w:t>
      </w:r>
      <w:r>
        <w:rPr>
          <w:snapToGrid w:val="0"/>
        </w:rPr>
        <w:tab/>
        <w:t>must be free of — </w:t>
      </w:r>
    </w:p>
    <w:p>
      <w:pPr>
        <w:pStyle w:val="Indenti"/>
        <w:rPr>
          <w:snapToGrid w:val="0"/>
        </w:rPr>
      </w:pPr>
      <w:r>
        <w:rPr>
          <w:snapToGrid w:val="0"/>
        </w:rPr>
        <w:tab/>
        <w:t>(i)</w:t>
      </w:r>
      <w:r>
        <w:rPr>
          <w:snapToGrid w:val="0"/>
        </w:rPr>
        <w:tab/>
        <w:t>tonality; and</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 xml:space="preserve">For the purposes of subregulation (1)(a),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18" w:name="_Toc173502676"/>
      <w:r>
        <w:rPr>
          <w:rStyle w:val="CharSectno"/>
        </w:rPr>
        <w:t>8</w:t>
      </w:r>
      <w:r>
        <w:t>.</w:t>
      </w:r>
      <w:r>
        <w:tab/>
        <w:t>Assigned levels</w:t>
      </w:r>
      <w:bookmarkEnd w:id="18"/>
    </w:p>
    <w:p>
      <w:pPr>
        <w:pStyle w:val="Subsection"/>
      </w:pPr>
      <w:r>
        <w:tab/>
        <w:t>(1)</w:t>
      </w:r>
      <w:r>
        <w:tab/>
        <w:t xml:space="preserve">In this regulation — </w:t>
      </w:r>
    </w:p>
    <w:p>
      <w:pPr>
        <w:pStyle w:val="Defstart"/>
      </w:pPr>
      <w:r>
        <w:tab/>
      </w:r>
      <w:r>
        <w:rPr>
          <w:rStyle w:val="CharDefText"/>
        </w:rPr>
        <w:t>building</w:t>
      </w:r>
      <w:r>
        <w:t xml:space="preserve"> includes a camp, caravan, or park home, as those terms are defined in the </w:t>
      </w:r>
      <w:r>
        <w:rPr>
          <w:i/>
        </w:rPr>
        <w:t>Caravan Parks and Camping Grounds Act 1995</w:t>
      </w:r>
      <w:r>
        <w:t xml:space="preserve">, that is located — </w:t>
      </w:r>
    </w:p>
    <w:p>
      <w:pPr>
        <w:pStyle w:val="Defpara"/>
      </w:pPr>
      <w:r>
        <w:tab/>
        <w:t>(a)</w:t>
      </w:r>
      <w:r>
        <w:tab/>
        <w:t>in a caravan park or camping ground; or</w:t>
      </w:r>
    </w:p>
    <w:p>
      <w:pPr>
        <w:pStyle w:val="Defpara"/>
      </w:pPr>
      <w:r>
        <w:tab/>
        <w:t>(b)</w:t>
      </w:r>
      <w:r>
        <w:tab/>
        <w:t xml:space="preserve">on other land in accordance with an approval under the </w:t>
      </w:r>
      <w:r>
        <w:rPr>
          <w:i/>
          <w:snapToGrid/>
        </w:rPr>
        <w:t>Caravan Parks and Camping Grounds Regulations 1997</w:t>
      </w:r>
      <w:r>
        <w:rPr>
          <w:snapToGrid/>
        </w:rPr>
        <w:t xml:space="preserve"> </w:t>
      </w:r>
      <w:r>
        <w:t>regulation 11(2) or 12(2),</w:t>
      </w:r>
    </w:p>
    <w:p>
      <w:pPr>
        <w:pStyle w:val="Defstart"/>
      </w:pPr>
      <w:r>
        <w:tab/>
        <w:t>but does not include a veranda, patio, pergola, balcony or other similar outdoor area;</w:t>
      </w:r>
    </w:p>
    <w:p>
      <w:pPr>
        <w:pStyle w:val="Defstart"/>
        <w:keepNext/>
      </w:pPr>
      <w:r>
        <w:lastRenderedPageBreak/>
        <w:tab/>
      </w:r>
      <w:r>
        <w:rPr>
          <w:rStyle w:val="CharDefText"/>
        </w:rPr>
        <w:t>highly sensitive area</w:t>
      </w:r>
      <w:r>
        <w:t xml:space="preserve"> means that area (if any) of noise sensitive premises comprising —</w:t>
      </w:r>
    </w:p>
    <w:p>
      <w:pPr>
        <w:pStyle w:val="Defpara"/>
      </w:pPr>
      <w:r>
        <w:tab/>
        <w:t>(a)</w:t>
      </w:r>
      <w:r>
        <w:tab/>
        <w:t>a building, or a part of a building, on the premises that is used for a noise sensitive purpose; and</w:t>
      </w:r>
    </w:p>
    <w:p>
      <w:pPr>
        <w:pStyle w:val="Defpara"/>
      </w:pPr>
      <w:r>
        <w:tab/>
        <w:t>(b)</w:t>
      </w:r>
      <w:r>
        <w:tab/>
        <w:t>any other part of the premises within 15 m of that building or that part of the building;</w:t>
      </w:r>
    </w:p>
    <w:p>
      <w:pPr>
        <w:pStyle w:val="Defstart"/>
      </w:pPr>
      <w:r>
        <w:tab/>
      </w:r>
      <w:r>
        <w:rPr>
          <w:rStyle w:val="CharDefText"/>
        </w:rPr>
        <w:t>influencing factor</w:t>
      </w:r>
      <w:r>
        <w:t>, in relation to noise received at noise sensitive premises, means the influencing factor determined under Schedule 3;</w:t>
      </w:r>
    </w:p>
    <w:p>
      <w:pPr>
        <w:pStyle w:val="Defstart"/>
      </w:pPr>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p>
    <w:p>
      <w:pPr>
        <w:pStyle w:val="Defstart"/>
      </w:pPr>
      <w:r>
        <w:tab/>
      </w:r>
      <w:r>
        <w:rPr>
          <w:rStyle w:val="CharDefText"/>
        </w:rPr>
        <w:t>L</w:t>
      </w:r>
      <w:r>
        <w:rPr>
          <w:rStyle w:val="CharDefText"/>
          <w:vertAlign w:val="subscript"/>
        </w:rPr>
        <w:t>A 1</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 of the representative assessment period;</w:t>
      </w:r>
    </w:p>
    <w:p>
      <w:pPr>
        <w:pStyle w:val="Defstart"/>
      </w:pPr>
      <w:r>
        <w:tab/>
      </w:r>
      <w:r>
        <w:rPr>
          <w:rStyle w:val="CharDefText"/>
        </w:rPr>
        <w:t>L</w:t>
      </w:r>
      <w:r>
        <w:rPr>
          <w:rStyle w:val="CharDefText"/>
          <w:vertAlign w:val="subscript"/>
        </w:rPr>
        <w:t>A 10</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10% of the representative assessment period;</w:t>
      </w:r>
    </w:p>
    <w:p>
      <w:pPr>
        <w:pStyle w:val="Defstart"/>
      </w:pPr>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p>
    <w:p>
      <w:pPr>
        <w:pStyle w:val="Subsection"/>
      </w:pPr>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assigned level for all premises is to be determined by reference to Table 1.</w:t>
      </w:r>
    </w:p>
    <w:p>
      <w:pPr>
        <w:pStyle w:val="MiscellaneousHeading"/>
        <w:rPr>
          <w:snapToGrid w:val="0"/>
        </w:rPr>
      </w:pPr>
      <w:r>
        <w:rPr>
          <w:b/>
          <w:snapToGrid w:val="0"/>
        </w:rPr>
        <w:lastRenderedPageBreak/>
        <w:t>Table 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 xml:space="preserve">Noise sensitive premises: highly sensitive area </w:t>
            </w:r>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 xml:space="preserve">Noise sensitive premises: any area other than highly sensitive area </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 other than those in the Kwinana Industrial Area</w:t>
            </w:r>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trPr>
        <w:tc>
          <w:tcPr>
            <w:tcW w:w="1560" w:type="dxa"/>
          </w:tcPr>
          <w:p>
            <w:pPr>
              <w:pStyle w:val="TableNAm"/>
              <w:keepNext/>
            </w:pPr>
            <w:r>
              <w:rPr>
                <w:sz w:val="18"/>
                <w:szCs w:val="18"/>
              </w:rPr>
              <w:lastRenderedPageBreak/>
              <w:t>Industrial and utility premises in the Kwinana Industrial Area</w:t>
            </w:r>
          </w:p>
        </w:tc>
        <w:tc>
          <w:tcPr>
            <w:tcW w:w="1134" w:type="dxa"/>
          </w:tcPr>
          <w:p>
            <w:pPr>
              <w:pStyle w:val="TableNAm"/>
              <w:keepNext/>
            </w:pPr>
            <w:r>
              <w:rPr>
                <w:sz w:val="18"/>
                <w:szCs w:val="18"/>
              </w:rPr>
              <w:t>All hours</w:t>
            </w:r>
          </w:p>
        </w:tc>
        <w:tc>
          <w:tcPr>
            <w:tcW w:w="1228" w:type="dxa"/>
          </w:tcPr>
          <w:p>
            <w:pPr>
              <w:pStyle w:val="TableNAm"/>
              <w:keepNext/>
              <w:jc w:val="center"/>
            </w:pPr>
            <w:r>
              <w:rPr>
                <w:sz w:val="18"/>
                <w:szCs w:val="18"/>
              </w:rPr>
              <w:t>75</w:t>
            </w:r>
          </w:p>
        </w:tc>
        <w:tc>
          <w:tcPr>
            <w:tcW w:w="1228" w:type="dxa"/>
          </w:tcPr>
          <w:p>
            <w:pPr>
              <w:pStyle w:val="TableNAm"/>
              <w:keepNext/>
              <w:jc w:val="center"/>
            </w:pPr>
            <w:r>
              <w:rPr>
                <w:sz w:val="18"/>
                <w:szCs w:val="18"/>
              </w:rPr>
              <w:t>85</w:t>
            </w:r>
          </w:p>
        </w:tc>
        <w:tc>
          <w:tcPr>
            <w:tcW w:w="1229" w:type="dxa"/>
          </w:tcPr>
          <w:p>
            <w:pPr>
              <w:pStyle w:val="TableNAm"/>
              <w:keepNext/>
              <w:jc w:val="center"/>
            </w:pPr>
            <w:r>
              <w:rPr>
                <w:sz w:val="18"/>
                <w:szCs w:val="18"/>
              </w:rPr>
              <w:t>90</w:t>
            </w:r>
          </w:p>
        </w:tc>
      </w:tr>
    </w:tbl>
    <w:p>
      <w:pPr>
        <w:pStyle w:val="Footnotesection"/>
      </w:pPr>
      <w:r>
        <w:tab/>
        <w:t>[Regulation 8 inserted: Gazette 5 Dec 2013 p. 5653</w:t>
      </w:r>
      <w:r>
        <w:noBreakHyphen/>
        <w:t>6; amended: Gazette 10 Jan 2017 p. 196.]</w:t>
      </w:r>
    </w:p>
    <w:p>
      <w:pPr>
        <w:pStyle w:val="Heading5"/>
        <w:rPr>
          <w:snapToGrid w:val="0"/>
        </w:rPr>
      </w:pPr>
      <w:bookmarkStart w:id="19" w:name="_Toc173502677"/>
      <w:r>
        <w:rPr>
          <w:rStyle w:val="CharSectno"/>
        </w:rPr>
        <w:t>9</w:t>
      </w:r>
      <w:r>
        <w:rPr>
          <w:snapToGrid w:val="0"/>
        </w:rPr>
        <w:t xml:space="preserve">. </w:t>
      </w:r>
      <w:r>
        <w:rPr>
          <w:snapToGrid w:val="0"/>
        </w:rPr>
        <w:tab/>
        <w:t>Intrusive or dominant noise characteristics</w:t>
      </w:r>
      <w:bookmarkEnd w:id="19"/>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r>
        <w:rPr>
          <w:rStyle w:val="CharDefText"/>
        </w:rPr>
        <w:t>impulsiveness</w:t>
      </w:r>
      <w:r>
        <w:t xml:space="preserve"> means a variation in the emission of a noise where the difference between L</w:t>
      </w:r>
      <w:r>
        <w:rPr>
          <w:vertAlign w:val="subscript"/>
        </w:rPr>
        <w:t>A peak</w:t>
      </w:r>
      <w:r>
        <w:t xml:space="preserve"> and L</w:t>
      </w:r>
      <w:r>
        <w:rPr>
          <w:vertAlign w:val="subscript"/>
        </w:rPr>
        <w:t>A Slow max</w:t>
      </w:r>
      <w:r>
        <w:t xml:space="preserve"> is more than 15 dB when determined for a single representative event;</w:t>
      </w:r>
    </w:p>
    <w:p>
      <w:pPr>
        <w:pStyle w:val="Defstart"/>
        <w:spacing w:before="70"/>
      </w:pPr>
      <w:r>
        <w:rPr>
          <w:b/>
        </w:rPr>
        <w:tab/>
      </w:r>
      <w:r>
        <w:rPr>
          <w:rStyle w:val="CharDefText"/>
        </w:rPr>
        <w:t>modulation</w:t>
      </w:r>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 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r>
        <w:rPr>
          <w:rStyle w:val="CharDefText"/>
        </w:rPr>
        <w:t>tonality</w:t>
      </w:r>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keepNext/>
        <w:keepLines/>
      </w:pPr>
      <w:r>
        <w:lastRenderedPageBreak/>
        <w:tab/>
        <w:t>(2)</w:t>
      </w:r>
      <w:r>
        <w:tab/>
        <w:t>In subregulation (1) —</w:t>
      </w:r>
    </w:p>
    <w:p>
      <w:pPr>
        <w:pStyle w:val="Defstart"/>
        <w:keepNext/>
        <w:keepLines/>
      </w:pPr>
      <w:r>
        <w:tab/>
      </w:r>
      <w:r>
        <w:rPr>
          <w:rStyle w:val="CharDefText"/>
        </w:rPr>
        <w:t>L</w:t>
      </w:r>
      <w:r>
        <w:rPr>
          <w:rStyle w:val="CharDefText"/>
          <w:vertAlign w:val="subscript"/>
        </w:rPr>
        <w:t>AeqT</w:t>
      </w:r>
      <w:r>
        <w:t xml:space="preserve"> means the equivalent continuous sound pressure level in decibels (dB) using the “A” frequency weighting characteristic, as specified in AS IEC 61672.1</w:t>
      </w:r>
      <w:r>
        <w:noBreakHyphen/>
        <w:t>2004 Electroacoustics</w:t>
      </w:r>
      <w:r>
        <w:noBreakHyphen/>
        <w:t>Sound level meters Part 1: Specifications, determined over measurement time period T with sound measuring equipment that complies with the requirements of Schedule 4;</w:t>
      </w:r>
    </w:p>
    <w:p>
      <w:pPr>
        <w:pStyle w:val="Defstart"/>
        <w:keepNext/>
        <w:keepLines/>
      </w:pPr>
      <w:r>
        <w:tab/>
      </w:r>
      <w:r>
        <w:rPr>
          <w:rStyle w:val="CharDefText"/>
        </w:rPr>
        <w:t>L</w:t>
      </w:r>
      <w:r>
        <w:rPr>
          <w:rStyle w:val="CharDefText"/>
          <w:vertAlign w:val="subscript"/>
        </w:rPr>
        <w:t>A Fast</w:t>
      </w:r>
      <w:r>
        <w:rPr>
          <w:vertAlign w:val="subscript"/>
        </w:rPr>
        <w:t xml:space="preserve"> </w:t>
      </w:r>
      <w:r>
        <w:t>means the reading in decibels (dB) obtained using the “A” frequency weighting characteristic and the “F”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peak</w:t>
      </w:r>
      <w:r>
        <w:t xml:space="preserve"> means the peak sound pressure level in decibels (dB) obtained using the “A”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one</w:t>
      </w:r>
      <w:r>
        <w:rPr>
          <w:rStyle w:val="CharDefText"/>
        </w:rPr>
        <w:noBreakHyphen/>
        <w:t>third octave band</w:t>
      </w:r>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lastRenderedPageBreak/>
        <w:tab/>
        <w:t>(b)</w:t>
      </w:r>
      <w:r>
        <w:rPr>
          <w:snapToGrid w:val="0"/>
        </w:rPr>
        <w:tab/>
        <w:t>the noise emission complies with the standard prescribed under regulation 7(1)(a) after the adjustments in the table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pPr>
      <w:r>
        <w:tab/>
        <w:t>[Regulation 9 amended: Gazette 5 Dec 2013 p. 5656</w:t>
      </w:r>
      <w:r>
        <w:noBreakHyphen/>
        <w:t>7.]</w:t>
      </w:r>
    </w:p>
    <w:p>
      <w:pPr>
        <w:pStyle w:val="Heading5"/>
        <w:rPr>
          <w:snapToGrid w:val="0"/>
        </w:rPr>
      </w:pPr>
      <w:bookmarkStart w:id="20" w:name="_Toc173502678"/>
      <w:r>
        <w:rPr>
          <w:rStyle w:val="CharSectno"/>
        </w:rPr>
        <w:t>10</w:t>
      </w:r>
      <w:r>
        <w:rPr>
          <w:snapToGrid w:val="0"/>
        </w:rPr>
        <w:t xml:space="preserve">. </w:t>
      </w:r>
      <w:r>
        <w:rPr>
          <w:snapToGrid w:val="0"/>
        </w:rPr>
        <w:tab/>
        <w:t>Non</w:t>
      </w:r>
      <w:r>
        <w:rPr>
          <w:snapToGrid w:val="0"/>
        </w:rPr>
        <w:noBreakHyphen/>
        <w:t>conforming uses and changes of zoning</w:t>
      </w:r>
      <w:bookmarkEnd w:id="20"/>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r>
        <w:rPr>
          <w:rStyle w:val="CharDefText"/>
        </w:rPr>
        <w:t>non</w:t>
      </w:r>
      <w:r>
        <w:rPr>
          <w:rStyle w:val="CharDefText"/>
        </w:rPr>
        <w:noBreakHyphen/>
        <w:t>conforming use</w:t>
      </w:r>
      <w:r>
        <w:t xml:space="preserve"> has the meaning given in the</w:t>
      </w:r>
      <w:r>
        <w:rPr>
          <w:i/>
        </w:rPr>
        <w:t xml:space="preserve"> Planning and Development Act 2005 </w:t>
      </w:r>
      <w:r>
        <w:t>section 172;</w:t>
      </w:r>
    </w:p>
    <w:p>
      <w:pPr>
        <w:pStyle w:val="Defstart"/>
      </w:pPr>
      <w:r>
        <w:tab/>
      </w:r>
      <w:r>
        <w:rPr>
          <w:rStyle w:val="CharDefText"/>
        </w:rPr>
        <w:t>planning scheme</w:t>
      </w:r>
      <w:r>
        <w:t xml:space="preserve"> means — </w:t>
      </w:r>
    </w:p>
    <w:p>
      <w:pPr>
        <w:pStyle w:val="Defpara"/>
      </w:pPr>
      <w:r>
        <w:tab/>
        <w:t>(a)</w:t>
      </w:r>
      <w:r>
        <w:tab/>
        <w:t xml:space="preserve">a planning scheme in force under the </w:t>
      </w:r>
      <w:r>
        <w:rPr>
          <w:i/>
        </w:rPr>
        <w:t>Planning and Development Act 2005</w:t>
      </w:r>
      <w:r>
        <w:t>; or</w:t>
      </w:r>
    </w:p>
    <w:p>
      <w:pPr>
        <w:pStyle w:val="Defpara"/>
      </w:pPr>
      <w:r>
        <w:tab/>
        <w:t>(b)</w:t>
      </w:r>
      <w:r>
        <w:tab/>
        <w:t xml:space="preserve">an approved redevelopment scheme in operation under the </w:t>
      </w:r>
      <w:r>
        <w:rPr>
          <w:i/>
        </w:rPr>
        <w:t>Metropolitan Redevelopment Authority Act 2011</w:t>
      </w:r>
      <w:r>
        <w:t>; or</w:t>
      </w:r>
    </w:p>
    <w:p>
      <w:pPr>
        <w:pStyle w:val="Defpara"/>
      </w:pPr>
      <w:r>
        <w:tab/>
        <w:t>(c)</w:t>
      </w:r>
      <w:r>
        <w:tab/>
        <w:t xml:space="preserve">the master plan in force under the </w:t>
      </w:r>
      <w:r>
        <w:rPr>
          <w:i/>
        </w:rPr>
        <w:t>Hope Valley</w:t>
      </w:r>
      <w:r>
        <w:rPr>
          <w:i/>
        </w:rPr>
        <w:noBreakHyphen/>
        <w:t>Wattleup Redevelopment Act 2000</w:t>
      </w:r>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r>
        <w:t>use</w:t>
      </w:r>
      <w:r>
        <w:rPr>
          <w:snapToGrid w:val="0"/>
        </w:rPr>
        <w:t xml:space="preserve"> when received at any part of noise sensitive premises that is within 450 m of the first</w:t>
      </w:r>
      <w:r>
        <w:rPr>
          <w:snapToGrid w:val="0"/>
        </w:rPr>
        <w:noBreakHyphen/>
        <w:t>mentioned premises is the same noise that could have been emitted and received in accordance with regulation 7 if the provisions of the planning scheme that caused the non</w:t>
      </w:r>
      <w:r>
        <w:rPr>
          <w:snapToGrid w:val="0"/>
        </w:rPr>
        <w:noBreakHyphen/>
        <w:t>conforming use had not come into operation.</w:t>
      </w:r>
    </w:p>
    <w:p>
      <w:pPr>
        <w:pStyle w:val="Subsection"/>
        <w:rPr>
          <w:snapToGrid w:val="0"/>
        </w:rPr>
      </w:pPr>
      <w:r>
        <w:rPr>
          <w:snapToGrid w:val="0"/>
        </w:rPr>
        <w:lastRenderedPageBreak/>
        <w:tab/>
        <w:t>(3)</w:t>
      </w:r>
      <w:r>
        <w:rPr>
          <w:snapToGrid w:val="0"/>
        </w:rPr>
        <w:tab/>
        <w:t>Subject to subregulation (4), if a planning scheme is amended with respect to any land after the coming into operation of these regulations, the noise that may be lawfully emitted from other premises (</w:t>
      </w:r>
      <w:r>
        <w:rPr>
          <w:rStyle w:val="CharDefText"/>
        </w:rPr>
        <w:t>emitting premises</w:t>
      </w:r>
      <w:r>
        <w:rPr>
          <w:snapToGrid w:val="0"/>
        </w:rPr>
        <w:t>) when received at any part of noise sensitive premises on the first</w:t>
      </w:r>
      <w:r>
        <w:rPr>
          <w:snapToGrid w:val="0"/>
        </w:rPr>
        <w:noBreakHyphen/>
        <w:t>mentioned land that is within 450 m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r>
        <w:t>CEO</w:t>
      </w:r>
      <w:r>
        <w:rPr>
          <w:snapToGrid w:val="0"/>
        </w:rPr>
        <w:t xml:space="preserve"> issued under subregulation (8) has effect in relation to those premises; and</w:t>
      </w:r>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r>
        <w:t>CEO</w:t>
      </w:r>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r>
        <w:t>CEO’s</w:t>
      </w:r>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r>
        <w:t>CEO</w:t>
      </w:r>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keepNext/>
        <w:rPr>
          <w:snapToGrid w:val="0"/>
        </w:rPr>
      </w:pPr>
      <w:r>
        <w:rPr>
          <w:snapToGrid w:val="0"/>
        </w:rPr>
        <w:lastRenderedPageBreak/>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planning scheme has been amended; and</w:t>
      </w:r>
    </w:p>
    <w:p>
      <w:pPr>
        <w:pStyle w:val="Indenti"/>
        <w:rPr>
          <w:snapToGrid w:val="0"/>
        </w:rPr>
      </w:pPr>
      <w:r>
        <w:rPr>
          <w:snapToGrid w:val="0"/>
        </w:rPr>
        <w:tab/>
        <w:t>(ii)</w:t>
      </w:r>
      <w:r>
        <w:rPr>
          <w:snapToGrid w:val="0"/>
        </w:rPr>
        <w:tab/>
        <w:t>which have had the same use continuously since the coming into operation of the amendments to the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planning scheme, if any, which applied to the premises immediately before the coming into operation of the provisions of the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planning scheme which applied to the premises receiving the noise immediately before the scheme was amended,</w:t>
      </w:r>
    </w:p>
    <w:p>
      <w:pPr>
        <w:pStyle w:val="Indenta"/>
        <w:rPr>
          <w:snapToGrid w:val="0"/>
        </w:rPr>
      </w:pPr>
      <w:r>
        <w:rPr>
          <w:snapToGrid w:val="0"/>
        </w:rPr>
        <w:tab/>
      </w:r>
      <w:r>
        <w:rPr>
          <w:snapToGrid w:val="0"/>
        </w:rPr>
        <w:tab/>
        <w:t>as the case requires; and</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planning scheme that caused the non</w:t>
      </w:r>
      <w:r>
        <w:noBreakHyphen/>
      </w:r>
      <w:r>
        <w:rPr>
          <w:snapToGrid w:val="0"/>
        </w:rPr>
        <w:t>conforming use, or the amendments to the planning scheme referred to in paragraph (a)(ii), as the case requires; and</w:t>
      </w:r>
    </w:p>
    <w:p>
      <w:pPr>
        <w:pStyle w:val="Indenti"/>
        <w:rPr>
          <w:snapToGrid w:val="0"/>
        </w:rPr>
      </w:pPr>
      <w:r>
        <w:rPr>
          <w:snapToGrid w:val="0"/>
        </w:rPr>
        <w:tab/>
        <w:t>(ii)</w:t>
      </w:r>
      <w:r>
        <w:rPr>
          <w:snapToGrid w:val="0"/>
        </w:rPr>
        <w:tab/>
        <w:t>if the claim is for acknowledgment that the premises are premises of a kind referred to in subregulation (5)(b),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planning schemes referred to in paragraphs (a) and (b).</w:t>
      </w:r>
    </w:p>
    <w:p>
      <w:pPr>
        <w:pStyle w:val="Subsection"/>
        <w:rPr>
          <w:snapToGrid w:val="0"/>
        </w:rPr>
      </w:pPr>
      <w:r>
        <w:rPr>
          <w:snapToGrid w:val="0"/>
        </w:rPr>
        <w:lastRenderedPageBreak/>
        <w:tab/>
        <w:t>(7)</w:t>
      </w:r>
      <w:r>
        <w:rPr>
          <w:snapToGrid w:val="0"/>
        </w:rPr>
        <w:tab/>
        <w:t>The statutory declarations referred to in subregulation (6)(a)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r>
        <w:t>CEO</w:t>
      </w:r>
      <w:r>
        <w:rPr>
          <w:snapToGrid w:val="0"/>
        </w:rPr>
        <w:t xml:space="preserve"> is to give the occupier of premises written acknowledgment of any claim made in accordance with this regulation.</w:t>
      </w:r>
    </w:p>
    <w:p>
      <w:pPr>
        <w:pStyle w:val="Subsection"/>
        <w:rPr>
          <w:snapToGrid w:val="0"/>
        </w:rPr>
      </w:pPr>
      <w:r>
        <w:rPr>
          <w:snapToGrid w:val="0"/>
        </w:rPr>
        <w:tab/>
        <w:t>(9)</w:t>
      </w:r>
      <w:r>
        <w:rPr>
          <w:snapToGrid w:val="0"/>
        </w:rPr>
        <w:tab/>
        <w:t xml:space="preserve">The </w:t>
      </w:r>
      <w:r>
        <w:t>CEO</w:t>
      </w:r>
      <w:r>
        <w:rPr>
          <w:snapToGrid w:val="0"/>
        </w:rPr>
        <w:t xml:space="preserve"> may revoke an acknowledgment at any time </w:t>
      </w:r>
      <w:r>
        <w:t>if the CEO</w:t>
      </w:r>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r>
        <w:t>CEO</w:t>
      </w:r>
      <w:r>
        <w:rPr>
          <w:snapToGrid w:val="0"/>
        </w:rPr>
        <w:t xml:space="preserve">, accompanying documentation required under subregulation (6) and the </w:t>
      </w:r>
      <w:r>
        <w:t>CEO’s</w:t>
      </w:r>
      <w:r>
        <w:rPr>
          <w:snapToGrid w:val="0"/>
        </w:rPr>
        <w:t xml:space="preserve"> acknowledgment are to be available for public inspection during normal office hours at the public reading room of the Department.</w:t>
      </w:r>
    </w:p>
    <w:p>
      <w:pPr>
        <w:pStyle w:val="Subsection"/>
      </w:pPr>
      <w:r>
        <w:tab/>
        <w:t>(11)</w:t>
      </w:r>
      <w:r>
        <w:tab/>
        <w:t xml:space="preserve">Any acknowledgment from the Authority under subregulation (8) issued before the coming into operation of the </w:t>
      </w:r>
      <w:r>
        <w:rPr>
          <w:i/>
        </w:rPr>
        <w:t>Environmental Protection (Noise) Amendment Regulations 2013</w:t>
      </w:r>
      <w:r>
        <w:t xml:space="preserve"> regulation 12 has effect as if it were an acknowledgment from the CEO.</w:t>
      </w:r>
    </w:p>
    <w:p>
      <w:pPr>
        <w:pStyle w:val="Footnotesection"/>
      </w:pPr>
      <w:r>
        <w:tab/>
        <w:t>[Regulation 10 amended: Gazette 5 Dec 2013 p. 5657</w:t>
      </w:r>
      <w:r>
        <w:noBreakHyphen/>
        <w:t>9.]</w:t>
      </w:r>
    </w:p>
    <w:p>
      <w:pPr>
        <w:pStyle w:val="Heading3"/>
      </w:pPr>
      <w:bookmarkStart w:id="21" w:name="_Toc173498471"/>
      <w:bookmarkStart w:id="22" w:name="_Toc173499607"/>
      <w:bookmarkStart w:id="23" w:name="_Toc173502679"/>
      <w:r>
        <w:rPr>
          <w:rStyle w:val="CharDivNo"/>
        </w:rPr>
        <w:t>Division 2</w:t>
      </w:r>
      <w:r>
        <w:t> — </w:t>
      </w:r>
      <w:r>
        <w:rPr>
          <w:rStyle w:val="CharDivText"/>
        </w:rPr>
        <w:t>Various premises and activities</w:t>
      </w:r>
      <w:bookmarkEnd w:id="21"/>
      <w:bookmarkEnd w:id="22"/>
      <w:bookmarkEnd w:id="23"/>
    </w:p>
    <w:p>
      <w:pPr>
        <w:pStyle w:val="Footnoteheading"/>
        <w:rPr>
          <w:snapToGrid w:val="0"/>
        </w:rPr>
      </w:pPr>
      <w:r>
        <w:tab/>
        <w:t>[Heading inserted: Gazette 5 Dec 2013 p. 5659.]</w:t>
      </w:r>
    </w:p>
    <w:p>
      <w:pPr>
        <w:pStyle w:val="Heading5"/>
      </w:pPr>
      <w:bookmarkStart w:id="24" w:name="_Toc173502680"/>
      <w:r>
        <w:rPr>
          <w:rStyle w:val="CharSectno"/>
        </w:rPr>
        <w:t>11</w:t>
      </w:r>
      <w:r>
        <w:t>.</w:t>
      </w:r>
      <w:r>
        <w:tab/>
        <w:t>Airblast levels due to blasting</w:t>
      </w:r>
      <w:bookmarkEnd w:id="24"/>
    </w:p>
    <w:p>
      <w:pPr>
        <w:pStyle w:val="Subsection"/>
        <w:rPr>
          <w:snapToGrid w:val="0"/>
        </w:rPr>
      </w:pPr>
      <w:r>
        <w:rPr>
          <w:snapToGrid w:val="0"/>
        </w:rPr>
        <w:tab/>
        <w:t>(1)</w:t>
      </w:r>
      <w:r>
        <w:rPr>
          <w:snapToGrid w:val="0"/>
        </w:rPr>
        <w:tab/>
        <w:t>In this regulation — </w:t>
      </w:r>
    </w:p>
    <w:p>
      <w:pPr>
        <w:pStyle w:val="Defstart"/>
      </w:pPr>
      <w:r>
        <w:tab/>
      </w:r>
      <w:r>
        <w:rPr>
          <w:rStyle w:val="CharDefText"/>
        </w:rPr>
        <w:t>airblast level</w:t>
      </w:r>
      <w:r>
        <w:t xml:space="preserve"> means a noise level resulting from blasting;</w:t>
      </w:r>
    </w:p>
    <w:p>
      <w:pPr>
        <w:pStyle w:val="Defstart"/>
      </w:pPr>
      <w:r>
        <w:tab/>
      </w:r>
      <w:r>
        <w:rPr>
          <w:rStyle w:val="CharDefText"/>
        </w:rPr>
        <w:t>blaster</w:t>
      </w:r>
      <w:r>
        <w:t xml:space="preserve">, in relation to blasting on any premises or public place, means — </w:t>
      </w:r>
    </w:p>
    <w:p>
      <w:pPr>
        <w:pStyle w:val="Defpara"/>
      </w:pPr>
      <w:r>
        <w:lastRenderedPageBreak/>
        <w:tab/>
        <w:t>(a)</w:t>
      </w:r>
      <w:r>
        <w:tab/>
        <w:t>in the case of premises — the occupier of the premises; or</w:t>
      </w:r>
    </w:p>
    <w:p>
      <w:pPr>
        <w:pStyle w:val="Defpara"/>
      </w:pPr>
      <w:r>
        <w:tab/>
        <w:t>(b)</w:t>
      </w:r>
      <w:r>
        <w:tab/>
        <w:t>in the case of a public place — the person who under regulation 6(1)(b) is to be treated as the occupier of the public place;</w:t>
      </w:r>
    </w:p>
    <w:p>
      <w:pPr>
        <w:pStyle w:val="Defstart"/>
      </w:pPr>
      <w:r>
        <w:tab/>
      </w:r>
      <w:r>
        <w:rPr>
          <w:rStyle w:val="CharDefText"/>
        </w:rPr>
        <w:t>building</w:t>
      </w:r>
      <w:r>
        <w:t xml:space="preserve"> has the meaning given in regulation 8(1);</w:t>
      </w:r>
    </w:p>
    <w:p>
      <w:pPr>
        <w:pStyle w:val="Defstart"/>
      </w:pPr>
      <w:r>
        <w:tab/>
      </w:r>
      <w:r>
        <w:rPr>
          <w:rStyle w:val="CharDefText"/>
        </w:rPr>
        <w:t>L</w:t>
      </w:r>
      <w:r>
        <w:rPr>
          <w:rStyle w:val="CharDefText"/>
          <w:vertAlign w:val="subscript"/>
        </w:rPr>
        <w:t>Z peak</w:t>
      </w:r>
      <w:r>
        <w:t xml:space="preserve"> means the peak sound pressure level in decibels (dB) obtained using the “Z”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keepNext/>
      </w:pPr>
      <w:r>
        <w:tab/>
      </w:r>
      <w:r>
        <w:rPr>
          <w:rStyle w:val="CharDefText"/>
        </w:rPr>
        <w:t>sensitive site</w:t>
      </w:r>
      <w:r>
        <w:t xml:space="preserve">, in relation to noise sensitive premises, means — </w:t>
      </w:r>
    </w:p>
    <w:p>
      <w:pPr>
        <w:pStyle w:val="Defpara"/>
      </w:pPr>
      <w:r>
        <w:tab/>
        <w:t>(a)</w:t>
      </w:r>
      <w:r>
        <w:tab/>
        <w:t>a building, or a part of a building, on the premises that is used for a noise sensitive purpose; or</w:t>
      </w:r>
    </w:p>
    <w:p>
      <w:pPr>
        <w:pStyle w:val="Defpara"/>
      </w:pPr>
      <w:r>
        <w:tab/>
        <w:t>(b)</w:t>
      </w:r>
      <w:r>
        <w:tab/>
        <w:t>any other location on the premises within 30 m of that building or that part of the building.</w:t>
      </w:r>
    </w:p>
    <w:p>
      <w:pPr>
        <w:pStyle w:val="Subsection"/>
      </w:pPr>
      <w:r>
        <w:tab/>
        <w:t>(2)</w:t>
      </w:r>
      <w:r>
        <w:tab/>
        <w:t xml:space="preserve">For the purposes of paragraph (a) of the definition of </w:t>
      </w:r>
      <w:r>
        <w:rPr>
          <w:b/>
          <w:i/>
        </w:rPr>
        <w:t>sensitive site</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provisions of this regulation have effect in relation to airblast levels in place of regulation 7.</w:t>
      </w:r>
    </w:p>
    <w:p>
      <w:pPr>
        <w:pStyle w:val="Subsection"/>
      </w:pPr>
      <w:r>
        <w:tab/>
        <w:t>(4)</w:t>
      </w:r>
      <w:r>
        <w:tab/>
        <w:t xml:space="preserve">Subject to subregulation (5), no airblast level resulting from blasting on any premises or public place, when received at any other premises between </w:t>
      </w:r>
      <w:r>
        <w:rPr>
          <w:snapToGrid w:val="0"/>
        </w:rPr>
        <w:t>0700 hours and 1800 hours on any day</w:t>
      </w:r>
      <w:r>
        <w:t xml:space="preserve">, may exceed — </w:t>
      </w:r>
    </w:p>
    <w:p>
      <w:pPr>
        <w:pStyle w:val="Indenta"/>
      </w:pPr>
      <w:r>
        <w:tab/>
        <w:t>(a)</w:t>
      </w:r>
      <w:r>
        <w:tab/>
        <w:t xml:space="preserve">for an airblast level received at noise sensitive premises — </w:t>
      </w:r>
    </w:p>
    <w:p>
      <w:pPr>
        <w:pStyle w:val="Indenti"/>
        <w:rPr>
          <w:snapToGrid w:val="0"/>
        </w:rPr>
      </w:pPr>
      <w:r>
        <w:tab/>
        <w:t>(i)</w:t>
      </w:r>
      <w:r>
        <w:tab/>
        <w:t xml:space="preserve">when received at a sensitive site — </w:t>
      </w:r>
      <w:r>
        <w:rPr>
          <w:snapToGrid w:val="0"/>
        </w:rPr>
        <w:t>120 dB L</w:t>
      </w:r>
      <w:r>
        <w:rPr>
          <w:snapToGrid w:val="0"/>
          <w:vertAlign w:val="subscript"/>
        </w:rPr>
        <w:t>Z peak</w:t>
      </w:r>
      <w:r>
        <w:rPr>
          <w:snapToGrid w:val="0"/>
        </w:rPr>
        <w:t>; or</w:t>
      </w:r>
    </w:p>
    <w:p>
      <w:pPr>
        <w:pStyle w:val="Indenti"/>
        <w:rPr>
          <w:snapToGrid w:val="0"/>
        </w:rPr>
      </w:pPr>
      <w:r>
        <w:lastRenderedPageBreak/>
        <w:tab/>
        <w:t>(ii)</w:t>
      </w:r>
      <w:r>
        <w:tab/>
        <w:t xml:space="preserve">when received at a location other than a sensitive site — </w:t>
      </w:r>
      <w:r>
        <w:rPr>
          <w:snapToGrid w:val="0"/>
        </w:rPr>
        <w:t>125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an airblast level received at any other premises — </w:t>
      </w:r>
      <w:r>
        <w:rPr>
          <w:snapToGrid w:val="0"/>
        </w:rPr>
        <w:t>125 dB L</w:t>
      </w:r>
      <w:r>
        <w:rPr>
          <w:snapToGrid w:val="0"/>
          <w:vertAlign w:val="subscript"/>
        </w:rPr>
        <w:t>Z peak</w:t>
      </w:r>
      <w:r>
        <w:rPr>
          <w:snapToGrid w:val="0"/>
        </w:rPr>
        <w:t>.</w:t>
      </w:r>
    </w:p>
    <w:p>
      <w:pPr>
        <w:pStyle w:val="Subsection"/>
      </w:pPr>
      <w:r>
        <w:tab/>
        <w:t>(5)</w:t>
      </w:r>
      <w:r>
        <w:tab/>
        <w:t>The levels specified in subregulation (4) do not apply in respect of an airblast level when received at premises, or a part of premises, on which the blaster believes on reasonable grounds no person is present at the time of the blast.</w:t>
      </w:r>
    </w:p>
    <w:p>
      <w:pPr>
        <w:pStyle w:val="Subsection"/>
        <w:rPr>
          <w:snapToGrid w:val="0"/>
        </w:rPr>
      </w:pPr>
      <w:r>
        <w:tab/>
        <w:t>(6)</w:t>
      </w:r>
      <w:r>
        <w:tab/>
        <w:t xml:space="preserve">Despite subregulation (4), </w:t>
      </w:r>
      <w:r>
        <w:rPr>
          <w:snapToGrid w:val="0"/>
        </w:rPr>
        <w:t xml:space="preserve">airblast levels for 9 in any 10 consecutive blasts (regardless of the interval between each blast), when received at any other single premises between 0700 hours and 1800 hours on any day, must not exceed —  </w:t>
      </w:r>
    </w:p>
    <w:p>
      <w:pPr>
        <w:pStyle w:val="Indenta"/>
      </w:pPr>
      <w:r>
        <w:tab/>
        <w:t>(a)</w:t>
      </w:r>
      <w:r>
        <w:tab/>
        <w:t xml:space="preserve">for airblast levels received at noise sensitive premises — </w:t>
      </w:r>
    </w:p>
    <w:p>
      <w:pPr>
        <w:pStyle w:val="Indenti"/>
        <w:rPr>
          <w:snapToGrid w:val="0"/>
        </w:rPr>
      </w:pPr>
      <w:r>
        <w:tab/>
        <w:t>(i)</w:t>
      </w:r>
      <w:r>
        <w:tab/>
        <w:t xml:space="preserve">when received at a sensitive site — </w:t>
      </w:r>
      <w:r>
        <w:rPr>
          <w:snapToGrid w:val="0"/>
        </w:rPr>
        <w:t>115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120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airblast levels received at any other premises — </w:t>
      </w:r>
      <w:r>
        <w:rPr>
          <w:snapToGrid w:val="0"/>
        </w:rPr>
        <w:t>120 dB L</w:t>
      </w:r>
      <w:r>
        <w:rPr>
          <w:snapToGrid w:val="0"/>
          <w:vertAlign w:val="subscript"/>
        </w:rPr>
        <w:t>Z peak</w:t>
      </w:r>
      <w:r>
        <w:rPr>
          <w:snapToGrid w:val="0"/>
        </w:rPr>
        <w:t>.</w:t>
      </w:r>
    </w:p>
    <w:p>
      <w:pPr>
        <w:pStyle w:val="Subsection"/>
      </w:pPr>
      <w:r>
        <w:tab/>
        <w:t>(7)</w:t>
      </w:r>
      <w:r>
        <w:tab/>
        <w:t>For the purposes of subregulation (6), an airblast level for a blast that would, but for this subregulation, exceed a level specified in subregulation (6)(a)(i) or (ii) or (b) is taken not to exceed that level when received at premises, or a part of premises, on which the blaster believes on reasonable grounds no person is present at the time of the blast.</w:t>
      </w:r>
    </w:p>
    <w:p>
      <w:pPr>
        <w:pStyle w:val="Subsection"/>
      </w:pPr>
      <w:r>
        <w:tab/>
        <w:t>(8)</w:t>
      </w:r>
      <w:r>
        <w:tab/>
        <w:t xml:space="preserve">Subject to subregulation (9), no airblast level resulting from blasting on any premises or public place, when received at other premises </w:t>
      </w:r>
      <w:r>
        <w:rPr>
          <w:snapToGrid w:val="0"/>
        </w:rPr>
        <w:t>outside the periods between 0700 hours and 1800 hours on any day</w:t>
      </w:r>
      <w:r>
        <w:t xml:space="preserve">, may exceed </w:t>
      </w:r>
      <w:r>
        <w:rPr>
          <w:szCs w:val="24"/>
        </w:rPr>
        <w:t xml:space="preserve">90 dB </w:t>
      </w:r>
      <w:r>
        <w:rPr>
          <w:snapToGrid w:val="0"/>
        </w:rPr>
        <w:t>L</w:t>
      </w:r>
      <w:r>
        <w:rPr>
          <w:snapToGrid w:val="0"/>
          <w:vertAlign w:val="subscript"/>
        </w:rPr>
        <w:t>Z peak</w:t>
      </w:r>
      <w:r>
        <w:rPr>
          <w:snapToGrid w:val="0"/>
        </w:rPr>
        <w:t xml:space="preserve"> except where that blasting is carried </w:t>
      </w:r>
      <w:r>
        <w:t xml:space="preserve">out — </w:t>
      </w:r>
    </w:p>
    <w:p>
      <w:pPr>
        <w:pStyle w:val="Indenta"/>
      </w:pPr>
      <w:r>
        <w:lastRenderedPageBreak/>
        <w:tab/>
        <w:t>(a)</w:t>
      </w:r>
      <w:r>
        <w:tab/>
        <w:t>as part of surface mining operations for the purposes of removing obstructions in crushers, or making workings safe, or for firing misfired holes; and</w:t>
      </w:r>
    </w:p>
    <w:p>
      <w:pPr>
        <w:pStyle w:val="Indenta"/>
      </w:pPr>
      <w:r>
        <w:tab/>
        <w:t>(b)</w:t>
      </w:r>
      <w:r>
        <w:tab/>
        <w:t>with the consent in each case of the mine operator.</w:t>
      </w:r>
    </w:p>
    <w:p>
      <w:pPr>
        <w:pStyle w:val="Subsection"/>
      </w:pPr>
      <w:r>
        <w:tab/>
        <w:t>(9)</w:t>
      </w:r>
      <w:r>
        <w:tab/>
        <w:t>The level specified in subregulation (8) does not apply in respect of an airblast level when received at premises, or a part of premises, on which the blaster believes on reasonable grounds no person is present at the time of the blast.</w:t>
      </w:r>
    </w:p>
    <w:p>
      <w:pPr>
        <w:pStyle w:val="Subsection"/>
        <w:keepNext/>
        <w:rPr>
          <w:snapToGrid w:val="0"/>
        </w:rPr>
      </w:pPr>
      <w:r>
        <w:tab/>
        <w:t>(10)</w:t>
      </w:r>
      <w:r>
        <w:tab/>
        <w:t xml:space="preserve">Where blasting is carried out as described in subregulation (8)(a) and (b) </w:t>
      </w:r>
      <w:r>
        <w:rPr>
          <w:snapToGrid w:val="0"/>
        </w:rPr>
        <w:t xml:space="preserve">outside the periods between 0700 hours and 1800 hours on any day — </w:t>
      </w:r>
    </w:p>
    <w:p>
      <w:pPr>
        <w:pStyle w:val="Indenta"/>
        <w:rPr>
          <w:snapToGrid w:val="0"/>
        </w:rPr>
      </w:pPr>
      <w:r>
        <w:rPr>
          <w:snapToGrid w:val="0"/>
        </w:rPr>
        <w:tab/>
        <w:t>(a)</w:t>
      </w:r>
      <w:r>
        <w:rPr>
          <w:snapToGrid w:val="0"/>
        </w:rPr>
        <w:tab/>
        <w:t>the blasting is taken to be carried out between 0700 hours and 1800 hours; and</w:t>
      </w:r>
    </w:p>
    <w:p>
      <w:pPr>
        <w:pStyle w:val="Indenta"/>
      </w:pPr>
      <w:r>
        <w:rPr>
          <w:snapToGrid w:val="0"/>
        </w:rPr>
        <w:tab/>
        <w:t>(b)</w:t>
      </w:r>
      <w:r>
        <w:rPr>
          <w:snapToGrid w:val="0"/>
        </w:rPr>
        <w:tab/>
        <w:t>subregulations (4), (5), (6) and (7) apply accordingly.</w:t>
      </w:r>
    </w:p>
    <w:p>
      <w:pPr>
        <w:pStyle w:val="Subsection"/>
      </w:pPr>
      <w:r>
        <w:tab/>
        <w:t>(11)</w:t>
      </w:r>
      <w:r>
        <w:tab/>
        <w:t xml:space="preserve">For the purposes of this regulation, an airblast level may be determined by — </w:t>
      </w:r>
    </w:p>
    <w:p>
      <w:pPr>
        <w:pStyle w:val="Indenta"/>
      </w:pPr>
      <w:r>
        <w:tab/>
        <w:t>(a)</w:t>
      </w:r>
      <w:r>
        <w:tab/>
        <w:t>measurement at its point of reception when, to the extent practicable, other noises that would contribute to the measured airblast level are not present; or</w:t>
      </w:r>
    </w:p>
    <w:p>
      <w:pPr>
        <w:pStyle w:val="Indenta"/>
      </w:pPr>
      <w:r>
        <w:tab/>
        <w:t>(b)</w:t>
      </w:r>
      <w:r>
        <w:tab/>
        <w:t>calculation of the airblast level at its point of reception based on measurement of the airblast level at a reference point determined by the inspector or authorised person to be a point where the relationship between the airblast level as measured at the reference point and at the point of reception can be established.</w:t>
      </w:r>
    </w:p>
    <w:p>
      <w:pPr>
        <w:pStyle w:val="Footnotesection"/>
      </w:pPr>
      <w:r>
        <w:tab/>
        <w:t>[Regulation 11 inserted: Gazette 5 Dec 2013 p. 5659</w:t>
      </w:r>
      <w:r>
        <w:noBreakHyphen/>
        <w:t>63; amended: Gazette 10 Jan 2017 p. 196; SL 2022/25 r. 6.]</w:t>
      </w:r>
    </w:p>
    <w:p>
      <w:pPr>
        <w:pStyle w:val="Heading5"/>
        <w:rPr>
          <w:snapToGrid w:val="0"/>
        </w:rPr>
      </w:pPr>
      <w:bookmarkStart w:id="25" w:name="_Toc173502681"/>
      <w:r>
        <w:rPr>
          <w:rStyle w:val="CharSectno"/>
        </w:rPr>
        <w:t>12</w:t>
      </w:r>
      <w:r>
        <w:rPr>
          <w:snapToGrid w:val="0"/>
        </w:rPr>
        <w:t xml:space="preserve">. </w:t>
      </w:r>
      <w:r>
        <w:rPr>
          <w:snapToGrid w:val="0"/>
        </w:rPr>
        <w:tab/>
        <w:t>Rural premises</w:t>
      </w:r>
      <w:bookmarkEnd w:id="2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farming vehicle</w:t>
      </w:r>
      <w:r>
        <w:t xml:space="preserve"> means a motor vehicle which is used for, or in association with, soil preparation and cultivation, land drainage </w:t>
      </w:r>
      <w:r>
        <w:lastRenderedPageBreak/>
        <w:t>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rPr>
          <w:snapToGrid w:val="0"/>
        </w:rPr>
      </w:pPr>
      <w:r>
        <w:rPr>
          <w:snapToGrid w:val="0"/>
        </w:rPr>
        <w:tab/>
        <w:t>(5)</w:t>
      </w:r>
      <w:r>
        <w:rPr>
          <w:snapToGrid w:val="0"/>
        </w:rPr>
        <w:tab/>
        <w:t>A farming vehicle complies with this subregulation if the occupier of the premises shows that the vehicle, including its noise reduction system, has been maintained to a reasonable standard.</w:t>
      </w:r>
    </w:p>
    <w:p>
      <w:pPr>
        <w:pStyle w:val="Footnotesection"/>
      </w:pPr>
      <w:r>
        <w:tab/>
        <w:t>[Regulation 12 amended: Gazette 5 Dec 2013 p. 5663.]</w:t>
      </w:r>
    </w:p>
    <w:p>
      <w:pPr>
        <w:pStyle w:val="Heading5"/>
        <w:rPr>
          <w:snapToGrid w:val="0"/>
        </w:rPr>
      </w:pPr>
      <w:bookmarkStart w:id="26" w:name="_Toc173502682"/>
      <w:r>
        <w:rPr>
          <w:rStyle w:val="CharSectno"/>
        </w:rPr>
        <w:t>13</w:t>
      </w:r>
      <w:r>
        <w:rPr>
          <w:snapToGrid w:val="0"/>
        </w:rPr>
        <w:t xml:space="preserve">. </w:t>
      </w:r>
      <w:r>
        <w:rPr>
          <w:snapToGrid w:val="0"/>
        </w:rPr>
        <w:tab/>
        <w:t>Construction sites</w:t>
      </w:r>
      <w:bookmarkEnd w:id="26"/>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ancillary measure</w:t>
      </w:r>
      <w:r>
        <w:t xml:space="preserve"> means a measure designated to be an ancillary measure under subregulation (7);</w:t>
      </w:r>
    </w:p>
    <w:p>
      <w:pPr>
        <w:pStyle w:val="Defstart"/>
      </w:pPr>
      <w:r>
        <w:rPr>
          <w:b/>
        </w:rPr>
        <w:tab/>
      </w:r>
      <w:r>
        <w:rPr>
          <w:rStyle w:val="CharDefText"/>
        </w:rPr>
        <w:t>construction site</w:t>
      </w:r>
      <w:r>
        <w:t xml:space="preserve"> means premises or a public place on which the sole or principal activity is the carrying out of construction work;</w:t>
      </w:r>
    </w:p>
    <w:p>
      <w:pPr>
        <w:pStyle w:val="Defstart"/>
      </w:pPr>
      <w:r>
        <w:rPr>
          <w:b/>
        </w:rPr>
        <w:lastRenderedPageBreak/>
        <w:tab/>
      </w:r>
      <w:r>
        <w:rPr>
          <w:rStyle w:val="CharDefText"/>
        </w:rPr>
        <w:t>construction work</w:t>
      </w:r>
      <w:r>
        <w:t xml:space="preserve"> means — </w:t>
      </w:r>
    </w:p>
    <w:p>
      <w:pPr>
        <w:pStyle w:val="Defpara"/>
        <w:spacing w:before="60"/>
      </w:pPr>
      <w:r>
        <w:tab/>
        <w:t>(a)</w:t>
      </w:r>
      <w:r>
        <w:tab/>
        <w:t>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or</w:t>
      </w:r>
    </w:p>
    <w:p>
      <w:pPr>
        <w:pStyle w:val="Defpara"/>
        <w:spacing w:before="60"/>
      </w:pPr>
      <w:r>
        <w:tab/>
        <w:t>(b)</w:t>
      </w:r>
      <w:r>
        <w:tab/>
        <w:t>work on which a hoisting appliance or any scaffold or shoring is used; or</w:t>
      </w:r>
    </w:p>
    <w:p>
      <w:pPr>
        <w:pStyle w:val="Defpara"/>
        <w:spacing w:before="60"/>
      </w:pPr>
      <w:r>
        <w:tab/>
        <w:t>(c)</w:t>
      </w:r>
      <w:r>
        <w:tab/>
        <w:t>work in driving or extracting piles, sheet piles or trench sheet; or</w:t>
      </w:r>
    </w:p>
    <w:p>
      <w:pPr>
        <w:pStyle w:val="Defpara"/>
        <w:spacing w:before="60"/>
      </w:pPr>
      <w:r>
        <w:tab/>
        <w:t>(d)</w:t>
      </w:r>
      <w:r>
        <w:tab/>
        <w:t>work in laying any pipe or work in lining pipe that is done at or adjacent to the place where the pipe is laid or to be laid; or</w:t>
      </w:r>
    </w:p>
    <w:p>
      <w:pPr>
        <w:pStyle w:val="Defpara"/>
        <w:spacing w:before="60"/>
      </w:pPr>
      <w:r>
        <w:tab/>
        <w:t>(e)</w:t>
      </w:r>
      <w:r>
        <w:tab/>
        <w:t>work in sinking or lining or altering, repairing, maintaining, renewing, removing, or dismantling a well or borehole; or</w:t>
      </w:r>
    </w:p>
    <w:p>
      <w:pPr>
        <w:pStyle w:val="Defpara"/>
        <w:spacing w:before="60"/>
      </w:pPr>
      <w:r>
        <w:tab/>
        <w:t>(f)</w:t>
      </w:r>
      <w:r>
        <w:tab/>
        <w:t>reclamation or site works including road works and earth works; or</w:t>
      </w:r>
    </w:p>
    <w:p>
      <w:pPr>
        <w:pStyle w:val="Defpara"/>
        <w:spacing w:before="60"/>
      </w:pPr>
      <w:r>
        <w:tab/>
        <w:t>(g)</w:t>
      </w:r>
      <w:r>
        <w:tab/>
        <w:t>the removal or reinstatement of vegetation or topsoil for the purpose of or in relation to a mining operation; or</w:t>
      </w:r>
    </w:p>
    <w:p>
      <w:pPr>
        <w:pStyle w:val="Defpara"/>
        <w:spacing w:before="60"/>
      </w:pPr>
      <w:r>
        <w:tab/>
        <w:t>(h)</w:t>
      </w:r>
      <w:r>
        <w:tab/>
        <w:t>tunnelling.</w:t>
      </w:r>
    </w:p>
    <w:p>
      <w:pPr>
        <w:pStyle w:val="Subsection"/>
        <w:rPr>
          <w:snapToGrid w:val="0"/>
        </w:rPr>
      </w:pPr>
      <w:r>
        <w:rPr>
          <w:snapToGrid w:val="0"/>
        </w:rPr>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spacing w:before="60"/>
      </w:pPr>
      <w:r>
        <w:tab/>
        <w:t>(b)</w:t>
      </w:r>
      <w:r>
        <w:tab/>
        <w:t>the equipment used on the premises was the quietest reasonably available; and</w:t>
      </w:r>
    </w:p>
    <w:p>
      <w:pPr>
        <w:pStyle w:val="Indenta"/>
        <w:spacing w:before="60"/>
      </w:pPr>
      <w:r>
        <w:lastRenderedPageBreak/>
        <w:tab/>
        <w:t>(c)</w:t>
      </w:r>
      <w:r>
        <w:tab/>
        <w:t xml:space="preserve">if the occupier was required to prepare a noise management plan under subregulation (4) in respect of the construction site — </w:t>
      </w:r>
    </w:p>
    <w:p>
      <w:pPr>
        <w:pStyle w:val="Indenti"/>
        <w:spacing w:before="60"/>
      </w:pPr>
      <w:r>
        <w:tab/>
        <w:t>(i)</w:t>
      </w:r>
      <w:r>
        <w:tab/>
        <w:t>the noise management plan was prepared and given in accordance with the requirement, and approved by the CEO; and</w:t>
      </w:r>
    </w:p>
    <w:p>
      <w:pPr>
        <w:pStyle w:val="Indenti"/>
        <w:spacing w:before="60"/>
      </w:pPr>
      <w:r>
        <w:rPr>
          <w:snapToGrid w:val="0"/>
        </w:rPr>
        <w:tab/>
        <w:t>(ii)</w:t>
      </w:r>
      <w:r>
        <w:rPr>
          <w:snapToGrid w:val="0"/>
        </w:rPr>
        <w:tab/>
        <w:t xml:space="preserve">the construction work was carried out in accordance with the noise </w:t>
      </w:r>
      <w:r>
        <w:t>management plan, excluding any ancillary measure;</w:t>
      </w:r>
    </w:p>
    <w:p>
      <w:pPr>
        <w:pStyle w:val="Indenta"/>
      </w:pPr>
      <w:r>
        <w:tab/>
      </w:r>
      <w:r>
        <w:tab/>
        <w:t>and</w:t>
      </w:r>
    </w:p>
    <w:p>
      <w:pPr>
        <w:pStyle w:val="Indenta"/>
      </w:pPr>
      <w:r>
        <w:tab/>
        <w:t>(d)</w:t>
      </w:r>
      <w:r>
        <w:tab/>
        <w:t>if the occupier was required to prepare a noise management plan under subregulation (5A)(a) or (b) —</w:t>
      </w:r>
    </w:p>
    <w:p>
      <w:pPr>
        <w:pStyle w:val="Indenti"/>
      </w:pPr>
      <w:r>
        <w:tab/>
        <w:t>(i)</w:t>
      </w:r>
      <w:r>
        <w:tab/>
        <w:t>the noise management plan was prepared and given in accordance with the requirement, and approved by the CEO; and</w:t>
      </w:r>
    </w:p>
    <w:p>
      <w:pPr>
        <w:pStyle w:val="Indenti"/>
      </w:pPr>
      <w:r>
        <w:tab/>
        <w:t>(ii)</w:t>
      </w:r>
      <w:r>
        <w:tab/>
        <w:t>the construction work was carried out in accordance with the noise management plan, excluding any ancillary measure.</w:t>
      </w:r>
    </w:p>
    <w:p>
      <w:pPr>
        <w:pStyle w:val="Subsection"/>
        <w:rPr>
          <w:snapToGrid w:val="0"/>
        </w:rPr>
      </w:pPr>
      <w:r>
        <w:rPr>
          <w:snapToGrid w:val="0"/>
        </w:rPr>
        <w:tab/>
        <w:t>(3)</w:t>
      </w:r>
      <w:r>
        <w:rPr>
          <w:snapToGrid w:val="0"/>
        </w:rPr>
        <w:tab/>
        <w:t>Regulation 7 does not apply to noise emitted from a construction site as a result of construction work carried out 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rPr>
          <w:snapToGrid w:val="0"/>
        </w:rPr>
      </w:pPr>
      <w:r>
        <w:rPr>
          <w:snapToGrid w:val="0"/>
        </w:rPr>
        <w:tab/>
        <w:t>(b)</w:t>
      </w:r>
      <w:r>
        <w:rPr>
          <w:snapToGrid w:val="0"/>
        </w:rPr>
        <w:tab/>
        <w:t>the equipment used on the premises was the quietest reasonably available; and</w:t>
      </w:r>
    </w:p>
    <w:p>
      <w:pPr>
        <w:pStyle w:val="Indenta"/>
      </w:pPr>
      <w:r>
        <w:tab/>
        <w:t>(c)</w:t>
      </w:r>
      <w:r>
        <w:tab/>
        <w:t xml:space="preserve">the construction work was carried out in accordance with a noise management plan, excluding any ancillary measure, in respect of the construction site — </w:t>
      </w:r>
    </w:p>
    <w:p>
      <w:pPr>
        <w:pStyle w:val="Indenti"/>
      </w:pPr>
      <w:r>
        <w:lastRenderedPageBreak/>
        <w:tab/>
        <w:t>(i)</w:t>
      </w:r>
      <w:r>
        <w:tab/>
        <w:t>prepared and given to the CEO not later than 7 days before the construction work commenced; and</w:t>
      </w:r>
    </w:p>
    <w:p>
      <w:pPr>
        <w:pStyle w:val="Indenti"/>
      </w:pPr>
      <w:r>
        <w:tab/>
        <w:t>(ii)</w:t>
      </w:r>
      <w:r>
        <w:tab/>
        <w:t>approved by the CEO;</w:t>
      </w:r>
    </w:p>
    <w:p>
      <w:pPr>
        <w:pStyle w:val="Indenta"/>
      </w:pPr>
      <w:r>
        <w:tab/>
      </w:r>
      <w:r>
        <w:tab/>
        <w:t>and</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 xml:space="preserve">The </w:t>
      </w:r>
      <w:r>
        <w:t>CEO</w:t>
      </w:r>
      <w:r>
        <w:rPr>
          <w:snapToGrid w:val="0"/>
        </w:rPr>
        <w:t xml:space="preserve"> may require an occupier of a construction site on which it is proposed to carry out construction work to prepare a noise management plan in respect of the premises.</w:t>
      </w:r>
    </w:p>
    <w:p>
      <w:pPr>
        <w:pStyle w:val="Subsection"/>
        <w:rPr>
          <w:snapToGrid w:val="0"/>
        </w:rPr>
      </w:pPr>
      <w:r>
        <w:tab/>
        <w:t>(5A)</w:t>
      </w:r>
      <w:r>
        <w:tab/>
        <w:t>The CEO may require an occupier of a construction site on which construction work is being carried out to prepare a noise management plan in respect of —</w:t>
      </w:r>
    </w:p>
    <w:p>
      <w:pPr>
        <w:pStyle w:val="Indenta"/>
      </w:pPr>
      <w:r>
        <w:tab/>
        <w:t>(a)</w:t>
      </w:r>
      <w:r>
        <w:tab/>
        <w:t>the premises or a part of the premises specified in the requirement; or</w:t>
      </w:r>
    </w:p>
    <w:p>
      <w:pPr>
        <w:pStyle w:val="Indenta"/>
      </w:pPr>
      <w:r>
        <w:tab/>
        <w:t>(b)</w:t>
      </w:r>
      <w:r>
        <w:tab/>
        <w:t>a type of construction work being carried out on the construction site and specified in the requirement.</w:t>
      </w:r>
    </w:p>
    <w:p>
      <w:pPr>
        <w:pStyle w:val="Subsection"/>
        <w:rPr>
          <w:snapToGrid w:val="0"/>
        </w:rPr>
      </w:pPr>
      <w:r>
        <w:rPr>
          <w:snapToGrid w:val="0"/>
        </w:rPr>
        <w:tab/>
        <w:t>(5)</w:t>
      </w:r>
      <w:r>
        <w:rPr>
          <w:snapToGrid w:val="0"/>
        </w:rPr>
        <w:tab/>
        <w:t xml:space="preserve">An occupier required to prepare a noise management plan under </w:t>
      </w:r>
      <w:r>
        <w:t xml:space="preserve">subregulation (4) or (5A) must provide the CEO,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 xml:space="preserve">subregulation (3)(c), (4) or (5A)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 and</w:t>
      </w:r>
    </w:p>
    <w:p>
      <w:pPr>
        <w:pStyle w:val="Indenta"/>
        <w:rPr>
          <w:snapToGrid w:val="0"/>
        </w:rPr>
      </w:pPr>
      <w:r>
        <w:rPr>
          <w:snapToGrid w:val="0"/>
        </w:rPr>
        <w:lastRenderedPageBreak/>
        <w:tab/>
        <w:t>(b)</w:t>
      </w:r>
      <w:r>
        <w:rPr>
          <w:snapToGrid w:val="0"/>
        </w:rPr>
        <w:tab/>
        <w:t>details of, and the duration of, activities on the construction site likely to result in noise emissions that fail to comply with the standard prescribed under regulation 7; and</w:t>
      </w:r>
    </w:p>
    <w:p>
      <w:pPr>
        <w:pStyle w:val="Indenta"/>
        <w:rPr>
          <w:snapToGrid w:val="0"/>
        </w:rPr>
      </w:pPr>
      <w:r>
        <w:rPr>
          <w:snapToGrid w:val="0"/>
        </w:rPr>
        <w:tab/>
        <w:t>(c)</w:t>
      </w:r>
      <w:r>
        <w:rPr>
          <w:snapToGrid w:val="0"/>
        </w:rPr>
        <w:tab/>
        <w:t>predictions of noise emissions on the construction site; and</w:t>
      </w:r>
    </w:p>
    <w:p>
      <w:pPr>
        <w:pStyle w:val="Indenta"/>
        <w:rPr>
          <w:snapToGrid w:val="0"/>
        </w:rPr>
      </w:pPr>
      <w:r>
        <w:rPr>
          <w:snapToGrid w:val="0"/>
        </w:rPr>
        <w:tab/>
        <w:t>(d)</w:t>
      </w:r>
      <w:r>
        <w:rPr>
          <w:snapToGrid w:val="0"/>
        </w:rPr>
        <w:tab/>
        <w:t>details of measures to be implemented to control noise (including vibration) emissions; and</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pPr>
      <w:r>
        <w:tab/>
        <w:t>(7)</w:t>
      </w:r>
      <w:r>
        <w:tab/>
        <w:t>The CEO may, by written notice given to an occupier who provides the CEO with a noise management plan under this regulation, designate a measure in the plan to be an ancillary measure if the measure does not directly influence the level, duration or time of day of a noise emission.</w:t>
      </w:r>
    </w:p>
    <w:p>
      <w:pPr>
        <w:pStyle w:val="Subsection"/>
      </w:pPr>
      <w:r>
        <w:tab/>
        <w:t>(8)</w:t>
      </w:r>
      <w:r>
        <w:tab/>
        <w:t>An occupier of a construction site must ensure that any ancillary measure relating to the site is implemented.</w:t>
      </w:r>
    </w:p>
    <w:p>
      <w:pPr>
        <w:pStyle w:val="Penstart"/>
      </w:pPr>
      <w:r>
        <w:tab/>
        <w:t>Penalty for an offence under subregulation (8): a fine of $5 000.</w:t>
      </w:r>
    </w:p>
    <w:p>
      <w:pPr>
        <w:pStyle w:val="Footnotesection"/>
      </w:pPr>
      <w:r>
        <w:tab/>
        <w:t>[Regulation 13 amended: Gazette 5 Dec 2013 p. 5663</w:t>
      </w:r>
      <w:r>
        <w:noBreakHyphen/>
        <w:t>7.]</w:t>
      </w:r>
    </w:p>
    <w:p>
      <w:pPr>
        <w:pStyle w:val="Heading5"/>
      </w:pPr>
      <w:bookmarkStart w:id="27" w:name="_Toc173502683"/>
      <w:r>
        <w:rPr>
          <w:rStyle w:val="CharSectno"/>
        </w:rPr>
        <w:t>14A</w:t>
      </w:r>
      <w:r>
        <w:t>.</w:t>
      </w:r>
      <w:r>
        <w:tab/>
        <w:t>Waste collection and other works</w:t>
      </w:r>
      <w:bookmarkEnd w:id="27"/>
    </w:p>
    <w:p>
      <w:pPr>
        <w:pStyle w:val="Subsection"/>
      </w:pPr>
      <w:r>
        <w:tab/>
        <w:t>(1)</w:t>
      </w:r>
      <w:r>
        <w:tab/>
        <w:t>In this regulation —</w:t>
      </w:r>
    </w:p>
    <w:p>
      <w:pPr>
        <w:pStyle w:val="Defstart"/>
      </w:pPr>
      <w:r>
        <w:tab/>
      </w:r>
      <w:r>
        <w:rPr>
          <w:rStyle w:val="CharDefText"/>
        </w:rPr>
        <w:t>ancillary measure</w:t>
      </w:r>
      <w:r>
        <w:t xml:space="preserve"> means a measure designated to be an ancillary measure under regulation 14B;</w:t>
      </w:r>
    </w:p>
    <w:p>
      <w:pPr>
        <w:pStyle w:val="Defstart"/>
      </w:pPr>
      <w:r>
        <w:tab/>
      </w:r>
      <w:r>
        <w:rPr>
          <w:rStyle w:val="CharDefText"/>
        </w:rPr>
        <w:t>class 1 works</w:t>
      </w:r>
      <w:r>
        <w:t xml:space="preserve"> means specified works carried out between —</w:t>
      </w:r>
    </w:p>
    <w:p>
      <w:pPr>
        <w:pStyle w:val="Defpara"/>
      </w:pPr>
      <w:r>
        <w:tab/>
        <w:t>(a)</w:t>
      </w:r>
      <w:r>
        <w:tab/>
        <w:t>0700 hours and 1900 hours on any day that is not a Sunday or a public holiday; or</w:t>
      </w:r>
    </w:p>
    <w:p>
      <w:pPr>
        <w:pStyle w:val="Defpara"/>
      </w:pPr>
      <w:r>
        <w:tab/>
        <w:t>(b)</w:t>
      </w:r>
      <w:r>
        <w:tab/>
        <w:t>0900 hours and 1900 hours on a Sunday or public holiday;</w:t>
      </w:r>
    </w:p>
    <w:p>
      <w:pPr>
        <w:pStyle w:val="Defstart"/>
      </w:pPr>
      <w:r>
        <w:lastRenderedPageBreak/>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p>
    <w:p>
      <w:pPr>
        <w:pStyle w:val="Defstart"/>
      </w:pPr>
      <w:r>
        <w:tab/>
      </w:r>
      <w:r>
        <w:rPr>
          <w:rStyle w:val="CharDefText"/>
        </w:rPr>
        <w:t>specified works</w:t>
      </w:r>
      <w:r>
        <w:t xml:space="preserve"> means — </w:t>
      </w:r>
    </w:p>
    <w:p>
      <w:pPr>
        <w:pStyle w:val="Defpara"/>
      </w:pPr>
      <w:r>
        <w:tab/>
        <w:t>(a)</w:t>
      </w:r>
      <w:r>
        <w:tab/>
        <w:t>the collection of waste; or</w:t>
      </w:r>
    </w:p>
    <w:p>
      <w:pPr>
        <w:pStyle w:val="Defpara"/>
      </w:pPr>
      <w:r>
        <w:tab/>
        <w:t>(b)</w:t>
      </w:r>
      <w:r>
        <w:tab/>
        <w:t>the cleaning of a road or the drains for a road; or</w:t>
      </w:r>
    </w:p>
    <w:p>
      <w:pPr>
        <w:pStyle w:val="Defpara"/>
      </w:pPr>
      <w:r>
        <w:tab/>
        <w:t>(c)</w:t>
      </w:r>
      <w:r>
        <w:tab/>
        <w:t>the cleaning of public places, including footpaths, cycle paths, car parks and beaches; or</w:t>
      </w:r>
    </w:p>
    <w:p>
      <w:pPr>
        <w:pStyle w:val="Defpara"/>
      </w:pPr>
      <w:r>
        <w:tab/>
        <w:t>(d)</w:t>
      </w:r>
      <w:r>
        <w:tab/>
        <w:t>the maintenance of road verges and public open space (including the collection of rubbish and the planting, trimming, watering or removal of trees); or</w:t>
      </w:r>
    </w:p>
    <w:p>
      <w:pPr>
        <w:pStyle w:val="Defpara"/>
      </w:pPr>
      <w:r>
        <w:tab/>
        <w:t>(e)</w:t>
      </w:r>
      <w:r>
        <w:tab/>
        <w:t>the periodic collection of household items or other things placed on street verges by residents for the purpose of such a collection; or</w:t>
      </w:r>
    </w:p>
    <w:p>
      <w:pPr>
        <w:pStyle w:val="Defpara"/>
      </w:pPr>
      <w:r>
        <w:tab/>
        <w:t>(f)</w:t>
      </w:r>
      <w:r>
        <w:tab/>
        <w:t>activities associated with hazard or emergency management;</w:t>
      </w:r>
    </w:p>
    <w:p>
      <w:pPr>
        <w:pStyle w:val="Defstart"/>
        <w:keepNext/>
      </w:pPr>
      <w:r>
        <w:tab/>
      </w:r>
      <w:r>
        <w:rPr>
          <w:rStyle w:val="CharDefText"/>
        </w:rPr>
        <w:t>waste</w:t>
      </w:r>
      <w:r>
        <w:t xml:space="preserve"> means waste from domestic or commercial sources and includes — </w:t>
      </w:r>
    </w:p>
    <w:p>
      <w:pPr>
        <w:pStyle w:val="Defpara"/>
      </w:pPr>
      <w:r>
        <w:tab/>
        <w:t>(a)</w:t>
      </w:r>
      <w:r>
        <w:tab/>
        <w:t>putrescible waste; and</w:t>
      </w:r>
    </w:p>
    <w:p>
      <w:pPr>
        <w:pStyle w:val="Defpara"/>
      </w:pPr>
      <w:r>
        <w:tab/>
        <w:t>(b)</w:t>
      </w:r>
      <w:r>
        <w:tab/>
        <w:t>non</w:t>
      </w:r>
      <w:r>
        <w:noBreakHyphen/>
        <w:t>putrescible waste; and</w:t>
      </w:r>
    </w:p>
    <w:p>
      <w:pPr>
        <w:pStyle w:val="Defpara"/>
      </w:pPr>
      <w:r>
        <w:tab/>
        <w:t>(c)</w:t>
      </w:r>
      <w:r>
        <w:tab/>
        <w:t>recyclable materials.</w:t>
      </w:r>
    </w:p>
    <w:p>
      <w:pPr>
        <w:pStyle w:val="Subsection"/>
      </w:pPr>
      <w:r>
        <w:tab/>
        <w:t>(2)</w:t>
      </w:r>
      <w:r>
        <w:tab/>
        <w:t xml:space="preserve">Regulation 7 does not apply to noise emitted in the course of carrying out class 1 works if — </w:t>
      </w:r>
    </w:p>
    <w:p>
      <w:pPr>
        <w:pStyle w:val="Indenta"/>
      </w:pPr>
      <w:r>
        <w:tab/>
        <w:t>(a)</w:t>
      </w:r>
      <w:r>
        <w:tab/>
        <w:t>the works are carried out in the quietest reasonable and practicable manner; and</w:t>
      </w:r>
    </w:p>
    <w:p>
      <w:pPr>
        <w:pStyle w:val="Indenta"/>
      </w:pPr>
      <w:r>
        <w:tab/>
        <w:t>(b)</w:t>
      </w:r>
      <w:r>
        <w:tab/>
        <w:t>the equipment used to carry out the works is the quietest reasonably available; and</w:t>
      </w:r>
    </w:p>
    <w:p>
      <w:pPr>
        <w:pStyle w:val="Indenta"/>
      </w:pPr>
      <w:r>
        <w:tab/>
        <w:t>(c)</w:t>
      </w:r>
      <w:r>
        <w:tab/>
        <w:t xml:space="preserve">in a case where a person has been required to prepare a noise management plan under subregulation (4) in relation to the works — </w:t>
      </w:r>
    </w:p>
    <w:p>
      <w:pPr>
        <w:pStyle w:val="Indenti"/>
      </w:pPr>
      <w:r>
        <w:tab/>
        <w:t>(i)</w:t>
      </w:r>
      <w:r>
        <w:tab/>
        <w:t xml:space="preserve">the noise management plan has been prepared and submitted in accordance with the </w:t>
      </w:r>
      <w:r>
        <w:lastRenderedPageBreak/>
        <w:t>requirement, and approved in writing by the CEO; and</w:t>
      </w:r>
    </w:p>
    <w:p>
      <w:pPr>
        <w:pStyle w:val="Indenti"/>
      </w:pPr>
      <w:r>
        <w:tab/>
        <w:t>(ii)</w:t>
      </w:r>
      <w:r>
        <w:tab/>
        <w:t>the works are carried out in accordance with the noise management plan, excluding any ancillary measure.</w:t>
      </w:r>
    </w:p>
    <w:p>
      <w:pPr>
        <w:pStyle w:val="Subsection"/>
      </w:pPr>
      <w:r>
        <w:tab/>
        <w:t>(3)</w:t>
      </w:r>
      <w:r>
        <w:tab/>
        <w:t>Regulation 7 does not apply to noise emitted in the course of carrying out class 2 works if the works are carried out in accordance with a noise management plan, excluding any ancillary measure, for class 2 works approved in writing by the CEO.</w:t>
      </w:r>
    </w:p>
    <w:p>
      <w:pPr>
        <w:pStyle w:val="Subsection"/>
        <w:keepNext/>
      </w:pPr>
      <w:r>
        <w:tab/>
        <w:t>(4)</w:t>
      </w:r>
      <w:r>
        <w:tab/>
        <w:t xml:space="preserve">The CEO may by written notice require a person who carries out class 1 works — </w:t>
      </w:r>
    </w:p>
    <w:p>
      <w:pPr>
        <w:pStyle w:val="Indenta"/>
      </w:pPr>
      <w:r>
        <w:tab/>
        <w:t>(a)</w:t>
      </w:r>
      <w:r>
        <w:tab/>
        <w:t>to prepare a noise management plan; and</w:t>
      </w:r>
    </w:p>
    <w:p>
      <w:pPr>
        <w:pStyle w:val="Indenta"/>
      </w:pPr>
      <w:r>
        <w:tab/>
        <w:t>(b)</w:t>
      </w:r>
      <w:r>
        <w:tab/>
        <w:t>within the time specified in the notice, to submit the plan to the CEO, or another person specified in the notice, for the approval of the CEO.</w:t>
      </w:r>
    </w:p>
    <w:p>
      <w:pPr>
        <w:pStyle w:val="Subsection"/>
      </w:pPr>
      <w:r>
        <w:tab/>
        <w:t>(5)</w:t>
      </w:r>
      <w:r>
        <w:tab/>
        <w:t>A noise management plan for class 1 works is to include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a description of the specified works to be carried out during the times of day to which the class relates; and</w:t>
      </w:r>
    </w:p>
    <w:p>
      <w:pPr>
        <w:pStyle w:val="Indenta"/>
      </w:pPr>
      <w:r>
        <w:tab/>
        <w:t>(d)</w:t>
      </w:r>
      <w:r>
        <w:tab/>
        <w:t>operator training programmes; and</w:t>
      </w:r>
    </w:p>
    <w:p>
      <w:pPr>
        <w:pStyle w:val="Indenta"/>
      </w:pPr>
      <w:r>
        <w:tab/>
        <w:t>(e)</w:t>
      </w:r>
      <w:r>
        <w:tab/>
        <w:t>community information on the manner in which the specified works will be carried out; and</w:t>
      </w:r>
    </w:p>
    <w:p>
      <w:pPr>
        <w:pStyle w:val="Indenta"/>
      </w:pPr>
      <w:r>
        <w:tab/>
        <w:t>(f)</w:t>
      </w:r>
      <w:r>
        <w:tab/>
        <w:t>a complaints response procedure.</w:t>
      </w:r>
    </w:p>
    <w:p>
      <w:pPr>
        <w:pStyle w:val="Subsection"/>
      </w:pPr>
      <w:r>
        <w:tab/>
        <w:t>(6)</w:t>
      </w:r>
      <w:r>
        <w:tab/>
        <w:t>A noise management plan for class 2 works is to include, but is not limited to —</w:t>
      </w:r>
    </w:p>
    <w:p>
      <w:pPr>
        <w:pStyle w:val="Indenta"/>
      </w:pPr>
      <w:r>
        <w:lastRenderedPageBreak/>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justification for carrying out the works during the times of day to which the class relates; and</w:t>
      </w:r>
    </w:p>
    <w:p>
      <w:pPr>
        <w:pStyle w:val="Indenta"/>
      </w:pPr>
      <w:r>
        <w:tab/>
        <w:t>(d)</w:t>
      </w:r>
      <w:r>
        <w:tab/>
        <w:t>a description of the specified works to be carried out during the times of day to which the class relates; and</w:t>
      </w:r>
    </w:p>
    <w:p>
      <w:pPr>
        <w:pStyle w:val="Indenta"/>
      </w:pPr>
      <w:r>
        <w:tab/>
        <w:t>(e)</w:t>
      </w:r>
      <w:r>
        <w:tab/>
        <w:t>operator training programmes; and</w:t>
      </w:r>
    </w:p>
    <w:p>
      <w:pPr>
        <w:pStyle w:val="Indenta"/>
      </w:pPr>
      <w:r>
        <w:tab/>
        <w:t>(f)</w:t>
      </w:r>
      <w:r>
        <w:tab/>
        <w:t>community information on the manner in which the specified works will be carried out; and</w:t>
      </w:r>
    </w:p>
    <w:p>
      <w:pPr>
        <w:pStyle w:val="Indenta"/>
      </w:pPr>
      <w:r>
        <w:tab/>
        <w:t>(g)</w:t>
      </w:r>
      <w:r>
        <w:tab/>
        <w:t>a complaints response procedure.</w:t>
      </w:r>
    </w:p>
    <w:p>
      <w:pPr>
        <w:pStyle w:val="Subsection"/>
      </w:pPr>
      <w:r>
        <w:tab/>
        <w:t>(7)</w:t>
      </w:r>
      <w:r>
        <w:tab/>
        <w:t>An application by a person, other than a local government, for the approval of a noise management plan under subregulation (3) is to be accompanied by an application fee of $500, but the CEO may, in his or her discretion, waive or reduce the fee.</w:t>
      </w:r>
    </w:p>
    <w:p>
      <w:pPr>
        <w:pStyle w:val="Subsection"/>
      </w:pPr>
      <w:r>
        <w:tab/>
        <w:t>(8)</w:t>
      </w:r>
      <w:r>
        <w:tab/>
        <w:t xml:space="preserve">Before approving a noise management plan under subregulation (3) or (4), the CEO must — </w:t>
      </w:r>
    </w:p>
    <w:p>
      <w:pPr>
        <w:pStyle w:val="Indenta"/>
      </w:pPr>
      <w:r>
        <w:tab/>
        <w:t>(a)</w:t>
      </w:r>
      <w:r>
        <w:tab/>
        <w:t xml:space="preserve">if the plan was submitted by a local government, require the local government to give local public notice, as defined in the </w:t>
      </w:r>
      <w:r>
        <w:rPr>
          <w:i/>
        </w:rPr>
        <w:t>Local Government Act 1995</w:t>
      </w:r>
      <w:r>
        <w:t xml:space="preserve"> section 1.7, of the plan; or</w:t>
      </w:r>
    </w:p>
    <w:p>
      <w:pPr>
        <w:pStyle w:val="Indenta"/>
      </w:pPr>
      <w:r>
        <w:tab/>
        <w:t>(b)</w:t>
      </w:r>
      <w:r>
        <w:tab/>
        <w:t>if the plan was submitted by a person other than a local government, require the person to publish notice of the plan at least once in a newspaper circulating generally throughout the district where the plan will have effect.</w:t>
      </w:r>
    </w:p>
    <w:p>
      <w:pPr>
        <w:pStyle w:val="Subsection"/>
      </w:pPr>
      <w:r>
        <w:tab/>
        <w:t>(9)</w:t>
      </w:r>
      <w:r>
        <w:tab/>
        <w:t xml:space="preserve">A notice under subregulation (8) must specify the following — </w:t>
      </w:r>
    </w:p>
    <w:p>
      <w:pPr>
        <w:pStyle w:val="Indenta"/>
      </w:pPr>
      <w:r>
        <w:tab/>
        <w:t>(a)</w:t>
      </w:r>
      <w:r>
        <w:tab/>
        <w:t>the purpose and effect of the noise management plan;</w:t>
      </w:r>
    </w:p>
    <w:p>
      <w:pPr>
        <w:pStyle w:val="Indenta"/>
      </w:pPr>
      <w:r>
        <w:lastRenderedPageBreak/>
        <w:tab/>
        <w:t>(b)</w:t>
      </w:r>
      <w:r>
        <w:tab/>
        <w:t>the places at which the noise management plan may be inspected or obtained;</w:t>
      </w:r>
    </w:p>
    <w:p>
      <w:pPr>
        <w:pStyle w:val="Indenta"/>
      </w:pPr>
      <w:r>
        <w:tab/>
        <w:t>(c)</w:t>
      </w:r>
      <w:r>
        <w:tab/>
        <w:t>the period (being not less than 30 days after the notice is published in a newspaper) within which submissions about the plan may be made to the CEO.</w:t>
      </w:r>
    </w:p>
    <w:p>
      <w:pPr>
        <w:pStyle w:val="Subsection"/>
      </w:pPr>
      <w:r>
        <w:tab/>
        <w:t>(10)</w:t>
      </w:r>
      <w:r>
        <w:tab/>
        <w:t xml:space="preserve">After considering any submissions made under subregulation (9)(c), the CEO may — </w:t>
      </w:r>
    </w:p>
    <w:p>
      <w:pPr>
        <w:pStyle w:val="Indenta"/>
      </w:pPr>
      <w:r>
        <w:tab/>
        <w:t>(a)</w:t>
      </w:r>
      <w:r>
        <w:tab/>
        <w:t>approve the noise management plan as proposed; or</w:t>
      </w:r>
    </w:p>
    <w:p>
      <w:pPr>
        <w:pStyle w:val="Indenta"/>
      </w:pPr>
      <w:r>
        <w:tab/>
        <w:t>(b)</w:t>
      </w:r>
      <w:r>
        <w:tab/>
        <w:t>approve a noise management plan that is not significantly different from what was proposed; or</w:t>
      </w:r>
    </w:p>
    <w:p>
      <w:pPr>
        <w:pStyle w:val="Indenta"/>
      </w:pPr>
      <w:r>
        <w:tab/>
        <w:t>(c)</w:t>
      </w:r>
      <w:r>
        <w:tab/>
        <w:t>refuse to approve the noise management plan as proposed and require a new plan to be prepared and submitted for approval.</w:t>
      </w:r>
    </w:p>
    <w:p>
      <w:pPr>
        <w:pStyle w:val="Subsection"/>
      </w:pPr>
      <w:r>
        <w:tab/>
        <w:t>(11)</w:t>
      </w:r>
      <w:r>
        <w:tab/>
        <w:t>A noise management plan for class 1 works or class 2 works expires —</w:t>
      </w:r>
    </w:p>
    <w:p>
      <w:pPr>
        <w:pStyle w:val="Indenta"/>
      </w:pPr>
      <w:r>
        <w:tab/>
        <w:t>(a)</w:t>
      </w:r>
      <w:r>
        <w:tab/>
        <w:t>3 years after the day on which it is approved by the CEO; or</w:t>
      </w:r>
    </w:p>
    <w:p>
      <w:pPr>
        <w:pStyle w:val="Indenta"/>
      </w:pPr>
      <w:r>
        <w:tab/>
        <w:t>(b)</w:t>
      </w:r>
      <w:r>
        <w:tab/>
        <w:t>on such other day, not more than 3 years after the day on which it is approved by the CEO, as the CEO specifies in the approval of the plan.</w:t>
      </w:r>
    </w:p>
    <w:p>
      <w:pPr>
        <w:pStyle w:val="Footnotesection"/>
      </w:pPr>
      <w:r>
        <w:tab/>
        <w:t>[Regulation 14A inserted: Gazette 5 Dec 2013 p. 5667</w:t>
      </w:r>
      <w:r>
        <w:noBreakHyphen/>
        <w:t>72.]</w:t>
      </w:r>
    </w:p>
    <w:p>
      <w:pPr>
        <w:pStyle w:val="Heading5"/>
      </w:pPr>
      <w:bookmarkStart w:id="28" w:name="_Toc173502684"/>
      <w:r>
        <w:rPr>
          <w:rStyle w:val="CharSectno"/>
        </w:rPr>
        <w:t>14B</w:t>
      </w:r>
      <w:r>
        <w:t>.</w:t>
      </w:r>
      <w:r>
        <w:tab/>
        <w:t>Ancillary measures: waste collection and other works</w:t>
      </w:r>
      <w:bookmarkEnd w:id="28"/>
    </w:p>
    <w:p>
      <w:pPr>
        <w:pStyle w:val="Subsection"/>
      </w:pPr>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p>
    <w:p>
      <w:pPr>
        <w:pStyle w:val="Subsection"/>
      </w:pPr>
      <w:r>
        <w:tab/>
        <w:t>(2)</w:t>
      </w:r>
      <w:r>
        <w:tab/>
        <w:t>A person who carries out class 1 works or class 2 works, as those terms are defined in regulation 14A, must ensure that any ancillary measure relating to the works is implemented.</w:t>
      </w:r>
    </w:p>
    <w:p>
      <w:pPr>
        <w:pStyle w:val="Penstart"/>
      </w:pPr>
      <w:r>
        <w:tab/>
        <w:t>Penalty: a fine of $5 000.</w:t>
      </w:r>
    </w:p>
    <w:p>
      <w:pPr>
        <w:pStyle w:val="Footnotesection"/>
      </w:pPr>
      <w:r>
        <w:lastRenderedPageBreak/>
        <w:tab/>
        <w:t>[Regulation 14B inserted: Gazette 5 Dec 2013 p. 5672.]</w:t>
      </w:r>
    </w:p>
    <w:p>
      <w:pPr>
        <w:pStyle w:val="Heading5"/>
        <w:rPr>
          <w:snapToGrid w:val="0"/>
        </w:rPr>
      </w:pPr>
      <w:bookmarkStart w:id="29" w:name="_Toc173502685"/>
      <w:r>
        <w:rPr>
          <w:rStyle w:val="CharSectno"/>
        </w:rPr>
        <w:t>14</w:t>
      </w:r>
      <w:r>
        <w:rPr>
          <w:snapToGrid w:val="0"/>
        </w:rPr>
        <w:t xml:space="preserve">. </w:t>
      </w:r>
      <w:r>
        <w:rPr>
          <w:snapToGrid w:val="0"/>
        </w:rPr>
        <w:tab/>
        <w:t>Equipment used on residential premises</w:t>
      </w:r>
      <w:bookmarkEnd w:id="2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specified equipment</w:t>
      </w:r>
      <w:r>
        <w:t xml:space="preserve"> means any item of equipment which requires the constant presence of an operator for normal use.</w:t>
      </w:r>
    </w:p>
    <w:p>
      <w:pPr>
        <w:pStyle w:val="Subsection"/>
        <w:keepNext/>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the specified equipment is used in a reasonable manner; and</w:t>
      </w:r>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rPr>
          <w:snapToGrid w:val="0"/>
        </w:rPr>
      </w:pPr>
      <w:r>
        <w:rPr>
          <w:snapToGrid w:val="0"/>
        </w:rPr>
        <w:tab/>
        <w:t>(ii)</w:t>
      </w:r>
      <w:r>
        <w:rPr>
          <w:snapToGrid w:val="0"/>
        </w:rPr>
        <w:tab/>
        <w:t>in the case of a musical instrument, for more than one hour since the beginning of the relevant day;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30" w:name="_Toc173502686"/>
      <w:r>
        <w:rPr>
          <w:rStyle w:val="CharSectno"/>
        </w:rPr>
        <w:lastRenderedPageBreak/>
        <w:t>15</w:t>
      </w:r>
      <w:r>
        <w:rPr>
          <w:snapToGrid w:val="0"/>
        </w:rPr>
        <w:t xml:space="preserve">. </w:t>
      </w:r>
      <w:r>
        <w:rPr>
          <w:snapToGrid w:val="0"/>
        </w:rPr>
        <w:tab/>
        <w:t>Bellringing and calls to worship</w:t>
      </w:r>
      <w:bookmarkEnd w:id="3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amplified call to worship</w:t>
      </w:r>
      <w:r>
        <w:t xml:space="preserve"> means a call or invitation to worship (including the ringing of a single bell or a set of bells) which is amplified or reproduced by the use of electronic amplification equipment;</w:t>
      </w:r>
    </w:p>
    <w:p>
      <w:pPr>
        <w:pStyle w:val="Defstart"/>
      </w:pPr>
      <w:r>
        <w:rPr>
          <w:b/>
        </w:rPr>
        <w:tab/>
      </w:r>
      <w:r>
        <w:rPr>
          <w:rStyle w:val="CharDefText"/>
        </w:rPr>
        <w:t>bellringing</w:t>
      </w:r>
      <w:r>
        <w:t xml:space="preserve"> means the ringing of a set of bells, where not amplified by electronic amplification equipment;</w:t>
      </w:r>
    </w:p>
    <w:p>
      <w:pPr>
        <w:pStyle w:val="Defstart"/>
      </w:pPr>
      <w:r>
        <w:rPr>
          <w:b/>
        </w:rPr>
        <w:tab/>
      </w:r>
      <w:r>
        <w:rPr>
          <w:rStyle w:val="CharDefText"/>
        </w:rPr>
        <w:t>other call to worship</w:t>
      </w:r>
      <w:r>
        <w:t xml:space="preserve"> means any call or invitation to worship (including the ringing of a single bell) other than bellringing or an amplified call to worship.</w:t>
      </w:r>
    </w:p>
    <w:p>
      <w:pPr>
        <w:pStyle w:val="Subsection"/>
        <w:keepNext/>
        <w:rPr>
          <w:snapToGrid w:val="0"/>
        </w:rPr>
      </w:pPr>
      <w:r>
        <w:rPr>
          <w:snapToGrid w:val="0"/>
        </w:rPr>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 or</w:t>
      </w:r>
    </w:p>
    <w:p>
      <w:pPr>
        <w:pStyle w:val="Indenta"/>
        <w:rPr>
          <w:snapToGrid w:val="0"/>
        </w:rPr>
      </w:pPr>
      <w:r>
        <w:rPr>
          <w:snapToGrid w:val="0"/>
        </w:rPr>
        <w:tab/>
        <w:t>(b)</w:t>
      </w:r>
      <w:r>
        <w:rPr>
          <w:snapToGrid w:val="0"/>
        </w:rPr>
        <w:tab/>
        <w:t>bellringing, other than that referred to in paragraph (a), if the conditions prescribed in subregulation (3) are complied with; or</w:t>
      </w:r>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 xml:space="preserve">the premises or public place on which the worship is to take place is to be on land which is referred to in section 6.26(2)(d), (e) or (f) of the </w:t>
      </w:r>
      <w:r>
        <w:rPr>
          <w:i/>
          <w:snapToGrid w:val="0"/>
        </w:rPr>
        <w:t>Local Government Act 1995</w:t>
      </w:r>
      <w:r>
        <w:rPr>
          <w:snapToGrid w:val="0"/>
        </w:rPr>
        <w:t>;</w:t>
      </w:r>
    </w:p>
    <w:p>
      <w:pPr>
        <w:pStyle w:val="Indenta"/>
        <w:rPr>
          <w:snapToGrid w:val="0"/>
        </w:rPr>
      </w:pPr>
      <w:r>
        <w:rPr>
          <w:snapToGrid w:val="0"/>
        </w:rPr>
        <w:lastRenderedPageBreak/>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 and</w:t>
      </w:r>
    </w:p>
    <w:p>
      <w:pPr>
        <w:pStyle w:val="Indenti"/>
        <w:rPr>
          <w:snapToGrid w:val="0"/>
        </w:rPr>
      </w:pPr>
      <w:r>
        <w:rPr>
          <w:snapToGrid w:val="0"/>
        </w:rPr>
        <w:tab/>
        <w:t>(ii)</w:t>
      </w:r>
      <w:r>
        <w:rPr>
          <w:snapToGrid w:val="0"/>
        </w:rPr>
        <w:tab/>
        <w:t>bellringing or the amplified call to worship is to last no more than 10 minutes on each occasion that it takes place; and</w:t>
      </w:r>
    </w:p>
    <w:p>
      <w:pPr>
        <w:pStyle w:val="Indenti"/>
        <w:rPr>
          <w:snapToGrid w:val="0"/>
        </w:rPr>
      </w:pPr>
      <w:r>
        <w:rPr>
          <w:snapToGrid w:val="0"/>
        </w:rPr>
        <w:tab/>
        <w:t>(iii)</w:t>
      </w:r>
      <w:r>
        <w:rPr>
          <w:snapToGrid w:val="0"/>
        </w:rPr>
        <w:tab/>
        <w:t>bellringing or the amplified call to worship is not to take place on more than 2 occasions on the one day; and</w:t>
      </w:r>
    </w:p>
    <w:p>
      <w:pPr>
        <w:pStyle w:val="Indenti"/>
        <w:rPr>
          <w:snapToGrid w:val="0"/>
        </w:rPr>
      </w:pPr>
      <w:r>
        <w:rPr>
          <w:snapToGrid w:val="0"/>
        </w:rPr>
        <w:tab/>
        <w:t>(iv)</w:t>
      </w:r>
      <w:r>
        <w:rPr>
          <w:snapToGrid w:val="0"/>
        </w:rPr>
        <w:tab/>
        <w:t>bellringing or the amplified call to worship is not to take place on more than 12 occasions in any period of 2 months; and</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r>
        <w:t xml:space="preserve">CEO, </w:t>
      </w:r>
      <w:r>
        <w:rPr>
          <w:snapToGrid w:val="0"/>
        </w:rPr>
        <w:t>a log is to be kept recording details of the date, time and duration of all bellringing or amplified calls to worship made.</w:t>
      </w:r>
    </w:p>
    <w:p>
      <w:pPr>
        <w:pStyle w:val="Subsection"/>
        <w:keepNext/>
        <w:spacing w:before="120"/>
        <w:rPr>
          <w:snapToGrid w:val="0"/>
        </w:rPr>
      </w:pPr>
      <w:r>
        <w:rPr>
          <w:snapToGrid w:val="0"/>
        </w:rPr>
        <w:tab/>
        <w:t>(4)</w:t>
      </w:r>
      <w:r>
        <w:rPr>
          <w:snapToGrid w:val="0"/>
        </w:rPr>
        <w:tab/>
        <w:t>For the purposes of this regulation, the noise emission is to be — </w:t>
      </w:r>
    </w:p>
    <w:p>
      <w:pPr>
        <w:pStyle w:val="Indenta"/>
        <w:spacing w:before="60"/>
        <w:rPr>
          <w:snapToGrid w:val="0"/>
        </w:rPr>
      </w:pPr>
      <w:r>
        <w:rPr>
          <w:snapToGrid w:val="0"/>
        </w:rPr>
        <w:tab/>
        <w:t>(a)</w:t>
      </w:r>
      <w:r>
        <w:rPr>
          <w:snapToGrid w:val="0"/>
        </w:rPr>
        <w:tab/>
        <w:t>measured on any premises other than — </w:t>
      </w:r>
    </w:p>
    <w:p>
      <w:pPr>
        <w:pStyle w:val="Indenti"/>
        <w:spacing w:before="60"/>
        <w:rPr>
          <w:snapToGrid w:val="0"/>
        </w:rPr>
      </w:pPr>
      <w:r>
        <w:rPr>
          <w:snapToGrid w:val="0"/>
        </w:rPr>
        <w:tab/>
        <w:t>(i)</w:t>
      </w:r>
      <w:r>
        <w:rPr>
          <w:snapToGrid w:val="0"/>
        </w:rPr>
        <w:tab/>
        <w:t>the premises on which the bellringing or amplified call to worship was made; or</w:t>
      </w:r>
    </w:p>
    <w:p>
      <w:pPr>
        <w:pStyle w:val="Indenti"/>
        <w:spacing w:before="60"/>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spacing w:before="60"/>
      </w:pPr>
      <w:r>
        <w:tab/>
        <w:t>(iii)</w:t>
      </w:r>
      <w:r>
        <w:tab/>
        <w:t>premises that are not noise</w:t>
      </w:r>
      <w:r>
        <w:noBreakHyphen/>
        <w:t>sensitive premises;</w:t>
      </w:r>
    </w:p>
    <w:p>
      <w:pPr>
        <w:pStyle w:val="Indenta"/>
        <w:spacing w:before="60"/>
        <w:rPr>
          <w:snapToGrid w:val="0"/>
        </w:rPr>
      </w:pPr>
      <w:r>
        <w:rPr>
          <w:snapToGrid w:val="0"/>
        </w:rPr>
        <w:lastRenderedPageBreak/>
        <w:tab/>
      </w:r>
      <w:r>
        <w:rPr>
          <w:snapToGrid w:val="0"/>
        </w:rPr>
        <w:tab/>
        <w:t>and</w:t>
      </w:r>
    </w:p>
    <w:p>
      <w:pPr>
        <w:pStyle w:val="Indenta"/>
        <w:spacing w:before="60"/>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spacing w:before="60"/>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spacing w:before="100"/>
        <w:ind w:left="890" w:hanging="890"/>
      </w:pPr>
      <w:r>
        <w:tab/>
        <w:t>[Regulation 15 amended: Gazette 7 Nov 2000 p. 6144; 5 Dec 2013 p. 5672.]</w:t>
      </w:r>
    </w:p>
    <w:p>
      <w:pPr>
        <w:pStyle w:val="Heading3"/>
        <w:pageBreakBefore/>
      </w:pPr>
      <w:bookmarkStart w:id="31" w:name="_Toc173498479"/>
      <w:bookmarkStart w:id="32" w:name="_Toc173499615"/>
      <w:bookmarkStart w:id="33" w:name="_Toc173502687"/>
      <w:r>
        <w:rPr>
          <w:rStyle w:val="CharDivNo"/>
        </w:rPr>
        <w:lastRenderedPageBreak/>
        <w:t>Division 3</w:t>
      </w:r>
      <w:r>
        <w:t> — </w:t>
      </w:r>
      <w:r>
        <w:rPr>
          <w:rStyle w:val="CharDivText"/>
        </w:rPr>
        <w:t>Motor sport venues</w:t>
      </w:r>
      <w:bookmarkEnd w:id="31"/>
      <w:bookmarkEnd w:id="32"/>
      <w:bookmarkEnd w:id="33"/>
    </w:p>
    <w:p>
      <w:pPr>
        <w:pStyle w:val="Footnoteheading"/>
        <w:keepNext/>
        <w:rPr>
          <w:snapToGrid w:val="0"/>
        </w:rPr>
      </w:pPr>
      <w:r>
        <w:tab/>
        <w:t>[Heading inserted: Gazette 5 Dec 2013 p. 5673.]</w:t>
      </w:r>
    </w:p>
    <w:p>
      <w:pPr>
        <w:pStyle w:val="Heading5"/>
      </w:pPr>
      <w:bookmarkStart w:id="34" w:name="_Toc173502688"/>
      <w:r>
        <w:rPr>
          <w:rStyle w:val="CharSectno"/>
        </w:rPr>
        <w:t>16A</w:t>
      </w:r>
      <w:r>
        <w:t>.</w:t>
      </w:r>
      <w:r>
        <w:tab/>
        <w:t>Terms used</w:t>
      </w:r>
      <w:bookmarkEnd w:id="34"/>
    </w:p>
    <w:p>
      <w:pPr>
        <w:pStyle w:val="Subsection"/>
        <w:keepNext/>
      </w:pPr>
      <w:r>
        <w:tab/>
      </w:r>
      <w:r>
        <w:tab/>
        <w:t>In this Division —</w:t>
      </w:r>
    </w:p>
    <w:p>
      <w:pPr>
        <w:pStyle w:val="Defstart"/>
      </w:pPr>
      <w:r>
        <w:tab/>
      </w:r>
      <w:r>
        <w:rPr>
          <w:rStyle w:val="CharDefText"/>
        </w:rPr>
        <w:t>ancillary measure</w:t>
      </w:r>
      <w:r>
        <w:t xml:space="preserve"> means a measure designated to be an ancillary measure under regulation 16AB(1);</w:t>
      </w:r>
    </w:p>
    <w:p>
      <w:pPr>
        <w:pStyle w:val="Defstart"/>
      </w:pPr>
      <w:r>
        <w:tab/>
      </w:r>
      <w:r>
        <w:rPr>
          <w:rStyle w:val="CharDefText"/>
        </w:rPr>
        <w:t>approved noise management plan</w:t>
      </w:r>
      <w:r>
        <w:t xml:space="preserve"> means a noise management plan approved under regulation 16AA, as amended from time to time, that has effect;</w:t>
      </w:r>
    </w:p>
    <w:p>
      <w:pPr>
        <w:pStyle w:val="Defstart"/>
      </w:pPr>
      <w:r>
        <w:tab/>
      </w:r>
      <w:r>
        <w:rPr>
          <w:rStyle w:val="CharDefText"/>
        </w:rPr>
        <w:t>motor sport organisation</w:t>
      </w:r>
      <w:r>
        <w:t xml:space="preserve"> means any of the following organisations —</w:t>
      </w:r>
    </w:p>
    <w:p>
      <w:pPr>
        <w:pStyle w:val="Defpara"/>
      </w:pPr>
      <w:r>
        <w:tab/>
        <w:t>(a)</w:t>
      </w:r>
      <w:r>
        <w:tab/>
        <w:t>Australian National Drag Racing Association;</w:t>
      </w:r>
    </w:p>
    <w:p>
      <w:pPr>
        <w:pStyle w:val="Defpara"/>
      </w:pPr>
      <w:r>
        <w:tab/>
        <w:t>(b)</w:t>
      </w:r>
      <w:r>
        <w:tab/>
        <w:t>Australian Power Boat Racing Association;</w:t>
      </w:r>
    </w:p>
    <w:p>
      <w:pPr>
        <w:pStyle w:val="Defpara"/>
      </w:pPr>
      <w:r>
        <w:tab/>
        <w:t>(c)</w:t>
      </w:r>
      <w:r>
        <w:tab/>
        <w:t>Confederation of Australian Motor Sport Limited;</w:t>
      </w:r>
    </w:p>
    <w:p>
      <w:pPr>
        <w:pStyle w:val="Defpara"/>
      </w:pPr>
      <w:r>
        <w:tab/>
        <w:t>(d)</w:t>
      </w:r>
      <w:r>
        <w:tab/>
        <w:t>Motorcycling Australia;</w:t>
      </w:r>
    </w:p>
    <w:p>
      <w:pPr>
        <w:pStyle w:val="Defpara"/>
      </w:pPr>
      <w:r>
        <w:tab/>
        <w:t>(e)</w:t>
      </w:r>
      <w:r>
        <w:tab/>
        <w:t>Motorcycling Western Australia;</w:t>
      </w:r>
    </w:p>
    <w:p>
      <w:pPr>
        <w:pStyle w:val="Defpara"/>
      </w:pPr>
      <w:r>
        <w:tab/>
        <w:t>(f)</w:t>
      </w:r>
      <w:r>
        <w:tab/>
        <w:t>National Association of Drag Racing Inc.;</w:t>
      </w:r>
    </w:p>
    <w:p>
      <w:pPr>
        <w:pStyle w:val="Defpara"/>
      </w:pPr>
      <w:r>
        <w:tab/>
        <w:t>(g)</w:t>
      </w:r>
      <w:r>
        <w:tab/>
        <w:t>National Association of Speedway Racing;</w:t>
      </w:r>
    </w:p>
    <w:p>
      <w:pPr>
        <w:pStyle w:val="Defpara"/>
      </w:pPr>
      <w:r>
        <w:tab/>
        <w:t>(h)</w:t>
      </w:r>
      <w:r>
        <w:tab/>
        <w:t>Western Australian Speedway Commission;</w:t>
      </w:r>
    </w:p>
    <w:p>
      <w:pPr>
        <w:pStyle w:val="Defpara"/>
      </w:pPr>
      <w:r>
        <w:tab/>
        <w:t>(i)</w:t>
      </w:r>
      <w:r>
        <w:tab/>
        <w:t>any other motor sport organisation approved by the CEO for the purposes of this regulation;</w:t>
      </w:r>
    </w:p>
    <w:p>
      <w:pPr>
        <w:pStyle w:val="Defstart"/>
      </w:pPr>
      <w:r>
        <w:tab/>
      </w:r>
      <w:r>
        <w:rPr>
          <w:rStyle w:val="CharDefText"/>
        </w:rPr>
        <w:t>motor sport venue</w:t>
      </w:r>
      <w:r>
        <w:t xml:space="preserve"> means premises approved or recognised by a motor sport organisation as premises at which racing activities may be conducted;</w:t>
      </w:r>
    </w:p>
    <w:p>
      <w:pPr>
        <w:pStyle w:val="Defstart"/>
      </w:pPr>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p>
    <w:p>
      <w:pPr>
        <w:pStyle w:val="Footnotesection"/>
      </w:pPr>
      <w:r>
        <w:tab/>
        <w:t>[Regulation 16A inserted: Gazette 5 Dec 2013 p. 5673</w:t>
      </w:r>
      <w:r>
        <w:noBreakHyphen/>
        <w:t>4.]</w:t>
      </w:r>
    </w:p>
    <w:p>
      <w:pPr>
        <w:pStyle w:val="Heading5"/>
      </w:pPr>
      <w:bookmarkStart w:id="35" w:name="_Toc173502689"/>
      <w:r>
        <w:rPr>
          <w:rStyle w:val="CharSectno"/>
        </w:rPr>
        <w:lastRenderedPageBreak/>
        <w:t>16AA</w:t>
      </w:r>
      <w:r>
        <w:t>.</w:t>
      </w:r>
      <w:r>
        <w:tab/>
        <w:t>Approval of noise management plan: motor sport venue</w:t>
      </w:r>
      <w:bookmarkEnd w:id="35"/>
    </w:p>
    <w:p>
      <w:pPr>
        <w:pStyle w:val="Subsection"/>
      </w:pPr>
      <w:r>
        <w:tab/>
        <w:t>(1)</w:t>
      </w:r>
      <w:r>
        <w:tab/>
        <w:t>The occupier of a motor sport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motor sport venue; or</w:t>
      </w:r>
    </w:p>
    <w:p>
      <w:pPr>
        <w:pStyle w:val="Indenta"/>
      </w:pPr>
      <w:r>
        <w:tab/>
        <w:t>(b)</w:t>
      </w:r>
      <w:r>
        <w:tab/>
        <w:t>if the application is for an amendment of an approved noise management plan —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motor sport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lastRenderedPageBreak/>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16AC, has effect for the period specified in the approval.</w:t>
      </w:r>
    </w:p>
    <w:p>
      <w:pPr>
        <w:pStyle w:val="Subsection"/>
      </w:pPr>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16AE,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16AE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motor sport venue unless the plan —</w:t>
      </w:r>
    </w:p>
    <w:p>
      <w:pPr>
        <w:pStyle w:val="Indenta"/>
      </w:pPr>
      <w:r>
        <w:tab/>
        <w:t>(a)</w:t>
      </w:r>
      <w:r>
        <w:tab/>
        <w:t xml:space="preserve">contains a map (current at the time of the application) showing the motor sport venue, including the area where </w:t>
      </w:r>
      <w:r>
        <w:lastRenderedPageBreak/>
        <w:t>motor vehicles or motor vessels are raced or prepared for racing and car parks used by competitors in races at and visitors to the venue; and</w:t>
      </w:r>
    </w:p>
    <w:p>
      <w:pPr>
        <w:pStyle w:val="Indenta"/>
      </w:pPr>
      <w:r>
        <w:tab/>
        <w:t>(b)</w:t>
      </w:r>
      <w:r>
        <w:tab/>
        <w:t>contains a description of the types of racing activities that can reasonably be expected to be conducted at the venue and classes of vehicles or vessels that can reasonably be expected to race at the venue; and</w:t>
      </w:r>
    </w:p>
    <w:p>
      <w:pPr>
        <w:pStyle w:val="Indenta"/>
      </w:pPr>
      <w:r>
        <w:tab/>
        <w:t>(c)</w:t>
      </w:r>
      <w:r>
        <w:tab/>
        <w:t>sets out limitations on the racing activities to be conducted and the times during which racing activities may be conducted; and</w:t>
      </w:r>
    </w:p>
    <w:p>
      <w:pPr>
        <w:pStyle w:val="Indenta"/>
      </w:pPr>
      <w:r>
        <w:tab/>
        <w:t>(d)</w:t>
      </w:r>
      <w:r>
        <w:tab/>
        <w:t>contains details of reasonable and practicable measures to be implemented to control noise emissions from the venue during the conduct of a racing activity at the venue; and</w:t>
      </w:r>
    </w:p>
    <w:p>
      <w:pPr>
        <w:pStyle w:val="Indenta"/>
      </w:pPr>
      <w:r>
        <w:tab/>
        <w:t>(e)</w:t>
      </w:r>
      <w:r>
        <w:tab/>
        <w:t>contains details of when and the manner in which notice of racing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p>
    <w:p>
      <w:pPr>
        <w:pStyle w:val="Footnotesection"/>
      </w:pPr>
      <w:r>
        <w:tab/>
        <w:t>[Regulation 16AA inserted: Gazette 5 Dec 2013 p. 5674</w:t>
      </w:r>
      <w:r>
        <w:noBreakHyphen/>
        <w:t>7.]</w:t>
      </w:r>
    </w:p>
    <w:p>
      <w:pPr>
        <w:pStyle w:val="Heading5"/>
        <w:keepNext w:val="0"/>
        <w:keepLines w:val="0"/>
        <w:pageBreakBefore/>
        <w:widowControl w:val="0"/>
        <w:spacing w:before="120"/>
      </w:pPr>
      <w:bookmarkStart w:id="36" w:name="_Toc173502690"/>
      <w:r>
        <w:rPr>
          <w:rStyle w:val="CharSectno"/>
        </w:rPr>
        <w:lastRenderedPageBreak/>
        <w:t>16AB</w:t>
      </w:r>
      <w:r>
        <w:t>.</w:t>
      </w:r>
      <w:r>
        <w:tab/>
        <w:t>Ancillary measures: motor sport venue</w:t>
      </w:r>
      <w:bookmarkEnd w:id="36"/>
    </w:p>
    <w:p>
      <w:pPr>
        <w:pStyle w:val="Subsection"/>
      </w:pPr>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motor sport venue must ensure that any ancillary measure relating to the venue is implemented.</w:t>
      </w:r>
    </w:p>
    <w:p>
      <w:pPr>
        <w:pStyle w:val="Penstart"/>
      </w:pPr>
      <w:r>
        <w:tab/>
        <w:t>Penalty: a fine of $5 000.</w:t>
      </w:r>
    </w:p>
    <w:p>
      <w:pPr>
        <w:pStyle w:val="Footnotesection"/>
      </w:pPr>
      <w:r>
        <w:tab/>
        <w:t>[Regulation 16AB inserted: Gazette 5 Dec 2013 p. 5677.]</w:t>
      </w:r>
    </w:p>
    <w:p>
      <w:pPr>
        <w:pStyle w:val="Heading5"/>
      </w:pPr>
      <w:bookmarkStart w:id="37" w:name="_Toc173502691"/>
      <w:r>
        <w:rPr>
          <w:rStyle w:val="CharSectno"/>
        </w:rPr>
        <w:t>16AC</w:t>
      </w:r>
      <w:r>
        <w:t>.</w:t>
      </w:r>
      <w:r>
        <w:tab/>
        <w:t>Revocation of noise management plan for motor sport venue</w:t>
      </w:r>
      <w:bookmarkEnd w:id="37"/>
    </w:p>
    <w:p>
      <w:pPr>
        <w:pStyle w:val="Subsection"/>
      </w:pPr>
      <w:r>
        <w:tab/>
        <w:t>(1)</w:t>
      </w:r>
      <w:r>
        <w:tab/>
        <w:t>An approved noise management plan for a motor sport venue ceases to have effect if approval of the plan is revoked under this regulation.</w:t>
      </w:r>
    </w:p>
    <w:p>
      <w:pPr>
        <w:pStyle w:val="Subsection"/>
      </w:pPr>
      <w:r>
        <w:tab/>
        <w:t>(2)</w:t>
      </w:r>
      <w:r>
        <w:tab/>
        <w:t>The CEO may revoke the approval of a noise management plan for a motor sport venue by written notice given to the occupier of the venue.</w:t>
      </w:r>
    </w:p>
    <w:p>
      <w:pPr>
        <w:pStyle w:val="Subsection"/>
      </w:pPr>
      <w:r>
        <w:tab/>
        <w:t>(3)</w:t>
      </w:r>
      <w:r>
        <w:tab/>
        <w:t xml:space="preserve">The grounds for revocation of a noise management plan for a motor sport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16AA(5)(a);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lastRenderedPageBreak/>
        <w:tab/>
        <w:t>(4)</w:t>
      </w:r>
      <w:r>
        <w:tab/>
        <w:t xml:space="preserve">The CEO, before exercising the power of revocation under subregulation (2), must — </w:t>
      </w:r>
    </w:p>
    <w:p>
      <w:pPr>
        <w:pStyle w:val="Indenta"/>
      </w:pPr>
      <w:r>
        <w:tab/>
        <w:t>(a)</w:t>
      </w:r>
      <w:r>
        <w:tab/>
        <w:t>give the occupier of the motor sport venue a reasonable opportunity to show cause in writing why that power should not be exercised; and</w:t>
      </w:r>
    </w:p>
    <w:p>
      <w:pPr>
        <w:pStyle w:val="Indenta"/>
      </w:pPr>
      <w:r>
        <w:tab/>
        <w:t>(b)</w:t>
      </w:r>
      <w:r>
        <w:tab/>
        <w:t>give the persons referred to in regulation 16AA(4)(a)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16AC inserted: Gazette 5 Dec 2013 p. 5678</w:t>
      </w:r>
      <w:r>
        <w:noBreakHyphen/>
        <w:t>9.]</w:t>
      </w:r>
    </w:p>
    <w:p>
      <w:pPr>
        <w:pStyle w:val="Heading5"/>
      </w:pPr>
      <w:bookmarkStart w:id="38" w:name="_Toc173502692"/>
      <w:r>
        <w:rPr>
          <w:rStyle w:val="CharSectno"/>
        </w:rPr>
        <w:t>16AD</w:t>
      </w:r>
      <w:r>
        <w:t>.</w:t>
      </w:r>
      <w:r>
        <w:tab/>
        <w:t>Notice of appellable decision</w:t>
      </w:r>
      <w:bookmarkEnd w:id="38"/>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16AE(1).</w:t>
      </w:r>
    </w:p>
    <w:p>
      <w:pPr>
        <w:pStyle w:val="Subsection"/>
      </w:pPr>
      <w:r>
        <w:tab/>
        <w:t>(2)</w:t>
      </w:r>
      <w:r>
        <w:tab/>
        <w:t xml:space="preserve">The CEO — </w:t>
      </w:r>
    </w:p>
    <w:p>
      <w:pPr>
        <w:pStyle w:val="Indenta"/>
      </w:pPr>
      <w:r>
        <w:tab/>
        <w:t>(a)</w:t>
      </w:r>
      <w:r>
        <w:tab/>
        <w:t>must give a written notice of an appellable decision in respect of a noise management plan for a motor sport venue to the occupier of the motor sport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16AD inserted: Gazette 5 Dec 2013 p. 5679.]</w:t>
      </w:r>
    </w:p>
    <w:p>
      <w:pPr>
        <w:pStyle w:val="Heading5"/>
      </w:pPr>
      <w:bookmarkStart w:id="39" w:name="_Toc173502693"/>
      <w:r>
        <w:rPr>
          <w:rStyle w:val="CharSectno"/>
        </w:rPr>
        <w:lastRenderedPageBreak/>
        <w:t>16AE</w:t>
      </w:r>
      <w:r>
        <w:t>.</w:t>
      </w:r>
      <w:r>
        <w:tab/>
        <w:t>Appeals against decisions in respect of noise management plan for motor sport venue</w:t>
      </w:r>
      <w:bookmarkEnd w:id="39"/>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motor sport venue;</w:t>
      </w:r>
    </w:p>
    <w:p>
      <w:pPr>
        <w:pStyle w:val="Indenta"/>
      </w:pPr>
      <w:r>
        <w:tab/>
        <w:t>(b)</w:t>
      </w:r>
      <w:r>
        <w:tab/>
        <w:t>the refusal to approve a noise management plan for a motor sport venue;</w:t>
      </w:r>
    </w:p>
    <w:p>
      <w:pPr>
        <w:pStyle w:val="Indenta"/>
      </w:pPr>
      <w:r>
        <w:tab/>
        <w:t>(c)</w:t>
      </w:r>
      <w:r>
        <w:tab/>
        <w:t>the approval of an amendment to an approved noise management plan for a motor sport venue;</w:t>
      </w:r>
    </w:p>
    <w:p>
      <w:pPr>
        <w:pStyle w:val="Indenta"/>
      </w:pPr>
      <w:r>
        <w:tab/>
        <w:t>(d)</w:t>
      </w:r>
      <w:r>
        <w:tab/>
        <w:t>the refusal to approve an amendment to an approved noise management plan for a motor sport venue;</w:t>
      </w:r>
    </w:p>
    <w:p>
      <w:pPr>
        <w:pStyle w:val="Indenta"/>
      </w:pPr>
      <w:r>
        <w:tab/>
        <w:t>(e)</w:t>
      </w:r>
      <w:r>
        <w:tab/>
        <w:t xml:space="preserve">the imposition of a condition on the approval of a noise management plan for a motor sport venue; </w:t>
      </w:r>
    </w:p>
    <w:p>
      <w:pPr>
        <w:pStyle w:val="Indenta"/>
      </w:pPr>
      <w:r>
        <w:tab/>
        <w:t>(f)</w:t>
      </w:r>
      <w:r>
        <w:tab/>
        <w:t xml:space="preserve">the specification under regulation 16AA(5) of a period as the period for which the approval of a noise management plan for a motor sport venue has effect; </w:t>
      </w:r>
    </w:p>
    <w:p>
      <w:pPr>
        <w:pStyle w:val="Indenta"/>
      </w:pPr>
      <w:r>
        <w:tab/>
        <w:t>(g)</w:t>
      </w:r>
      <w:r>
        <w:tab/>
        <w:t>the revocation of the approval of a noise management plan.</w:t>
      </w:r>
    </w:p>
    <w:p>
      <w:pPr>
        <w:pStyle w:val="Subsection"/>
      </w:pPr>
      <w:r>
        <w:tab/>
        <w:t>(2)</w:t>
      </w:r>
      <w:r>
        <w:tab/>
        <w:t>The appeal must be lodged within 21 days of publication of notice of the decision under regulation 16AD(2)(c).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rPr>
          <w:snapToGrid w:val="0"/>
        </w:rPr>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lastRenderedPageBreak/>
        <w:tab/>
        <w:t>[Regulation 16AE inserted: Gazette 5 Dec 2013 p. 5679</w:t>
      </w:r>
      <w:r>
        <w:noBreakHyphen/>
        <w:t>80.]</w:t>
      </w:r>
    </w:p>
    <w:p>
      <w:pPr>
        <w:pStyle w:val="Heading3"/>
      </w:pPr>
      <w:bookmarkStart w:id="40" w:name="_Toc173498486"/>
      <w:bookmarkStart w:id="41" w:name="_Toc173499622"/>
      <w:bookmarkStart w:id="42" w:name="_Toc173502694"/>
      <w:r>
        <w:rPr>
          <w:rStyle w:val="CharDivNo"/>
        </w:rPr>
        <w:t>Division 4</w:t>
      </w:r>
      <w:r>
        <w:t> — </w:t>
      </w:r>
      <w:r>
        <w:rPr>
          <w:rStyle w:val="CharDivText"/>
        </w:rPr>
        <w:t>Shooting venues</w:t>
      </w:r>
      <w:bookmarkEnd w:id="40"/>
      <w:bookmarkEnd w:id="41"/>
      <w:bookmarkEnd w:id="42"/>
    </w:p>
    <w:p>
      <w:pPr>
        <w:pStyle w:val="Footnoteheading"/>
        <w:rPr>
          <w:snapToGrid w:val="0"/>
        </w:rPr>
      </w:pPr>
      <w:r>
        <w:tab/>
        <w:t>[Heading inserted: Gazette 5 Dec 2013 p. 5681.]</w:t>
      </w:r>
    </w:p>
    <w:p>
      <w:pPr>
        <w:pStyle w:val="Heading5"/>
      </w:pPr>
      <w:bookmarkStart w:id="43" w:name="_Toc173502695"/>
      <w:r>
        <w:rPr>
          <w:rStyle w:val="CharSectno"/>
        </w:rPr>
        <w:t>16B</w:t>
      </w:r>
      <w:r>
        <w:t>.</w:t>
      </w:r>
      <w:r>
        <w:tab/>
        <w:t>Terms used</w:t>
      </w:r>
      <w:bookmarkEnd w:id="43"/>
    </w:p>
    <w:p>
      <w:pPr>
        <w:pStyle w:val="Subsection"/>
      </w:pPr>
      <w:r>
        <w:tab/>
      </w:r>
      <w:r>
        <w:tab/>
        <w:t xml:space="preserve">In this Division — </w:t>
      </w:r>
    </w:p>
    <w:p>
      <w:pPr>
        <w:pStyle w:val="Defstart"/>
      </w:pPr>
      <w:r>
        <w:tab/>
      </w:r>
      <w:r>
        <w:rPr>
          <w:rStyle w:val="CharDefText"/>
        </w:rPr>
        <w:t>ancillary measure</w:t>
      </w:r>
      <w:r>
        <w:t xml:space="preserve"> means a measure designated to be an ancillary measure under regulation 16BB(1);</w:t>
      </w:r>
    </w:p>
    <w:p>
      <w:pPr>
        <w:pStyle w:val="Defstart"/>
      </w:pPr>
      <w:r>
        <w:tab/>
      </w:r>
      <w:r>
        <w:rPr>
          <w:rStyle w:val="CharDefText"/>
        </w:rPr>
        <w:t>approved noise management plan</w:t>
      </w:r>
      <w:r>
        <w:t xml:space="preserve"> means a noise management plan approved under regulation 16BA, as amended from time to time, that has effect;</w:t>
      </w:r>
    </w:p>
    <w:p>
      <w:pPr>
        <w:pStyle w:val="Defstart"/>
      </w:pPr>
      <w:r>
        <w:tab/>
      </w:r>
      <w:r>
        <w:rPr>
          <w:rStyle w:val="CharDefText"/>
        </w:rPr>
        <w:t>shooting activity</w:t>
      </w:r>
      <w:r>
        <w:t xml:space="preserve"> means shooting conducted as part of a competition day, practice or training session, exhibition, trial, test, entertainment event, promotion or other similar activity;</w:t>
      </w:r>
    </w:p>
    <w:p>
      <w:pPr>
        <w:pStyle w:val="Defstart"/>
      </w:pPr>
      <w:r>
        <w:tab/>
      </w:r>
      <w:r>
        <w:rPr>
          <w:rStyle w:val="CharDefText"/>
        </w:rPr>
        <w:t>shooting venue</w:t>
      </w:r>
      <w:r>
        <w:t xml:space="preserve"> means premises that are a range approved under the </w:t>
      </w:r>
      <w:r>
        <w:rPr>
          <w:i/>
        </w:rPr>
        <w:t>Firearms Act 1973</w:t>
      </w:r>
      <w:r>
        <w:t>.</w:t>
      </w:r>
    </w:p>
    <w:p>
      <w:pPr>
        <w:pStyle w:val="Footnotesection"/>
      </w:pPr>
      <w:r>
        <w:tab/>
        <w:t>[Regulation 16B inserted: Gazette 5 Dec 2013 p. 5681.]</w:t>
      </w:r>
    </w:p>
    <w:p>
      <w:pPr>
        <w:pStyle w:val="Heading5"/>
      </w:pPr>
      <w:bookmarkStart w:id="44" w:name="_Toc173502696"/>
      <w:r>
        <w:rPr>
          <w:rStyle w:val="CharSectno"/>
        </w:rPr>
        <w:t>16BA</w:t>
      </w:r>
      <w:r>
        <w:t>.</w:t>
      </w:r>
      <w:r>
        <w:tab/>
        <w:t>Approval of noise management plan: shooting venue</w:t>
      </w:r>
      <w:bookmarkEnd w:id="44"/>
    </w:p>
    <w:p>
      <w:pPr>
        <w:pStyle w:val="Subsection"/>
      </w:pPr>
      <w:r>
        <w:tab/>
        <w:t>(1)</w:t>
      </w:r>
      <w:r>
        <w:tab/>
        <w:t>The occupier of a shooting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shooting venue; or</w:t>
      </w:r>
    </w:p>
    <w:p>
      <w:pPr>
        <w:pStyle w:val="Indenta"/>
      </w:pPr>
      <w:r>
        <w:lastRenderedPageBreak/>
        <w:tab/>
        <w:t>(b)</w:t>
      </w:r>
      <w:r>
        <w:tab/>
        <w:t>if the application is for an amendment of an approved noise management plan,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shooting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16BC, has effect for the period specified in the approval.</w:t>
      </w:r>
    </w:p>
    <w:p>
      <w:pPr>
        <w:pStyle w:val="Subsection"/>
      </w:pPr>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keepNext/>
      </w:pPr>
      <w:r>
        <w:lastRenderedPageBreak/>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16BE,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16BE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shooting venue unless the plan —</w:t>
      </w:r>
    </w:p>
    <w:p>
      <w:pPr>
        <w:pStyle w:val="Indenta"/>
      </w:pPr>
      <w:r>
        <w:tab/>
        <w:t>(a)</w:t>
      </w:r>
      <w:r>
        <w:tab/>
        <w:t>contains a map (current at the time of the application) showing the shooting venue, including all shooting ranges and buildings within the venue; and</w:t>
      </w:r>
    </w:p>
    <w:p>
      <w:pPr>
        <w:pStyle w:val="Indenta"/>
      </w:pPr>
      <w:r>
        <w:tab/>
        <w:t>(b)</w:t>
      </w:r>
      <w:r>
        <w:tab/>
        <w:t>contains a description of the types of shooting disciplines that can reasonably be expected to be conducted on each range at the venue; and</w:t>
      </w:r>
    </w:p>
    <w:p>
      <w:pPr>
        <w:pStyle w:val="Indenta"/>
      </w:pPr>
      <w:r>
        <w:tab/>
        <w:t>(c)</w:t>
      </w:r>
      <w:r>
        <w:tab/>
        <w:t>sets out limitations on shooting activities to be conducted at the venue and the times during which shooting activities may be conducted; and</w:t>
      </w:r>
    </w:p>
    <w:p>
      <w:pPr>
        <w:pStyle w:val="Indenta"/>
      </w:pPr>
      <w:r>
        <w:tab/>
        <w:t>(d)</w:t>
      </w:r>
      <w:r>
        <w:tab/>
        <w:t>contains details of reasonable and practicable measures to be implemented to control noise emissions at the venue during a shooting activity at the venue; and</w:t>
      </w:r>
    </w:p>
    <w:p>
      <w:pPr>
        <w:pStyle w:val="Indenta"/>
      </w:pPr>
      <w:r>
        <w:tab/>
        <w:t>(e)</w:t>
      </w:r>
      <w:r>
        <w:tab/>
        <w:t>contains details of when and the manner in which notice of shooting activities at the venue is to be published or distributed to members of the public; and</w:t>
      </w:r>
    </w:p>
    <w:p>
      <w:pPr>
        <w:pStyle w:val="Indenta"/>
      </w:pPr>
      <w:r>
        <w:lastRenderedPageBreak/>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p>
    <w:p>
      <w:pPr>
        <w:pStyle w:val="Footnotesection"/>
      </w:pPr>
      <w:r>
        <w:tab/>
        <w:t>[Regulation 16BA inserted: Gazette 5 Dec 2013 p. 5681</w:t>
      </w:r>
      <w:r>
        <w:noBreakHyphen/>
        <w:t>4.]</w:t>
      </w:r>
    </w:p>
    <w:p>
      <w:pPr>
        <w:pStyle w:val="Heading5"/>
      </w:pPr>
      <w:bookmarkStart w:id="45" w:name="_Toc173502697"/>
      <w:r>
        <w:rPr>
          <w:rStyle w:val="CharSectno"/>
        </w:rPr>
        <w:t>16BB</w:t>
      </w:r>
      <w:r>
        <w:t>.</w:t>
      </w:r>
      <w:r>
        <w:tab/>
        <w:t>Ancillary measures: shooting venue</w:t>
      </w:r>
      <w:bookmarkEnd w:id="45"/>
    </w:p>
    <w:p>
      <w:pPr>
        <w:pStyle w:val="Subsection"/>
      </w:pPr>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shooting venue must ensure that any ancillary measure relating to the venue is implemented.</w:t>
      </w:r>
    </w:p>
    <w:p>
      <w:pPr>
        <w:pStyle w:val="Penstart"/>
      </w:pPr>
      <w:r>
        <w:tab/>
        <w:t>Penalty: a fine of $5 000.</w:t>
      </w:r>
    </w:p>
    <w:p>
      <w:pPr>
        <w:pStyle w:val="Footnotesection"/>
      </w:pPr>
      <w:r>
        <w:tab/>
        <w:t>[Regulation 16BB inserted: Gazette 5 Dec 2013 p. 5684</w:t>
      </w:r>
      <w:r>
        <w:noBreakHyphen/>
        <w:t>5.]</w:t>
      </w:r>
    </w:p>
    <w:p>
      <w:pPr>
        <w:pStyle w:val="Heading5"/>
      </w:pPr>
      <w:bookmarkStart w:id="46" w:name="_Toc173502698"/>
      <w:r>
        <w:rPr>
          <w:rStyle w:val="CharSectno"/>
        </w:rPr>
        <w:t>16BC</w:t>
      </w:r>
      <w:r>
        <w:t>.</w:t>
      </w:r>
      <w:r>
        <w:tab/>
        <w:t>Revocation of noise management plan for shooting venue</w:t>
      </w:r>
      <w:bookmarkEnd w:id="46"/>
    </w:p>
    <w:p>
      <w:pPr>
        <w:pStyle w:val="Subsection"/>
      </w:pPr>
      <w:r>
        <w:tab/>
        <w:t>(1)</w:t>
      </w:r>
      <w:r>
        <w:tab/>
        <w:t>An approved noise management plan for a shooting venue ceases to have effect if approval of the plan is revoked under this regulation.</w:t>
      </w:r>
    </w:p>
    <w:p>
      <w:pPr>
        <w:pStyle w:val="Subsection"/>
      </w:pPr>
      <w:r>
        <w:lastRenderedPageBreak/>
        <w:tab/>
        <w:t>(2)</w:t>
      </w:r>
      <w:r>
        <w:tab/>
        <w:t>The CEO may revoke the approval of a noise management plan for a shooting venue by written notice given to the occupier of the venue.</w:t>
      </w:r>
    </w:p>
    <w:p>
      <w:pPr>
        <w:pStyle w:val="Subsection"/>
      </w:pPr>
      <w:r>
        <w:tab/>
        <w:t>(3)</w:t>
      </w:r>
      <w:r>
        <w:tab/>
        <w:t xml:space="preserve">The grounds for revocation of a noise management plan for a shooting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16BA(5)(a);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shooting venue a reasonable opportunity to show cause in writing why that power should not be exercised; and</w:t>
      </w:r>
    </w:p>
    <w:p>
      <w:pPr>
        <w:pStyle w:val="Indenta"/>
      </w:pPr>
      <w:r>
        <w:tab/>
        <w:t>(b)</w:t>
      </w:r>
      <w:r>
        <w:tab/>
        <w:t>give the persons referred to in regulation 16BA(4)(a)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16BC inserted: Gazette 5 Dec 2013 p. 5685</w:t>
      </w:r>
      <w:r>
        <w:noBreakHyphen/>
        <w:t>6.]</w:t>
      </w:r>
    </w:p>
    <w:p>
      <w:pPr>
        <w:pStyle w:val="Heading5"/>
        <w:keepNext w:val="0"/>
        <w:keepLines w:val="0"/>
        <w:pageBreakBefore/>
        <w:spacing w:before="0"/>
      </w:pPr>
      <w:bookmarkStart w:id="47" w:name="_Toc173502699"/>
      <w:r>
        <w:rPr>
          <w:rStyle w:val="CharSectno"/>
        </w:rPr>
        <w:lastRenderedPageBreak/>
        <w:t>16BD</w:t>
      </w:r>
      <w:r>
        <w:t>.</w:t>
      </w:r>
      <w:r>
        <w:tab/>
        <w:t>Notice of appellable decision</w:t>
      </w:r>
      <w:bookmarkEnd w:id="47"/>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16BE(1).</w:t>
      </w:r>
    </w:p>
    <w:p>
      <w:pPr>
        <w:pStyle w:val="Subsection"/>
      </w:pPr>
      <w:r>
        <w:tab/>
        <w:t>(2)</w:t>
      </w:r>
      <w:r>
        <w:tab/>
        <w:t xml:space="preserve">The CEO — </w:t>
      </w:r>
    </w:p>
    <w:p>
      <w:pPr>
        <w:pStyle w:val="Indenta"/>
      </w:pPr>
      <w:r>
        <w:tab/>
        <w:t>(a)</w:t>
      </w:r>
      <w:r>
        <w:tab/>
        <w:t>must give a written notice of an appellable decision in respect of a noise management plan for a shooting venue to the occupier of the shooting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16BD inserted: Gazette 5 Dec 2013 p. 5686.]</w:t>
      </w:r>
    </w:p>
    <w:p>
      <w:pPr>
        <w:pStyle w:val="Heading5"/>
      </w:pPr>
      <w:bookmarkStart w:id="48" w:name="_Toc173502700"/>
      <w:r>
        <w:rPr>
          <w:rStyle w:val="CharSectno"/>
        </w:rPr>
        <w:t>16BE</w:t>
      </w:r>
      <w:r>
        <w:t>.</w:t>
      </w:r>
      <w:r>
        <w:tab/>
        <w:t>Appeals against decisions in respect of noise management plan for shooting venue</w:t>
      </w:r>
      <w:bookmarkEnd w:id="48"/>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shooting venue;</w:t>
      </w:r>
    </w:p>
    <w:p>
      <w:pPr>
        <w:pStyle w:val="Indenta"/>
      </w:pPr>
      <w:r>
        <w:tab/>
        <w:t>(b)</w:t>
      </w:r>
      <w:r>
        <w:tab/>
        <w:t>the refusal to approve a noise management plan for a shooting venue;</w:t>
      </w:r>
    </w:p>
    <w:p>
      <w:pPr>
        <w:pStyle w:val="Indenta"/>
      </w:pPr>
      <w:r>
        <w:tab/>
        <w:t>(c)</w:t>
      </w:r>
      <w:r>
        <w:tab/>
        <w:t>the approval of an amendment to an approved noise management plan for a shooting venue;</w:t>
      </w:r>
    </w:p>
    <w:p>
      <w:pPr>
        <w:pStyle w:val="Indenta"/>
      </w:pPr>
      <w:r>
        <w:tab/>
        <w:t>(d)</w:t>
      </w:r>
      <w:r>
        <w:tab/>
        <w:t>the refusal to approve an amendment to an approved noise management plan for a shooting venue;</w:t>
      </w:r>
    </w:p>
    <w:p>
      <w:pPr>
        <w:pStyle w:val="Indenta"/>
      </w:pPr>
      <w:r>
        <w:tab/>
        <w:t>(e)</w:t>
      </w:r>
      <w:r>
        <w:tab/>
        <w:t xml:space="preserve">the imposition of a condition on the approval of a noise management plan for a shooting venue; </w:t>
      </w:r>
    </w:p>
    <w:p>
      <w:pPr>
        <w:pStyle w:val="Indenta"/>
      </w:pPr>
      <w:r>
        <w:tab/>
        <w:t>(f)</w:t>
      </w:r>
      <w:r>
        <w:tab/>
        <w:t xml:space="preserve">the specification under regulation 16BA(5) of a period as the period for which the approval has effect; </w:t>
      </w:r>
    </w:p>
    <w:p>
      <w:pPr>
        <w:pStyle w:val="Indenta"/>
      </w:pPr>
      <w:r>
        <w:lastRenderedPageBreak/>
        <w:tab/>
        <w:t>(g)</w:t>
      </w:r>
      <w:r>
        <w:tab/>
        <w:t>the revocation of the approval of a noise management plan for a shooting venue.</w:t>
      </w:r>
    </w:p>
    <w:p>
      <w:pPr>
        <w:pStyle w:val="Subsection"/>
      </w:pPr>
      <w:r>
        <w:tab/>
        <w:t>(2)</w:t>
      </w:r>
      <w:r>
        <w:tab/>
        <w:t>The appeal must be lodged within 21 days of publication of notice of the decision under regulation 16BD(2)(c).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ind w:left="890" w:hanging="890"/>
      </w:pPr>
      <w:r>
        <w:tab/>
        <w:t>[Regulation 16BE inserted: Gazette 5 Dec 2013 p. 5687</w:t>
      </w:r>
      <w:r>
        <w:noBreakHyphen/>
        <w:t>8; amended: Gazette 16 May 2014 p. 1539.]</w:t>
      </w:r>
    </w:p>
    <w:p>
      <w:pPr>
        <w:pStyle w:val="Heading3"/>
      </w:pPr>
      <w:bookmarkStart w:id="49" w:name="_Toc173498493"/>
      <w:bookmarkStart w:id="50" w:name="_Toc173499629"/>
      <w:bookmarkStart w:id="51" w:name="_Toc173502701"/>
      <w:r>
        <w:rPr>
          <w:rStyle w:val="CharDivNo"/>
        </w:rPr>
        <w:t>Division 5</w:t>
      </w:r>
      <w:r>
        <w:t> — </w:t>
      </w:r>
      <w:r>
        <w:rPr>
          <w:rStyle w:val="CharDivText"/>
        </w:rPr>
        <w:t>Community activities</w:t>
      </w:r>
      <w:bookmarkEnd w:id="49"/>
      <w:bookmarkEnd w:id="50"/>
      <w:bookmarkEnd w:id="51"/>
    </w:p>
    <w:p>
      <w:pPr>
        <w:pStyle w:val="Footnoteheading"/>
        <w:rPr>
          <w:snapToGrid w:val="0"/>
        </w:rPr>
      </w:pPr>
      <w:r>
        <w:tab/>
        <w:t>[Heading inserted: Gazette 5 Dec 2013 p. 5688.]</w:t>
      </w:r>
    </w:p>
    <w:p>
      <w:pPr>
        <w:pStyle w:val="Heading5"/>
        <w:rPr>
          <w:snapToGrid w:val="0"/>
        </w:rPr>
      </w:pPr>
      <w:bookmarkStart w:id="52" w:name="_Toc173502702"/>
      <w:r>
        <w:rPr>
          <w:rStyle w:val="CharSectno"/>
        </w:rPr>
        <w:t>16</w:t>
      </w:r>
      <w:r>
        <w:rPr>
          <w:snapToGrid w:val="0"/>
        </w:rPr>
        <w:t xml:space="preserve">. </w:t>
      </w:r>
      <w:r>
        <w:rPr>
          <w:snapToGrid w:val="0"/>
        </w:rPr>
        <w:tab/>
        <w:t>Community noise</w:t>
      </w:r>
      <w:bookmarkEnd w:id="52"/>
    </w:p>
    <w:p>
      <w:pPr>
        <w:pStyle w:val="Subsection"/>
        <w:rPr>
          <w:snapToGrid w:val="0"/>
        </w:rPr>
      </w:pPr>
      <w:r>
        <w:rPr>
          <w:snapToGrid w:val="0"/>
        </w:rPr>
        <w:tab/>
        <w:t>(1)</w:t>
      </w:r>
      <w:r>
        <w:rPr>
          <w:snapToGrid w:val="0"/>
        </w:rPr>
        <w:tab/>
        <w:t>In this regulation — </w:t>
      </w:r>
    </w:p>
    <w:p>
      <w:pPr>
        <w:pStyle w:val="Defstart"/>
      </w:pPr>
      <w:r>
        <w:tab/>
      </w:r>
      <w:r>
        <w:rPr>
          <w:rStyle w:val="CharDefText"/>
        </w:rPr>
        <w:t>community noise</w:t>
      </w:r>
      <w:r>
        <w:t xml:space="preserve"> means a noise of a type listed in Schedule 2;</w:t>
      </w:r>
    </w:p>
    <w:p>
      <w:pPr>
        <w:pStyle w:val="Defstart"/>
      </w:pPr>
      <w:r>
        <w:rPr>
          <w:b/>
        </w:rPr>
        <w:tab/>
      </w:r>
      <w:r>
        <w:rPr>
          <w:rStyle w:val="CharDefText"/>
        </w:rPr>
        <w:t>noise control notice</w:t>
      </w:r>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tab/>
        <w:t>(b)</w:t>
      </w:r>
      <w:r>
        <w:rPr>
          <w:snapToGrid w:val="0"/>
        </w:rPr>
        <w:tab/>
        <w:t xml:space="preserve">applies to noise emitted in accordance with an approval granted under </w:t>
      </w:r>
      <w:r>
        <w:t>regulation 18B</w:t>
      </w:r>
      <w:r>
        <w:rPr>
          <w:snapToGrid w:val="0"/>
        </w:rPr>
        <w:t xml:space="preserve"> or 18.</w:t>
      </w:r>
    </w:p>
    <w:p>
      <w:pPr>
        <w:pStyle w:val="Subsection"/>
        <w:rPr>
          <w:snapToGrid w:val="0"/>
        </w:rPr>
      </w:pPr>
      <w:r>
        <w:rPr>
          <w:snapToGrid w:val="0"/>
        </w:rPr>
        <w:tab/>
        <w:t>(3)</w:t>
      </w:r>
      <w:r>
        <w:rPr>
          <w:snapToGrid w:val="0"/>
        </w:rPr>
        <w:tab/>
        <w:t>Regulation 7 does not apply to</w:t>
      </w:r>
      <w:r>
        <w:t xml:space="preserve"> community noise.</w:t>
      </w:r>
    </w:p>
    <w:p>
      <w:pPr>
        <w:pStyle w:val="Subsection"/>
        <w:keepNext/>
        <w:rPr>
          <w:snapToGrid w:val="0"/>
        </w:rPr>
      </w:pPr>
      <w:r>
        <w:rPr>
          <w:snapToGrid w:val="0"/>
        </w:rPr>
        <w:lastRenderedPageBreak/>
        <w:tab/>
        <w:t>(4)</w:t>
      </w:r>
      <w:r>
        <w:rPr>
          <w:snapToGrid w:val="0"/>
        </w:rPr>
        <w:tab/>
        <w:t xml:space="preserve">If the </w:t>
      </w:r>
      <w:r>
        <w:t>CEO</w:t>
      </w:r>
      <w:r>
        <w:rPr>
          <w:snapToGrid w:val="0"/>
        </w:rPr>
        <w:t xml:space="preserve"> is satisfied that — </w:t>
      </w:r>
    </w:p>
    <w:p>
      <w:pPr>
        <w:pStyle w:val="Indenta"/>
        <w:rPr>
          <w:snapToGrid w:val="0"/>
        </w:rPr>
      </w:pPr>
      <w:r>
        <w:rPr>
          <w:snapToGrid w:val="0"/>
        </w:rPr>
        <w:tab/>
        <w:t>(a)</w:t>
      </w:r>
      <w:r>
        <w:rPr>
          <w:snapToGrid w:val="0"/>
        </w:rPr>
        <w:tab/>
        <w:t xml:space="preserve">a type of </w:t>
      </w:r>
      <w:r>
        <w:t>community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r>
        <w:t>community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r>
        <w:t>CEO</w:t>
      </w:r>
      <w:r>
        <w:rPr>
          <w:snapToGrid w:val="0"/>
        </w:rPr>
        <w:t xml:space="preserve"> may cause to be served on the owner or the occupier, or on both the owner and the occupier, of the premises or public place a noise control notice in respect of the</w:t>
      </w:r>
      <w:r>
        <w:t xml:space="preserve"> community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 and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r>
        <w:t>CEO</w:t>
      </w:r>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pPr>
      <w:r>
        <w:tab/>
        <w:t>(c)</w:t>
      </w:r>
      <w:r>
        <w:tab/>
        <w:t xml:space="preserve">may include a direction that any person bound by it is to make one of the following applications, as specified in the direction — </w:t>
      </w:r>
    </w:p>
    <w:p>
      <w:pPr>
        <w:pStyle w:val="Indenti"/>
      </w:pPr>
      <w:r>
        <w:tab/>
        <w:t>(i)</w:t>
      </w:r>
      <w:r>
        <w:tab/>
        <w:t>an application under regulation 17 for approval to allow the emission of noise to exceed or vary from the standard prescribed under regulation 7;</w:t>
      </w:r>
    </w:p>
    <w:p>
      <w:pPr>
        <w:pStyle w:val="Indenti"/>
      </w:pPr>
      <w:r>
        <w:tab/>
        <w:t>(ii)</w:t>
      </w:r>
      <w:r>
        <w:tab/>
        <w:t>an application under regulation 18 for approval to conduct an event that is likely to result in the emission of noise in contravention of the standard prescribed under regulation 7.</w:t>
      </w:r>
    </w:p>
    <w:p>
      <w:pPr>
        <w:pStyle w:val="Subsection"/>
        <w:rPr>
          <w:snapToGrid w:val="0"/>
        </w:rPr>
      </w:pPr>
      <w:r>
        <w:rPr>
          <w:snapToGrid w:val="0"/>
        </w:rPr>
        <w:lastRenderedPageBreak/>
        <w:tab/>
        <w:t>(6)</w:t>
      </w:r>
      <w:r>
        <w:rPr>
          <w:snapToGrid w:val="0"/>
        </w:rPr>
        <w:tab/>
        <w:t xml:space="preserve">The measures required under a noise control notice by the </w:t>
      </w:r>
      <w:r>
        <w:t>CEO</w:t>
      </w:r>
      <w:r>
        <w:rPr>
          <w:snapToGrid w:val="0"/>
        </w:rPr>
        <w:t xml:space="preserve"> may include a requirement that the person on whom a noise 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rPr>
          <w:snapToGrid w:val="0"/>
        </w:rPr>
      </w:pPr>
      <w:r>
        <w:rPr>
          <w:snapToGrid w:val="0"/>
        </w:rPr>
        <w:tab/>
        <w:t>(7)</w:t>
      </w:r>
      <w:r>
        <w:rPr>
          <w:snapToGrid w:val="0"/>
        </w:rPr>
        <w:tab/>
        <w:t>A noise control notice, while it is in force, binds each owner or occupier on whom it is served.</w:t>
      </w:r>
    </w:p>
    <w:p>
      <w:pPr>
        <w:pStyle w:val="Subsection"/>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snapToGrid w:val="0"/>
        </w:rPr>
      </w:pPr>
      <w:r>
        <w:rPr>
          <w:snapToGrid w:val="0"/>
        </w:rPr>
        <w:tab/>
        <w:t>(ba)</w:t>
      </w:r>
      <w:r>
        <w:rPr>
          <w:snapToGrid w:val="0"/>
        </w:rPr>
        <w:tab/>
      </w:r>
      <w:r>
        <w:t>a person bound by a noise control notice who has prepared a noise management plan under subregulation (6) —</w:t>
      </w:r>
    </w:p>
    <w:p>
      <w:pPr>
        <w:pStyle w:val="Indenti"/>
      </w:pPr>
      <w:r>
        <w:tab/>
        <w:t>(i)</w:t>
      </w:r>
      <w:r>
        <w:tab/>
        <w:t>allows an emission of noise to exceed the level of noise emission specified in the plan; or</w:t>
      </w:r>
    </w:p>
    <w:p>
      <w:pPr>
        <w:pStyle w:val="Indenti"/>
      </w:pPr>
      <w:r>
        <w:tab/>
        <w:t>(ii)</w:t>
      </w:r>
      <w:r>
        <w:tab/>
        <w:t>does not follow the strategies specified in the plan;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Minister refuses to grant an application for approval made pursuant to a direction under subregulation (5)(c),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r>
        <w:t>community noise</w:t>
      </w:r>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rPr>
          <w:snapToGrid w:val="0"/>
        </w:rPr>
      </w:pPr>
      <w:r>
        <w:rPr>
          <w:snapToGrid w:val="0"/>
        </w:rPr>
        <w:tab/>
        <w:t>(9)</w:t>
      </w:r>
      <w:r>
        <w:rPr>
          <w:snapToGrid w:val="0"/>
        </w:rPr>
        <w:tab/>
        <w:t xml:space="preserve">The </w:t>
      </w:r>
      <w:r>
        <w:t>CEO</w:t>
      </w:r>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r>
        <w:t>CEO</w:t>
      </w:r>
      <w:r>
        <w:rPr>
          <w:snapToGrid w:val="0"/>
        </w:rPr>
        <w:t xml:space="preserve"> </w:t>
      </w:r>
      <w:r>
        <w:rPr>
          <w:snapToGrid w:val="0"/>
        </w:rPr>
        <w:lastRenderedPageBreak/>
        <w:t>is satisfied that the circumstances of the case justify such an extension;</w:t>
      </w:r>
    </w:p>
    <w:p>
      <w:pPr>
        <w:pStyle w:val="Indenta"/>
        <w:rPr>
          <w:snapToGrid w:val="0"/>
        </w:rPr>
      </w:pPr>
      <w:r>
        <w:rPr>
          <w:snapToGrid w:val="0"/>
        </w:rPr>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r>
        <w:t>CEO</w:t>
      </w:r>
      <w:r>
        <w:rPr>
          <w:snapToGrid w:val="0"/>
        </w:rPr>
        <w:t>, before exercising in respect of a person, the power of amendment under subregulation (9)(b),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r>
        <w:t>CEO</w:t>
      </w:r>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spacing w:before="120"/>
        <w:rPr>
          <w:snapToGrid w:val="0"/>
        </w:rPr>
      </w:pPr>
      <w:r>
        <w:rPr>
          <w:snapToGrid w:val="0"/>
        </w:rPr>
        <w:tab/>
      </w:r>
      <w:r>
        <w:rPr>
          <w:snapToGrid w:val="0"/>
        </w:rPr>
        <w:tab/>
        <w:t>may within 14 days of that service lodge with the Minister an appeal in writing setting out the grounds of that appeal.</w:t>
      </w:r>
    </w:p>
    <w:p>
      <w:pPr>
        <w:pStyle w:val="Subsection"/>
        <w:spacing w:before="120"/>
        <w:rPr>
          <w:snapToGrid w:val="0"/>
        </w:rPr>
      </w:pPr>
      <w:r>
        <w:rPr>
          <w:snapToGrid w:val="0"/>
        </w:rPr>
        <w:tab/>
        <w:t>(13)</w:t>
      </w:r>
      <w:r>
        <w:rPr>
          <w:snapToGrid w:val="0"/>
        </w:rPr>
        <w:tab/>
      </w:r>
      <w:r>
        <w:t>Sections 105 to 110 of the Act apply</w:t>
      </w:r>
      <w:r>
        <w:rPr>
          <w:snapToGrid w:val="0"/>
        </w:rPr>
        <w:t xml:space="preserve"> to an appeal lodged under subregulation (12) as if the appeal were an appeal referred to in section 103 of the Act.</w:t>
      </w:r>
    </w:p>
    <w:p>
      <w:pPr>
        <w:pStyle w:val="Footnotesection"/>
      </w:pPr>
      <w:r>
        <w:tab/>
        <w:t>[Regulation 16 amended: Gazette 5 Dec 2013 p. 5688</w:t>
      </w:r>
      <w:r>
        <w:noBreakHyphen/>
        <w:t>91.]</w:t>
      </w:r>
    </w:p>
    <w:p>
      <w:pPr>
        <w:pStyle w:val="Heading3"/>
        <w:spacing w:before="200"/>
      </w:pPr>
      <w:bookmarkStart w:id="53" w:name="_Toc173498495"/>
      <w:bookmarkStart w:id="54" w:name="_Toc173499631"/>
      <w:bookmarkStart w:id="55" w:name="_Toc173502703"/>
      <w:r>
        <w:rPr>
          <w:rStyle w:val="CharDivNo"/>
        </w:rPr>
        <w:t>Division 6</w:t>
      </w:r>
      <w:r>
        <w:t> — </w:t>
      </w:r>
      <w:r>
        <w:rPr>
          <w:rStyle w:val="CharDivText"/>
        </w:rPr>
        <w:t>Where standard cannot reasonably be met</w:t>
      </w:r>
      <w:bookmarkEnd w:id="53"/>
      <w:bookmarkEnd w:id="54"/>
      <w:bookmarkEnd w:id="55"/>
    </w:p>
    <w:p>
      <w:pPr>
        <w:pStyle w:val="Footnoteheading"/>
        <w:rPr>
          <w:snapToGrid w:val="0"/>
        </w:rPr>
      </w:pPr>
      <w:r>
        <w:tab/>
        <w:t>[Heading inserted: Gazette 5 Dec 2013 p. 5691.]</w:t>
      </w:r>
    </w:p>
    <w:p>
      <w:pPr>
        <w:pStyle w:val="Heading5"/>
        <w:spacing w:before="180"/>
      </w:pPr>
      <w:bookmarkStart w:id="56" w:name="_Toc173502704"/>
      <w:r>
        <w:rPr>
          <w:rStyle w:val="CharSectno"/>
        </w:rPr>
        <w:t>17</w:t>
      </w:r>
      <w:r>
        <w:t>.</w:t>
      </w:r>
      <w:r>
        <w:tab/>
        <w:t>Approval to allow emission of noise to exceed or vary from standard: application and referral</w:t>
      </w:r>
      <w:bookmarkEnd w:id="56"/>
    </w:p>
    <w:p>
      <w:pPr>
        <w:pStyle w:val="Subsection"/>
        <w:spacing w:before="120"/>
        <w:rPr>
          <w:snapToGrid w:val="0"/>
        </w:rPr>
      </w:pPr>
      <w:r>
        <w:rPr>
          <w:snapToGrid w:val="0"/>
        </w:rPr>
        <w:tab/>
        <w:t>(1)</w:t>
      </w:r>
      <w:r>
        <w:rPr>
          <w:snapToGrid w:val="0"/>
        </w:rPr>
        <w:tab/>
        <w:t>If a person is of the opinion that — </w:t>
      </w:r>
    </w:p>
    <w:p>
      <w:pPr>
        <w:pStyle w:val="Indenta"/>
        <w:rPr>
          <w:snapToGrid w:val="0"/>
        </w:rPr>
      </w:pPr>
      <w:r>
        <w:rPr>
          <w:snapToGrid w:val="0"/>
        </w:rPr>
        <w:lastRenderedPageBreak/>
        <w:tab/>
        <w:t>(a)</w:t>
      </w:r>
      <w:r>
        <w:rPr>
          <w:snapToGrid w:val="0"/>
        </w:rPr>
        <w:tab/>
        <w:t>the person cannot reasonably or practicably comply with a standard prescribed under these regulations; or</w:t>
      </w:r>
    </w:p>
    <w:p>
      <w:pPr>
        <w:pStyle w:val="Indenta"/>
        <w:rPr>
          <w:snapToGrid w:val="0"/>
        </w:rPr>
      </w:pPr>
      <w:r>
        <w:tab/>
        <w:t>(b)</w:t>
      </w:r>
      <w:r>
        <w:tab/>
      </w:r>
      <w:r>
        <w:rPr>
          <w:snapToGrid w:val="0"/>
        </w:rPr>
        <w:t xml:space="preserve">that a proposal of that person will not be reasonably or practicably capable of complying with that standard, </w:t>
      </w:r>
    </w:p>
    <w:p>
      <w:pPr>
        <w:pStyle w:val="Subsection"/>
        <w:spacing w:before="120"/>
        <w:rPr>
          <w:snapToGrid w:val="0"/>
        </w:rPr>
      </w:pPr>
      <w:r>
        <w:rPr>
          <w:snapToGrid w:val="0"/>
        </w:rPr>
        <w:tab/>
      </w:r>
      <w:r>
        <w:rPr>
          <w:snapToGrid w:val="0"/>
        </w:rPr>
        <w:tab/>
        <w:t xml:space="preserve">that person may apply to the Minister for approval to allow the emission of noise in that case to exceed or vary from the standard. </w:t>
      </w:r>
    </w:p>
    <w:p>
      <w:pPr>
        <w:pStyle w:val="Subsection"/>
        <w:spacing w:before="120"/>
        <w:rPr>
          <w:snapToGrid w:val="0"/>
        </w:rPr>
      </w:pPr>
      <w:r>
        <w:rPr>
          <w:snapToGrid w:val="0"/>
        </w:rPr>
        <w:tab/>
        <w:t>(2)</w:t>
      </w:r>
      <w:r>
        <w:rPr>
          <w:snapToGrid w:val="0"/>
        </w:rPr>
        <w:tab/>
        <w:t>The Minister must refer the application to the Authority for assessment if — </w:t>
      </w:r>
    </w:p>
    <w:p>
      <w:pPr>
        <w:pStyle w:val="Indenta"/>
        <w:rPr>
          <w:snapToGrid w:val="0"/>
        </w:rPr>
      </w:pPr>
      <w:r>
        <w:rPr>
          <w:snapToGrid w:val="0"/>
        </w:rPr>
        <w:tab/>
        <w:t>(a)</w:t>
      </w:r>
      <w:r>
        <w:rPr>
          <w:snapToGrid w:val="0"/>
        </w:rPr>
        <w:tab/>
        <w:t>the application relates to a proposal mentioned in subregulation (1)(b); and</w:t>
      </w:r>
    </w:p>
    <w:p>
      <w:pPr>
        <w:pStyle w:val="Indenta"/>
        <w:rPr>
          <w:snapToGrid w:val="0"/>
        </w:rPr>
      </w:pPr>
      <w:r>
        <w:rPr>
          <w:snapToGrid w:val="0"/>
        </w:rPr>
        <w:tab/>
        <w:t>(b)</w:t>
      </w:r>
      <w:r>
        <w:rPr>
          <w:snapToGrid w:val="0"/>
        </w:rPr>
        <w:tab/>
        <w:t xml:space="preserve">the Authority — </w:t>
      </w:r>
    </w:p>
    <w:p>
      <w:pPr>
        <w:pStyle w:val="Indenti"/>
        <w:rPr>
          <w:snapToGrid w:val="0"/>
        </w:rPr>
      </w:pPr>
      <w:r>
        <w:tab/>
        <w:t>(i)</w:t>
      </w:r>
      <w:r>
        <w:tab/>
      </w:r>
      <w:r>
        <w:rPr>
          <w:snapToGrid w:val="0"/>
        </w:rPr>
        <w:t xml:space="preserve">has made a public record of — </w:t>
      </w:r>
    </w:p>
    <w:p>
      <w:pPr>
        <w:pStyle w:val="IndentI0"/>
        <w:rPr>
          <w:snapToGrid w:val="0"/>
        </w:rPr>
      </w:pPr>
      <w:r>
        <w:rPr>
          <w:snapToGrid w:val="0"/>
        </w:rPr>
        <w:tab/>
        <w:t>(I)</w:t>
      </w:r>
      <w:r>
        <w:rPr>
          <w:snapToGrid w:val="0"/>
        </w:rPr>
        <w:tab/>
        <w:t>the proposal under section 39 of the Act setting out that the proposal is to be assessed under Part IV of the Act; or</w:t>
      </w:r>
    </w:p>
    <w:p>
      <w:pPr>
        <w:pStyle w:val="IndentI0"/>
        <w:rPr>
          <w:snapToGrid w:val="0"/>
        </w:rPr>
      </w:pPr>
      <w:r>
        <w:rPr>
          <w:snapToGrid w:val="0"/>
        </w:rPr>
        <w:tab/>
        <w:t>(II)</w:t>
      </w:r>
      <w:r>
        <w:rPr>
          <w:snapToGrid w:val="0"/>
        </w:rPr>
        <w:tab/>
        <w:t>a request in relation to the proposal under section 46(1) of the Act;</w:t>
      </w:r>
    </w:p>
    <w:p>
      <w:pPr>
        <w:pStyle w:val="Indenti"/>
      </w:pPr>
      <w:r>
        <w:tab/>
      </w:r>
      <w:r>
        <w:tab/>
        <w:t>and</w:t>
      </w:r>
    </w:p>
    <w:p>
      <w:pPr>
        <w:pStyle w:val="Indenti"/>
        <w:rPr>
          <w:snapToGrid w:val="0"/>
        </w:rPr>
      </w:pPr>
      <w:r>
        <w:rPr>
          <w:snapToGrid w:val="0"/>
        </w:rPr>
        <w:tab/>
        <w:t>(ii)</w:t>
      </w:r>
      <w:r>
        <w:rPr>
          <w:snapToGrid w:val="0"/>
        </w:rPr>
        <w:tab/>
        <w:t>has not prepared and given a report on the outcome of its assessment of the proposal under section 44 of the Act or a report on the inquiry under section 46(6) of the Act.</w:t>
      </w:r>
    </w:p>
    <w:p>
      <w:pPr>
        <w:pStyle w:val="Subsection"/>
        <w:spacing w:before="120"/>
        <w:rPr>
          <w:snapToGrid w:val="0"/>
        </w:rPr>
      </w:pPr>
      <w:r>
        <w:rPr>
          <w:snapToGrid w:val="0"/>
        </w:rPr>
        <w:tab/>
        <w:t>(3)</w:t>
      </w:r>
      <w:r>
        <w:rPr>
          <w:snapToGrid w:val="0"/>
        </w:rPr>
        <w:tab/>
        <w:t>If subregulation (2) does not apply, the Minister must refer the application to the CEO for assessment.</w:t>
      </w:r>
    </w:p>
    <w:p>
      <w:pPr>
        <w:pStyle w:val="Subsection"/>
        <w:spacing w:before="120"/>
        <w:rPr>
          <w:snapToGrid w:val="0"/>
        </w:rPr>
      </w:pPr>
      <w:r>
        <w:tab/>
        <w:t>(4)</w:t>
      </w:r>
      <w:r>
        <w:tab/>
        <w:t xml:space="preserve">If the Authority in the course of assessing a proposal under Part 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p>
    <w:p>
      <w:pPr>
        <w:pStyle w:val="Subsection"/>
        <w:spacing w:before="120"/>
        <w:rPr>
          <w:snapToGrid w:val="0"/>
        </w:rPr>
      </w:pPr>
      <w:r>
        <w:rPr>
          <w:snapToGrid w:val="0"/>
        </w:rPr>
        <w:lastRenderedPageBreak/>
        <w:tab/>
        <w:t>(5)</w:t>
      </w:r>
      <w:r>
        <w:rPr>
          <w:snapToGrid w:val="0"/>
        </w:rPr>
        <w:tab/>
        <w:t>The report of the Authority under section 44 of the Act on a proposal mentioned in subregulation (1)(b) or (4), or under section 46 of the Act on an inquiry mentioned in subregulation (1)(b) or (4), is taken to also be the report of the Authority for the purposes of regulation 18B.</w:t>
      </w:r>
    </w:p>
    <w:p>
      <w:pPr>
        <w:pStyle w:val="Footnotesection"/>
      </w:pPr>
      <w:r>
        <w:tab/>
        <w:t>[Regulation 17 inserted: Gazette 5 Dec 2013 p. 5691</w:t>
      </w:r>
      <w:r>
        <w:noBreakHyphen/>
        <w:t>3.]</w:t>
      </w:r>
    </w:p>
    <w:p>
      <w:pPr>
        <w:pStyle w:val="Heading5"/>
      </w:pPr>
      <w:bookmarkStart w:id="57" w:name="_Toc173502705"/>
      <w:r>
        <w:rPr>
          <w:rStyle w:val="CharSectno"/>
        </w:rPr>
        <w:t>18A</w:t>
      </w:r>
      <w:r>
        <w:t>.</w:t>
      </w:r>
      <w:r>
        <w:tab/>
        <w:t>Assessment by CEO</w:t>
      </w:r>
      <w:bookmarkEnd w:id="57"/>
    </w:p>
    <w:p>
      <w:pPr>
        <w:pStyle w:val="Subsection"/>
        <w:rPr>
          <w:snapToGrid w:val="0"/>
        </w:rPr>
      </w:pPr>
      <w:r>
        <w:tab/>
        <w:t>(1)</w:t>
      </w:r>
      <w:r>
        <w:tab/>
      </w:r>
      <w:r>
        <w:rPr>
          <w:snapToGrid w:val="0"/>
        </w:rPr>
        <w:t xml:space="preserve">When an application is referred to the CEO under regulation 17(3), the CEO may — </w:t>
      </w:r>
    </w:p>
    <w:p>
      <w:pPr>
        <w:pStyle w:val="Indenta"/>
        <w:rPr>
          <w:snapToGrid w:val="0"/>
        </w:rPr>
      </w:pPr>
      <w:r>
        <w:tab/>
        <w:t>(a)</w:t>
      </w:r>
      <w:r>
        <w:tab/>
        <w:t>advise</w:t>
      </w:r>
      <w:r>
        <w:rPr>
          <w:snapToGrid w:val="0"/>
        </w:rPr>
        <w:t xml:space="preserve"> the Minister that the CEO considers that the application should not be assessed because — </w:t>
      </w:r>
    </w:p>
    <w:p>
      <w:pPr>
        <w:pStyle w:val="Indenti"/>
        <w:rPr>
          <w:snapToGrid w:val="0"/>
        </w:rPr>
      </w:pPr>
      <w:r>
        <w:rPr>
          <w:snapToGrid w:val="0"/>
        </w:rPr>
        <w:tab/>
        <w:t>(i)</w:t>
      </w:r>
      <w:r>
        <w:rPr>
          <w:snapToGrid w:val="0"/>
        </w:rPr>
        <w:tab/>
        <w:t>the emission of noise in that case will not exceed or vary from a standard prescribed under these regulations; or</w:t>
      </w:r>
    </w:p>
    <w:p>
      <w:pPr>
        <w:pStyle w:val="Indenti"/>
        <w:rPr>
          <w:snapToGrid w:val="0"/>
        </w:rPr>
      </w:pPr>
      <w:r>
        <w:rPr>
          <w:snapToGrid w:val="0"/>
        </w:rPr>
        <w:tab/>
        <w:t>(ii)</w:t>
      </w:r>
      <w:r>
        <w:rPr>
          <w:snapToGrid w:val="0"/>
        </w:rPr>
        <w:tab/>
        <w:t>the emission of noise is reasonably and practicably capable of complying with a standard prescribed under these regulations; or</w:t>
      </w:r>
    </w:p>
    <w:p>
      <w:pPr>
        <w:pStyle w:val="Indenti"/>
        <w:rPr>
          <w:snapToGrid w:val="0"/>
        </w:rPr>
      </w:pPr>
      <w:r>
        <w:rPr>
          <w:snapToGrid w:val="0"/>
        </w:rPr>
        <w:tab/>
        <w:t>(iii)</w:t>
      </w:r>
      <w:r>
        <w:rPr>
          <w:snapToGrid w:val="0"/>
        </w:rPr>
        <w:tab/>
        <w:t>an approval to allow the emission of noise to exceed or vary from the standard is not an appropriate means of regulating the emission of noise;</w:t>
      </w:r>
    </w:p>
    <w:p>
      <w:pPr>
        <w:pStyle w:val="Indenta"/>
      </w:pPr>
      <w:r>
        <w:tab/>
      </w:r>
      <w:r>
        <w:tab/>
        <w:t>or</w:t>
      </w:r>
    </w:p>
    <w:p>
      <w:pPr>
        <w:pStyle w:val="Indenta"/>
        <w:rPr>
          <w:snapToGrid w:val="0"/>
        </w:rPr>
      </w:pPr>
      <w:r>
        <w:tab/>
        <w:t>(b)</w:t>
      </w:r>
      <w:r>
        <w:tab/>
        <w:t xml:space="preserve">if the CEO does not consider that any of the circumstances mentioned in paragraph (a) apply and considers that the emission of noise exceeds or will exceed or vary from a standard prescribed under these regulations — </w:t>
      </w:r>
    </w:p>
    <w:p>
      <w:pPr>
        <w:pStyle w:val="Indenti"/>
        <w:rPr>
          <w:snapToGrid w:val="0"/>
        </w:rPr>
      </w:pPr>
      <w:r>
        <w:rPr>
          <w:snapToGrid w:val="0"/>
        </w:rPr>
        <w:tab/>
        <w:t>(i)</w:t>
      </w:r>
      <w:r>
        <w:rPr>
          <w:snapToGrid w:val="0"/>
        </w:rPr>
        <w:tab/>
        <w:t>inform the Minister and the applicant; and</w:t>
      </w:r>
    </w:p>
    <w:p>
      <w:pPr>
        <w:pStyle w:val="Indenti"/>
        <w:rPr>
          <w:snapToGrid w:val="0"/>
        </w:rPr>
      </w:pPr>
      <w:r>
        <w:rPr>
          <w:snapToGrid w:val="0"/>
        </w:rPr>
        <w:tab/>
        <w:t>(ii)</w:t>
      </w:r>
      <w:r>
        <w:rPr>
          <w:snapToGrid w:val="0"/>
        </w:rPr>
        <w:tab/>
        <w:t>assess the application and report to the Minister.</w:t>
      </w:r>
    </w:p>
    <w:p>
      <w:pPr>
        <w:pStyle w:val="Subsection"/>
      </w:pPr>
      <w:r>
        <w:tab/>
        <w:t>(2)</w:t>
      </w:r>
      <w:r>
        <w:tab/>
        <w:t xml:space="preserve">In the case of an application in respect of which the CEO provides advice under subregulation (1)(a), the Minister may — </w:t>
      </w:r>
    </w:p>
    <w:p>
      <w:pPr>
        <w:pStyle w:val="Indenta"/>
      </w:pPr>
      <w:r>
        <w:lastRenderedPageBreak/>
        <w:tab/>
        <w:t>(a)</w:t>
      </w:r>
      <w:r>
        <w:tab/>
        <w:t>direct the CEO to assess the application under subregulation (1)(b)(ii); or</w:t>
      </w:r>
    </w:p>
    <w:p>
      <w:pPr>
        <w:pStyle w:val="Indenta"/>
      </w:pPr>
      <w:r>
        <w:tab/>
        <w:t>(b)</w:t>
      </w:r>
      <w:r>
        <w:tab/>
        <w:t>inform the applicant that the application will not be assessed.</w:t>
      </w:r>
    </w:p>
    <w:p>
      <w:pPr>
        <w:pStyle w:val="Subsection"/>
      </w:pPr>
      <w:r>
        <w:tab/>
        <w:t>(3)</w:t>
      </w:r>
      <w:r>
        <w:tab/>
        <w:t>The CEO may, for the purposes of assessing an application under subregulation (1)(b)(ii), require the applicant to provide the CEO with such information as is specified in the requirement.</w:t>
      </w:r>
    </w:p>
    <w:p>
      <w:pPr>
        <w:pStyle w:val="Subsection"/>
      </w:pPr>
      <w:r>
        <w:tab/>
        <w:t>(4)</w:t>
      </w:r>
      <w:r>
        <w:tab/>
        <w:t>The CEO may end the assessment of an application if the applicant has failed to comply with a requirement under subregulation (3) within such period as the CEO considers to be reasonable in the circumstances.</w:t>
      </w:r>
    </w:p>
    <w:p>
      <w:pPr>
        <w:pStyle w:val="Subsection"/>
      </w:pPr>
      <w:r>
        <w:tab/>
        <w:t>(5)</w:t>
      </w:r>
      <w:r>
        <w:tab/>
        <w:t>Subject to any direction given under subregulation (9), the CEO is to determine the form, content, timing and procedure of any assessment undertaken under this regulation.</w:t>
      </w:r>
    </w:p>
    <w:p>
      <w:pPr>
        <w:pStyle w:val="Subsection"/>
      </w:pPr>
      <w:r>
        <w:tab/>
        <w:t>(6)</w:t>
      </w:r>
      <w:r>
        <w:tab/>
        <w:t>After a determination is made under subregulation (5), the CEO is to estimate the cost of conducting the assessment.</w:t>
      </w:r>
    </w:p>
    <w:p>
      <w:pPr>
        <w:pStyle w:val="Subsection"/>
      </w:pPr>
      <w:r>
        <w:tab/>
        <w:t>(7)</w:t>
      </w:r>
      <w:r>
        <w:tab/>
        <w:t xml:space="preserve">The fee payable for conducting an assessment is — </w:t>
      </w:r>
    </w:p>
    <w:p>
      <w:pPr>
        <w:pStyle w:val="Indenta"/>
      </w:pPr>
      <w:r>
        <w:tab/>
        <w:t>(a)</w:t>
      </w:r>
      <w:r>
        <w:tab/>
        <w:t>an amount equal to the cost estimated under subregulation (6); or</w:t>
      </w:r>
    </w:p>
    <w:p>
      <w:pPr>
        <w:pStyle w:val="Indenta"/>
      </w:pPr>
      <w:r>
        <w:tab/>
        <w:t>(b)</w:t>
      </w:r>
      <w:r>
        <w:tab/>
        <w:t>if that amount exceeds $100 000, $100 000.</w:t>
      </w:r>
    </w:p>
    <w:p>
      <w:pPr>
        <w:pStyle w:val="Subsection"/>
      </w:pPr>
      <w:r>
        <w:tab/>
        <w:t>(8)</w:t>
      </w:r>
      <w:r>
        <w:tab/>
        <w:t>The fee must be paid before the assessment of the application commences.</w:t>
      </w:r>
    </w:p>
    <w:p>
      <w:pPr>
        <w:pStyle w:val="Subsection"/>
      </w:pPr>
      <w:r>
        <w:tab/>
        <w:t>(9)</w:t>
      </w:r>
      <w:r>
        <w:tab/>
        <w:t>The Minister may, during or after the assessment by the CEO of an application referred to the CEO, and after consulting the CEO, direct the CEO to assess or re</w:t>
      </w:r>
      <w:r>
        <w:noBreakHyphen/>
        <w:t>assess, as the case requires, the application more fully or more publicly or both in accordance with that direction, and the CEO must comply with the direction.</w:t>
      </w:r>
    </w:p>
    <w:p>
      <w:pPr>
        <w:pStyle w:val="Footnotesection"/>
      </w:pPr>
      <w:r>
        <w:tab/>
        <w:t>[Regulation 18A inserted: Gazette 5 Dec 2013 p. 5693</w:t>
      </w:r>
      <w:r>
        <w:noBreakHyphen/>
        <w:t>5.]</w:t>
      </w:r>
    </w:p>
    <w:p>
      <w:pPr>
        <w:pStyle w:val="Heading5"/>
        <w:keepNext w:val="0"/>
        <w:keepLines w:val="0"/>
        <w:pageBreakBefore/>
        <w:spacing w:before="120"/>
      </w:pPr>
      <w:bookmarkStart w:id="58" w:name="_Toc173502706"/>
      <w:r>
        <w:rPr>
          <w:rStyle w:val="CharSectno"/>
        </w:rPr>
        <w:lastRenderedPageBreak/>
        <w:t>18B</w:t>
      </w:r>
      <w:r>
        <w:t>.</w:t>
      </w:r>
      <w:r>
        <w:tab/>
        <w:t>Decision by Minister</w:t>
      </w:r>
      <w:bookmarkEnd w:id="58"/>
    </w:p>
    <w:p>
      <w:pPr>
        <w:pStyle w:val="Subsection"/>
      </w:pPr>
      <w:r>
        <w:tab/>
        <w:t>(1)</w:t>
      </w:r>
      <w:r>
        <w:tab/>
        <w:t>After receiving the report of the Authority or the CEO in relation to an application for approval under regulation 17, the Minister may grant, or may refuse to grant, the approval.</w:t>
      </w:r>
    </w:p>
    <w:p>
      <w:pPr>
        <w:pStyle w:val="Subsection"/>
      </w:pPr>
      <w:r>
        <w:tab/>
        <w:t>(2)</w:t>
      </w:r>
      <w:r>
        <w:tab/>
        <w:t xml:space="preserve">An approval under subregulation (1) may be made — </w:t>
      </w:r>
    </w:p>
    <w:p>
      <w:pPr>
        <w:pStyle w:val="Indenta"/>
      </w:pPr>
      <w:r>
        <w:tab/>
        <w:t>(a)</w:t>
      </w:r>
      <w:r>
        <w:tab/>
        <w:t>to have effect for a specified time; and</w:t>
      </w:r>
    </w:p>
    <w:p>
      <w:pPr>
        <w:pStyle w:val="Indenta"/>
      </w:pPr>
      <w:r>
        <w:tab/>
        <w:t>(b)</w:t>
      </w:r>
      <w:r>
        <w:tab/>
        <w:t>subject to any condition.</w:t>
      </w:r>
    </w:p>
    <w:p>
      <w:pPr>
        <w:pStyle w:val="Subsection"/>
      </w:pPr>
      <w:r>
        <w:tab/>
        <w:t>(3)</w:t>
      </w:r>
      <w:r>
        <w:tab/>
        <w:t>Despite any other of these regulations, an approval under subregulation (1) has effect according to its terms.</w:t>
      </w:r>
    </w:p>
    <w:p>
      <w:pPr>
        <w:pStyle w:val="Footnotesection"/>
      </w:pPr>
      <w:r>
        <w:tab/>
        <w:t>[Regulation 18B inserted: Gazette 5 Dec 2013 p. 5695.]</w:t>
      </w:r>
    </w:p>
    <w:p>
      <w:pPr>
        <w:pStyle w:val="Heading5"/>
      </w:pPr>
      <w:bookmarkStart w:id="59" w:name="_Toc173502707"/>
      <w:r>
        <w:rPr>
          <w:rStyle w:val="CharSectno"/>
        </w:rPr>
        <w:t>18C</w:t>
      </w:r>
      <w:r>
        <w:t>.</w:t>
      </w:r>
      <w:r>
        <w:tab/>
        <w:t>Notification of approval, amendment or revocation</w:t>
      </w:r>
      <w:bookmarkEnd w:id="59"/>
    </w:p>
    <w:p>
      <w:pPr>
        <w:pStyle w:val="Subsection"/>
      </w:pPr>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p>
    <w:p>
      <w:pPr>
        <w:pStyle w:val="Footnotesection"/>
      </w:pPr>
      <w:r>
        <w:tab/>
        <w:t>[Regulation 18C inserted: Gazette 5 Dec 2013 p. 5695.]</w:t>
      </w:r>
    </w:p>
    <w:p>
      <w:pPr>
        <w:pStyle w:val="Heading5"/>
      </w:pPr>
      <w:bookmarkStart w:id="60" w:name="_Toc173502708"/>
      <w:r>
        <w:rPr>
          <w:rStyle w:val="CharSectno"/>
        </w:rPr>
        <w:t>18D</w:t>
      </w:r>
      <w:r>
        <w:t>.</w:t>
      </w:r>
      <w:r>
        <w:tab/>
        <w:t>Ancillary conditions</w:t>
      </w:r>
      <w:bookmarkEnd w:id="60"/>
    </w:p>
    <w:p>
      <w:pPr>
        <w:pStyle w:val="Subsection"/>
      </w:pPr>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p>
    <w:p>
      <w:pPr>
        <w:pStyle w:val="Subsection"/>
        <w:rPr>
          <w:snapToGrid w:val="0"/>
        </w:rPr>
      </w:pPr>
      <w:r>
        <w:rPr>
          <w:snapToGrid w:val="0"/>
        </w:rPr>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p>
    <w:p>
      <w:pPr>
        <w:pStyle w:val="Penstart"/>
      </w:pPr>
      <w:r>
        <w:tab/>
        <w:t>Penalty: a fine of $5 000.</w:t>
      </w:r>
    </w:p>
    <w:p>
      <w:pPr>
        <w:pStyle w:val="Footnotesection"/>
      </w:pPr>
      <w:r>
        <w:tab/>
        <w:t>[Regulation 18D inserted: Gazette 5 Dec 2013 p. 5695.]</w:t>
      </w:r>
    </w:p>
    <w:p>
      <w:pPr>
        <w:pStyle w:val="Heading5"/>
      </w:pPr>
      <w:bookmarkStart w:id="61" w:name="_Toc173502709"/>
      <w:r>
        <w:rPr>
          <w:rStyle w:val="CharSectno"/>
        </w:rPr>
        <w:lastRenderedPageBreak/>
        <w:t>18E</w:t>
      </w:r>
      <w:r>
        <w:t>.</w:t>
      </w:r>
      <w:r>
        <w:tab/>
        <w:t>Amendment or revocation of approval</w:t>
      </w:r>
      <w:bookmarkEnd w:id="61"/>
    </w:p>
    <w:p>
      <w:pPr>
        <w:pStyle w:val="Subsection"/>
        <w:rPr>
          <w:snapToGrid w:val="0"/>
        </w:rPr>
      </w:pPr>
      <w:r>
        <w:rPr>
          <w:snapToGrid w:val="0"/>
        </w:rPr>
        <w:tab/>
        <w:t>(1)</w:t>
      </w:r>
      <w:r>
        <w:rPr>
          <w:snapToGrid w:val="0"/>
        </w:rPr>
        <w:tab/>
        <w:t>The Minister may, if the Minister considers that any approval under regulation 18B(1) should be amended or revoked, request the CEO to inquire into and report on the proposed amendment or revocation and for that purpose regulation 18A(3) to (5) applies as if the proposed amendment or revocation were an application referred to the CEO under regulation 17(3).</w:t>
      </w:r>
    </w:p>
    <w:p>
      <w:pPr>
        <w:pStyle w:val="Subsection"/>
      </w:pPr>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p>
    <w:p>
      <w:pPr>
        <w:pStyle w:val="Subsection"/>
        <w:keepNext/>
        <w:rPr>
          <w:snapToGrid w:val="0"/>
        </w:rPr>
      </w:pPr>
      <w:r>
        <w:rPr>
          <w:snapToGrid w:val="0"/>
        </w:rPr>
        <w:tab/>
        <w:t>(3)</w:t>
      </w:r>
      <w:r>
        <w:rPr>
          <w:snapToGrid w:val="0"/>
        </w:rPr>
        <w:tab/>
        <w:t>After receiving the report of the CEO on the proposed amendment or revocation the Minister may amend or refuse to amend, or may revoke, the approval.</w:t>
      </w:r>
    </w:p>
    <w:p>
      <w:pPr>
        <w:pStyle w:val="Footnotesection"/>
      </w:pPr>
      <w:r>
        <w:tab/>
        <w:t>[Regulation 18E inserted: Gazette 5 Dec 2013 p. 5696.]</w:t>
      </w:r>
    </w:p>
    <w:p>
      <w:pPr>
        <w:pStyle w:val="Heading5"/>
      </w:pPr>
      <w:bookmarkStart w:id="62" w:name="_Toc173502710"/>
      <w:r>
        <w:rPr>
          <w:rStyle w:val="CharSectno"/>
        </w:rPr>
        <w:t>18F</w:t>
      </w:r>
      <w:r>
        <w:t>.</w:t>
      </w:r>
      <w:r>
        <w:tab/>
        <w:t>Effect of breach of condition or revocation of approval</w:t>
      </w:r>
      <w:bookmarkEnd w:id="62"/>
    </w:p>
    <w:p>
      <w:pPr>
        <w:pStyle w:val="Subsection"/>
        <w:rPr>
          <w:snapToGrid w:val="0"/>
        </w:rPr>
      </w:pPr>
      <w:r>
        <w:rPr>
          <w:snapToGrid w:val="0"/>
        </w:rPr>
        <w:tab/>
        <w:t>(1)</w:t>
      </w:r>
      <w:r>
        <w:rPr>
          <w:snapToGrid w:val="0"/>
        </w:rPr>
        <w:tab/>
        <w:t xml:space="preserve">If a condition, other than a condition designated as an ancillary condition under regulation 18D, subject to which an approval </w:t>
      </w:r>
      <w:r>
        <w:t xml:space="preserve">under regulation 18B(1) </w:t>
      </w:r>
      <w:r>
        <w:rPr>
          <w:snapToGrid w:val="0"/>
        </w:rPr>
        <w:t xml:space="preserve">is given is breached — </w:t>
      </w:r>
    </w:p>
    <w:p>
      <w:pPr>
        <w:pStyle w:val="Indenta"/>
        <w:rPr>
          <w:snapToGrid w:val="0"/>
        </w:rPr>
      </w:pPr>
      <w:r>
        <w:rPr>
          <w:snapToGrid w:val="0"/>
        </w:rPr>
        <w:tab/>
        <w:t>(a)</w:t>
      </w:r>
      <w:r>
        <w:rPr>
          <w:snapToGrid w:val="0"/>
        </w:rPr>
        <w:tab/>
        <w:t>the approval is suspended and of no effect for so long as the breach continues;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Subsection"/>
        <w:rPr>
          <w:snapToGrid w:val="0"/>
        </w:rPr>
      </w:pPr>
      <w:r>
        <w:rPr>
          <w:snapToGrid w:val="0"/>
        </w:rPr>
        <w:tab/>
        <w:t>(2)</w:t>
      </w:r>
      <w:r>
        <w:rPr>
          <w:snapToGrid w:val="0"/>
        </w:rPr>
        <w:tab/>
        <w:t xml:space="preserve">If an approval is revoked under regulation 18E — </w:t>
      </w:r>
    </w:p>
    <w:p>
      <w:pPr>
        <w:pStyle w:val="Indenta"/>
        <w:rPr>
          <w:snapToGrid w:val="0"/>
        </w:rPr>
      </w:pPr>
      <w:r>
        <w:rPr>
          <w:snapToGrid w:val="0"/>
        </w:rPr>
        <w:tab/>
        <w:t>(a)</w:t>
      </w:r>
      <w:r>
        <w:rPr>
          <w:snapToGrid w:val="0"/>
        </w:rPr>
        <w:tab/>
        <w:t>the approval ceases to have effect;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Footnotesection"/>
      </w:pPr>
      <w:r>
        <w:tab/>
        <w:t>[Regulation 18F inserted: Gazette 5 Dec 2013 p. 5696.]</w:t>
      </w:r>
    </w:p>
    <w:p>
      <w:pPr>
        <w:pStyle w:val="Heading5"/>
      </w:pPr>
      <w:bookmarkStart w:id="63" w:name="_Toc173502711"/>
      <w:r>
        <w:rPr>
          <w:rStyle w:val="CharSectno"/>
        </w:rPr>
        <w:lastRenderedPageBreak/>
        <w:t>18G</w:t>
      </w:r>
      <w:r>
        <w:t>.</w:t>
      </w:r>
      <w:r>
        <w:tab/>
        <w:t>Noise monitoring fees</w:t>
      </w:r>
      <w:bookmarkEnd w:id="63"/>
    </w:p>
    <w:p>
      <w:pPr>
        <w:pStyle w:val="Subsection"/>
        <w:rPr>
          <w:snapToGrid w:val="0"/>
        </w:rPr>
      </w:pPr>
      <w:r>
        <w:tab/>
        <w:t>(1)</w:t>
      </w:r>
      <w:r>
        <w:tab/>
        <w:t>A person granted an approval under regulation 18B(1) must pay the CEO</w:t>
      </w:r>
      <w:r>
        <w:rPr>
          <w:snapToGrid w:val="0"/>
        </w:rPr>
        <w:t xml:space="preserve"> an annual noise monitoring fee of $5 000 (reduced pro rata if the approval is for a part of the year)</w:t>
      </w:r>
      <w:r>
        <w:t> —</w:t>
      </w:r>
    </w:p>
    <w:p>
      <w:pPr>
        <w:pStyle w:val="Indenta"/>
      </w:pPr>
      <w:r>
        <w:tab/>
        <w:t>(a)</w:t>
      </w:r>
      <w:r>
        <w:tab/>
        <w:t>within one month after the day on which notice of the approval is published under regulation 18C; and</w:t>
      </w:r>
    </w:p>
    <w:p>
      <w:pPr>
        <w:pStyle w:val="Indenta"/>
      </w:pPr>
      <w:r>
        <w:tab/>
        <w:t>(b)</w:t>
      </w:r>
      <w:r>
        <w:tab/>
        <w:t>before each anniversary of the day on which notice of the approval is published under regulation 18C while the approval has effect.</w:t>
      </w:r>
    </w:p>
    <w:p>
      <w:pPr>
        <w:pStyle w:val="Subsection"/>
        <w:rPr>
          <w:snapToGrid w:val="0"/>
        </w:rPr>
      </w:pPr>
      <w:r>
        <w:rPr>
          <w:snapToGrid w:val="0"/>
        </w:rPr>
        <w:tab/>
        <w:t>(2)</w:t>
      </w:r>
      <w:r>
        <w:rPr>
          <w:snapToGrid w:val="0"/>
        </w:rPr>
        <w:tab/>
        <w:t xml:space="preserve">If a fee is not paid under subregulation (1) within 2 weeks of — </w:t>
      </w:r>
    </w:p>
    <w:p>
      <w:pPr>
        <w:pStyle w:val="Indenta"/>
      </w:pPr>
      <w:r>
        <w:tab/>
        <w:t>(a)</w:t>
      </w:r>
      <w:r>
        <w:tab/>
        <w:t>the end of the period referred to in subregulation (1)(a); or</w:t>
      </w:r>
    </w:p>
    <w:p>
      <w:pPr>
        <w:pStyle w:val="Indenta"/>
      </w:pPr>
      <w:r>
        <w:tab/>
        <w:t>(b)</w:t>
      </w:r>
      <w:r>
        <w:tab/>
        <w:t>the anniversary date referred to in subregulation (1)(b),</w:t>
      </w:r>
    </w:p>
    <w:p>
      <w:pPr>
        <w:pStyle w:val="Subsection"/>
        <w:rPr>
          <w:snapToGrid w:val="0"/>
        </w:rPr>
      </w:pPr>
      <w:r>
        <w:rPr>
          <w:snapToGrid w:val="0"/>
        </w:rPr>
        <w:tab/>
      </w:r>
      <w:r>
        <w:rPr>
          <w:snapToGrid w:val="0"/>
        </w:rPr>
        <w:tab/>
        <w:t>the approval is suspended and of no effect until the fee is paid, and the standards prescribed under these regulations apply to the emission of noise to which the approval applied.</w:t>
      </w:r>
    </w:p>
    <w:p>
      <w:pPr>
        <w:pStyle w:val="Subsection"/>
        <w:rPr>
          <w:snapToGrid w:val="0"/>
        </w:rPr>
      </w:pPr>
      <w:r>
        <w:rPr>
          <w:snapToGrid w:val="0"/>
        </w:rPr>
        <w:tab/>
        <w:t>(3)</w:t>
      </w:r>
      <w:r>
        <w:rPr>
          <w:snapToGrid w:val="0"/>
        </w:rPr>
        <w:tab/>
        <w:t>The CEO may waive or reduce, in whole or in part, a fee payable under this regulation.</w:t>
      </w:r>
    </w:p>
    <w:p>
      <w:pPr>
        <w:pStyle w:val="Footnotesection"/>
      </w:pPr>
      <w:r>
        <w:tab/>
        <w:t>[Regulation 18G inserted: Gazette 5 Dec 2013 p. 5697.]</w:t>
      </w:r>
    </w:p>
    <w:p>
      <w:pPr>
        <w:pStyle w:val="Heading5"/>
      </w:pPr>
      <w:bookmarkStart w:id="64" w:name="_Toc173502712"/>
      <w:r>
        <w:rPr>
          <w:rStyle w:val="CharSectno"/>
        </w:rPr>
        <w:t>18H</w:t>
      </w:r>
      <w:r>
        <w:t>.</w:t>
      </w:r>
      <w:r>
        <w:tab/>
        <w:t>Appeals against decisions under this Division</w:t>
      </w:r>
      <w:bookmarkEnd w:id="64"/>
    </w:p>
    <w:p>
      <w:pPr>
        <w:pStyle w:val="Subsection"/>
      </w:pPr>
      <w:r>
        <w:tab/>
        <w:t>(1)</w:t>
      </w:r>
      <w:r>
        <w:tab/>
        <w:t xml:space="preserve">A person aggrieved by any of the following decisions of the Minister may lodge with the Minister an appeal in writing setting out the grounds of the appeal — </w:t>
      </w:r>
    </w:p>
    <w:p>
      <w:pPr>
        <w:pStyle w:val="Indenta"/>
      </w:pPr>
      <w:r>
        <w:tab/>
        <w:t>(a)</w:t>
      </w:r>
      <w:r>
        <w:tab/>
        <w:t>in the case of an application referred to the CEO under regulation 17(3) — the grant of approval under regulation 18B(1);</w:t>
      </w:r>
    </w:p>
    <w:p>
      <w:pPr>
        <w:pStyle w:val="Indenta"/>
      </w:pPr>
      <w:r>
        <w:tab/>
        <w:t>(b)</w:t>
      </w:r>
      <w:r>
        <w:tab/>
        <w:t>the imposition of a condition on an approval under regulation 18B(2) (including specifying the period for which an approval has effect);</w:t>
      </w:r>
    </w:p>
    <w:p>
      <w:pPr>
        <w:pStyle w:val="Indenta"/>
      </w:pPr>
      <w:r>
        <w:tab/>
        <w:t>(c)</w:t>
      </w:r>
      <w:r>
        <w:tab/>
        <w:t>the amendment of an approval under regulation 18E(3);</w:t>
      </w:r>
    </w:p>
    <w:p>
      <w:pPr>
        <w:pStyle w:val="Indenta"/>
      </w:pPr>
      <w:r>
        <w:lastRenderedPageBreak/>
        <w:tab/>
        <w:t>(d)</w:t>
      </w:r>
      <w:r>
        <w:tab/>
        <w:t>the revocation of an approval under regulation 18E(3).</w:t>
      </w:r>
    </w:p>
    <w:p>
      <w:pPr>
        <w:pStyle w:val="Subsection"/>
      </w:pPr>
      <w:r>
        <w:tab/>
        <w:t>(2)</w:t>
      </w:r>
      <w:r>
        <w:tab/>
        <w:t xml:space="preserve">An applicant for approval under regulation 17(1) who is aggrieved by either of the following decisions of the Minister may lodge with the Minister an appeal in writing setting out the grounds of the appeal — </w:t>
      </w:r>
    </w:p>
    <w:p>
      <w:pPr>
        <w:pStyle w:val="Indenta"/>
      </w:pPr>
      <w:r>
        <w:tab/>
        <w:t>(a)</w:t>
      </w:r>
      <w:r>
        <w:tab/>
        <w:t>the refusal under regulation 18A(2) to assess the application;</w:t>
      </w:r>
    </w:p>
    <w:p>
      <w:pPr>
        <w:pStyle w:val="Indenta"/>
      </w:pPr>
      <w:r>
        <w:tab/>
        <w:t>(b)</w:t>
      </w:r>
      <w:r>
        <w:tab/>
        <w:t>the refusal under regulation 18B(1) to grant the approval.</w:t>
      </w:r>
    </w:p>
    <w:p>
      <w:pPr>
        <w:pStyle w:val="Subsection"/>
      </w:pPr>
      <w:r>
        <w:tab/>
        <w:t>(3)</w:t>
      </w:r>
      <w:r>
        <w:tab/>
        <w:t>The holder of an approval under regulation 18B(1) who is aggrieved by the decision of the Minister under regulation 18E(3) to refuse to amend the approval may lodge with the Minister an appeal in writing setting out the grounds of the appeal.</w:t>
      </w:r>
    </w:p>
    <w:p>
      <w:pPr>
        <w:pStyle w:val="Subsection"/>
      </w:pPr>
      <w:r>
        <w:tab/>
        <w:t>(4)</w:t>
      </w:r>
      <w:r>
        <w:tab/>
        <w:t xml:space="preserve">The appeal must be lodged — </w:t>
      </w:r>
    </w:p>
    <w:p>
      <w:pPr>
        <w:pStyle w:val="Indenta"/>
      </w:pPr>
      <w:r>
        <w:tab/>
        <w:t>(a)</w:t>
      </w:r>
      <w:r>
        <w:tab/>
        <w:t>in the case of an appeal referred to in subregulation (2) or (3) — within 21 days of the applicant being notified of the decision;</w:t>
      </w:r>
    </w:p>
    <w:p>
      <w:pPr>
        <w:pStyle w:val="Indenta"/>
      </w:pPr>
      <w:r>
        <w:tab/>
        <w:t>(b)</w:t>
      </w:r>
      <w:r>
        <w:tab/>
        <w:t>otherwise — within 21 days of publication of notice of the decision under regulation 18C.</w:t>
      </w:r>
    </w:p>
    <w:p>
      <w:pPr>
        <w:pStyle w:val="Subsection"/>
      </w:pPr>
      <w:r>
        <w:tab/>
        <w:t>(5)</w:t>
      </w:r>
      <w:r>
        <w:tab/>
        <w:t>Pending the determination of an appeal lodged under subregulation (1)(a) or (b), (2) or (3), the decision against which that appeal is lodged continues to have effect.</w:t>
      </w:r>
    </w:p>
    <w:p>
      <w:pPr>
        <w:pStyle w:val="Subsection"/>
      </w:pPr>
      <w:r>
        <w:tab/>
        <w:t>(6)</w:t>
      </w:r>
      <w:r>
        <w:tab/>
        <w:t>Pending the determination of an appeal lodged under subregulation (1)(c) or (d), the decision is to be taken not to have been made.</w:t>
      </w:r>
    </w:p>
    <w:p>
      <w:pPr>
        <w:pStyle w:val="Subsection"/>
        <w:rPr>
          <w:snapToGrid w:val="0"/>
        </w:rPr>
      </w:pPr>
      <w:r>
        <w:rPr>
          <w:snapToGrid w:val="0"/>
        </w:rPr>
        <w:tab/>
        <w:t>(7)</w:t>
      </w:r>
      <w:r>
        <w:rPr>
          <w:snapToGrid w:val="0"/>
        </w:rPr>
        <w:tab/>
        <w:t>Sections 105 to 110 of the Act apply to an appeal lodged under subregulation (1), (2) or (3) as if that appeal were an appeal referred to in section 102(1) of the Act.</w:t>
      </w:r>
    </w:p>
    <w:p>
      <w:pPr>
        <w:pStyle w:val="Footnotesection"/>
      </w:pPr>
      <w:r>
        <w:tab/>
        <w:t>[Regulation 18H inserted: Gazette 5 Dec 2013 p. 5697</w:t>
      </w:r>
      <w:r>
        <w:noBreakHyphen/>
        <w:t>9.]</w:t>
      </w:r>
    </w:p>
    <w:p>
      <w:pPr>
        <w:pStyle w:val="Heading5"/>
        <w:keepNext w:val="0"/>
        <w:keepLines w:val="0"/>
        <w:pageBreakBefore/>
        <w:widowControl w:val="0"/>
        <w:spacing w:before="0"/>
      </w:pPr>
      <w:bookmarkStart w:id="65" w:name="_Toc173502713"/>
      <w:r>
        <w:rPr>
          <w:rStyle w:val="CharSectno"/>
        </w:rPr>
        <w:lastRenderedPageBreak/>
        <w:t>18I</w:t>
      </w:r>
      <w:r>
        <w:t>.</w:t>
      </w:r>
      <w:r>
        <w:tab/>
        <w:t>Transitional provisions</w:t>
      </w:r>
      <w:bookmarkEnd w:id="65"/>
    </w:p>
    <w:p>
      <w:pPr>
        <w:pStyle w:val="Subsection"/>
        <w:keepNext/>
      </w:pPr>
      <w:r>
        <w:tab/>
        <w:t>(1)</w:t>
      </w:r>
      <w:r>
        <w:tab/>
        <w:t xml:space="preserve">In this regulation — </w:t>
      </w:r>
    </w:p>
    <w:p>
      <w:pPr>
        <w:pStyle w:val="Defstart"/>
      </w:pPr>
      <w:r>
        <w:tab/>
      </w:r>
      <w:r>
        <w:rPr>
          <w:rStyle w:val="CharDefText"/>
        </w:rPr>
        <w:t>amending provision</w:t>
      </w:r>
      <w:r>
        <w:t xml:space="preserve"> means the </w:t>
      </w:r>
      <w:r>
        <w:rPr>
          <w:i/>
        </w:rPr>
        <w:t xml:space="preserve">Environmental Protection (Noise) Amendment Regulations 2013 </w:t>
      </w:r>
      <w:r>
        <w:t>regulation 23;</w:t>
      </w:r>
    </w:p>
    <w:p>
      <w:pPr>
        <w:pStyle w:val="Defstart"/>
      </w:pPr>
      <w:r>
        <w:tab/>
      </w:r>
      <w:r>
        <w:rPr>
          <w:rStyle w:val="CharDefText"/>
        </w:rPr>
        <w:t>former regulation 17</w:t>
      </w:r>
      <w:r>
        <w:t xml:space="preserve"> means regulation 17 as in force immediately before the coming into operation of the amending provision.</w:t>
      </w:r>
    </w:p>
    <w:p>
      <w:pPr>
        <w:pStyle w:val="Subsection"/>
      </w:pPr>
      <w:r>
        <w:tab/>
        <w:t>(2)</w:t>
      </w:r>
      <w:r>
        <w:tab/>
        <w:t>An application made under former regulation 17 that has not been referred under that regulation is to be taken to be an application made under regulation 17(1) as inserted by the amending provision.</w:t>
      </w:r>
    </w:p>
    <w:p>
      <w:pPr>
        <w:pStyle w:val="Subsection"/>
      </w:pPr>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p>
    <w:p>
      <w:pPr>
        <w:pStyle w:val="Subsection"/>
      </w:pPr>
      <w:r>
        <w:tab/>
        <w:t>(4)</w:t>
      </w:r>
      <w:r>
        <w:tab/>
        <w:t>Regulations 5(2)(b), 16(2)(b) and 18D to 18G apply in relation to any approval granted under former regulation 17 as if the approval were granted under regulation 18B.</w:t>
      </w:r>
    </w:p>
    <w:p>
      <w:pPr>
        <w:pStyle w:val="Subsection"/>
      </w:pPr>
      <w:r>
        <w:tab/>
        <w:t>(5)</w:t>
      </w:r>
      <w:r>
        <w:tab/>
        <w:t>Subregulations (13) and (14) of former regulation 17 continue to apply in relation to a decision made under former regulation 17.</w:t>
      </w:r>
    </w:p>
    <w:p>
      <w:pPr>
        <w:pStyle w:val="Footnotesection"/>
      </w:pPr>
      <w:r>
        <w:tab/>
        <w:t>[Regulation 18I inserted: Gazette 5 Dec 2013 p. 5699.]</w:t>
      </w:r>
    </w:p>
    <w:p>
      <w:pPr>
        <w:pStyle w:val="Heading3"/>
      </w:pPr>
      <w:bookmarkStart w:id="66" w:name="_Toc173498506"/>
      <w:bookmarkStart w:id="67" w:name="_Toc173499642"/>
      <w:bookmarkStart w:id="68" w:name="_Toc173502714"/>
      <w:r>
        <w:rPr>
          <w:rStyle w:val="CharDivNo"/>
        </w:rPr>
        <w:t>Division 7</w:t>
      </w:r>
      <w:r>
        <w:t> — </w:t>
      </w:r>
      <w:r>
        <w:rPr>
          <w:rStyle w:val="CharDivText"/>
        </w:rPr>
        <w:t>Sporting, cultural and entertainment events</w:t>
      </w:r>
      <w:bookmarkEnd w:id="66"/>
      <w:bookmarkEnd w:id="67"/>
      <w:bookmarkEnd w:id="68"/>
    </w:p>
    <w:p>
      <w:pPr>
        <w:pStyle w:val="Footnoteheading"/>
        <w:rPr>
          <w:snapToGrid w:val="0"/>
        </w:rPr>
      </w:pPr>
      <w:r>
        <w:tab/>
        <w:t>[Heading inserted: Gazette 5 Dec 2013 p. 5700.]</w:t>
      </w:r>
    </w:p>
    <w:p>
      <w:pPr>
        <w:pStyle w:val="Heading5"/>
      </w:pPr>
      <w:bookmarkStart w:id="69" w:name="_Toc173502715"/>
      <w:r>
        <w:rPr>
          <w:rStyle w:val="CharSectno"/>
        </w:rPr>
        <w:t>18J</w:t>
      </w:r>
      <w:r>
        <w:t>.</w:t>
      </w:r>
      <w:r>
        <w:tab/>
        <w:t>Terms used</w:t>
      </w:r>
      <w:bookmarkEnd w:id="69"/>
    </w:p>
    <w:p>
      <w:pPr>
        <w:pStyle w:val="Subsection"/>
      </w:pPr>
      <w:r>
        <w:tab/>
      </w:r>
      <w:r>
        <w:tab/>
        <w:t xml:space="preserve">In this Division — </w:t>
      </w:r>
    </w:p>
    <w:p>
      <w:pPr>
        <w:pStyle w:val="Defstart"/>
      </w:pPr>
      <w:r>
        <w:tab/>
      </w:r>
      <w:r>
        <w:rPr>
          <w:rStyle w:val="CharDefText"/>
        </w:rPr>
        <w:t>approved event</w:t>
      </w:r>
      <w:r>
        <w:t xml:space="preserve"> means an event approved under regulation 18(3);</w:t>
      </w:r>
    </w:p>
    <w:p>
      <w:pPr>
        <w:pStyle w:val="Defstart"/>
      </w:pPr>
      <w:r>
        <w:lastRenderedPageBreak/>
        <w:tab/>
      </w:r>
      <w:r>
        <w:rPr>
          <w:rStyle w:val="CharDefText"/>
        </w:rPr>
        <w:t>approved venue</w:t>
      </w:r>
      <w:r>
        <w:t xml:space="preserve"> means a venue approved under regulation 19B(7);</w:t>
      </w:r>
    </w:p>
    <w:p>
      <w:pPr>
        <w:pStyle w:val="Defstart"/>
      </w:pPr>
      <w:r>
        <w:tab/>
      </w:r>
      <w:r>
        <w:rPr>
          <w:rStyle w:val="CharDefText"/>
        </w:rPr>
        <w:t>venue</w:t>
      </w:r>
      <w:r>
        <w:t xml:space="preserve"> means any premises or public place;</w:t>
      </w:r>
    </w:p>
    <w:p>
      <w:pPr>
        <w:pStyle w:val="Defstart"/>
      </w:pPr>
      <w:r>
        <w:tab/>
      </w:r>
      <w:r>
        <w:rPr>
          <w:rStyle w:val="CharDefText"/>
        </w:rPr>
        <w:t>venue approval</w:t>
      </w:r>
      <w:r>
        <w:t xml:space="preserve"> means an approval granted under regulation 19B(7), as amended from time to time, that has effect.</w:t>
      </w:r>
    </w:p>
    <w:p>
      <w:pPr>
        <w:pStyle w:val="Footnotesection"/>
      </w:pPr>
      <w:r>
        <w:tab/>
        <w:t>[Regulation 18J inserted: Gazette 5 Dec 2013 p. 5700.]</w:t>
      </w:r>
    </w:p>
    <w:p>
      <w:pPr>
        <w:pStyle w:val="Heading5"/>
        <w:rPr>
          <w:snapToGrid w:val="0"/>
        </w:rPr>
      </w:pPr>
      <w:bookmarkStart w:id="70" w:name="_Toc173502716"/>
      <w:r>
        <w:rPr>
          <w:rStyle w:val="CharSectno"/>
        </w:rPr>
        <w:t>18</w:t>
      </w:r>
      <w:r>
        <w:rPr>
          <w:snapToGrid w:val="0"/>
        </w:rPr>
        <w:t xml:space="preserve">. </w:t>
      </w:r>
      <w:r>
        <w:rPr>
          <w:snapToGrid w:val="0"/>
        </w:rPr>
        <w:tab/>
        <w:t>Approved sporting, cultural and entertainment events</w:t>
      </w:r>
      <w:bookmarkEnd w:id="70"/>
    </w:p>
    <w:p>
      <w:pPr>
        <w:pStyle w:val="Subsection"/>
        <w:rPr>
          <w:snapToGrid w:val="0"/>
        </w:rPr>
      </w:pPr>
      <w:r>
        <w:rPr>
          <w:snapToGrid w:val="0"/>
        </w:rPr>
        <w:tab/>
        <w:t>(1)</w:t>
      </w:r>
      <w:r>
        <w:rPr>
          <w:snapToGrid w:val="0"/>
        </w:rPr>
        <w:tab/>
        <w:t>In this regulation — </w:t>
      </w:r>
    </w:p>
    <w:p>
      <w:pPr>
        <w:pStyle w:val="Defstart"/>
      </w:pPr>
      <w:r>
        <w:tab/>
      </w:r>
      <w:r>
        <w:rPr>
          <w:rStyle w:val="CharDefText"/>
        </w:rPr>
        <w:t>ancillary condition</w:t>
      </w:r>
      <w:r>
        <w:t xml:space="preserve"> means a condition designated as an ancillary condition under regulation 19A(1);</w:t>
      </w:r>
    </w:p>
    <w:p>
      <w:pPr>
        <w:pStyle w:val="Defstart"/>
      </w:pPr>
      <w:r>
        <w:rPr>
          <w:b/>
        </w:rPr>
        <w:tab/>
      </w:r>
      <w:r>
        <w:rPr>
          <w:rStyle w:val="CharDefText"/>
        </w:rPr>
        <w:t>noise</w:t>
      </w:r>
      <w:r>
        <w:t xml:space="preserve"> means noise associated directly with an approved event and does not include noise normally emitted from a venue (such as noise from plant, pumps and machinery) when it is not being used for the purposes of an approved event.</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event.</w:t>
      </w:r>
    </w:p>
    <w:p>
      <w:pPr>
        <w:pStyle w:val="Subsection"/>
        <w:rPr>
          <w:snapToGrid w:val="0"/>
        </w:rPr>
      </w:pPr>
      <w:r>
        <w:rPr>
          <w:snapToGrid w:val="0"/>
        </w:rPr>
        <w:tab/>
        <w:t>(3)</w:t>
      </w:r>
      <w:r>
        <w:rPr>
          <w:snapToGrid w:val="0"/>
        </w:rPr>
        <w:tab/>
        <w:t xml:space="preserve">Where the </w:t>
      </w:r>
      <w:r>
        <w:t>CEO</w:t>
      </w:r>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r>
        <w:t>CEO</w:t>
      </w:r>
      <w:r>
        <w:rPr>
          <w:snapToGrid w:val="0"/>
        </w:rPr>
        <w:t xml:space="preserve"> may approve the event, subject to such conditions as the </w:t>
      </w:r>
      <w:r>
        <w:t>CEO</w:t>
      </w:r>
      <w:r>
        <w:rPr>
          <w:snapToGrid w:val="0"/>
        </w:rPr>
        <w:t xml:space="preserve"> thinks fit, for the purposes of this regulation.</w:t>
      </w:r>
    </w:p>
    <w:p>
      <w:pPr>
        <w:pStyle w:val="Subsection"/>
        <w:rPr>
          <w:snapToGrid w:val="0"/>
        </w:rPr>
      </w:pPr>
      <w:r>
        <w:rPr>
          <w:snapToGrid w:val="0"/>
        </w:rPr>
        <w:lastRenderedPageBreak/>
        <w:tab/>
        <w:t>(4)</w:t>
      </w:r>
      <w:r>
        <w:rPr>
          <w:snapToGrid w:val="0"/>
        </w:rPr>
        <w:tab/>
      </w:r>
      <w:r>
        <w:t>I</w:t>
      </w:r>
      <w:r>
        <w:rPr>
          <w:snapToGrid w:val="0"/>
        </w:rPr>
        <w:t>f a condition, other than an ancillary condition, imposed on an approved event under subregulation (3) or (8) is breached — </w:t>
      </w:r>
    </w:p>
    <w:p>
      <w:pPr>
        <w:pStyle w:val="Indenta"/>
        <w:rPr>
          <w:snapToGrid w:val="0"/>
        </w:rPr>
      </w:pPr>
      <w:r>
        <w:rPr>
          <w:snapToGrid w:val="0"/>
        </w:rPr>
        <w:tab/>
        <w:t>(a)</w:t>
      </w:r>
      <w:r>
        <w:rPr>
          <w:snapToGrid w:val="0"/>
        </w:rPr>
        <w:tab/>
        <w:t>the event ceases to be an approved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$1 000.</w:t>
      </w:r>
    </w:p>
    <w:p>
      <w:pPr>
        <w:pStyle w:val="Subsection"/>
        <w:rPr>
          <w:snapToGrid w:val="0"/>
        </w:rPr>
      </w:pPr>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p>
    <w:p>
      <w:pPr>
        <w:pStyle w:val="Subsection"/>
        <w:rPr>
          <w:snapToGrid w:val="0"/>
        </w:rPr>
      </w:pPr>
      <w:r>
        <w:rPr>
          <w:snapToGrid w:val="0"/>
        </w:rPr>
        <w:tab/>
        <w:t>(7B)</w:t>
      </w:r>
      <w:r>
        <w:rPr>
          <w:snapToGrid w:val="0"/>
        </w:rPr>
        <w:tab/>
        <w:t xml:space="preserve">Despite subregulation (6)(a), an application may be made less than 21 days before the event to which the application relates is proposed to commence if — </w:t>
      </w:r>
    </w:p>
    <w:p>
      <w:pPr>
        <w:pStyle w:val="Indenta"/>
      </w:pPr>
      <w:r>
        <w:tab/>
        <w:t>(a)</w:t>
      </w:r>
      <w:r>
        <w:tab/>
        <w:t>the CEO is satisfied that there are exceptional circumstances for the application not being made earlier than within that period; and</w:t>
      </w:r>
    </w:p>
    <w:p>
      <w:pPr>
        <w:pStyle w:val="Indenta"/>
      </w:pPr>
      <w:r>
        <w:tab/>
        <w:t>(b)</w:t>
      </w:r>
      <w:r>
        <w:tab/>
        <w:t xml:space="preserve">in addition to the application fee, </w:t>
      </w:r>
      <w:r>
        <w:rPr>
          <w:snapToGrid w:val="0"/>
        </w:rPr>
        <w:t>the application is accompanied by a late fee equal to one quarter of the application fee.</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 and</w:t>
      </w:r>
    </w:p>
    <w:p>
      <w:pPr>
        <w:pStyle w:val="Indenta"/>
        <w:rPr>
          <w:snapToGrid w:val="0"/>
        </w:rPr>
      </w:pPr>
      <w:r>
        <w:rPr>
          <w:snapToGrid w:val="0"/>
        </w:rPr>
        <w:tab/>
        <w:t>(b)</w:t>
      </w:r>
      <w:r>
        <w:rPr>
          <w:snapToGrid w:val="0"/>
        </w:rPr>
        <w:tab/>
        <w:t>specify starting and completion times for practice and rehearsal sessions, sound system tests and the event; and</w:t>
      </w:r>
    </w:p>
    <w:p>
      <w:pPr>
        <w:pStyle w:val="Indenta"/>
        <w:rPr>
          <w:snapToGrid w:val="0"/>
        </w:rPr>
      </w:pPr>
      <w:r>
        <w:rPr>
          <w:snapToGrid w:val="0"/>
        </w:rPr>
        <w:lastRenderedPageBreak/>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r>
        <w:t>an approved event</w:t>
      </w:r>
      <w:r>
        <w:rPr>
          <w:snapToGrid w:val="0"/>
        </w:rPr>
        <w:t xml:space="preserve"> that, if the </w:t>
      </w:r>
      <w:r>
        <w:t>CEO</w:t>
      </w:r>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r>
        <w:t>CEO</w:t>
      </w:r>
      <w:r>
        <w:rPr>
          <w:snapToGrid w:val="0"/>
        </w:rPr>
        <w:t xml:space="preserve">, within the time specified by the </w:t>
      </w:r>
      <w:r>
        <w:t>CEO</w:t>
      </w:r>
      <w:r>
        <w:rPr>
          <w:snapToGrid w:val="0"/>
        </w:rPr>
        <w:t xml:space="preserve">, a noise monitoring fee specified by the </w:t>
      </w:r>
      <w:r>
        <w:t>CEO</w:t>
      </w:r>
      <w:r>
        <w:rPr>
          <w:snapToGrid w:val="0"/>
        </w:rPr>
        <w:t>.</w:t>
      </w:r>
    </w:p>
    <w:p>
      <w:pPr>
        <w:pStyle w:val="Subsection"/>
        <w:rPr>
          <w:snapToGrid w:val="0"/>
        </w:rPr>
      </w:pPr>
      <w:r>
        <w:rPr>
          <w:snapToGrid w:val="0"/>
        </w:rPr>
        <w:tab/>
        <w:t>(9)</w:t>
      </w:r>
      <w:r>
        <w:rPr>
          <w:snapToGrid w:val="0"/>
        </w:rPr>
        <w:tab/>
        <w:t xml:space="preserve">The </w:t>
      </w:r>
      <w:r>
        <w:t>CEO</w:t>
      </w:r>
      <w:r>
        <w:rPr>
          <w:snapToGrid w:val="0"/>
        </w:rPr>
        <w:t xml:space="preserve"> may amend any condition to which an </w:t>
      </w:r>
      <w:r>
        <w:t>approved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(9)(a) may by written agreement accept the proposal and waive the period of notice.</w:t>
      </w:r>
    </w:p>
    <w:p>
      <w:pPr>
        <w:pStyle w:val="Subsection"/>
        <w:rPr>
          <w:snapToGrid w:val="0"/>
        </w:rPr>
      </w:pPr>
      <w:r>
        <w:rPr>
          <w:snapToGrid w:val="0"/>
        </w:rPr>
        <w:tab/>
        <w:t>(11)</w:t>
      </w:r>
      <w:r>
        <w:rPr>
          <w:snapToGrid w:val="0"/>
        </w:rPr>
        <w:tab/>
        <w:t xml:space="preserve">The </w:t>
      </w:r>
      <w:r>
        <w:t>CEO</w:t>
      </w:r>
      <w:r>
        <w:rPr>
          <w:snapToGrid w:val="0"/>
        </w:rPr>
        <w:t xml:space="preserve"> is not to approve the holding of more than 2 </w:t>
      </w:r>
      <w:r>
        <w:t>approved events</w:t>
      </w:r>
      <w:r>
        <w:rPr>
          <w:snapToGrid w:val="0"/>
        </w:rPr>
        <w:t xml:space="preserve"> in or at a particular venue in any period of 12 consecutive </w:t>
      </w:r>
      <w:r>
        <w:rPr>
          <w:snapToGrid w:val="0"/>
        </w:rPr>
        <w:lastRenderedPageBreak/>
        <w:t xml:space="preserve">months unless the </w:t>
      </w:r>
      <w:r>
        <w:t>CEO</w:t>
      </w:r>
      <w:r>
        <w:rPr>
          <w:snapToGrid w:val="0"/>
        </w:rPr>
        <w:t xml:space="preserve"> is satisfied that the majority of occupiers on whom the noise emissions will impact have no objection to the holding of the additional events.</w:t>
      </w:r>
    </w:p>
    <w:p>
      <w:pPr>
        <w:pStyle w:val="Subsection"/>
        <w:rPr>
          <w:snapToGrid w:val="0"/>
        </w:rPr>
      </w:pPr>
      <w:r>
        <w:rPr>
          <w:snapToGrid w:val="0"/>
        </w:rPr>
        <w:tab/>
        <w:t>(12)</w:t>
      </w:r>
      <w:r>
        <w:rPr>
          <w:snapToGrid w:val="0"/>
        </w:rPr>
        <w:tab/>
        <w:t xml:space="preserve">An approval must not be granted unless —  </w:t>
      </w:r>
    </w:p>
    <w:p>
      <w:pPr>
        <w:pStyle w:val="Indenta"/>
        <w:rPr>
          <w:snapToGrid w:val="0"/>
        </w:rPr>
      </w:pPr>
      <w:r>
        <w:rPr>
          <w:snapToGrid w:val="0"/>
        </w:rPr>
        <w:tab/>
        <w:t>(a)</w:t>
      </w:r>
      <w:r>
        <w:rPr>
          <w:snapToGrid w:val="0"/>
        </w:rPr>
        <w:tab/>
        <w:t xml:space="preserve">the chief executive officer of the local government (the </w:t>
      </w:r>
      <w:r>
        <w:rPr>
          <w:rStyle w:val="CharDefText"/>
        </w:rPr>
        <w:t>local government CEO</w:t>
      </w:r>
      <w:r>
        <w:t>)</w:t>
      </w:r>
      <w:r>
        <w:rPr>
          <w:snapToGrid w:val="0"/>
        </w:rPr>
        <w:t xml:space="preserve"> of each district in which noise emissions received from the event are likely to fail to comply with the standard prescribed under regulation 7 has no objection to the proposed conditions applicable to the approval; or</w:t>
      </w:r>
    </w:p>
    <w:p>
      <w:pPr>
        <w:pStyle w:val="Indenta"/>
        <w:rPr>
          <w:snapToGrid w:val="0"/>
        </w:rPr>
      </w:pPr>
      <w:r>
        <w:rPr>
          <w:snapToGrid w:val="0"/>
        </w:rPr>
        <w:tab/>
        <w:t>(b)</w:t>
      </w:r>
      <w:r>
        <w:rPr>
          <w:snapToGrid w:val="0"/>
        </w:rPr>
        <w:tab/>
        <w:t>if there is such an objection, the objection has been resolved under subregulation (13).</w:t>
      </w:r>
    </w:p>
    <w:p>
      <w:pPr>
        <w:pStyle w:val="Subsection"/>
        <w:keepNext/>
      </w:pPr>
      <w:r>
        <w:tab/>
        <w:t>(13)</w:t>
      </w:r>
      <w:r>
        <w:tab/>
        <w:t xml:space="preserve">An objection of a local government CEO may be resolved by — </w:t>
      </w:r>
    </w:p>
    <w:p>
      <w:pPr>
        <w:pStyle w:val="Indenta"/>
      </w:pPr>
      <w:r>
        <w:tab/>
        <w:t>(a)</w:t>
      </w:r>
      <w:r>
        <w:tab/>
        <w:t>the CEO and the local government CEO agreeing on the conditions applicable to the approval; or</w:t>
      </w:r>
    </w:p>
    <w:p>
      <w:pPr>
        <w:pStyle w:val="Indenta"/>
      </w:pPr>
      <w:r>
        <w:tab/>
        <w:t>(b)</w:t>
      </w:r>
      <w:r>
        <w:tab/>
        <w:t>if an agreement cannot be reached, the Minister determining the conditions after receiving the advice of the CEO.</w:t>
      </w:r>
    </w:p>
    <w:p>
      <w:pPr>
        <w:pStyle w:val="Subsection"/>
        <w:rPr>
          <w:snapToGrid w:val="0"/>
        </w:rPr>
      </w:pPr>
      <w:r>
        <w:rPr>
          <w:snapToGrid w:val="0"/>
        </w:rPr>
        <w:tab/>
        <w:t>(14)</w:t>
      </w:r>
      <w:r>
        <w:rPr>
          <w:snapToGrid w:val="0"/>
        </w:rPr>
        <w:tab/>
        <w:t xml:space="preserve">The </w:t>
      </w:r>
      <w:r>
        <w:t>CEO</w:t>
      </w:r>
      <w:r>
        <w:rPr>
          <w:snapToGrid w:val="0"/>
        </w:rPr>
        <w:t xml:space="preserve"> may, if satisfied that the noise from </w:t>
      </w:r>
      <w:r>
        <w:t>approved events</w:t>
      </w:r>
      <w:r>
        <w:rPr>
          <w:snapToGrid w:val="0"/>
        </w:rPr>
        <w:t xml:space="preserve"> held at any 2 or more venues affects generally the same </w:t>
      </w:r>
      <w:r>
        <w:t>noise 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t>Despite subregulation (6)(b), the CEO may, in his or her discretion, waive or reduce the application fee payable under subregulation (6).</w:t>
      </w:r>
    </w:p>
    <w:p>
      <w:pPr>
        <w:pStyle w:val="Footnotesection"/>
      </w:pPr>
      <w:r>
        <w:tab/>
        <w:t>[Regulation 18 amended: Gazette 5 Dec 2013 p. 5700</w:t>
      </w:r>
      <w:r>
        <w:noBreakHyphen/>
        <w:t>4.]</w:t>
      </w:r>
    </w:p>
    <w:p>
      <w:pPr>
        <w:pStyle w:val="Heading5"/>
      </w:pPr>
      <w:bookmarkStart w:id="71" w:name="_Toc173502717"/>
      <w:r>
        <w:rPr>
          <w:rStyle w:val="CharSectno"/>
        </w:rPr>
        <w:t>19A</w:t>
      </w:r>
      <w:r>
        <w:t>.</w:t>
      </w:r>
      <w:r>
        <w:tab/>
        <w:t>Ancillary conditions: approved events</w:t>
      </w:r>
      <w:bookmarkEnd w:id="71"/>
    </w:p>
    <w:p>
      <w:pPr>
        <w:pStyle w:val="Subsection"/>
        <w:rPr>
          <w:snapToGrid w:val="0"/>
        </w:rPr>
      </w:pPr>
      <w:r>
        <w:tab/>
        <w:t>(1)</w:t>
      </w:r>
      <w:r>
        <w:tab/>
        <w:t xml:space="preserve">If an approval under regulation 18(3) is made subject to a condition, the CEO may, by written notice given to the person </w:t>
      </w:r>
      <w:r>
        <w:lastRenderedPageBreak/>
        <w:t>who applied for approval of the event, designate the condition as an ancillary condition if the condition does not directly influence the level, duration or time of day of a noise emission.</w:t>
      </w:r>
    </w:p>
    <w:p>
      <w:pPr>
        <w:pStyle w:val="Subsection"/>
        <w:rPr>
          <w:snapToGrid w:val="0"/>
        </w:rPr>
      </w:pPr>
      <w:r>
        <w:rPr>
          <w:snapToGrid w:val="0"/>
        </w:rPr>
        <w:tab/>
        <w:t>(2)</w:t>
      </w:r>
      <w:r>
        <w:rPr>
          <w:snapToGrid w:val="0"/>
        </w:rPr>
        <w:tab/>
        <w:t>A person who holds an approved event at a venue must ensure that any ancillary condition relating to the event is implemented.</w:t>
      </w:r>
    </w:p>
    <w:p>
      <w:pPr>
        <w:pStyle w:val="Penstart"/>
      </w:pPr>
      <w:r>
        <w:tab/>
        <w:t>Penalty: a fine of $5 000.</w:t>
      </w:r>
    </w:p>
    <w:p>
      <w:pPr>
        <w:pStyle w:val="Footnotesection"/>
      </w:pPr>
      <w:r>
        <w:tab/>
        <w:t>[Regulation 19A inserted: Gazette 5 Dec 2013 p. 5704.]</w:t>
      </w:r>
    </w:p>
    <w:p>
      <w:pPr>
        <w:pStyle w:val="Heading5"/>
      </w:pPr>
      <w:bookmarkStart w:id="72" w:name="_Toc173502718"/>
      <w:r>
        <w:rPr>
          <w:rStyle w:val="CharSectno"/>
        </w:rPr>
        <w:t>19B</w:t>
      </w:r>
      <w:r>
        <w:t>.</w:t>
      </w:r>
      <w:r>
        <w:tab/>
        <w:t>Approved venues for sporting, cultural or entertainment events</w:t>
      </w:r>
      <w:bookmarkEnd w:id="72"/>
    </w:p>
    <w:p>
      <w:pPr>
        <w:pStyle w:val="Subsection"/>
      </w:pPr>
      <w:r>
        <w:tab/>
        <w:t>(1)</w:t>
      </w:r>
      <w:r>
        <w:tab/>
        <w:t xml:space="preserve">In this regulation — </w:t>
      </w:r>
    </w:p>
    <w:p>
      <w:pPr>
        <w:pStyle w:val="Defstart"/>
      </w:pPr>
      <w:r>
        <w:tab/>
      </w:r>
      <w:r>
        <w:rPr>
          <w:rStyle w:val="CharDefText"/>
        </w:rPr>
        <w:t>notifiable event</w:t>
      </w:r>
      <w:r>
        <w:t xml:space="preserve"> means a sporting, cultural or entertainment event that — </w:t>
      </w:r>
    </w:p>
    <w:p>
      <w:pPr>
        <w:pStyle w:val="Defpara"/>
      </w:pPr>
      <w:r>
        <w:tab/>
        <w:t>(a)</w:t>
      </w:r>
      <w:r>
        <w:tab/>
        <w:t xml:space="preserve">is open to the public; and </w:t>
      </w:r>
    </w:p>
    <w:p>
      <w:pPr>
        <w:pStyle w:val="Defpara"/>
      </w:pPr>
      <w:r>
        <w:tab/>
        <w:t>(b)</w:t>
      </w:r>
      <w:r>
        <w:tab/>
        <w:t>is likely to result in noise emissions, other than community noise, that do not comply with the standard prescribed under regulation 7; and</w:t>
      </w:r>
    </w:p>
    <w:p>
      <w:pPr>
        <w:pStyle w:val="Defpara"/>
      </w:pPr>
      <w:r>
        <w:tab/>
        <w:t>(c)</w:t>
      </w:r>
      <w:r>
        <w:tab/>
        <w:t>is not an approved event or an event for which application for approval under regulation 18 has been made.</w:t>
      </w:r>
    </w:p>
    <w:p>
      <w:pPr>
        <w:pStyle w:val="Subsection"/>
      </w:pPr>
      <w:r>
        <w:tab/>
        <w:t>(2)</w:t>
      </w:r>
      <w:r>
        <w:tab/>
        <w:t xml:space="preserve">The occupier of a venue may apply to the CEO for — </w:t>
      </w:r>
    </w:p>
    <w:p>
      <w:pPr>
        <w:pStyle w:val="Indenta"/>
      </w:pPr>
      <w:r>
        <w:tab/>
        <w:t>(a)</w:t>
      </w:r>
      <w:r>
        <w:tab/>
        <w:t>approval of the venue as a venue at which a number of notifiable events may be held during a period specified in the approval; or</w:t>
      </w:r>
    </w:p>
    <w:p>
      <w:pPr>
        <w:pStyle w:val="Indenta"/>
      </w:pPr>
      <w:r>
        <w:tab/>
        <w:t>(b)</w:t>
      </w:r>
      <w:r>
        <w:tab/>
        <w:t>an amendment of a venue approval (other than an amendment of the period of the approval).</w:t>
      </w:r>
    </w:p>
    <w:p>
      <w:pPr>
        <w:pStyle w:val="Subsection"/>
      </w:pPr>
      <w:r>
        <w:tab/>
        <w:t>(3)</w:t>
      </w:r>
      <w:r>
        <w:tab/>
        <w:t>After the application is made, the CEO is to estimate the cost of assessing and processing the application.</w:t>
      </w:r>
    </w:p>
    <w:p>
      <w:pPr>
        <w:pStyle w:val="Subsection"/>
      </w:pPr>
      <w:r>
        <w:tab/>
        <w:t>(4)</w:t>
      </w:r>
      <w:r>
        <w:tab/>
        <w:t xml:space="preserve">The fee payable for assessing and processing the application is — </w:t>
      </w:r>
    </w:p>
    <w:p>
      <w:pPr>
        <w:pStyle w:val="Indenta"/>
      </w:pPr>
      <w:r>
        <w:lastRenderedPageBreak/>
        <w:tab/>
        <w:t>(a)</w:t>
      </w:r>
      <w:r>
        <w:tab/>
        <w:t>an amount equal to the cost estimated under subregulation (3); or</w:t>
      </w:r>
    </w:p>
    <w:p>
      <w:pPr>
        <w:pStyle w:val="Indenta"/>
      </w:pPr>
      <w:r>
        <w:tab/>
        <w:t>(b)</w:t>
      </w:r>
      <w:r>
        <w:tab/>
        <w:t>if that amount exceeds $15 000, $15 000.</w:t>
      </w:r>
    </w:p>
    <w:p>
      <w:pPr>
        <w:pStyle w:val="Subsection"/>
      </w:pPr>
      <w:r>
        <w:tab/>
        <w:t>(5)</w:t>
      </w:r>
      <w:r>
        <w:tab/>
        <w:t>The fee for assessing and processing the application must be paid by the applicant before assessment of the application commences.</w:t>
      </w:r>
    </w:p>
    <w:p>
      <w:pPr>
        <w:pStyle w:val="Subsection"/>
      </w:pPr>
      <w:r>
        <w:tab/>
        <w:t>(6)</w:t>
      </w:r>
      <w:r>
        <w:tab/>
        <w:t>The CEO may require an applicant to carry out such surveys and provide such other information as the CEO may specify in writing to the applicant before the CEO makes a decision under subregulation (7).</w:t>
      </w:r>
    </w:p>
    <w:p>
      <w:pPr>
        <w:pStyle w:val="Subsection"/>
      </w:pPr>
      <w:r>
        <w:tab/>
        <w:t>(7)</w:t>
      </w:r>
      <w:r>
        <w:tab/>
        <w:t xml:space="preserve">The CEO may, in writing — </w:t>
      </w:r>
    </w:p>
    <w:p>
      <w:pPr>
        <w:pStyle w:val="Indenta"/>
      </w:pPr>
      <w:r>
        <w:tab/>
        <w:t>(a)</w:t>
      </w:r>
      <w:r>
        <w:tab/>
        <w:t>if the application is for the approval of a venue — approve, or refuse to approve, the venue;</w:t>
      </w:r>
    </w:p>
    <w:p>
      <w:pPr>
        <w:pStyle w:val="Indenta"/>
      </w:pPr>
      <w:r>
        <w:tab/>
        <w:t>(b)</w:t>
      </w:r>
      <w:r>
        <w:tab/>
        <w:t>if the application is for an amendment of a venue approval — make, or refuse to make, the amendment.</w:t>
      </w:r>
    </w:p>
    <w:p>
      <w:pPr>
        <w:pStyle w:val="Subsection"/>
      </w:pPr>
      <w:r>
        <w:tab/>
        <w:t>(8)</w:t>
      </w:r>
      <w:r>
        <w:tab/>
        <w:t xml:space="preserve">Before making a decision under subregulation (7) the CEO — </w:t>
      </w:r>
    </w:p>
    <w:p>
      <w:pPr>
        <w:pStyle w:val="Indenta"/>
      </w:pPr>
      <w:r>
        <w:tab/>
        <w:t>(a)</w:t>
      </w:r>
      <w:r>
        <w:tab/>
        <w:t>must give the following a reasonable opportunity to make a submission on whether or not the venue should be approved or the amendment should be made —</w:t>
      </w:r>
    </w:p>
    <w:p>
      <w:pPr>
        <w:pStyle w:val="Indenti"/>
      </w:pPr>
      <w:r>
        <w:tab/>
        <w:t>(i)</w:t>
      </w:r>
      <w:r>
        <w:tab/>
        <w:t>the Chief Health Officer;</w:t>
      </w:r>
    </w:p>
    <w:p>
      <w:pPr>
        <w:pStyle w:val="Indenti"/>
      </w:pPr>
      <w:r>
        <w:tab/>
        <w:t>(ii)</w:t>
      </w:r>
      <w:r>
        <w:tab/>
        <w:t>the Director of Liquor Licensing;</w:t>
      </w:r>
    </w:p>
    <w:p>
      <w:pPr>
        <w:pStyle w:val="Indenti"/>
      </w:pPr>
      <w:r>
        <w:tab/>
        <w:t>(iii)</w:t>
      </w:r>
      <w:r>
        <w:tab/>
        <w:t>the occupier of any noise sensitive premises within 1 km of the venue;</w:t>
      </w:r>
    </w:p>
    <w:p>
      <w:pPr>
        <w:pStyle w:val="Indenti"/>
      </w:pPr>
      <w:r>
        <w:tab/>
        <w:t>(iv)</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 xml:space="preserve">may give any other person the CEO considers appropriate in the circumstances a reasonable opportunity to make a submission on whether or not the </w:t>
      </w:r>
      <w:r>
        <w:lastRenderedPageBreak/>
        <w:t>venue should be approved or the amendment should be made.</w:t>
      </w:r>
    </w:p>
    <w:p>
      <w:pPr>
        <w:pStyle w:val="Subsection"/>
        <w:keepNext/>
      </w:pPr>
      <w:r>
        <w:tab/>
        <w:t>(9)</w:t>
      </w:r>
      <w:r>
        <w:tab/>
        <w:t>A venue approval —</w:t>
      </w:r>
    </w:p>
    <w:p>
      <w:pPr>
        <w:pStyle w:val="Indenta"/>
      </w:pPr>
      <w:r>
        <w:tab/>
        <w:t>(a)</w:t>
      </w:r>
      <w:r>
        <w:tab/>
        <w:t>is subject to such conditions as the CEO thinks fit or is required to impose under subregulation (12) and sets out in the approval; and</w:t>
      </w:r>
    </w:p>
    <w:p>
      <w:pPr>
        <w:pStyle w:val="Indenta"/>
      </w:pPr>
      <w:r>
        <w:tab/>
        <w:t>(b)</w:t>
      </w:r>
      <w:r>
        <w:tab/>
        <w:t>subject to subregulation (11) and regulation 19E, has effect for the period specified in the approval.</w:t>
      </w:r>
    </w:p>
    <w:p>
      <w:pPr>
        <w:pStyle w:val="Subsection"/>
        <w:spacing w:before="120"/>
      </w:pPr>
      <w:r>
        <w:tab/>
        <w:t>(10)</w:t>
      </w:r>
      <w:r>
        <w:tab/>
        <w:t>Without limiting subregulation (7), an amendment may vary a condition of a venue approval or impose a new condition on a venue approval.</w:t>
      </w:r>
    </w:p>
    <w:p>
      <w:pPr>
        <w:pStyle w:val="Subsection"/>
        <w:spacing w:before="120"/>
      </w:pPr>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t>expiry day</w:t>
      </w:r>
      <w:r>
        <w:t xml:space="preserve">), the current approval is taken to continue in effect from the expiry day until — </w:t>
      </w:r>
    </w:p>
    <w:p>
      <w:pPr>
        <w:pStyle w:val="Indenta"/>
      </w:pPr>
      <w:r>
        <w:tab/>
        <w:t>(a)</w:t>
      </w:r>
      <w:r>
        <w:tab/>
        <w:t>if the CEO grants a new approval — the day on which the new approval has effect; or</w:t>
      </w:r>
    </w:p>
    <w:p>
      <w:pPr>
        <w:pStyle w:val="Indenta"/>
      </w:pPr>
      <w:r>
        <w:tab/>
        <w:t>(b)</w:t>
      </w:r>
      <w:r>
        <w:tab/>
        <w:t xml:space="preserve">if — </w:t>
      </w:r>
    </w:p>
    <w:p>
      <w:pPr>
        <w:pStyle w:val="Indenti"/>
      </w:pPr>
      <w:r>
        <w:tab/>
        <w:t>(i)</w:t>
      </w:r>
      <w:r>
        <w:tab/>
        <w:t>the CEO refuses to grant a new approval; and</w:t>
      </w:r>
    </w:p>
    <w:p>
      <w:pPr>
        <w:pStyle w:val="Indenti"/>
      </w:pPr>
      <w:r>
        <w:tab/>
        <w:t>(ii)</w:t>
      </w:r>
      <w:r>
        <w:tab/>
        <w:t>at the end of the period within which an appeal against the decision may be lodged under regulation 19G, no appeal has been lodged,</w:t>
      </w:r>
    </w:p>
    <w:p>
      <w:pPr>
        <w:pStyle w:val="Indenta"/>
      </w:pPr>
      <w:r>
        <w:tab/>
      </w:r>
      <w:r>
        <w:tab/>
        <w:t>the day after that period ends; or</w:t>
      </w:r>
    </w:p>
    <w:p>
      <w:pPr>
        <w:pStyle w:val="Indenta"/>
      </w:pPr>
      <w:r>
        <w:tab/>
        <w:t>(c)</w:t>
      </w:r>
      <w:r>
        <w:tab/>
        <w:t xml:space="preserve">if — </w:t>
      </w:r>
    </w:p>
    <w:p>
      <w:pPr>
        <w:pStyle w:val="Indenti"/>
        <w:spacing w:before="60"/>
      </w:pPr>
      <w:r>
        <w:tab/>
        <w:t>(i)</w:t>
      </w:r>
      <w:r>
        <w:tab/>
        <w:t>the CEO refuses to grant a new approval; and</w:t>
      </w:r>
    </w:p>
    <w:p>
      <w:pPr>
        <w:pStyle w:val="Indenti"/>
        <w:spacing w:before="60"/>
      </w:pPr>
      <w:r>
        <w:tab/>
        <w:t>(ii)</w:t>
      </w:r>
      <w:r>
        <w:tab/>
        <w:t>an appeal is lodged under regulation 19G against the decision to refuse to grant a new approval,</w:t>
      </w:r>
    </w:p>
    <w:p>
      <w:pPr>
        <w:pStyle w:val="Indenta"/>
        <w:spacing w:before="60"/>
      </w:pPr>
      <w:r>
        <w:tab/>
      </w:r>
      <w:r>
        <w:tab/>
        <w:t>the day the appeal is concluded.</w:t>
      </w:r>
    </w:p>
    <w:p>
      <w:pPr>
        <w:pStyle w:val="Subsection"/>
        <w:spacing w:before="120"/>
      </w:pPr>
      <w:r>
        <w:tab/>
        <w:t>(12)</w:t>
      </w:r>
      <w:r>
        <w:tab/>
        <w:t>The CEO must not approve a venue under subregulation (7) unless the conditions imposed on the approval —</w:t>
      </w:r>
    </w:p>
    <w:p>
      <w:pPr>
        <w:pStyle w:val="Indenta"/>
        <w:spacing w:before="60"/>
      </w:pPr>
      <w:r>
        <w:lastRenderedPageBreak/>
        <w:tab/>
        <w:t>(a)</w:t>
      </w:r>
      <w:r>
        <w:tab/>
        <w:t>specify the maximum number and type of notifiable events that may be held at the venue during a period specified in the approval; and</w:t>
      </w:r>
    </w:p>
    <w:p>
      <w:pPr>
        <w:pStyle w:val="Indenta"/>
      </w:pPr>
      <w:r>
        <w:tab/>
        <w:t>(b)</w:t>
      </w:r>
      <w:r>
        <w:tab/>
        <w:t>specify the earliest time at which a notifiable event held at the venue may begin and the latest time at which a notifiable event may end; and</w:t>
      </w:r>
    </w:p>
    <w:p>
      <w:pPr>
        <w:pStyle w:val="Indenta"/>
      </w:pPr>
      <w:r>
        <w:tab/>
        <w:t>(c)</w:t>
      </w:r>
      <w:r>
        <w:tab/>
        <w:t>specify the maximum duration of a notifiable event held at the venue; and</w:t>
      </w:r>
    </w:p>
    <w:p>
      <w:pPr>
        <w:pStyle w:val="Indenta"/>
      </w:pPr>
      <w:r>
        <w:tab/>
        <w:t>(d)</w:t>
      </w:r>
      <w:r>
        <w:tab/>
        <w:t>specify the maximum allowable noise level of a notifiable event held at the venue; and</w:t>
      </w:r>
    </w:p>
    <w:p>
      <w:pPr>
        <w:pStyle w:val="Indenta"/>
      </w:pPr>
      <w:r>
        <w:tab/>
        <w:t>(e)</w:t>
      </w:r>
      <w:r>
        <w:tab/>
        <w:t>specify the manner in which occupiers affected by noise emissions from a notifiable event at the venue are to be advised that the event is to be held at the venue; and</w:t>
      </w:r>
    </w:p>
    <w:p>
      <w:pPr>
        <w:pStyle w:val="Indenta"/>
      </w:pPr>
      <w:r>
        <w:tab/>
        <w:t>(f)</w:t>
      </w:r>
      <w:r>
        <w:tab/>
        <w:t>specify the manner in which complaints from members of the public about noise emissions from a notifiable event at the venue are to be managed; and</w:t>
      </w:r>
    </w:p>
    <w:p>
      <w:pPr>
        <w:pStyle w:val="Indenta"/>
      </w:pPr>
      <w:r>
        <w:tab/>
        <w:t>(g)</w:t>
      </w:r>
      <w:r>
        <w:tab/>
        <w:t>provide for the manner in which community consultation is to be conducted by the applicant for approval of the venue.</w:t>
      </w:r>
    </w:p>
    <w:p>
      <w:pPr>
        <w:pStyle w:val="Footnotesection"/>
      </w:pPr>
      <w:r>
        <w:tab/>
        <w:t>[Regulation 19B inserted: Gazette 5 Dec 2013 p. 5704</w:t>
      </w:r>
      <w:r>
        <w:noBreakHyphen/>
        <w:t>8; amended: Gazette 10 Jan 2017 p. 196.]</w:t>
      </w:r>
    </w:p>
    <w:p>
      <w:pPr>
        <w:pStyle w:val="Heading5"/>
        <w:spacing w:before="260"/>
      </w:pPr>
      <w:bookmarkStart w:id="73" w:name="_Toc173502719"/>
      <w:r>
        <w:rPr>
          <w:rStyle w:val="CharSectno"/>
        </w:rPr>
        <w:t>19C</w:t>
      </w:r>
      <w:r>
        <w:t>.</w:t>
      </w:r>
      <w:r>
        <w:tab/>
        <w:t>Ancillary conditions: venue approval</w:t>
      </w:r>
      <w:bookmarkEnd w:id="73"/>
    </w:p>
    <w:p>
      <w:pPr>
        <w:pStyle w:val="Subsection"/>
        <w:spacing w:before="180"/>
      </w:pPr>
      <w:r>
        <w:tab/>
        <w:t>(1)</w:t>
      </w:r>
      <w:r>
        <w:tab/>
        <w:t>The CEO may in a venue approval designate a condition imposed on the venue approval under regulation 19B(12)(e), (f) or (g) as an ancillary condition.</w:t>
      </w:r>
    </w:p>
    <w:p>
      <w:pPr>
        <w:pStyle w:val="Subsection"/>
        <w:spacing w:before="180"/>
      </w:pPr>
      <w:r>
        <w:tab/>
        <w:t>(2)</w:t>
      </w:r>
      <w:r>
        <w:tab/>
        <w:t>In the case of a condition imposed on a venue approval under regulation 19B(12)(e) or (f) and designated as an ancillary condition under subregulation (1), each of the following must ensure the condition is implemented —</w:t>
      </w:r>
    </w:p>
    <w:p>
      <w:pPr>
        <w:pStyle w:val="Indenta"/>
      </w:pPr>
      <w:r>
        <w:tab/>
        <w:t>(a)</w:t>
      </w:r>
      <w:r>
        <w:tab/>
        <w:t>the occupier of the venue;</w:t>
      </w:r>
    </w:p>
    <w:p>
      <w:pPr>
        <w:pStyle w:val="Indenta"/>
      </w:pPr>
      <w:r>
        <w:tab/>
        <w:t>(b)</w:t>
      </w:r>
      <w:r>
        <w:tab/>
        <w:t>a person who holds an event at the venue.</w:t>
      </w:r>
    </w:p>
    <w:p>
      <w:pPr>
        <w:pStyle w:val="Penstart"/>
      </w:pPr>
      <w:r>
        <w:lastRenderedPageBreak/>
        <w:tab/>
        <w:t>Penalty: a fine of $5 000.</w:t>
      </w:r>
    </w:p>
    <w:p>
      <w:pPr>
        <w:pStyle w:val="Subsection"/>
        <w:spacing w:before="180"/>
      </w:pPr>
      <w:r>
        <w:tab/>
        <w:t>(3)</w:t>
      </w:r>
      <w:r>
        <w:tab/>
        <w:t>In the case of a condition imposed on a venue approval under regulation 19B(12)(g) and designated as an ancillary condition under subregulation (1), the occupier of the venue must ensure the condition is implemented.</w:t>
      </w:r>
    </w:p>
    <w:p>
      <w:pPr>
        <w:pStyle w:val="Penstart"/>
      </w:pPr>
      <w:r>
        <w:tab/>
        <w:t>Penalty: a fine of $5 000.</w:t>
      </w:r>
    </w:p>
    <w:p>
      <w:pPr>
        <w:pStyle w:val="Footnotesection"/>
      </w:pPr>
      <w:r>
        <w:tab/>
        <w:t>[Regulation 19C inserted: Gazette 5 Dec 2013 p. 5708</w:t>
      </w:r>
      <w:r>
        <w:noBreakHyphen/>
        <w:t>9.]</w:t>
      </w:r>
    </w:p>
    <w:p>
      <w:pPr>
        <w:pStyle w:val="Heading5"/>
      </w:pPr>
      <w:bookmarkStart w:id="74" w:name="_Toc173502720"/>
      <w:r>
        <w:rPr>
          <w:rStyle w:val="CharSectno"/>
        </w:rPr>
        <w:t>19D</w:t>
      </w:r>
      <w:r>
        <w:t>.</w:t>
      </w:r>
      <w:r>
        <w:tab/>
        <w:t>Notifiable event at approved venue</w:t>
      </w:r>
      <w:bookmarkEnd w:id="74"/>
    </w:p>
    <w:p>
      <w:pPr>
        <w:pStyle w:val="Subsection"/>
      </w:pPr>
      <w:r>
        <w:tab/>
        <w:t>(1)</w:t>
      </w:r>
      <w:r>
        <w:tab/>
        <w:t>A person who proposes to hold an event at an approved venue that is a notifiable event of a type specified in the conditions of approval of the venue under regulation 19B(12)(a) must give the CEO notice of the event in accordance with this regulation.</w:t>
      </w:r>
    </w:p>
    <w:p>
      <w:pPr>
        <w:pStyle w:val="Penstart"/>
      </w:pPr>
      <w:r>
        <w:tab/>
        <w:t>Penalty: a fine of $5 000.</w:t>
      </w:r>
    </w:p>
    <w:p>
      <w:pPr>
        <w:pStyle w:val="Subsection"/>
      </w:pPr>
      <w:r>
        <w:tab/>
        <w:t>(2)</w:t>
      </w:r>
      <w:r>
        <w:tab/>
        <w:t>A notice under subregulation (1) must —</w:t>
      </w:r>
    </w:p>
    <w:p>
      <w:pPr>
        <w:pStyle w:val="Indenta"/>
      </w:pPr>
      <w:r>
        <w:tab/>
        <w:t>(a)</w:t>
      </w:r>
      <w:r>
        <w:tab/>
        <w:t>be in a form approved by the CEO; and</w:t>
      </w:r>
    </w:p>
    <w:p>
      <w:pPr>
        <w:pStyle w:val="Indenta"/>
      </w:pPr>
      <w:r>
        <w:tab/>
        <w:t>(b)</w:t>
      </w:r>
      <w:r>
        <w:tab/>
        <w:t>be given not later than 60 days before the event is proposed to commence; and</w:t>
      </w:r>
    </w:p>
    <w:p>
      <w:pPr>
        <w:pStyle w:val="Indenta"/>
      </w:pPr>
      <w:r>
        <w:tab/>
        <w:t>(c)</w:t>
      </w:r>
      <w:r>
        <w:tab/>
        <w:t>give details of the event including the date, starting time and ending time of the event.</w:t>
      </w:r>
    </w:p>
    <w:p>
      <w:pPr>
        <w:pStyle w:val="Subsection"/>
      </w:pPr>
      <w:r>
        <w:tab/>
        <w:t>(3)</w:t>
      </w:r>
      <w:r>
        <w:tab/>
        <w:t>Despite subregulation (2)(b), a notice may be given between 59 days and 21 days before the event to which the notice relates is proposed to commence if the notice is accompanied by a late fee of $500.</w:t>
      </w:r>
    </w:p>
    <w:p>
      <w:pPr>
        <w:pStyle w:val="Subsection"/>
        <w:rPr>
          <w:snapToGrid w:val="0"/>
        </w:rPr>
      </w:pPr>
      <w:r>
        <w:rPr>
          <w:snapToGrid w:val="0"/>
        </w:rPr>
        <w:tab/>
        <w:t>(4)</w:t>
      </w:r>
      <w:r>
        <w:rPr>
          <w:snapToGrid w:val="0"/>
        </w:rPr>
        <w:tab/>
        <w:t xml:space="preserve">Despite subregulation (2)(b), notice may be given less than 21 days before the event to which the notice relates is proposed to commence if — </w:t>
      </w:r>
    </w:p>
    <w:p>
      <w:pPr>
        <w:pStyle w:val="Indenta"/>
      </w:pPr>
      <w:r>
        <w:tab/>
        <w:t>(a)</w:t>
      </w:r>
      <w:r>
        <w:tab/>
        <w:t>the CEO is satisfied that there are exceptional circumstances for the notice not being given earlier than within that period; and</w:t>
      </w:r>
    </w:p>
    <w:p>
      <w:pPr>
        <w:pStyle w:val="Indenta"/>
        <w:rPr>
          <w:snapToGrid w:val="0"/>
        </w:rPr>
      </w:pPr>
      <w:r>
        <w:tab/>
        <w:t>(b)</w:t>
      </w:r>
      <w:r>
        <w:tab/>
        <w:t xml:space="preserve">the notice </w:t>
      </w:r>
      <w:r>
        <w:rPr>
          <w:snapToGrid w:val="0"/>
        </w:rPr>
        <w:t>is accompanied by a late fee of $500.</w:t>
      </w:r>
    </w:p>
    <w:p>
      <w:pPr>
        <w:pStyle w:val="Subsection"/>
        <w:spacing w:before="220"/>
      </w:pPr>
      <w:r>
        <w:lastRenderedPageBreak/>
        <w:tab/>
        <w:t>(5)</w:t>
      </w:r>
      <w:r>
        <w:tab/>
        <w:t>The CEO may, by written notice given to a person who gives notice under subregulation (1), impose in relation to the notifiable event an ancillary condition that does not directly influence the level, duration or time of day of a noise emission.</w:t>
      </w:r>
    </w:p>
    <w:p>
      <w:pPr>
        <w:pStyle w:val="Subsection"/>
        <w:spacing w:before="220"/>
      </w:pPr>
      <w:r>
        <w:tab/>
        <w:t>(6)</w:t>
      </w:r>
      <w:r>
        <w:tab/>
        <w:t>If a notifiable event in respect of which notice has been given under subregulation (1) is held at an approved venue —</w:t>
      </w:r>
    </w:p>
    <w:p>
      <w:pPr>
        <w:pStyle w:val="Indenta"/>
        <w:spacing w:before="100"/>
      </w:pPr>
      <w:r>
        <w:tab/>
        <w:t>(a)</w:t>
      </w:r>
      <w:r>
        <w:tab/>
        <w:t>the event is subject to the conditions imposed under regulation 19B(9)(a) that apply to a notifiable event held at the venue; and</w:t>
      </w:r>
    </w:p>
    <w:p>
      <w:pPr>
        <w:pStyle w:val="Indenta"/>
        <w:spacing w:before="100"/>
      </w:pPr>
      <w:r>
        <w:tab/>
        <w:t>(b)</w:t>
      </w:r>
      <w:r>
        <w:tab/>
        <w:t>the event is subject to the ancillary conditions imposed under subregulation (5); and</w:t>
      </w:r>
    </w:p>
    <w:p>
      <w:pPr>
        <w:pStyle w:val="Indenta"/>
        <w:spacing w:before="100"/>
      </w:pPr>
      <w:r>
        <w:tab/>
        <w:t>(c)</w:t>
      </w:r>
      <w:r>
        <w:tab/>
        <w:t>regulation 7 does not apply to noise resulting from the event at the venue.</w:t>
      </w:r>
    </w:p>
    <w:p>
      <w:pPr>
        <w:pStyle w:val="Subsection"/>
        <w:spacing w:before="220"/>
      </w:pPr>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p>
    <w:p>
      <w:pPr>
        <w:pStyle w:val="Indenta"/>
        <w:spacing w:before="100"/>
      </w:pPr>
      <w:r>
        <w:tab/>
        <w:t>(a)</w:t>
      </w:r>
      <w:r>
        <w:tab/>
        <w:t>subregulation (6)(c) ceases to apply in relation to noise resulting from the event at the venue; and</w:t>
      </w:r>
    </w:p>
    <w:p>
      <w:pPr>
        <w:pStyle w:val="Indenta"/>
        <w:spacing w:before="100"/>
      </w:pPr>
      <w:r>
        <w:tab/>
        <w:t>(b)</w:t>
      </w:r>
      <w:r>
        <w:tab/>
        <w:t>regulation 7 has effect in relation to that event.</w:t>
      </w:r>
    </w:p>
    <w:p>
      <w:pPr>
        <w:pStyle w:val="Subsection"/>
        <w:spacing w:before="220"/>
      </w:pPr>
      <w:r>
        <w:tab/>
        <w:t>(8)</w:t>
      </w:r>
      <w:r>
        <w:tab/>
        <w:t>A person who gives the CEO a notice of a notifiable event under subregulation (1) must pay to the CEO, within the time specified by the CEO, any noise monitoring fee specified by the CEO for that event.</w:t>
      </w:r>
    </w:p>
    <w:p>
      <w:pPr>
        <w:pStyle w:val="Subsection"/>
        <w:spacing w:before="220"/>
      </w:pPr>
      <w:r>
        <w:tab/>
        <w:t>(9)</w:t>
      </w:r>
      <w:r>
        <w:tab/>
        <w:t>If a fee is not paid under subregulation (8) before the day on which the notifiable event is to be held at the venue, the venue is not an approved venue for the purpose of that event.</w:t>
      </w:r>
    </w:p>
    <w:p>
      <w:pPr>
        <w:pStyle w:val="Subsection"/>
        <w:spacing w:before="220"/>
      </w:pPr>
      <w:r>
        <w:tab/>
        <w:t>(10)</w:t>
      </w:r>
      <w:r>
        <w:tab/>
        <w:t xml:space="preserve">A person who gives the CEO notice of a notifiable event under subregulation (1) must ensure that an ancillary condition </w:t>
      </w:r>
      <w:r>
        <w:lastRenderedPageBreak/>
        <w:t>imposed under subregulation (5) in relation to the event is implemented.</w:t>
      </w:r>
    </w:p>
    <w:p>
      <w:pPr>
        <w:pStyle w:val="Penstart"/>
      </w:pPr>
      <w:r>
        <w:tab/>
        <w:t>Penalty for an offence under subregulation (10): a fine of $5 000.</w:t>
      </w:r>
    </w:p>
    <w:p>
      <w:pPr>
        <w:pStyle w:val="Footnotesection"/>
      </w:pPr>
      <w:r>
        <w:tab/>
        <w:t>[Regulation 19D inserted: Gazette 5 Dec 2013 p. 5709</w:t>
      </w:r>
      <w:r>
        <w:noBreakHyphen/>
        <w:t>11.]</w:t>
      </w:r>
    </w:p>
    <w:p>
      <w:pPr>
        <w:pStyle w:val="Heading5"/>
      </w:pPr>
      <w:bookmarkStart w:id="75" w:name="_Toc173502721"/>
      <w:r>
        <w:rPr>
          <w:rStyle w:val="CharSectno"/>
        </w:rPr>
        <w:t>19E</w:t>
      </w:r>
      <w:r>
        <w:t>.</w:t>
      </w:r>
      <w:r>
        <w:tab/>
        <w:t>Amendment or revocation of venue approval</w:t>
      </w:r>
      <w:bookmarkEnd w:id="75"/>
    </w:p>
    <w:p>
      <w:pPr>
        <w:pStyle w:val="Subsection"/>
        <w:spacing w:before="200"/>
      </w:pPr>
      <w:r>
        <w:tab/>
        <w:t>(1)</w:t>
      </w:r>
      <w:r>
        <w:tab/>
        <w:t>The CEO may, on his or her own initiative, amend a venue approval if the CEO is satisfied that there is reasonable cause for the amendment.</w:t>
      </w:r>
    </w:p>
    <w:p>
      <w:pPr>
        <w:pStyle w:val="Subsection"/>
        <w:spacing w:before="200"/>
      </w:pPr>
      <w:r>
        <w:tab/>
        <w:t>(2)</w:t>
      </w:r>
      <w:r>
        <w:tab/>
        <w:t xml:space="preserve">The CEO may, on his or her own initiative, revoke a venue approval if the CEO is satisfied that — </w:t>
      </w:r>
    </w:p>
    <w:p>
      <w:pPr>
        <w:pStyle w:val="Indenta"/>
        <w:spacing w:before="120"/>
      </w:pPr>
      <w:r>
        <w:tab/>
        <w:t>(a)</w:t>
      </w:r>
      <w:r>
        <w:tab/>
        <w:t>there has been a breach of a condition imposed by the CEO under regulation 19B(9)(a); or</w:t>
      </w:r>
    </w:p>
    <w:p>
      <w:pPr>
        <w:pStyle w:val="Indenta"/>
        <w:spacing w:before="120"/>
      </w:pPr>
      <w:r>
        <w:tab/>
        <w:t>(b)</w:t>
      </w:r>
      <w:r>
        <w:tab/>
        <w:t>information contained in or supporting the application for approval of the venue was false or misleading in a material respect.</w:t>
      </w:r>
    </w:p>
    <w:p>
      <w:pPr>
        <w:pStyle w:val="Subsection"/>
        <w:spacing w:before="200"/>
      </w:pPr>
      <w:r>
        <w:tab/>
        <w:t>(3)</w:t>
      </w:r>
      <w:r>
        <w:tab/>
        <w:t>A venue approval ceases to have effect if it is revoked under this regulation.</w:t>
      </w:r>
    </w:p>
    <w:p>
      <w:pPr>
        <w:pStyle w:val="Subsection"/>
        <w:spacing w:before="200"/>
      </w:pPr>
      <w:r>
        <w:tab/>
        <w:t>(4)</w:t>
      </w:r>
      <w:r>
        <w:tab/>
        <w:t>The CEO, before exercising the power of amendment under subregulation (1) or revocation under subregulation (2), must —</w:t>
      </w:r>
    </w:p>
    <w:p>
      <w:pPr>
        <w:pStyle w:val="Indenta"/>
        <w:spacing w:before="120"/>
      </w:pPr>
      <w:r>
        <w:tab/>
        <w:t>(a)</w:t>
      </w:r>
      <w:r>
        <w:tab/>
        <w:t>give the occupier of the venue a reasonable opportunity to show cause in writing why that power should not be exercised; and</w:t>
      </w:r>
    </w:p>
    <w:p>
      <w:pPr>
        <w:pStyle w:val="Indenta"/>
        <w:spacing w:before="120"/>
      </w:pPr>
      <w:r>
        <w:tab/>
        <w:t>(b)</w:t>
      </w:r>
      <w:r>
        <w:tab/>
        <w:t>give the persons referred to in regulation 19B(8)(a) a reasonable opportunity to make a submission on whether or not that power should be exercised.</w:t>
      </w:r>
    </w:p>
    <w:p>
      <w:pPr>
        <w:pStyle w:val="Subsection"/>
        <w:spacing w:before="200"/>
      </w:pPr>
      <w:r>
        <w:tab/>
        <w:t>(5)</w:t>
      </w:r>
      <w:r>
        <w:tab/>
        <w:t xml:space="preserve">An opportunity is not a reasonable opportunity for the purposes of subregulation (4) unless the relevant person is informed of the right to show cause or make a submission under that </w:t>
      </w:r>
      <w:r>
        <w:lastRenderedPageBreak/>
        <w:t>subregulation not less than 90 days before the day on which the CEO exercises the power in question.</w:t>
      </w:r>
    </w:p>
    <w:p>
      <w:pPr>
        <w:pStyle w:val="Footnotesection"/>
      </w:pPr>
      <w:r>
        <w:tab/>
        <w:t>[Regulation 19E inserted: Gazette 5 Dec 2013 p. 5711</w:t>
      </w:r>
      <w:r>
        <w:noBreakHyphen/>
        <w:t>12.]</w:t>
      </w:r>
    </w:p>
    <w:p>
      <w:pPr>
        <w:pStyle w:val="Heading5"/>
      </w:pPr>
      <w:bookmarkStart w:id="76" w:name="_Toc173502722"/>
      <w:r>
        <w:rPr>
          <w:rStyle w:val="CharSectno"/>
        </w:rPr>
        <w:t>19F</w:t>
      </w:r>
      <w:r>
        <w:t>.</w:t>
      </w:r>
      <w:r>
        <w:tab/>
        <w:t>Notice of appellable decision</w:t>
      </w:r>
      <w:bookmarkEnd w:id="76"/>
    </w:p>
    <w:p>
      <w:pPr>
        <w:pStyle w:val="Subsection"/>
      </w:pPr>
      <w:r>
        <w:tab/>
        <w:t>(1)</w:t>
      </w:r>
      <w:r>
        <w:tab/>
        <w:t xml:space="preserve">In this regulation — </w:t>
      </w:r>
    </w:p>
    <w:p>
      <w:pPr>
        <w:pStyle w:val="Defstart"/>
      </w:pPr>
      <w:r>
        <w:tab/>
      </w:r>
      <w:r>
        <w:rPr>
          <w:rStyle w:val="CharDefText"/>
        </w:rPr>
        <w:t>appellable decision</w:t>
      </w:r>
      <w:r>
        <w:t xml:space="preserve"> has the meaning given in regulation 19G.</w:t>
      </w:r>
    </w:p>
    <w:p>
      <w:pPr>
        <w:pStyle w:val="Subsection"/>
      </w:pPr>
      <w:r>
        <w:tab/>
        <w:t>(2)</w:t>
      </w:r>
      <w:r>
        <w:tab/>
        <w:t xml:space="preserve">The CEO — </w:t>
      </w:r>
    </w:p>
    <w:p>
      <w:pPr>
        <w:pStyle w:val="Indenta"/>
      </w:pPr>
      <w:r>
        <w:tab/>
        <w:t>(a)</w:t>
      </w:r>
      <w:r>
        <w:tab/>
        <w:t>must give a written notice of an appellable decision to the occupier of the relevant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19F inserted: Gazette 5 Dec 2013 p. 5712.]</w:t>
      </w:r>
    </w:p>
    <w:p>
      <w:pPr>
        <w:pStyle w:val="Heading5"/>
      </w:pPr>
      <w:bookmarkStart w:id="77" w:name="_Toc173502723"/>
      <w:r>
        <w:rPr>
          <w:rStyle w:val="CharSectno"/>
        </w:rPr>
        <w:t>19G</w:t>
      </w:r>
      <w:r>
        <w:t>.</w:t>
      </w:r>
      <w:r>
        <w:tab/>
        <w:t>Appeals against decisions under this Division</w:t>
      </w:r>
      <w:bookmarkEnd w:id="77"/>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venue under regulation 19B(7)(a);</w:t>
      </w:r>
    </w:p>
    <w:p>
      <w:pPr>
        <w:pStyle w:val="Indenta"/>
      </w:pPr>
      <w:r>
        <w:tab/>
        <w:t>(b)</w:t>
      </w:r>
      <w:r>
        <w:tab/>
        <w:t>the refusal to approve a venue under regulation 19B(7)(a);</w:t>
      </w:r>
    </w:p>
    <w:p>
      <w:pPr>
        <w:pStyle w:val="Indenta"/>
      </w:pPr>
      <w:r>
        <w:tab/>
        <w:t>(c)</w:t>
      </w:r>
      <w:r>
        <w:tab/>
        <w:t>the imposition of a condition on an approval under regulation 19B(9)(a);</w:t>
      </w:r>
    </w:p>
    <w:p>
      <w:pPr>
        <w:pStyle w:val="Indenta"/>
      </w:pPr>
      <w:r>
        <w:tab/>
        <w:t>(d)</w:t>
      </w:r>
      <w:r>
        <w:tab/>
        <w:t>the specification under regulation 19B(9)(b) of a period as the period for which the approval has effect;</w:t>
      </w:r>
    </w:p>
    <w:p>
      <w:pPr>
        <w:pStyle w:val="Indenta"/>
      </w:pPr>
      <w:r>
        <w:tab/>
        <w:t>(e)</w:t>
      </w:r>
      <w:r>
        <w:tab/>
        <w:t>the amendment of an approval under regulation 19B(7)(b);</w:t>
      </w:r>
    </w:p>
    <w:p>
      <w:pPr>
        <w:pStyle w:val="Indenta"/>
      </w:pPr>
      <w:r>
        <w:tab/>
        <w:t>(f)</w:t>
      </w:r>
      <w:r>
        <w:tab/>
        <w:t>the refusal to amend an approval under regulation 19B(7)(b);</w:t>
      </w:r>
    </w:p>
    <w:p>
      <w:pPr>
        <w:pStyle w:val="Indenta"/>
      </w:pPr>
      <w:r>
        <w:lastRenderedPageBreak/>
        <w:tab/>
        <w:t>(g)</w:t>
      </w:r>
      <w:r>
        <w:tab/>
        <w:t>the amendment of an approval under regulation 19E(1);</w:t>
      </w:r>
    </w:p>
    <w:p>
      <w:pPr>
        <w:pStyle w:val="Indenta"/>
      </w:pPr>
      <w:r>
        <w:tab/>
        <w:t>(h)</w:t>
      </w:r>
      <w:r>
        <w:tab/>
        <w:t>the revocation of an approval under regulation 19E(2).</w:t>
      </w:r>
    </w:p>
    <w:p>
      <w:pPr>
        <w:pStyle w:val="Subsection"/>
      </w:pPr>
      <w:r>
        <w:tab/>
        <w:t>(2)</w:t>
      </w:r>
      <w:r>
        <w:tab/>
        <w:t>The appeal must be lodged within 21 days of publication of notice of the decision under regulation 19F(2)(c).</w:t>
      </w:r>
    </w:p>
    <w:p>
      <w:pPr>
        <w:pStyle w:val="Subsection"/>
      </w:pPr>
      <w:r>
        <w:tab/>
        <w:t>(3)</w:t>
      </w:r>
      <w:r>
        <w:tab/>
        <w:t>Pending the determination of an appeal lodged under subregulation (1)(a), (b), (c) or (d), the decision against which that appeal is lodged continues to have effect.</w:t>
      </w:r>
    </w:p>
    <w:p>
      <w:pPr>
        <w:pStyle w:val="Subsection"/>
      </w:pPr>
      <w:r>
        <w:tab/>
        <w:t>(4)</w:t>
      </w:r>
      <w:r>
        <w:tab/>
        <w:t>Pending the determination of an appeal lodged under subregulation (1)(e), (f), (g) or (h) the decision is to be taken not to have been made.</w:t>
      </w:r>
    </w:p>
    <w:p>
      <w:pPr>
        <w:pStyle w:val="Subsection"/>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19G inserted: Gazette 5 Dec 2013 p. 5712</w:t>
      </w:r>
      <w:r>
        <w:noBreakHyphen/>
        <w:t>13.]</w:t>
      </w:r>
    </w:p>
    <w:p>
      <w:pPr>
        <w:pStyle w:val="Heading2"/>
      </w:pPr>
      <w:bookmarkStart w:id="78" w:name="_Toc173498516"/>
      <w:bookmarkStart w:id="79" w:name="_Toc173499652"/>
      <w:bookmarkStart w:id="80" w:name="_Toc173502724"/>
      <w:r>
        <w:rPr>
          <w:rStyle w:val="CharPartNo"/>
        </w:rPr>
        <w:lastRenderedPageBreak/>
        <w:t>Part 3</w:t>
      </w:r>
      <w:r>
        <w:rPr>
          <w:rStyle w:val="CharDivNo"/>
        </w:rPr>
        <w:t> </w:t>
      </w:r>
      <w:r>
        <w:t>—</w:t>
      </w:r>
      <w:r>
        <w:rPr>
          <w:rStyle w:val="CharDivText"/>
        </w:rPr>
        <w:t> </w:t>
      </w:r>
      <w:r>
        <w:rPr>
          <w:rStyle w:val="CharPartText"/>
        </w:rPr>
        <w:t>Noise measurement</w:t>
      </w:r>
      <w:bookmarkEnd w:id="78"/>
      <w:bookmarkEnd w:id="79"/>
      <w:bookmarkEnd w:id="80"/>
      <w:r>
        <w:rPr>
          <w:rStyle w:val="CharPartText"/>
        </w:rPr>
        <w:t xml:space="preserve"> </w:t>
      </w:r>
    </w:p>
    <w:p>
      <w:pPr>
        <w:pStyle w:val="Heading5"/>
        <w:rPr>
          <w:snapToGrid w:val="0"/>
        </w:rPr>
      </w:pPr>
      <w:bookmarkStart w:id="81" w:name="_Toc173502725"/>
      <w:r>
        <w:rPr>
          <w:rStyle w:val="CharSectno"/>
        </w:rPr>
        <w:t>19</w:t>
      </w:r>
      <w:r>
        <w:rPr>
          <w:snapToGrid w:val="0"/>
        </w:rPr>
        <w:t xml:space="preserve">. </w:t>
      </w:r>
      <w:r>
        <w:rPr>
          <w:snapToGrid w:val="0"/>
        </w:rPr>
        <w:tab/>
        <w:t>Place of measurement of noise</w:t>
      </w:r>
      <w:bookmarkEnd w:id="8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boundary</w:t>
      </w:r>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lastRenderedPageBreak/>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82" w:name="_Toc173502726"/>
      <w:r>
        <w:rPr>
          <w:rStyle w:val="CharSectno"/>
        </w:rPr>
        <w:t>20</w:t>
      </w:r>
      <w:r>
        <w:rPr>
          <w:snapToGrid w:val="0"/>
        </w:rPr>
        <w:t xml:space="preserve">. </w:t>
      </w:r>
      <w:r>
        <w:rPr>
          <w:snapToGrid w:val="0"/>
        </w:rPr>
        <w:tab/>
        <w:t>Measurement of noise at premises</w:t>
      </w:r>
      <w:bookmarkEnd w:id="82"/>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1 m from any open external window or door.</w:t>
      </w:r>
    </w:p>
    <w:p>
      <w:pPr>
        <w:pStyle w:val="Heading5"/>
        <w:rPr>
          <w:snapToGrid w:val="0"/>
        </w:rPr>
      </w:pPr>
      <w:bookmarkStart w:id="83" w:name="_Toc173502727"/>
      <w:r>
        <w:rPr>
          <w:rStyle w:val="CharSectno"/>
        </w:rPr>
        <w:t>21</w:t>
      </w:r>
      <w:r>
        <w:rPr>
          <w:snapToGrid w:val="0"/>
        </w:rPr>
        <w:t xml:space="preserve">. </w:t>
      </w:r>
      <w:r>
        <w:rPr>
          <w:snapToGrid w:val="0"/>
        </w:rPr>
        <w:tab/>
        <w:t>Measurement of airblast levels</w:t>
      </w:r>
      <w:bookmarkEnd w:id="83"/>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 to 1.6 m above the ground plane.</w:t>
      </w:r>
    </w:p>
    <w:p>
      <w:pPr>
        <w:pStyle w:val="Subsection"/>
        <w:rPr>
          <w:snapToGrid w:val="0"/>
        </w:rPr>
      </w:pPr>
      <w:r>
        <w:rPr>
          <w:snapToGrid w:val="0"/>
        </w:rPr>
        <w:lastRenderedPageBreak/>
        <w:tab/>
        <w:t>(3)</w:t>
      </w:r>
      <w:r>
        <w:rPr>
          <w:snapToGrid w:val="0"/>
        </w:rPr>
        <w:tab/>
        <w:t>Airblast level measurements must be made with the measuring microphone located at least 5 m from any substantial sound reflecting surface (other than the ground plane).</w:t>
      </w:r>
    </w:p>
    <w:p>
      <w:pPr>
        <w:pStyle w:val="Heading5"/>
        <w:rPr>
          <w:snapToGrid w:val="0"/>
        </w:rPr>
      </w:pPr>
      <w:bookmarkStart w:id="84" w:name="_Toc173502728"/>
      <w:r>
        <w:rPr>
          <w:rStyle w:val="CharSectno"/>
        </w:rPr>
        <w:t>22</w:t>
      </w:r>
      <w:r>
        <w:rPr>
          <w:snapToGrid w:val="0"/>
        </w:rPr>
        <w:t>.</w:t>
      </w:r>
      <w:r>
        <w:rPr>
          <w:snapToGrid w:val="0"/>
        </w:rPr>
        <w:tab/>
        <w:t>Sound measuring equipment must comply with Schedule 4</w:t>
      </w:r>
      <w:bookmarkEnd w:id="84"/>
    </w:p>
    <w:p>
      <w:pPr>
        <w:pStyle w:val="Subsection"/>
        <w:rPr>
          <w:snapToGrid w:val="0"/>
        </w:rPr>
      </w:pPr>
      <w:r>
        <w:rPr>
          <w:snapToGrid w:val="0"/>
        </w:rPr>
        <w:tab/>
        <w:t>(1)</w:t>
      </w:r>
      <w:r>
        <w:rPr>
          <w:snapToGrid w:val="0"/>
        </w:rPr>
        <w:tab/>
        <w:t xml:space="preserve">Measurement and assessment of noise emissions for the purposes of these regulations must be made with </w:t>
      </w:r>
      <w:r>
        <w:t>sound measuring equipment that is calibrated in accordance with and otherwise complies with Schedule 4.</w:t>
      </w:r>
      <w:r>
        <w:rPr>
          <w:snapToGrid w:val="0"/>
        </w:rPr>
        <w:t xml:space="preserve"> </w:t>
      </w:r>
    </w:p>
    <w:p>
      <w:pPr>
        <w:pStyle w:val="Subsection"/>
        <w:rPr>
          <w:snapToGrid w:val="0"/>
        </w:rPr>
      </w:pPr>
      <w:r>
        <w:rPr>
          <w:snapToGrid w:val="0"/>
        </w:rPr>
        <w:tab/>
        <w:t>(2)</w:t>
      </w:r>
      <w:r>
        <w:rPr>
          <w:snapToGrid w:val="0"/>
        </w:rPr>
        <w:tab/>
        <w:t>Sound measuring equipment for which a certificate has been issued under Schedule 4 clause 2(2) within the 2 year period immediately preceding the date of its use is taken to have been calibrated in accordance with Schedule 4.</w:t>
      </w:r>
    </w:p>
    <w:p>
      <w:pPr>
        <w:pStyle w:val="Footnotesection"/>
      </w:pPr>
      <w:r>
        <w:tab/>
        <w:t>[Regulation 22 inserted: Gazette 5 Dec 2013 p. 5713</w:t>
      </w:r>
      <w:r>
        <w:noBreakHyphen/>
        <w:t>14.]</w:t>
      </w:r>
    </w:p>
    <w:p>
      <w:pPr>
        <w:pStyle w:val="Heading5"/>
        <w:spacing w:before="200"/>
        <w:rPr>
          <w:snapToGrid w:val="0"/>
        </w:rPr>
      </w:pPr>
      <w:bookmarkStart w:id="85" w:name="_Toc173502729"/>
      <w:r>
        <w:rPr>
          <w:rStyle w:val="CharSectno"/>
        </w:rPr>
        <w:t>23</w:t>
      </w:r>
      <w:r>
        <w:rPr>
          <w:snapToGrid w:val="0"/>
        </w:rPr>
        <w:t xml:space="preserve">. </w:t>
      </w:r>
      <w:r>
        <w:rPr>
          <w:snapToGrid w:val="0"/>
        </w:rPr>
        <w:tab/>
        <w:t>Calibration results to be available</w:t>
      </w:r>
      <w:bookmarkEnd w:id="85"/>
      <w:r>
        <w:rPr>
          <w:snapToGrid w:val="0"/>
        </w:rPr>
        <w:t xml:space="preserve"> </w:t>
      </w:r>
    </w:p>
    <w:p>
      <w:pPr>
        <w:pStyle w:val="Subsection"/>
        <w:keepNext/>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at the CEO’s written request make those results available to the CEO.</w:t>
      </w:r>
    </w:p>
    <w:p>
      <w:pPr>
        <w:pStyle w:val="Penstart"/>
        <w:rPr>
          <w:snapToGrid w:val="0"/>
        </w:rPr>
      </w:pPr>
      <w:r>
        <w:rPr>
          <w:snapToGrid w:val="0"/>
        </w:rPr>
        <w:tab/>
        <w:t xml:space="preserve">Penalty: </w:t>
      </w:r>
      <w:r>
        <w:t>$5 000</w:t>
      </w:r>
      <w:r>
        <w:rPr>
          <w:snapToGrid w:val="0"/>
        </w:rPr>
        <w:t>.</w:t>
      </w:r>
    </w:p>
    <w:p>
      <w:pPr>
        <w:pStyle w:val="Footnotesection"/>
      </w:pPr>
      <w:r>
        <w:tab/>
        <w:t>[Regulation 23 amended: Gazette 11 Dec 1998 p. 6613; 5 Dec 2013 p. 5714.]</w:t>
      </w:r>
    </w:p>
    <w:p>
      <w:pPr>
        <w:pStyle w:val="Ednotepart"/>
      </w:pPr>
      <w:r>
        <w:t>[Part 4 (r. 24, 25) omitted under the Reprints Act 1984 s. 7(4)(e) and (f).]</w:t>
      </w:r>
    </w:p>
    <w:p>
      <w:pPr>
        <w:pStyle w:val="Ednotepart"/>
      </w:pPr>
      <w:r>
        <w:t>[Part 5 (r. 26) deleted in Gazette 5 Dec 2013 p. 5714.]</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86" w:name="_Toc173498522"/>
      <w:bookmarkStart w:id="87" w:name="_Toc173499658"/>
      <w:bookmarkStart w:id="88" w:name="_Toc173502730"/>
      <w:r>
        <w:rPr>
          <w:rStyle w:val="CharSchNo"/>
        </w:rPr>
        <w:lastRenderedPageBreak/>
        <w:t>Schedule 1</w:t>
      </w:r>
      <w:r>
        <w:t> — </w:t>
      </w:r>
      <w:r>
        <w:rPr>
          <w:rStyle w:val="CharSchText"/>
        </w:rPr>
        <w:t>Classification of premises</w:t>
      </w:r>
      <w:bookmarkEnd w:id="86"/>
      <w:bookmarkEnd w:id="87"/>
      <w:bookmarkEnd w:id="88"/>
    </w:p>
    <w:p>
      <w:pPr>
        <w:pStyle w:val="yShoulderClause"/>
      </w:pPr>
      <w:r>
        <w:t>[r. 2]</w:t>
      </w:r>
    </w:p>
    <w:p>
      <w:pPr>
        <w:pStyle w:val="yFootnoteheading"/>
      </w:pPr>
      <w:r>
        <w:tab/>
        <w:t>[Heading inserted: Gazette 5 Dec 2013 p. 5714.]</w:t>
      </w:r>
    </w:p>
    <w:p>
      <w:pPr>
        <w:pStyle w:val="yMiscellaneousHeading"/>
        <w:rPr>
          <w:b/>
        </w:rPr>
      </w:pPr>
      <w:r>
        <w:rPr>
          <w:rStyle w:val="CharSDivNo"/>
          <w:b/>
        </w:rPr>
        <w:t>Part A</w:t>
      </w:r>
      <w:r>
        <w:rPr>
          <w:b/>
        </w:rPr>
        <w:t> — </w:t>
      </w:r>
      <w:r>
        <w:rPr>
          <w:rStyle w:val="CharSDivText"/>
          <w:b/>
        </w:rPr>
        <w:t>Industrial and utility premises</w:t>
      </w:r>
    </w:p>
    <w:p>
      <w:pPr>
        <w:pStyle w:val="yMiscellaneousBody"/>
        <w:ind w:left="720" w:hanging="720"/>
        <w:rPr>
          <w:snapToGrid w:val="0"/>
        </w:rPr>
      </w:pPr>
      <w:r>
        <w:rPr>
          <w:snapToGrid w:val="0"/>
        </w:rPr>
        <w:t>1.</w:t>
      </w:r>
      <w:r>
        <w:rPr>
          <w:snapToGrid w:val="0"/>
        </w:rPr>
        <w:tab/>
        <w:t>Premises used for the purpose of providing sewerage, electricity, gas, drainage, passenger transport or other similar services.</w:t>
      </w:r>
    </w:p>
    <w:p>
      <w:pPr>
        <w:pStyle w:val="yMiscellaneousBody"/>
        <w:ind w:left="720" w:hanging="720"/>
        <w:rPr>
          <w:snapToGrid w:val="0"/>
        </w:rPr>
      </w:pPr>
      <w:r>
        <w:rPr>
          <w:snapToGrid w:val="0"/>
        </w:rPr>
        <w:t>2A.</w:t>
      </w:r>
      <w:r>
        <w:rPr>
          <w:snapToGrid w:val="0"/>
        </w:rPr>
        <w:tab/>
        <w:t>Premises used for the purpose of providing water other than a water storage dam or catchment for a water storage dam.</w:t>
      </w:r>
    </w:p>
    <w:p>
      <w:pPr>
        <w:pStyle w:val="yMiscellaneousBody"/>
        <w:ind w:left="720" w:hanging="720"/>
        <w:rPr>
          <w:snapToGrid w:val="0"/>
        </w:rPr>
      </w:pPr>
      <w:r>
        <w:rPr>
          <w:snapToGrid w:val="0"/>
        </w:rPr>
        <w:t xml:space="preserve">2. </w:t>
      </w:r>
      <w:r>
        <w:rPr>
          <w:snapToGrid w:val="0"/>
        </w:rPr>
        <w:tab/>
        <w:t>Premises used by aircraft or ships or as a freight yard.</w:t>
      </w:r>
    </w:p>
    <w:p>
      <w:pPr>
        <w:pStyle w:val="yMiscellaneousBody"/>
        <w:ind w:left="720" w:hanging="720"/>
        <w:rPr>
          <w:snapToGrid w:val="0"/>
        </w:rPr>
      </w:pPr>
      <w:r>
        <w:rPr>
          <w:snapToGrid w:val="0"/>
        </w:rPr>
        <w:t xml:space="preserve">3. </w:t>
      </w:r>
      <w:r>
        <w:rPr>
          <w:snapToGrid w:val="0"/>
        </w:rPr>
        <w:tab/>
        <w:t>Premises used for the carrying out of any process for and incidental to — </w:t>
      </w:r>
    </w:p>
    <w:p>
      <w:pPr>
        <w:pStyle w:val="yMiscellaneousBody"/>
        <w:tabs>
          <w:tab w:val="left" w:pos="1276"/>
        </w:tabs>
        <w:ind w:left="720" w:hanging="720"/>
        <w:rPr>
          <w:snapToGrid w:val="0"/>
        </w:rPr>
      </w:pPr>
      <w:r>
        <w:rPr>
          <w:snapToGrid w:val="0"/>
        </w:rPr>
        <w:tab/>
        <w:t>(a)</w:t>
      </w:r>
      <w:r>
        <w:rPr>
          <w:snapToGrid w:val="0"/>
        </w:rPr>
        <w:tab/>
        <w:t>production, processing or manufacture; or</w:t>
      </w:r>
    </w:p>
    <w:p>
      <w:pPr>
        <w:pStyle w:val="yMiscellaneousBody"/>
        <w:tabs>
          <w:tab w:val="left" w:pos="1276"/>
        </w:tabs>
        <w:ind w:left="720" w:hanging="720"/>
        <w:rPr>
          <w:snapToGrid w:val="0"/>
        </w:rPr>
      </w:pPr>
      <w:r>
        <w:rPr>
          <w:snapToGrid w:val="0"/>
        </w:rPr>
        <w:tab/>
        <w:t>(b)</w:t>
      </w:r>
      <w:r>
        <w:rPr>
          <w:snapToGrid w:val="0"/>
        </w:rPr>
        <w:tab/>
        <w:t>dismantling or breaking up equipment; or</w:t>
      </w:r>
    </w:p>
    <w:p>
      <w:pPr>
        <w:pStyle w:val="yMiscellaneousBody"/>
        <w:tabs>
          <w:tab w:val="left" w:pos="709"/>
          <w:tab w:val="left" w:pos="1276"/>
        </w:tabs>
        <w:ind w:left="1276" w:hanging="1276"/>
        <w:rPr>
          <w:snapToGrid w:val="0"/>
        </w:rPr>
      </w:pPr>
      <w:r>
        <w:rPr>
          <w:snapToGrid w:val="0"/>
        </w:rPr>
        <w:tab/>
        <w:t>(c)</w:t>
      </w:r>
      <w:r>
        <w:rPr>
          <w:snapToGrid w:val="0"/>
        </w:rPr>
        <w:tab/>
        <w:t>repairing, laundering and servicing of equipment and buildings, but not including on</w:t>
      </w:r>
      <w:r>
        <w:rPr>
          <w:snapToGrid w:val="0"/>
        </w:rPr>
        <w:noBreakHyphen/>
        <w:t>site work on buildings; or</w:t>
      </w:r>
    </w:p>
    <w:p>
      <w:pPr>
        <w:pStyle w:val="yMiscellaneousBody"/>
        <w:tabs>
          <w:tab w:val="left" w:pos="1276"/>
        </w:tabs>
        <w:ind w:left="720" w:hanging="720"/>
        <w:rPr>
          <w:snapToGrid w:val="0"/>
        </w:rPr>
      </w:pPr>
      <w:r>
        <w:rPr>
          <w:snapToGrid w:val="0"/>
        </w:rPr>
        <w:tab/>
        <w:t>(d)</w:t>
      </w:r>
      <w:r>
        <w:rPr>
          <w:snapToGrid w:val="0"/>
        </w:rPr>
        <w:tab/>
        <w:t>packaging; or</w:t>
      </w:r>
    </w:p>
    <w:p>
      <w:pPr>
        <w:pStyle w:val="yMiscellaneousBody"/>
        <w:tabs>
          <w:tab w:val="left" w:pos="709"/>
          <w:tab w:val="left" w:pos="1276"/>
        </w:tabs>
        <w:ind w:left="1276" w:hanging="1276"/>
        <w:rPr>
          <w:snapToGrid w:val="0"/>
        </w:rPr>
      </w:pPr>
      <w:r>
        <w:rPr>
          <w:snapToGrid w:val="0"/>
        </w:rPr>
        <w:tab/>
        <w:t>(e)</w:t>
      </w:r>
      <w:r>
        <w:rPr>
          <w:snapToGrid w:val="0"/>
        </w:rPr>
        <w:tab/>
        <w:t>outdoor storage not in association with any other activity on the site, but not including a vehicle sales yard; or</w:t>
      </w:r>
    </w:p>
    <w:p>
      <w:pPr>
        <w:pStyle w:val="yMiscellaneousBody"/>
        <w:tabs>
          <w:tab w:val="left" w:pos="1276"/>
        </w:tabs>
        <w:ind w:left="720" w:hanging="720"/>
        <w:rPr>
          <w:snapToGrid w:val="0"/>
        </w:rPr>
      </w:pPr>
      <w:r>
        <w:rPr>
          <w:snapToGrid w:val="0"/>
        </w:rPr>
        <w:tab/>
        <w:t>(f)</w:t>
      </w:r>
      <w:r>
        <w:rPr>
          <w:snapToGrid w:val="0"/>
        </w:rPr>
        <w:tab/>
        <w:t>printing.</w:t>
      </w:r>
    </w:p>
    <w:p>
      <w:pPr>
        <w:pStyle w:val="yMiscellaneousBody"/>
        <w:ind w:left="720" w:hanging="720"/>
        <w:rPr>
          <w:snapToGrid w:val="0"/>
        </w:rPr>
      </w:pPr>
      <w:r>
        <w:rPr>
          <w:snapToGrid w:val="0"/>
        </w:rPr>
        <w:t xml:space="preserve">4. </w:t>
      </w:r>
      <w:r>
        <w:rPr>
          <w:snapToGrid w:val="0"/>
        </w:rPr>
        <w:tab/>
        <w:t xml:space="preserve">A mine within the meaning of the </w:t>
      </w:r>
      <w:r>
        <w:rPr>
          <w:i/>
          <w:snapToGrid w:val="0"/>
        </w:rPr>
        <w:t>Mines Safety and Inspection Act 1994</w:t>
      </w:r>
      <w:r>
        <w:rPr>
          <w:snapToGrid w:val="0"/>
        </w:rPr>
        <w:t xml:space="preserve">. </w:t>
      </w:r>
    </w:p>
    <w:p>
      <w:pPr>
        <w:pStyle w:val="yMiscellaneousBody"/>
        <w:ind w:left="720" w:hanging="720"/>
        <w:rPr>
          <w:snapToGrid w:val="0"/>
        </w:rPr>
      </w:pPr>
      <w:r>
        <w:rPr>
          <w:snapToGrid w:val="0"/>
        </w:rPr>
        <w:t xml:space="preserve">5. </w:t>
      </w:r>
      <w:r>
        <w:rPr>
          <w:snapToGrid w:val="0"/>
        </w:rPr>
        <w:tab/>
        <w:t>Without limiting item 4, any premises used for sand, gravel, clay, limestone, or rock excavation.</w:t>
      </w:r>
    </w:p>
    <w:p>
      <w:pPr>
        <w:pStyle w:val="yMiscellaneousBody"/>
        <w:ind w:left="720" w:hanging="720"/>
        <w:rPr>
          <w:snapToGrid w:val="0"/>
        </w:rPr>
      </w:pPr>
      <w:r>
        <w:rPr>
          <w:snapToGrid w:val="0"/>
        </w:rPr>
        <w:t xml:space="preserve">6. </w:t>
      </w:r>
      <w:r>
        <w:rPr>
          <w:snapToGrid w:val="0"/>
        </w:rPr>
        <w:tab/>
        <w:t>Waste disposal sites and premises used for carrying out any process for and incidental to the treatment of waste.</w:t>
      </w:r>
    </w:p>
    <w:p>
      <w:pPr>
        <w:pStyle w:val="yMiscellaneousBody"/>
        <w:ind w:left="720" w:hanging="720"/>
        <w:rPr>
          <w:snapToGrid w:val="0"/>
        </w:rPr>
      </w:pPr>
      <w:r>
        <w:rPr>
          <w:snapToGrid w:val="0"/>
        </w:rPr>
        <w:t xml:space="preserve">7. </w:t>
      </w:r>
      <w:r>
        <w:rPr>
          <w:snapToGrid w:val="0"/>
        </w:rPr>
        <w:tab/>
        <w:t xml:space="preserve">Grounds, administrative premises, and premises or parts of premises used for the personal comfort, convenience or enjoyment of leisure of employees, or persons otherwise engaged in the conduct of an industry </w:t>
      </w:r>
      <w:r>
        <w:rPr>
          <w:snapToGrid w:val="0"/>
        </w:rPr>
        <w:lastRenderedPageBreak/>
        <w:t>or utility, where those premises are attached to or form part of premises referred to in this Part.</w:t>
      </w:r>
    </w:p>
    <w:p>
      <w:pPr>
        <w:pStyle w:val="yMiscellaneousBody"/>
        <w:ind w:left="720" w:hanging="720"/>
        <w:rPr>
          <w:snapToGrid w:val="0"/>
        </w:rPr>
      </w:pPr>
      <w:r>
        <w:rPr>
          <w:snapToGrid w:val="0"/>
        </w:rPr>
        <w:t xml:space="preserve">8. </w:t>
      </w:r>
      <w:r>
        <w:rPr>
          <w:snapToGrid w:val="0"/>
        </w:rPr>
        <w:tab/>
        <w:t>Caretaker’s and like residences attached to or forming part of premises referred to in this Part.</w:t>
      </w:r>
    </w:p>
    <w:p>
      <w:pPr>
        <w:pStyle w:val="yFootnotesection"/>
      </w:pPr>
      <w:r>
        <w:tab/>
        <w:t>[Part A amended: Gazette 5 Dec 2013 p. 5714</w:t>
      </w:r>
      <w:r>
        <w:noBreakHyphen/>
        <w:t>15.]</w:t>
      </w:r>
    </w:p>
    <w:p>
      <w:pPr>
        <w:pStyle w:val="yMiscellaneousHeading"/>
        <w:rPr>
          <w:b/>
        </w:rPr>
      </w:pPr>
      <w:r>
        <w:rPr>
          <w:rStyle w:val="CharSDivNo"/>
          <w:b/>
        </w:rPr>
        <w:t>Part B</w:t>
      </w:r>
      <w:r>
        <w:rPr>
          <w:b/>
        </w:rPr>
        <w:t> — </w:t>
      </w:r>
      <w:r>
        <w:rPr>
          <w:rStyle w:val="CharSDivText"/>
          <w:b/>
        </w:rPr>
        <w:t>Commercial premises</w:t>
      </w:r>
    </w:p>
    <w:p>
      <w:pPr>
        <w:pStyle w:val="yMiscellaneousBody"/>
        <w:ind w:left="720" w:hanging="720"/>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MiscellaneousBody"/>
        <w:ind w:left="720" w:hanging="720"/>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MiscellaneousBody"/>
        <w:ind w:left="720" w:hanging="720"/>
        <w:rPr>
          <w:snapToGrid w:val="0"/>
        </w:rPr>
      </w:pPr>
      <w:r>
        <w:rPr>
          <w:snapToGrid w:val="0"/>
        </w:rPr>
        <w:t xml:space="preserve">3. </w:t>
      </w:r>
      <w:r>
        <w:rPr>
          <w:snapToGrid w:val="0"/>
        </w:rPr>
        <w:tab/>
        <w:t>Premises in or from which meals or food are sold to the public.</w:t>
      </w:r>
    </w:p>
    <w:p>
      <w:pPr>
        <w:pStyle w:val="yMiscellaneousBody"/>
        <w:ind w:left="720" w:hanging="720"/>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MiscellaneousBody"/>
        <w:ind w:left="720" w:hanging="720"/>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MiscellaneousBody"/>
        <w:ind w:left="720" w:hanging="720"/>
        <w:rPr>
          <w:snapToGrid w:val="0"/>
        </w:rPr>
      </w:pPr>
      <w:r>
        <w:rPr>
          <w:snapToGrid w:val="0"/>
        </w:rPr>
        <w:t xml:space="preserve">6. </w:t>
      </w:r>
      <w:r>
        <w:rPr>
          <w:snapToGrid w:val="0"/>
        </w:rPr>
        <w:tab/>
        <w:t xml:space="preserve">Premises used principally to provide entertainment or amusement by the use of mechanical amusement </w:t>
      </w:r>
      <w:r>
        <w:t>structures.</w:t>
      </w:r>
    </w:p>
    <w:p>
      <w:pPr>
        <w:pStyle w:val="yMiscellaneousBody"/>
        <w:ind w:left="720" w:hanging="720"/>
        <w:rPr>
          <w:snapToGrid w:val="0"/>
        </w:rPr>
      </w:pPr>
      <w:r>
        <w:rPr>
          <w:snapToGrid w:val="0"/>
        </w:rPr>
        <w:t xml:space="preserve">7. </w:t>
      </w:r>
      <w:r>
        <w:rPr>
          <w:snapToGrid w:val="0"/>
        </w:rPr>
        <w:tab/>
        <w:t>Taverns, hotels, club premises and reception lodges which do not provide accommodation for the public.</w:t>
      </w:r>
    </w:p>
    <w:p>
      <w:pPr>
        <w:pStyle w:val="yMiscellaneousBody"/>
        <w:ind w:left="720" w:hanging="720"/>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MiscellaneousBody"/>
        <w:ind w:left="720" w:hanging="720"/>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MiscellaneousBody"/>
        <w:ind w:left="720" w:hanging="720"/>
        <w:rPr>
          <w:snapToGrid w:val="0"/>
        </w:rPr>
      </w:pPr>
      <w:r>
        <w:rPr>
          <w:snapToGrid w:val="0"/>
        </w:rPr>
        <w:t xml:space="preserve">10. </w:t>
      </w:r>
      <w:r>
        <w:rPr>
          <w:snapToGrid w:val="0"/>
        </w:rPr>
        <w:tab/>
        <w:t>Premises used principally for meetings of community, professional, business, social or cultural groups.</w:t>
      </w:r>
    </w:p>
    <w:p>
      <w:pPr>
        <w:pStyle w:val="yMiscellaneousBody"/>
        <w:ind w:left="720" w:hanging="720"/>
        <w:rPr>
          <w:snapToGrid w:val="0"/>
        </w:rPr>
      </w:pPr>
      <w:r>
        <w:rPr>
          <w:snapToGrid w:val="0"/>
        </w:rPr>
        <w:lastRenderedPageBreak/>
        <w:t xml:space="preserve">11. </w:t>
      </w:r>
      <w:r>
        <w:rPr>
          <w:snapToGrid w:val="0"/>
        </w:rPr>
        <w:tab/>
        <w:t>Premises used for the carrying out of any process of and incidental to testing or analysis of articles, goods or materials.</w:t>
      </w:r>
    </w:p>
    <w:p>
      <w:pPr>
        <w:pStyle w:val="yMiscellaneousBody"/>
        <w:ind w:left="720" w:hanging="720"/>
        <w:rPr>
          <w:snapToGrid w:val="0"/>
        </w:rPr>
      </w:pPr>
      <w:r>
        <w:rPr>
          <w:snapToGrid w:val="0"/>
        </w:rPr>
        <w:t xml:space="preserve">12. </w:t>
      </w:r>
      <w:r>
        <w:rPr>
          <w:snapToGrid w:val="0"/>
        </w:rPr>
        <w:tab/>
        <w:t>Veterinary clinics and premises, other than rural premises, used for the care, boarding or breeding of animals.</w:t>
      </w:r>
    </w:p>
    <w:p>
      <w:pPr>
        <w:pStyle w:val="yMiscellaneousBody"/>
        <w:ind w:left="720" w:hanging="720"/>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MiscellaneousBody"/>
        <w:rPr>
          <w:snapToGrid w:val="0"/>
        </w:rPr>
      </w:pPr>
      <w:r>
        <w:rPr>
          <w:snapToGrid w:val="0"/>
        </w:rPr>
        <w:t>14.</w:t>
      </w:r>
      <w:r>
        <w:rPr>
          <w:snapToGrid w:val="0"/>
        </w:rPr>
        <w:tab/>
      </w:r>
      <w:r>
        <w:t>P</w:t>
      </w:r>
      <w:r>
        <w:rPr>
          <w:snapToGrid w:val="0"/>
        </w:rPr>
        <w:t>remises used for the purpose of providing communications.</w:t>
      </w:r>
    </w:p>
    <w:p>
      <w:pPr>
        <w:pStyle w:val="yMiscellaneousBody"/>
        <w:ind w:left="720" w:hanging="720"/>
        <w:rPr>
          <w:snapToGrid w:val="0"/>
        </w:rPr>
      </w:pPr>
      <w:r>
        <w:rPr>
          <w:snapToGrid w:val="0"/>
        </w:rPr>
        <w:t xml:space="preserve">15. </w:t>
      </w:r>
      <w:r>
        <w:rPr>
          <w:snapToGrid w:val="0"/>
        </w:rPr>
        <w:tab/>
        <w:t>Caretaker’s and like residential premises attached to or forming part of premises referred to in this Part.</w:t>
      </w:r>
    </w:p>
    <w:p>
      <w:pPr>
        <w:pStyle w:val="yFootnotesection"/>
      </w:pPr>
      <w:r>
        <w:tab/>
        <w:t>[Part B amended: Gazette 5 Dec 2013 p. 5715; SL 2022/25 r. 7.]</w:t>
      </w:r>
    </w:p>
    <w:p>
      <w:pPr>
        <w:pStyle w:val="yMiscellaneousHeading"/>
        <w:rPr>
          <w:b/>
        </w:rPr>
      </w:pPr>
      <w:r>
        <w:rPr>
          <w:rStyle w:val="CharSDivNo"/>
          <w:b/>
        </w:rPr>
        <w:t>Part C</w:t>
      </w:r>
      <w:r>
        <w:rPr>
          <w:b/>
        </w:rPr>
        <w:t> — </w:t>
      </w:r>
      <w:r>
        <w:rPr>
          <w:rStyle w:val="CharSDivText"/>
          <w:b/>
        </w:rPr>
        <w:t>Noise sensitive premises</w:t>
      </w:r>
    </w:p>
    <w:p>
      <w:pPr>
        <w:pStyle w:val="yFootnoteheading"/>
      </w:pPr>
      <w:r>
        <w:tab/>
        <w:t>[Heading inserted: Gazette 5 Dec 2013 p. 5715.]</w:t>
      </w:r>
    </w:p>
    <w:p>
      <w:pPr>
        <w:pStyle w:val="yMiscellaneousBody"/>
        <w:ind w:left="720" w:hanging="720"/>
        <w:rPr>
          <w:snapToGrid w:val="0"/>
        </w:rPr>
      </w:pPr>
      <w:r>
        <w:rPr>
          <w:snapToGrid w:val="0"/>
        </w:rPr>
        <w:t xml:space="preserve">1. </w:t>
      </w:r>
      <w:r>
        <w:rPr>
          <w:snapToGrid w:val="0"/>
        </w:rPr>
        <w:tab/>
        <w:t>Premises occupied solely or mainly for residential or accommodation purposes.</w:t>
      </w:r>
    </w:p>
    <w:p>
      <w:pPr>
        <w:pStyle w:val="yMiscellaneousBody"/>
        <w:ind w:left="720" w:hanging="720"/>
        <w:rPr>
          <w:snapToGrid w:val="0"/>
        </w:rPr>
      </w:pPr>
      <w:r>
        <w:rPr>
          <w:snapToGrid w:val="0"/>
        </w:rPr>
        <w:t xml:space="preserve">2. </w:t>
      </w:r>
      <w:r>
        <w:rPr>
          <w:snapToGrid w:val="0"/>
        </w:rPr>
        <w:tab/>
        <w:t>Rural premises.</w:t>
      </w:r>
    </w:p>
    <w:p>
      <w:pPr>
        <w:pStyle w:val="yMiscellaneousBody"/>
        <w:ind w:left="720" w:hanging="720"/>
        <w:rPr>
          <w:snapToGrid w:val="0"/>
        </w:rPr>
      </w:pPr>
      <w:r>
        <w:rPr>
          <w:snapToGrid w:val="0"/>
        </w:rPr>
        <w:t xml:space="preserve">3. </w:t>
      </w:r>
      <w:r>
        <w:rPr>
          <w:snapToGrid w:val="0"/>
        </w:rPr>
        <w:tab/>
        <w:t>Premises used for the purpose of — </w:t>
      </w:r>
    </w:p>
    <w:p>
      <w:pPr>
        <w:pStyle w:val="yMiscellaneousBody"/>
        <w:tabs>
          <w:tab w:val="left" w:pos="709"/>
          <w:tab w:val="left" w:pos="1276"/>
        </w:tabs>
        <w:rPr>
          <w:snapToGrid w:val="0"/>
        </w:rPr>
      </w:pPr>
      <w:r>
        <w:rPr>
          <w:snapToGrid w:val="0"/>
        </w:rPr>
        <w:tab/>
        <w:t>(a)</w:t>
      </w:r>
      <w:r>
        <w:rPr>
          <w:snapToGrid w:val="0"/>
        </w:rPr>
        <w:tab/>
        <w:t>a caravan park or camping ground; or</w:t>
      </w:r>
    </w:p>
    <w:p>
      <w:pPr>
        <w:pStyle w:val="yMiscellaneousBody"/>
        <w:tabs>
          <w:tab w:val="left" w:pos="709"/>
          <w:tab w:val="left" w:pos="1276"/>
        </w:tabs>
        <w:ind w:left="1276" w:hanging="1276"/>
        <w:rPr>
          <w:snapToGrid w:val="0"/>
        </w:rPr>
      </w:pPr>
      <w:r>
        <w:rPr>
          <w:snapToGrid w:val="0"/>
        </w:rPr>
        <w:tab/>
        <w:t>(b)</w:t>
      </w:r>
      <w:r>
        <w:rPr>
          <w:snapToGrid w:val="0"/>
        </w:rPr>
        <w:tab/>
        <w:t>a hospital having accommodation for less than 150 in</w:t>
      </w:r>
      <w:r>
        <w:rPr>
          <w:snapToGrid w:val="0"/>
        </w:rPr>
        <w:noBreakHyphen/>
        <w:t>patients; or</w:t>
      </w:r>
    </w:p>
    <w:p>
      <w:pPr>
        <w:pStyle w:val="yMiscellaneousBody"/>
        <w:tabs>
          <w:tab w:val="left" w:pos="709"/>
          <w:tab w:val="left" w:pos="1276"/>
        </w:tabs>
        <w:ind w:left="1276" w:hanging="1276"/>
        <w:rPr>
          <w:snapToGrid w:val="0"/>
        </w:rPr>
      </w:pPr>
      <w:r>
        <w:rPr>
          <w:snapToGrid w:val="0"/>
        </w:rPr>
        <w:tab/>
        <w:t>(c)</w:t>
      </w:r>
      <w:r>
        <w:rPr>
          <w:snapToGrid w:val="0"/>
        </w:rPr>
        <w:tab/>
        <w:t>a sanatorium, home or institution for care of persons, a rehabilitation centre, home or institution for persons requiring medical or rehabilitative treatment; or</w:t>
      </w:r>
    </w:p>
    <w:p>
      <w:pPr>
        <w:pStyle w:val="yMiscellaneousBody"/>
        <w:tabs>
          <w:tab w:val="left" w:pos="709"/>
          <w:tab w:val="left" w:pos="1276"/>
        </w:tabs>
        <w:ind w:left="1276" w:hanging="1276"/>
        <w:rPr>
          <w:snapToGrid w:val="0"/>
        </w:rPr>
      </w:pPr>
      <w:r>
        <w:rPr>
          <w:snapToGrid w:val="0"/>
        </w:rPr>
        <w:tab/>
        <w:t>(d)</w:t>
      </w:r>
      <w:r>
        <w:rPr>
          <w:snapToGrid w:val="0"/>
        </w:rPr>
        <w:tab/>
        <w:t>education — school, college, university, technical institute, academy or other educational centre, lecture hall or other premises used for the purpose of instruction; or</w:t>
      </w:r>
    </w:p>
    <w:p>
      <w:pPr>
        <w:pStyle w:val="yMiscellaneousBody"/>
        <w:tabs>
          <w:tab w:val="left" w:pos="709"/>
          <w:tab w:val="left" w:pos="1276"/>
        </w:tabs>
        <w:rPr>
          <w:snapToGrid w:val="0"/>
        </w:rPr>
      </w:pPr>
      <w:r>
        <w:rPr>
          <w:snapToGrid w:val="0"/>
        </w:rPr>
        <w:tab/>
        <w:t>(e)</w:t>
      </w:r>
      <w:r>
        <w:rPr>
          <w:snapToGrid w:val="0"/>
        </w:rPr>
        <w:tab/>
        <w:t>public worship; or</w:t>
      </w:r>
    </w:p>
    <w:p>
      <w:pPr>
        <w:pStyle w:val="yMiscellaneousBody"/>
        <w:tabs>
          <w:tab w:val="left" w:pos="709"/>
          <w:tab w:val="left" w:pos="1276"/>
        </w:tabs>
        <w:rPr>
          <w:snapToGrid w:val="0"/>
        </w:rPr>
      </w:pPr>
      <w:r>
        <w:rPr>
          <w:snapToGrid w:val="0"/>
        </w:rPr>
        <w:tab/>
        <w:t>(f)</w:t>
      </w:r>
      <w:r>
        <w:rPr>
          <w:snapToGrid w:val="0"/>
        </w:rPr>
        <w:tab/>
        <w:t xml:space="preserve">a tavern, hotel, club premises, reception lodge or other premises </w:t>
      </w:r>
      <w:r>
        <w:rPr>
          <w:snapToGrid w:val="0"/>
        </w:rPr>
        <w:tab/>
      </w:r>
      <w:r>
        <w:rPr>
          <w:snapToGrid w:val="0"/>
        </w:rPr>
        <w:tab/>
        <w:t>which provides accommodation for the public; or</w:t>
      </w:r>
    </w:p>
    <w:p>
      <w:pPr>
        <w:pStyle w:val="yMiscellaneousBody"/>
        <w:tabs>
          <w:tab w:val="left" w:pos="709"/>
          <w:tab w:val="left" w:pos="1276"/>
        </w:tabs>
        <w:rPr>
          <w:snapToGrid w:val="0"/>
        </w:rPr>
      </w:pPr>
      <w:r>
        <w:rPr>
          <w:snapToGrid w:val="0"/>
        </w:rPr>
        <w:lastRenderedPageBreak/>
        <w:tab/>
        <w:t>(g)</w:t>
      </w:r>
      <w:r>
        <w:rPr>
          <w:snapToGrid w:val="0"/>
        </w:rPr>
        <w:tab/>
        <w:t>aged care; or</w:t>
      </w:r>
    </w:p>
    <w:p>
      <w:pPr>
        <w:pStyle w:val="yMiscellaneousBody"/>
        <w:tabs>
          <w:tab w:val="left" w:pos="709"/>
          <w:tab w:val="left" w:pos="1276"/>
        </w:tabs>
        <w:rPr>
          <w:snapToGrid w:val="0"/>
        </w:rPr>
      </w:pPr>
      <w:r>
        <w:rPr>
          <w:snapToGrid w:val="0"/>
        </w:rPr>
        <w:tab/>
        <w:t>(h)</w:t>
      </w:r>
      <w:r>
        <w:rPr>
          <w:snapToGrid w:val="0"/>
        </w:rPr>
        <w:tab/>
        <w:t>child care; or</w:t>
      </w:r>
    </w:p>
    <w:p>
      <w:pPr>
        <w:pStyle w:val="yMiscellaneousBody"/>
        <w:tabs>
          <w:tab w:val="left" w:pos="709"/>
          <w:tab w:val="left" w:pos="1276"/>
        </w:tabs>
        <w:rPr>
          <w:snapToGrid w:val="0"/>
        </w:rPr>
      </w:pPr>
      <w:r>
        <w:rPr>
          <w:snapToGrid w:val="0"/>
        </w:rPr>
        <w:tab/>
        <w:t>(i)</w:t>
      </w:r>
      <w:r>
        <w:rPr>
          <w:snapToGrid w:val="0"/>
        </w:rPr>
        <w:tab/>
        <w:t xml:space="preserve">a prison or detention </w:t>
      </w:r>
      <w:r>
        <w:rPr>
          <w:szCs w:val="22"/>
        </w:rPr>
        <w:t>centre; or</w:t>
      </w:r>
    </w:p>
    <w:p>
      <w:pPr>
        <w:pStyle w:val="yMiscellaneousBody"/>
        <w:tabs>
          <w:tab w:val="left" w:pos="709"/>
          <w:tab w:val="left" w:pos="1276"/>
        </w:tabs>
        <w:rPr>
          <w:snapToGrid w:val="0"/>
        </w:rPr>
      </w:pPr>
      <w:r>
        <w:rPr>
          <w:snapToGrid w:val="0"/>
        </w:rPr>
        <w:tab/>
        <w:t>(j)</w:t>
      </w:r>
      <w:r>
        <w:rPr>
          <w:snapToGrid w:val="0"/>
        </w:rPr>
        <w:tab/>
        <w:t>a water storage dam or a catchment for a water storage dam.</w:t>
      </w:r>
    </w:p>
    <w:p>
      <w:pPr>
        <w:pStyle w:val="yMiscellaneousBody"/>
        <w:rPr>
          <w:snapToGrid w:val="0"/>
        </w:rPr>
      </w:pPr>
      <w:r>
        <w:rPr>
          <w:snapToGrid w:val="0"/>
        </w:rPr>
        <w:t xml:space="preserve">4. </w:t>
      </w:r>
      <w:r>
        <w:rPr>
          <w:snapToGrid w:val="0"/>
        </w:rPr>
        <w:tab/>
        <w:t>Any other premises not referred to in Part A or Part B of this Schedule.</w:t>
      </w:r>
    </w:p>
    <w:p>
      <w:pPr>
        <w:pStyle w:val="yFootnotesection"/>
      </w:pPr>
      <w:r>
        <w:tab/>
        <w:t>[Part C amended: Gazette 5 Dec 2013 p. 5715</w:t>
      </w:r>
      <w:r>
        <w:noBreakHyphen/>
        <w:t>16.]</w:t>
      </w:r>
    </w:p>
    <w:p>
      <w:pPr>
        <w:pStyle w:val="yScheduleHeading"/>
      </w:pPr>
      <w:bookmarkStart w:id="89" w:name="_Toc173498523"/>
      <w:bookmarkStart w:id="90" w:name="_Toc173499659"/>
      <w:bookmarkStart w:id="91" w:name="_Toc173502731"/>
      <w:r>
        <w:rPr>
          <w:rStyle w:val="CharSchNo"/>
        </w:rPr>
        <w:lastRenderedPageBreak/>
        <w:t>Schedule 2</w:t>
      </w:r>
      <w:r>
        <w:rPr>
          <w:rStyle w:val="CharSDivNo"/>
        </w:rPr>
        <w:t> </w:t>
      </w:r>
      <w:r>
        <w:t>—</w:t>
      </w:r>
      <w:r>
        <w:rPr>
          <w:rStyle w:val="CharSDivText"/>
        </w:rPr>
        <w:t> </w:t>
      </w:r>
      <w:r>
        <w:rPr>
          <w:rStyle w:val="CharSchText"/>
        </w:rPr>
        <w:t>Community noise</w:t>
      </w:r>
      <w:bookmarkEnd w:id="89"/>
      <w:bookmarkEnd w:id="90"/>
      <w:bookmarkEnd w:id="91"/>
    </w:p>
    <w:p>
      <w:pPr>
        <w:pStyle w:val="yShoulderClause"/>
      </w:pPr>
      <w:r>
        <w:t>[r. 16]</w:t>
      </w:r>
    </w:p>
    <w:p>
      <w:pPr>
        <w:pStyle w:val="yFootnoteheading"/>
        <w:rPr>
          <w:snapToGrid w:val="0"/>
        </w:rPr>
      </w:pPr>
      <w:r>
        <w:tab/>
        <w:t>[Heading inserted: Gazette 5 Dec 2013 p. 5716.]</w:t>
      </w:r>
    </w:p>
    <w:p>
      <w:pPr>
        <w:pStyle w:val="yTable"/>
        <w:tabs>
          <w:tab w:val="left" w:pos="1276"/>
        </w:tabs>
        <w:rPr>
          <w:b/>
          <w:snapToGrid w:val="0"/>
        </w:rPr>
      </w:pPr>
      <w:r>
        <w:rPr>
          <w:b/>
          <w:snapToGrid w:val="0"/>
        </w:rPr>
        <w:t>Item</w:t>
      </w:r>
      <w:r>
        <w:rPr>
          <w:b/>
          <w:snapToGrid w:val="0"/>
        </w:rPr>
        <w:tab/>
        <w:t xml:space="preserve">Activity </w:t>
      </w:r>
    </w:p>
    <w:p>
      <w:pPr>
        <w:pStyle w:val="yTable"/>
        <w:spacing w:before="120"/>
        <w:ind w:left="567" w:hanging="567"/>
        <w:rPr>
          <w:snapToGrid w:val="0"/>
        </w:rPr>
      </w:pPr>
      <w:r>
        <w:rPr>
          <w:snapToGrid w:val="0"/>
        </w:rPr>
        <w:t xml:space="preserve">1. </w:t>
      </w:r>
      <w:r>
        <w:rPr>
          <w:snapToGrid w:val="0"/>
        </w:rPr>
        <w:tab/>
        <w:t>Noise emitted by spectators at a sporting activity that is — </w:t>
      </w:r>
    </w:p>
    <w:p>
      <w:pPr>
        <w:pStyle w:val="yTable"/>
        <w:spacing w:before="120"/>
        <w:ind w:left="1134" w:hanging="567"/>
        <w:rPr>
          <w:snapToGrid w:val="0"/>
        </w:rPr>
      </w:pPr>
      <w:r>
        <w:rPr>
          <w:snapToGrid w:val="0"/>
        </w:rPr>
        <w:t>(a)</w:t>
      </w:r>
      <w:r>
        <w:rPr>
          <w:snapToGrid w:val="0"/>
        </w:rPr>
        <w:tab/>
        <w:t>arranged by a sporting organization; or</w:t>
      </w:r>
    </w:p>
    <w:p>
      <w:pPr>
        <w:pStyle w:val="yTable"/>
        <w:spacing w:before="120"/>
        <w:ind w:left="1134" w:hanging="567"/>
        <w:rPr>
          <w:snapToGrid w:val="0"/>
        </w:rPr>
      </w:pPr>
      <w:r>
        <w:rPr>
          <w:snapToGrid w:val="0"/>
        </w:rPr>
        <w:t>(b)</w:t>
      </w:r>
      <w:r>
        <w:rPr>
          <w:snapToGrid w:val="0"/>
        </w:rPr>
        <w:tab/>
        <w:t>conducted at a sporting venue; or</w:t>
      </w:r>
    </w:p>
    <w:p>
      <w:pPr>
        <w:pStyle w:val="yTable"/>
        <w:spacing w:before="120"/>
        <w:ind w:left="1134" w:hanging="567"/>
        <w:rPr>
          <w:snapToGrid w:val="0"/>
        </w:rPr>
      </w:pPr>
      <w:r>
        <w:rPr>
          <w:snapToGrid w:val="0"/>
        </w:rPr>
        <w:t>(c)</w:t>
      </w:r>
      <w:r>
        <w:rPr>
          <w:snapToGrid w:val="0"/>
        </w:rPr>
        <w:tab/>
        <w:t>advertised prior to the conduct of the event.</w:t>
      </w:r>
    </w:p>
    <w:p>
      <w:pPr>
        <w:pStyle w:val="yTable"/>
        <w:spacing w:before="120"/>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granted under the </w:t>
      </w:r>
      <w:r>
        <w:rPr>
          <w:i/>
          <w:szCs w:val="22"/>
        </w:rPr>
        <w:t>Public Order in Streets Act 1984</w:t>
      </w:r>
      <w:r>
        <w:rPr>
          <w:szCs w:val="22"/>
        </w:rPr>
        <w:t>.</w:t>
      </w:r>
    </w:p>
    <w:p>
      <w:pPr>
        <w:pStyle w:val="yTable"/>
        <w:spacing w:before="120"/>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spacing w:before="120"/>
        <w:ind w:left="1134" w:hanging="567"/>
        <w:rPr>
          <w:snapToGrid w:val="0"/>
        </w:rPr>
      </w:pPr>
      <w:r>
        <w:rPr>
          <w:snapToGrid w:val="0"/>
        </w:rPr>
        <w:t>(a)</w:t>
      </w:r>
      <w:r>
        <w:rPr>
          <w:snapToGrid w:val="0"/>
        </w:rPr>
        <w:tab/>
        <w:t>the noise is not noise of a kind referred to in regulation 15(2); and</w:t>
      </w:r>
    </w:p>
    <w:p>
      <w:pPr>
        <w:pStyle w:val="yTable"/>
        <w:spacing w:before="120"/>
        <w:ind w:left="1134" w:hanging="567"/>
        <w:rPr>
          <w:snapToGrid w:val="0"/>
        </w:rPr>
      </w:pPr>
      <w:r>
        <w:rPr>
          <w:snapToGrid w:val="0"/>
        </w:rPr>
        <w:t>(b)</w:t>
      </w:r>
      <w:r>
        <w:rPr>
          <w:snapToGrid w:val="0"/>
        </w:rPr>
        <w:tab/>
        <w:t xml:space="preserve">the premises or public place on which the worship takes place is land which is referred to in section 6.26(2)(d), (e) or (f) of the </w:t>
      </w:r>
      <w:r>
        <w:rPr>
          <w:i/>
          <w:snapToGrid w:val="0"/>
        </w:rPr>
        <w:t>Local Government Act 1995</w:t>
      </w:r>
      <w:r>
        <w:rPr>
          <w:snapToGrid w:val="0"/>
        </w:rPr>
        <w:t>.</w:t>
      </w:r>
    </w:p>
    <w:p>
      <w:pPr>
        <w:pStyle w:val="yTable"/>
        <w:spacing w:before="120"/>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spacing w:before="120"/>
        <w:ind w:left="1134" w:hanging="567"/>
        <w:rPr>
          <w:snapToGrid w:val="0"/>
        </w:rPr>
      </w:pPr>
      <w:r>
        <w:rPr>
          <w:snapToGrid w:val="0"/>
        </w:rPr>
        <w:t>(a)</w:t>
      </w:r>
      <w:r>
        <w:rPr>
          <w:snapToGrid w:val="0"/>
        </w:rPr>
        <w:tab/>
        <w:t>is conducted under the control of the occupier of the premises; and</w:t>
      </w:r>
    </w:p>
    <w:p>
      <w:pPr>
        <w:pStyle w:val="yTable"/>
        <w:spacing w:before="120"/>
        <w:ind w:left="1134" w:hanging="567"/>
        <w:rPr>
          <w:snapToGrid w:val="0"/>
        </w:rPr>
      </w:pPr>
      <w:r>
        <w:rPr>
          <w:snapToGrid w:val="0"/>
        </w:rPr>
        <w:t>(b)</w:t>
      </w:r>
      <w:r>
        <w:rPr>
          <w:snapToGrid w:val="0"/>
        </w:rPr>
        <w:tab/>
        <w:t>does not include the use of mechanical equipment other than musical instruments.</w:t>
      </w:r>
    </w:p>
    <w:p>
      <w:pPr>
        <w:pStyle w:val="yTable"/>
        <w:spacing w:before="120"/>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pPr>
      <w:r>
        <w:tab/>
        <w:t>[Schedule 2 amended: Gazette 5 Dec 2013 p. 5716.]</w:t>
      </w:r>
    </w:p>
    <w:p>
      <w:pPr>
        <w:rPr>
          <w:rStyle w:val="CharSchNo"/>
          <w:b/>
          <w:snapToGrid w:val="0"/>
          <w:sz w:val="28"/>
        </w:rPr>
        <w:sectPr>
          <w:headerReference w:type="even" r:id="rId24"/>
          <w:headerReference w:type="default" r:id="rId25"/>
          <w:headerReference w:type="first" r:id="rId26"/>
          <w:type w:val="continuous"/>
          <w:pgSz w:w="11907" w:h="16840" w:code="9"/>
          <w:pgMar w:top="2376" w:right="2405" w:bottom="3542" w:left="2405" w:header="706" w:footer="3544" w:gutter="0"/>
          <w:cols w:space="720"/>
          <w:noEndnote/>
          <w:docGrid w:linePitch="326"/>
        </w:sectPr>
      </w:pPr>
    </w:p>
    <w:p>
      <w:pPr>
        <w:pStyle w:val="yScheduleHeading"/>
      </w:pPr>
      <w:bookmarkStart w:id="93" w:name="_Toc173498524"/>
      <w:bookmarkStart w:id="94" w:name="_Toc173499660"/>
      <w:bookmarkStart w:id="95" w:name="_Toc173502732"/>
      <w:r>
        <w:rPr>
          <w:rStyle w:val="CharSchNo"/>
        </w:rPr>
        <w:lastRenderedPageBreak/>
        <w:t>Schedule 3</w:t>
      </w:r>
      <w:r>
        <w:t> — </w:t>
      </w:r>
      <w:r>
        <w:rPr>
          <w:rStyle w:val="CharSchText"/>
        </w:rPr>
        <w:t>Determination of influencing factor on noise sensitive premises</w:t>
      </w:r>
      <w:bookmarkEnd w:id="93"/>
      <w:bookmarkEnd w:id="94"/>
      <w:bookmarkEnd w:id="95"/>
    </w:p>
    <w:p>
      <w:pPr>
        <w:pStyle w:val="yShoulderClause"/>
      </w:pPr>
      <w:r>
        <w:t>[r. 8]</w:t>
      </w:r>
    </w:p>
    <w:p>
      <w:pPr>
        <w:pStyle w:val="yFootnoteheading"/>
      </w:pPr>
      <w:r>
        <w:tab/>
        <w:t>[Heading inserted: Gazette 5 Dec 2013 p. 5716</w:t>
      </w:r>
      <w:r>
        <w:noBreakHyphen/>
        <w:t>17.]</w:t>
      </w:r>
    </w:p>
    <w:p>
      <w:pPr>
        <w:pStyle w:val="yHeading5"/>
        <w:spacing w:before="240"/>
        <w:outlineLvl w:val="9"/>
        <w:rPr>
          <w:snapToGrid w:val="0"/>
        </w:rPr>
      </w:pPr>
      <w:bookmarkStart w:id="96" w:name="_Toc173502733"/>
      <w:r>
        <w:rPr>
          <w:rStyle w:val="CharSClsNo"/>
        </w:rPr>
        <w:t>1</w:t>
      </w:r>
      <w:r>
        <w:rPr>
          <w:snapToGrid w:val="0"/>
        </w:rPr>
        <w:t xml:space="preserve">. </w:t>
      </w:r>
      <w:r>
        <w:rPr>
          <w:snapToGrid w:val="0"/>
        </w:rPr>
        <w:tab/>
        <w:t>Terms used</w:t>
      </w:r>
      <w:bookmarkEnd w:id="96"/>
      <w:r>
        <w:rPr>
          <w:snapToGrid w:val="0"/>
        </w:rPr>
        <w:t xml:space="preserve"> </w:t>
      </w:r>
    </w:p>
    <w:p>
      <w:pPr>
        <w:pStyle w:val="ySubsection"/>
        <w:spacing w:before="180"/>
        <w:rPr>
          <w:snapToGrid w:val="0"/>
        </w:rPr>
      </w:pPr>
      <w:r>
        <w:rPr>
          <w:snapToGrid w:val="0"/>
        </w:rPr>
        <w:tab/>
        <w:t>(1)</w:t>
      </w:r>
      <w:r>
        <w:rPr>
          <w:snapToGrid w:val="0"/>
        </w:rPr>
        <w:tab/>
        <w:t>In this Schedule — </w:t>
      </w:r>
    </w:p>
    <w:p>
      <w:pPr>
        <w:pStyle w:val="yDefstart"/>
        <w:spacing w:before="100"/>
      </w:pPr>
      <w:r>
        <w:rPr>
          <w:b/>
        </w:rPr>
        <w:tab/>
      </w:r>
      <w:r>
        <w:rPr>
          <w:rStyle w:val="CharDefText"/>
        </w:rPr>
        <w:t>average daily traffic count</w:t>
      </w:r>
      <w:r>
        <w:t xml:space="preserve"> means the average daily traffic count as estimated under subclause (2);</w:t>
      </w:r>
    </w:p>
    <w:p>
      <w:pPr>
        <w:pStyle w:val="yDefstart"/>
        <w:spacing w:before="100"/>
      </w:pPr>
      <w:r>
        <w:rPr>
          <w:b/>
        </w:rPr>
        <w:tab/>
      </w:r>
      <w:r>
        <w:rPr>
          <w:rStyle w:val="CharDefText"/>
        </w:rPr>
        <w:t>inner circle</w:t>
      </w:r>
      <w:r>
        <w:t xml:space="preserve"> means a circle having a radius of 100 m referred to in clause 2(1);</w:t>
      </w:r>
    </w:p>
    <w:p>
      <w:pPr>
        <w:pStyle w:val="yDefstart"/>
        <w:spacing w:before="100"/>
      </w:pPr>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p>
    <w:p>
      <w:pPr>
        <w:pStyle w:val="yDefstart"/>
        <w:spacing w:before="100"/>
      </w:pPr>
      <w:r>
        <w:tab/>
      </w:r>
      <w:r>
        <w:rPr>
          <w:rStyle w:val="CharDefText"/>
        </w:rPr>
        <w:t>land use map</w:t>
      </w:r>
      <w:r>
        <w:t xml:space="preserve"> means — </w:t>
      </w:r>
    </w:p>
    <w:p>
      <w:pPr>
        <w:pStyle w:val="yDefpara"/>
        <w:spacing w:before="100"/>
      </w:pPr>
      <w:r>
        <w:tab/>
        <w:t>(a)</w:t>
      </w:r>
      <w:r>
        <w:tab/>
        <w:t>a map prepared and in use by a local government for the purposes of imposing differential general rates; and</w:t>
      </w:r>
    </w:p>
    <w:p>
      <w:pPr>
        <w:pStyle w:val="yDefpara"/>
        <w:spacing w:before="100"/>
      </w:pPr>
      <w:r>
        <w:tab/>
        <w:t>(b)</w:t>
      </w:r>
      <w:r>
        <w:tab/>
        <w:t xml:space="preserve">a map that is included in a planning scheme as defined in the </w:t>
      </w:r>
      <w:r>
        <w:rPr>
          <w:i/>
          <w:iCs/>
        </w:rPr>
        <w:t>Planning and Development Act 2005</w:t>
      </w:r>
      <w:r>
        <w:t xml:space="preserve"> section 4(1); and</w:t>
      </w:r>
    </w:p>
    <w:p>
      <w:pPr>
        <w:pStyle w:val="yDefpara"/>
        <w:spacing w:before="100"/>
      </w:pPr>
      <w:r>
        <w:tab/>
        <w:t>(c)</w:t>
      </w:r>
      <w:r>
        <w:tab/>
        <w:t xml:space="preserve">a map that is included in a redevelopment scheme referred to in the </w:t>
      </w:r>
      <w:r>
        <w:rPr>
          <w:i/>
          <w:iCs/>
        </w:rPr>
        <w:t>Planning and Development Act 2005</w:t>
      </w:r>
      <w:r>
        <w:t xml:space="preserve"> section 71;</w:t>
      </w:r>
    </w:p>
    <w:p>
      <w:pPr>
        <w:pStyle w:val="yDefstart"/>
        <w:spacing w:before="100"/>
      </w:pPr>
      <w:r>
        <w:rPr>
          <w:b/>
        </w:rPr>
        <w:tab/>
      </w:r>
      <w:r>
        <w:rPr>
          <w:rStyle w:val="CharDefText"/>
        </w:rPr>
        <w:t>major road</w:t>
      </w:r>
      <w:r>
        <w:t xml:space="preserve"> means a road estimated to have an average daily traffic count of more than 15 000 vehicles;</w:t>
      </w:r>
    </w:p>
    <w:p>
      <w:pPr>
        <w:pStyle w:val="yDefstart"/>
        <w:spacing w:before="100"/>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spacing w:before="100"/>
      </w:pPr>
      <w:r>
        <w:rPr>
          <w:b/>
        </w:rPr>
        <w:tab/>
      </w:r>
      <w:r>
        <w:rPr>
          <w:rStyle w:val="CharDefText"/>
        </w:rPr>
        <w:t>outer circle</w:t>
      </w:r>
      <w:r>
        <w:t xml:space="preserve"> means a circle having a radius of 450 m referred to in clause 2(1);</w:t>
      </w:r>
    </w:p>
    <w:p>
      <w:pPr>
        <w:pStyle w:val="yDefstart"/>
        <w:spacing w:before="100"/>
      </w:pPr>
      <w:r>
        <w:rPr>
          <w:b/>
        </w:rPr>
        <w:tab/>
      </w:r>
      <w:r>
        <w:rPr>
          <w:rStyle w:val="CharDefText"/>
        </w:rPr>
        <w:t>secondary road</w:t>
      </w:r>
      <w:r>
        <w:t xml:space="preserve"> means a road estimated to have an average daily traffic count of 6 000 to 15 000 vehicles;</w:t>
      </w:r>
    </w:p>
    <w:p>
      <w:pPr>
        <w:pStyle w:val="yDefstart"/>
        <w:keepNext/>
        <w:keepLines/>
        <w:spacing w:before="100"/>
      </w:pPr>
      <w:r>
        <w:rPr>
          <w:b/>
        </w:rPr>
        <w:lastRenderedPageBreak/>
        <w:tab/>
      </w:r>
      <w:r>
        <w:rPr>
          <w:rStyle w:val="CharDefText"/>
        </w:rPr>
        <w:t>transport factor</w:t>
      </w:r>
      <w:r>
        <w:t xml:space="preserve"> means — </w:t>
      </w:r>
    </w:p>
    <w:p>
      <w:pPr>
        <w:pStyle w:val="yDefpara"/>
        <w:keepNext/>
        <w:keepLines/>
        <w:spacing w:before="100"/>
      </w:pPr>
      <w:r>
        <w:tab/>
        <w:t>(a)</w:t>
      </w:r>
      <w:r>
        <w:tab/>
        <w:t>for a major road where any point inside the road reserve is present in the relevant inner circle, a transport factor of 6 dB;</w:t>
      </w:r>
    </w:p>
    <w:p>
      <w:pPr>
        <w:pStyle w:val="yDefpara"/>
        <w:spacing w:before="100"/>
      </w:pPr>
      <w:r>
        <w:tab/>
        <w:t>(b)</w:t>
      </w:r>
      <w:r>
        <w:tab/>
        <w:t>for a major road where any point inside the road reserve is present in the relevant outer circle, a transport factor of 2 dB;</w:t>
      </w:r>
    </w:p>
    <w:p>
      <w:pPr>
        <w:pStyle w:val="yDefpara"/>
        <w:spacing w:before="100"/>
      </w:pPr>
      <w:r>
        <w:tab/>
        <w:t>(c)</w:t>
      </w:r>
      <w:r>
        <w:tab/>
        <w:t>for each secondary road where any point inside the road reserve is present in the relevant inner circle, a transport factor of 2 dB.</w:t>
      </w:r>
    </w:p>
    <w:p>
      <w:pPr>
        <w:pStyle w:val="ySubsection"/>
        <w:spacing w:before="180"/>
        <w:rPr>
          <w:snapToGrid w:val="0"/>
        </w:rPr>
      </w:pPr>
      <w:r>
        <w:rPr>
          <w:snapToGrid w:val="0"/>
        </w:rPr>
        <w:tab/>
        <w:t>(2)</w:t>
      </w:r>
      <w:r>
        <w:rPr>
          <w:snapToGrid w:val="0"/>
        </w:rPr>
        <w:tab/>
        <w:t>The average daily traffic count of a road is to be estimated — </w:t>
      </w:r>
    </w:p>
    <w:p>
      <w:pPr>
        <w:pStyle w:val="yIndenta"/>
        <w:spacing w:before="100"/>
        <w:rPr>
          <w:snapToGrid w:val="0"/>
        </w:rPr>
      </w:pPr>
      <w:r>
        <w:rPr>
          <w:snapToGrid w:val="0"/>
        </w:rPr>
        <w:tab/>
        <w:t>(a)</w:t>
      </w:r>
      <w:r>
        <w:rPr>
          <w:snapToGrid w:val="0"/>
        </w:rPr>
        <w:tab/>
        <w:t xml:space="preserve">by reference to the latest </w:t>
      </w:r>
      <w:r>
        <w:t>average weekday traffic flows published by Main Roads Western Australia; or</w:t>
      </w:r>
    </w:p>
    <w:p>
      <w:pPr>
        <w:pStyle w:val="yIndenta"/>
        <w:spacing w:before="100"/>
        <w:rPr>
          <w:snapToGrid w:val="0"/>
        </w:rPr>
      </w:pPr>
      <w:r>
        <w:rPr>
          <w:snapToGrid w:val="0"/>
        </w:rPr>
        <w:tab/>
        <w:t>(b)</w:t>
      </w:r>
      <w:r>
        <w:rPr>
          <w:snapToGrid w:val="0"/>
        </w:rPr>
        <w:tab/>
        <w:t>if the average daily traffic count of a road cannot be estimated by reference to that data, by conducting a traffic count to estimate the average daily traffic count of that road.</w:t>
      </w:r>
    </w:p>
    <w:p>
      <w:pPr>
        <w:pStyle w:val="ySubsection"/>
        <w:spacing w:before="180"/>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Footnotesection"/>
      </w:pPr>
      <w:r>
        <w:tab/>
        <w:t>[Clause 1 amended: Gazette 5 Dec 2013 p. 5717</w:t>
      </w:r>
      <w:r>
        <w:noBreakHyphen/>
        <w:t>18.]</w:t>
      </w:r>
    </w:p>
    <w:p>
      <w:pPr>
        <w:pStyle w:val="yHeading5"/>
        <w:spacing w:before="240"/>
        <w:outlineLvl w:val="9"/>
        <w:rPr>
          <w:snapToGrid w:val="0"/>
        </w:rPr>
      </w:pPr>
      <w:bookmarkStart w:id="97" w:name="_Toc173502734"/>
      <w:r>
        <w:rPr>
          <w:rStyle w:val="CharSClsNo"/>
        </w:rPr>
        <w:t>2</w:t>
      </w:r>
      <w:r>
        <w:rPr>
          <w:snapToGrid w:val="0"/>
        </w:rPr>
        <w:t xml:space="preserve">. </w:t>
      </w:r>
      <w:r>
        <w:rPr>
          <w:snapToGrid w:val="0"/>
        </w:rPr>
        <w:tab/>
        <w:t>Influencing factor</w:t>
      </w:r>
      <w:bookmarkEnd w:id="97"/>
      <w:r>
        <w:rPr>
          <w:snapToGrid w:val="0"/>
        </w:rPr>
        <w:t xml:space="preserve"> </w:t>
      </w:r>
    </w:p>
    <w:p>
      <w:pPr>
        <w:pStyle w:val="ySubsection"/>
        <w:spacing w:before="180"/>
        <w:rPr>
          <w:snapToGrid w:val="0"/>
        </w:rPr>
      </w:pPr>
      <w:r>
        <w:rPr>
          <w:snapToGrid w:val="0"/>
        </w:rPr>
        <w:tab/>
        <w:t>(1)</w:t>
      </w:r>
      <w:r>
        <w:rPr>
          <w:snapToGrid w:val="0"/>
        </w:rPr>
        <w:tab/>
        <w:t>The influencing factor for noise received on noise sensitive premises is to be determined as follows — </w:t>
      </w:r>
    </w:p>
    <w:p>
      <w:pPr>
        <w:pStyle w:val="yIndenta"/>
        <w:spacing w:before="100"/>
        <w:rPr>
          <w:snapToGrid w:val="0"/>
        </w:rPr>
      </w:pPr>
      <w:r>
        <w:rPr>
          <w:snapToGrid w:val="0"/>
        </w:rPr>
        <w:tab/>
        <w:t>(a)</w:t>
      </w:r>
      <w:r>
        <w:rPr>
          <w:snapToGrid w:val="0"/>
        </w:rPr>
        <w:tab/>
        <w:t>using an appropriate land use map, 2 concentric circles, having radii representing 100 m and 450 m, and centred on the measurement point on the noise sensitive premises are to be drawn; and</w:t>
      </w:r>
    </w:p>
    <w:p>
      <w:pPr>
        <w:pStyle w:val="yIndenta"/>
        <w:spacing w:before="10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tabs>
          <w:tab w:val="clear" w:pos="1616"/>
          <w:tab w:val="left" w:pos="1985"/>
        </w:tabs>
        <w:spacing w:before="100"/>
        <w:rPr>
          <w:snapToGrid w:val="0"/>
        </w:rPr>
      </w:pPr>
      <w:r>
        <w:rPr>
          <w:snapToGrid w:val="0"/>
        </w:rPr>
        <w:tab/>
        <w:t>(c)</w:t>
      </w:r>
      <w:r>
        <w:rPr>
          <w:snapToGrid w:val="0"/>
        </w:rPr>
        <w:tab/>
        <w:t xml:space="preserve">the area of each type of premises is to be calculated as a percentage of the full area of each circle and used to </w:t>
      </w:r>
      <w:r>
        <w:rPr>
          <w:snapToGrid w:val="0"/>
        </w:rPr>
        <w:lastRenderedPageBreak/>
        <w:t>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1/10 (sum of Type A percentages for both circles) +</w:t>
      </w:r>
    </w:p>
    <w:p>
      <w:pPr>
        <w:pStyle w:val="yIndenta"/>
        <w:ind w:left="4111" w:hanging="4111"/>
        <w:rPr>
          <w:snapToGrid w:val="0"/>
        </w:rPr>
      </w:pPr>
      <w:r>
        <w:rPr>
          <w:snapToGrid w:val="0"/>
        </w:rPr>
        <w:tab/>
      </w:r>
      <w:r>
        <w:rPr>
          <w:snapToGrid w:val="0"/>
        </w:rPr>
        <w:tab/>
      </w:r>
      <w:r>
        <w:rPr>
          <w:snapToGrid w:val="0"/>
        </w:rPr>
        <w:tab/>
        <w:t xml:space="preserve">1/20 (sum of Type B percentages for both circles) + </w:t>
      </w:r>
    </w:p>
    <w:p>
      <w:pPr>
        <w:pStyle w:val="yIndenta"/>
        <w:ind w:left="4111" w:hanging="4111"/>
        <w:rPr>
          <w:snapToGrid w:val="0"/>
        </w:rPr>
      </w:pPr>
      <w:r>
        <w:rPr>
          <w:snapToGrid w:val="0"/>
        </w:rPr>
        <w:tab/>
      </w:r>
      <w:r>
        <w:rPr>
          <w:snapToGrid w:val="0"/>
        </w:rPr>
        <w:tab/>
      </w:r>
      <w:r>
        <w:rPr>
          <w:snapToGrid w:val="0"/>
        </w:rPr>
        <w:tab/>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rPr>
          <w:snapToGrid w:val="0"/>
        </w:rPr>
      </w:pPr>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p>
    <w:p>
      <w:pPr>
        <w:pStyle w:val="ySubsection"/>
        <w:rPr>
          <w:snapToGrid w:val="0"/>
        </w:rPr>
      </w:pPr>
      <w:r>
        <w:rPr>
          <w:snapToGrid w:val="0"/>
        </w:rPr>
        <w:tab/>
        <w:t>(2)</w:t>
      </w:r>
      <w:r>
        <w:rPr>
          <w:snapToGrid w:val="0"/>
        </w:rPr>
        <w:tab/>
        <w:t>If it is not possible to identify the land for the purposes of subclause (1)(b) by reference to a land use map, the land within the circles is to be identified by determining the actual land use at the time the noise was received.</w:t>
      </w:r>
    </w:p>
    <w:p>
      <w:pPr>
        <w:pStyle w:val="ySubsection"/>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pPr>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p>
    <w:p>
      <w:pPr>
        <w:pStyle w:val="ySubsection"/>
      </w:pPr>
      <w:r>
        <w:tab/>
        <w:t>(5A)</w:t>
      </w:r>
      <w:r>
        <w:tab/>
        <w:t xml:space="preserve">If land within either of the circles — </w:t>
      </w:r>
    </w:p>
    <w:p>
      <w:pPr>
        <w:pStyle w:val="yIndenta"/>
      </w:pPr>
      <w:r>
        <w:tab/>
        <w:t>(a)</w:t>
      </w:r>
      <w:r>
        <w:tab/>
        <w:t>is within Area A or B of the Kwinana Policy Area; and</w:t>
      </w:r>
    </w:p>
    <w:p>
      <w:pPr>
        <w:pStyle w:val="yIndenta"/>
      </w:pPr>
      <w:r>
        <w:tab/>
        <w:t>(b)</w:t>
      </w:r>
      <w:r>
        <w:tab/>
        <w:t xml:space="preserve">is categorised on the land use map as — </w:t>
      </w:r>
    </w:p>
    <w:p>
      <w:pPr>
        <w:pStyle w:val="yIndenti0"/>
      </w:pPr>
      <w:r>
        <w:lastRenderedPageBreak/>
        <w:tab/>
        <w:t>(i)</w:t>
      </w:r>
      <w:r>
        <w:tab/>
        <w:t>land used for industrial or utility purposes that are service industry or light industry purposes; or</w:t>
      </w:r>
    </w:p>
    <w:p>
      <w:pPr>
        <w:pStyle w:val="yIndenti0"/>
      </w:pPr>
      <w:r>
        <w:tab/>
        <w:t>(ii)</w:t>
      </w:r>
      <w:r>
        <w:tab/>
        <w:t>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pPr>
      <w:r>
        <w:tab/>
        <w:t>(5B)</w:t>
      </w:r>
      <w:r>
        <w:tab/>
        <w:t xml:space="preserve">Subject to subclause (5C), if land within 450 m of the measurement point on noise sensitive premises — </w:t>
      </w:r>
    </w:p>
    <w:p>
      <w:pPr>
        <w:pStyle w:val="yIndenta"/>
      </w:pPr>
      <w:r>
        <w:tab/>
        <w:t>(a)</w:t>
      </w:r>
      <w:r>
        <w:tab/>
        <w:t>is within Area A or B of the Kwinana Policy Area; and</w:t>
      </w:r>
    </w:p>
    <w:p>
      <w:pPr>
        <w:pStyle w:val="yIndenta"/>
      </w:pPr>
      <w:r>
        <w:tab/>
        <w:t>(b)</w:t>
      </w:r>
      <w:r>
        <w:tab/>
        <w:t>is land in respect of which no land use map applies,</w:t>
      </w:r>
    </w:p>
    <w:p>
      <w:pPr>
        <w:pStyle w:val="ySubsection"/>
        <w:rPr>
          <w:snapToGrid w:val="0"/>
        </w:rPr>
      </w:pPr>
      <w:r>
        <w:tab/>
      </w:r>
      <w:r>
        <w:tab/>
        <w:t xml:space="preserve">then, for the purposes of identifying the land under subclause (1)(b), </w:t>
      </w:r>
      <w:r>
        <w:rPr>
          <w:snapToGrid w:val="0"/>
        </w:rPr>
        <w:t>the land is to be identified by determining the actual land use at the time the noise was received.</w:t>
      </w:r>
    </w:p>
    <w:p>
      <w:pPr>
        <w:pStyle w:val="ySubsection"/>
      </w:pPr>
      <w:r>
        <w:tab/>
        <w:t>(5C)</w:t>
      </w:r>
      <w:r>
        <w:tab/>
        <w:t xml:space="preserve">If the land referred to in subclause (5B) — </w:t>
      </w:r>
    </w:p>
    <w:p>
      <w:pPr>
        <w:pStyle w:val="yIndenta"/>
      </w:pPr>
      <w:r>
        <w:tab/>
        <w:t>(a)</w:t>
      </w:r>
      <w:r>
        <w:tab/>
        <w:t>is land used for industrial or utility purposes that are service industry or light industry purposes; or</w:t>
      </w:r>
    </w:p>
    <w:p>
      <w:pPr>
        <w:pStyle w:val="yIndenta"/>
      </w:pPr>
      <w:r>
        <w:tab/>
        <w:t>(b)</w:t>
      </w:r>
      <w:r>
        <w:tab/>
        <w:t>is 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 and</w:t>
      </w:r>
    </w:p>
    <w:p>
      <w:pPr>
        <w:pStyle w:val="yIndenta"/>
        <w:rPr>
          <w:snapToGrid w:val="0"/>
        </w:rPr>
      </w:pPr>
      <w:r>
        <w:rPr>
          <w:snapToGrid w:val="0"/>
        </w:rPr>
        <w:tab/>
        <w:t>(b)</w:t>
      </w:r>
      <w:r>
        <w:rPr>
          <w:snapToGrid w:val="0"/>
        </w:rPr>
        <w:tab/>
        <w:t>1900 hours and 2200 hours on any day; and</w:t>
      </w:r>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tab/>
        <w:t>(6)</w:t>
      </w:r>
      <w:r>
        <w:rPr>
          <w:snapToGrid w:val="0"/>
        </w:rPr>
        <w:tab/>
        <w:t>If the land within either of the circles is used for — </w:t>
      </w:r>
    </w:p>
    <w:p>
      <w:pPr>
        <w:pStyle w:val="yIndenta"/>
        <w:rPr>
          <w:snapToGrid w:val="0"/>
        </w:rPr>
      </w:pPr>
      <w:r>
        <w:rPr>
          <w:snapToGrid w:val="0"/>
        </w:rPr>
        <w:lastRenderedPageBreak/>
        <w:tab/>
        <w:t>(a)</w:t>
      </w:r>
      <w:r>
        <w:rPr>
          <w:snapToGrid w:val="0"/>
        </w:rPr>
        <w:tab/>
        <w:t>a road reserve; or</w:t>
      </w:r>
    </w:p>
    <w:p>
      <w:pPr>
        <w:pStyle w:val="yIndenta"/>
        <w:rPr>
          <w:snapToGrid w:val="0"/>
        </w:rPr>
      </w:pPr>
      <w:r>
        <w:rPr>
          <w:snapToGrid w:val="0"/>
        </w:rPr>
        <w:tab/>
        <w:t>(b)</w:t>
      </w:r>
      <w:r>
        <w:rPr>
          <w:snapToGrid w:val="0"/>
        </w:rPr>
        <w:tab/>
        <w:t>a railway reserve; or</w:t>
      </w:r>
    </w:p>
    <w:p>
      <w:pPr>
        <w:pStyle w:val="yIndenta"/>
        <w:rPr>
          <w:snapToGrid w:val="0"/>
        </w:rPr>
      </w:pPr>
      <w:r>
        <w:rPr>
          <w:snapToGrid w:val="0"/>
        </w:rPr>
        <w:tab/>
        <w:t>(c)</w:t>
      </w:r>
      <w:r>
        <w:rPr>
          <w:snapToGrid w:val="0"/>
        </w:rPr>
        <w:tab/>
        <w:t>a drainage easement; or</w:t>
      </w:r>
    </w:p>
    <w:p>
      <w:pPr>
        <w:pStyle w:val="yIndenta"/>
        <w:rPr>
          <w:snapToGrid w:val="0"/>
        </w:rPr>
      </w:pPr>
      <w:r>
        <w:rPr>
          <w:snapToGrid w:val="0"/>
        </w:rPr>
        <w:tab/>
        <w:t>(d)</w:t>
      </w:r>
      <w:r>
        <w:rPr>
          <w:snapToGrid w:val="0"/>
        </w:rPr>
        <w:tab/>
        <w:t>a powerline easement or reserve; or</w:t>
      </w:r>
    </w:p>
    <w:p>
      <w:pPr>
        <w:pStyle w:val="yIndenta"/>
        <w:rPr>
          <w:snapToGrid w:val="0"/>
        </w:rPr>
      </w:pPr>
      <w:r>
        <w:rPr>
          <w:snapToGrid w:val="0"/>
        </w:rPr>
        <w:tab/>
        <w:t>(e)</w:t>
      </w:r>
      <w:r>
        <w:rPr>
          <w:snapToGrid w:val="0"/>
        </w:rPr>
        <w:tab/>
        <w:t>a pipeline or aqueduct easement or reserve; or</w:t>
      </w:r>
    </w:p>
    <w:p>
      <w:pPr>
        <w:pStyle w:val="yEdnotepara"/>
        <w:rPr>
          <w:snapToGrid w:val="0"/>
        </w:rPr>
      </w:pPr>
      <w:r>
        <w:rPr>
          <w:snapToGrid w:val="0"/>
        </w:rPr>
        <w:tab/>
        <w:t>[(f)</w:t>
      </w:r>
      <w:r>
        <w:rPr>
          <w:snapToGrid w:val="0"/>
        </w:rPr>
        <w:tab/>
        <w:t>deleted]</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ubsection"/>
        <w:rPr>
          <w:snapToGrid w:val="0"/>
        </w:rPr>
      </w:pPr>
      <w:r>
        <w:rPr>
          <w:snapToGrid w:val="0"/>
        </w:rPr>
        <w:tab/>
        <w:t>(7)</w:t>
      </w:r>
      <w:r>
        <w:rPr>
          <w:snapToGrid w:val="0"/>
        </w:rPr>
        <w:tab/>
        <w:t xml:space="preserve">If the land within either of the circles — </w:t>
      </w:r>
    </w:p>
    <w:p>
      <w:pPr>
        <w:pStyle w:val="yIndenta"/>
        <w:rPr>
          <w:snapToGrid w:val="0"/>
        </w:rPr>
      </w:pPr>
      <w:r>
        <w:rPr>
          <w:snapToGrid w:val="0"/>
        </w:rPr>
        <w:tab/>
        <w:t>(a)</w:t>
      </w:r>
      <w:r>
        <w:rPr>
          <w:snapToGrid w:val="0"/>
        </w:rPr>
        <w:tab/>
        <w:t>is used for poultry farming; and</w:t>
      </w:r>
    </w:p>
    <w:p>
      <w:pPr>
        <w:pStyle w:val="yIndenta"/>
        <w:rPr>
          <w:snapToGrid w:val="0"/>
        </w:rPr>
      </w:pPr>
      <w:r>
        <w:rPr>
          <w:snapToGrid w:val="0"/>
        </w:rPr>
        <w:tab/>
        <w:t>(b)</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that land is taken to be Type B land for the purposes of subclause (1), but if the sum of Type B percentages for both circles exceeds 100% that sum is to be taken to be 100%.</w:t>
      </w:r>
    </w:p>
    <w:p>
      <w:pPr>
        <w:pStyle w:val="ySubsection"/>
        <w:rPr>
          <w:snapToGrid w:val="0"/>
        </w:rPr>
      </w:pPr>
      <w:r>
        <w:rPr>
          <w:snapToGrid w:val="0"/>
        </w:rPr>
        <w:tab/>
        <w:t>(8)</w:t>
      </w:r>
      <w:r>
        <w:rPr>
          <w:snapToGrid w:val="0"/>
        </w:rPr>
        <w:tab/>
        <w:t xml:space="preserve">If the land within the inner circle — </w:t>
      </w:r>
    </w:p>
    <w:p>
      <w:pPr>
        <w:pStyle w:val="yIndenta"/>
        <w:rPr>
          <w:snapToGrid w:val="0"/>
        </w:rPr>
      </w:pPr>
      <w:r>
        <w:rPr>
          <w:snapToGrid w:val="0"/>
        </w:rPr>
        <w:tab/>
        <w:t>(a)</w:t>
      </w:r>
      <w:r>
        <w:rPr>
          <w:snapToGrid w:val="0"/>
        </w:rPr>
        <w:tab/>
        <w:t>is used for a sporting facility; and</w:t>
      </w:r>
    </w:p>
    <w:p>
      <w:pPr>
        <w:pStyle w:val="yIndenta"/>
        <w:rPr>
          <w:snapToGrid w:val="0"/>
        </w:rPr>
      </w:pPr>
      <w:r>
        <w:rPr>
          <w:snapToGrid w:val="0"/>
        </w:rPr>
        <w:tab/>
        <w:t>(b)</w:t>
      </w:r>
      <w:r>
        <w:rPr>
          <w:snapToGrid w:val="0"/>
        </w:rPr>
        <w:tab/>
        <w:t>has a building, on the whole or part of that land, that is directly associated with that use; and</w:t>
      </w:r>
    </w:p>
    <w:p>
      <w:pPr>
        <w:pStyle w:val="yIndenta"/>
        <w:rPr>
          <w:snapToGrid w:val="0"/>
        </w:rPr>
      </w:pPr>
      <w:r>
        <w:rPr>
          <w:snapToGrid w:val="0"/>
        </w:rPr>
        <w:tab/>
        <w:t>(c)</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an adjustment of 2 dB is to be added to the influencing factor determined under subclause (1) at the point of reception of the noise emission.</w:t>
      </w:r>
    </w:p>
    <w:p>
      <w:pPr>
        <w:pStyle w:val="yFootnotesection"/>
      </w:pPr>
      <w:r>
        <w:tab/>
        <w:t>[Clause 2 amended: Gazette 5 Dec 2013 p. 5718</w:t>
      </w:r>
      <w:r>
        <w:noBreakHyphen/>
        <w:t>20.]</w:t>
      </w:r>
    </w:p>
    <w:p>
      <w:pPr>
        <w:pStyle w:val="yScheduleHeading"/>
      </w:pPr>
      <w:bookmarkStart w:id="98" w:name="_Toc173498527"/>
      <w:bookmarkStart w:id="99" w:name="_Toc173499663"/>
      <w:bookmarkStart w:id="100" w:name="_Toc173502735"/>
      <w:r>
        <w:rPr>
          <w:rStyle w:val="CharSchNo"/>
        </w:rPr>
        <w:lastRenderedPageBreak/>
        <w:t>Schedule 4</w:t>
      </w:r>
      <w:r>
        <w:t> — </w:t>
      </w:r>
      <w:r>
        <w:rPr>
          <w:rStyle w:val="CharSchText"/>
        </w:rPr>
        <w:t>Rules for sound measuring equipment</w:t>
      </w:r>
      <w:bookmarkEnd w:id="98"/>
      <w:bookmarkEnd w:id="99"/>
      <w:bookmarkEnd w:id="100"/>
    </w:p>
    <w:p>
      <w:pPr>
        <w:pStyle w:val="yShoulderClause"/>
      </w:pPr>
      <w:r>
        <w:t>[r. 22]</w:t>
      </w:r>
    </w:p>
    <w:p>
      <w:pPr>
        <w:pStyle w:val="yFootnoteheading"/>
      </w:pPr>
      <w:r>
        <w:tab/>
        <w:t>[Heading inserted: Gazette 5 Dec 2013 p. 5720.]</w:t>
      </w:r>
    </w:p>
    <w:p>
      <w:pPr>
        <w:pStyle w:val="yHeading5"/>
        <w:spacing w:before="180"/>
      </w:pPr>
      <w:bookmarkStart w:id="101" w:name="_Toc173502736"/>
      <w:r>
        <w:rPr>
          <w:rStyle w:val="CharSClsNo"/>
        </w:rPr>
        <w:t>1</w:t>
      </w:r>
      <w:r>
        <w:t>.</w:t>
      </w:r>
      <w:r>
        <w:tab/>
        <w:t>Sound measuring equipment</w:t>
      </w:r>
      <w:bookmarkEnd w:id="101"/>
    </w:p>
    <w:p>
      <w:pPr>
        <w:pStyle w:val="ySubsection"/>
      </w:pPr>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p>
    <w:p>
      <w:pPr>
        <w:pStyle w:val="ySubsection"/>
      </w:pPr>
      <w:r>
        <w:tab/>
        <w:t>(2)</w:t>
      </w:r>
      <w:r>
        <w:tab/>
        <w:t xml:space="preserve">Sound measuring equipment not covered by subclause (1), including analog and digital audio recording devices, level recorders, spectrum analysers and computers must — </w:t>
      </w:r>
    </w:p>
    <w:p>
      <w:pPr>
        <w:pStyle w:val="yIndenta"/>
      </w:pPr>
      <w:r>
        <w:tab/>
        <w:t>(a)</w:t>
      </w:r>
      <w:r>
        <w:tab/>
        <w:t>meet or exceed the relevant performance requirements of a class 2 sound level meter; or</w:t>
      </w:r>
    </w:p>
    <w:p>
      <w:pPr>
        <w:pStyle w:val="yIndenta"/>
      </w:pPr>
      <w:r>
        <w:tab/>
        <w:t>(b)</w:t>
      </w:r>
      <w:r>
        <w:tab/>
        <w:t>not degrade the performance of another item of equipment below that of a class 2 sound level meter.</w:t>
      </w:r>
    </w:p>
    <w:p>
      <w:pPr>
        <w:pStyle w:val="ySubsection"/>
      </w:pPr>
      <w:r>
        <w:tab/>
        <w:t>(3)</w:t>
      </w:r>
      <w:r>
        <w:tab/>
        <w:t>Filter sets used with any sound level meter or spectrum analyser must meet or exceed the relevant requirements specified in AS/NZS 4476: 1997 Acoustics</w:t>
      </w:r>
      <w:r>
        <w:noBreakHyphen/>
        <w:t>Octave</w:t>
      </w:r>
      <w:r>
        <w:noBreakHyphen/>
        <w:t>band and fractional</w:t>
      </w:r>
      <w:r>
        <w:noBreakHyphen/>
        <w:t>octave</w:t>
      </w:r>
      <w:r>
        <w:noBreakHyphen/>
        <w:t>band filters.</w:t>
      </w:r>
    </w:p>
    <w:p>
      <w:pPr>
        <w:pStyle w:val="ySubsection"/>
      </w:pPr>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p>
    <w:p>
      <w:pPr>
        <w:pStyle w:val="yFootnotesection"/>
      </w:pPr>
      <w:r>
        <w:tab/>
        <w:t>[Clause 1 inserted: Gazette 5 Dec 2013 p. 5720</w:t>
      </w:r>
      <w:r>
        <w:noBreakHyphen/>
        <w:t>1.]</w:t>
      </w:r>
    </w:p>
    <w:p>
      <w:pPr>
        <w:pStyle w:val="yHeading5"/>
        <w:spacing w:before="180"/>
      </w:pPr>
      <w:bookmarkStart w:id="102" w:name="_Toc173502737"/>
      <w:r>
        <w:rPr>
          <w:rStyle w:val="CharSClsNo"/>
        </w:rPr>
        <w:t>2</w:t>
      </w:r>
      <w:r>
        <w:t>.</w:t>
      </w:r>
      <w:r>
        <w:tab/>
        <w:t>Calibration of sound measuring equipment</w:t>
      </w:r>
      <w:bookmarkEnd w:id="102"/>
    </w:p>
    <w:p>
      <w:pPr>
        <w:pStyle w:val="ySubsection"/>
        <w:spacing w:before="120"/>
        <w:rPr>
          <w:snapToGrid w:val="0"/>
        </w:rPr>
      </w:pPr>
      <w:r>
        <w:rPr>
          <w:snapToGrid w:val="0"/>
        </w:rPr>
        <w:tab/>
        <w:t>(1)</w:t>
      </w:r>
      <w:r>
        <w:rPr>
          <w:snapToGrid w:val="0"/>
        </w:rPr>
        <w:tab/>
        <w:t>In this clause — </w:t>
      </w:r>
    </w:p>
    <w:p>
      <w:pPr>
        <w:pStyle w:val="yDefstart"/>
      </w:pPr>
      <w:r>
        <w:tab/>
      </w:r>
      <w:r>
        <w:rPr>
          <w:rStyle w:val="CharDefText"/>
        </w:rPr>
        <w:t>approved calibration laboratory</w:t>
      </w:r>
      <w:r>
        <w:t xml:space="preserve"> means — </w:t>
      </w:r>
    </w:p>
    <w:p>
      <w:pPr>
        <w:pStyle w:val="yDefpara"/>
      </w:pPr>
      <w:r>
        <w:tab/>
        <w:t>(a)</w:t>
      </w:r>
      <w:r>
        <w:tab/>
        <w:t xml:space="preserve">a calibration laboratory accredited by the National Association of Testing Authorities (the </w:t>
      </w:r>
      <w:r>
        <w:rPr>
          <w:rStyle w:val="CharDefText"/>
        </w:rPr>
        <w:t>NATA</w:t>
      </w:r>
      <w:r>
        <w:t>) for the calibration of sound measuring equipment; or</w:t>
      </w:r>
    </w:p>
    <w:p>
      <w:pPr>
        <w:pStyle w:val="yDefpara"/>
      </w:pPr>
      <w:r>
        <w:tab/>
        <w:t>(b)</w:t>
      </w:r>
      <w:r>
        <w:tab/>
        <w:t>a calibration laboratory approved by the CEO for calibration of sound measuring equipment; or</w:t>
      </w:r>
    </w:p>
    <w:p>
      <w:pPr>
        <w:pStyle w:val="yDefpara"/>
      </w:pPr>
      <w:r>
        <w:lastRenderedPageBreak/>
        <w:tab/>
        <w:t>(c)</w:t>
      </w:r>
      <w:r>
        <w:tab/>
        <w:t xml:space="preserve">the National Measurement Institute referred to in the </w:t>
      </w:r>
      <w:r>
        <w:rPr>
          <w:i/>
          <w:iCs/>
        </w:rPr>
        <w:t>National Measurement Act 1960</w:t>
      </w:r>
      <w:r>
        <w:t xml:space="preserve"> (Commonwealth) section 17;</w:t>
      </w:r>
    </w:p>
    <w:p>
      <w:pPr>
        <w:pStyle w:val="yDefstart"/>
      </w:pPr>
      <w:r>
        <w:tab/>
      </w:r>
      <w:r>
        <w:rPr>
          <w:rStyle w:val="CharDefText"/>
        </w:rPr>
        <w:t>approved person</w:t>
      </w:r>
      <w:r>
        <w:t xml:space="preserve"> means — </w:t>
      </w:r>
    </w:p>
    <w:p>
      <w:pPr>
        <w:pStyle w:val="yDefpara"/>
      </w:pPr>
      <w:r>
        <w:tab/>
        <w:t>(a)</w:t>
      </w:r>
      <w:r>
        <w:tab/>
        <w:t>in relation to a calibration laboratory accredited by NATA, a person who is authorised by NATA to sign calibration certificates on behalf of the laboratory; or</w:t>
      </w:r>
    </w:p>
    <w:p>
      <w:pPr>
        <w:pStyle w:val="yDefpara"/>
      </w:pPr>
      <w:r>
        <w:tab/>
        <w:t>(b)</w:t>
      </w:r>
      <w:r>
        <w:tab/>
        <w:t>in relation to a calibration laboratory approved by the CEO, a person authorised in that approval to sign calibration certificates; or</w:t>
      </w:r>
    </w:p>
    <w:p>
      <w:pPr>
        <w:pStyle w:val="yDefpara"/>
      </w:pPr>
      <w:r>
        <w:tab/>
        <w:t>(c)</w:t>
      </w:r>
      <w:r>
        <w:tab/>
        <w:t>in relation to the National Measurement Institute, a person authorised by the Institute to sign calibration certificates for sound measuring equipment.</w:t>
      </w:r>
    </w:p>
    <w:p>
      <w:pPr>
        <w:pStyle w:val="ySubsection"/>
        <w:spacing w:before="120"/>
        <w:rPr>
          <w:snapToGrid w:val="0"/>
        </w:rPr>
      </w:pPr>
      <w:r>
        <w:tab/>
        <w:t>(2)</w:t>
      </w:r>
      <w:r>
        <w:tab/>
        <w:t xml:space="preserve">Sound measuring equipment </w:t>
      </w:r>
      <w:r>
        <w:rPr>
          <w:snapToGrid w:val="0"/>
        </w:rPr>
        <w:t>must not be used for the purposes of these regulations unless — </w:t>
      </w:r>
    </w:p>
    <w:p>
      <w:pPr>
        <w:pStyle w:val="yIndenta"/>
        <w:rPr>
          <w:snapToGrid w:val="0"/>
        </w:rPr>
      </w:pPr>
      <w:r>
        <w:rPr>
          <w:snapToGrid w:val="0"/>
        </w:rPr>
        <w:tab/>
        <w:t>(a)</w:t>
      </w:r>
      <w:r>
        <w:rPr>
          <w:snapToGrid w:val="0"/>
        </w:rPr>
        <w:tab/>
        <w:t>the equipment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an approved person has issued a certificate — </w:t>
      </w:r>
    </w:p>
    <w:p>
      <w:pPr>
        <w:pStyle w:val="yIndenti0"/>
        <w:rPr>
          <w:snapToGrid w:val="0"/>
        </w:rPr>
      </w:pPr>
      <w:r>
        <w:rPr>
          <w:snapToGrid w:val="0"/>
        </w:rPr>
        <w:tab/>
        <w:t>(i)</w:t>
      </w:r>
      <w:r>
        <w:rPr>
          <w:snapToGrid w:val="0"/>
        </w:rPr>
        <w:tab/>
        <w:t>identifying the laboratory undertaking the calibration; and</w:t>
      </w:r>
    </w:p>
    <w:p>
      <w:pPr>
        <w:pStyle w:val="yIndenti0"/>
      </w:pPr>
      <w:r>
        <w:tab/>
        <w:t>(ii)</w:t>
      </w:r>
      <w:r>
        <w:tab/>
        <w:t>identifying the equipment by type, manufacturer and, if the equipment has a serial number, by the serial number; and</w:t>
      </w:r>
    </w:p>
    <w:p>
      <w:pPr>
        <w:pStyle w:val="yIndenti0"/>
        <w:rPr>
          <w:snapToGrid w:val="0"/>
        </w:rPr>
      </w:pPr>
      <w:r>
        <w:rPr>
          <w:snapToGrid w:val="0"/>
        </w:rPr>
        <w:tab/>
        <w:t>(iii)</w:t>
      </w:r>
      <w:r>
        <w:rPr>
          <w:snapToGrid w:val="0"/>
        </w:rPr>
        <w:tab/>
        <w:t>recording the date of calibration; and</w:t>
      </w:r>
    </w:p>
    <w:p>
      <w:pPr>
        <w:pStyle w:val="yIndenti0"/>
        <w:rPr>
          <w:snapToGrid w:val="0"/>
        </w:rPr>
      </w:pPr>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p>
    <w:p>
      <w:pPr>
        <w:pStyle w:val="yIndenti0"/>
      </w:pPr>
      <w:r>
        <w:tab/>
        <w:t>(v)</w:t>
      </w:r>
      <w:r>
        <w:tab/>
        <w:t>certifying that the sound measuring equipment complies with the relevant provisions of AS IEC 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p>
    <w:p>
      <w:pPr>
        <w:pStyle w:val="yIndenti0"/>
        <w:rPr>
          <w:snapToGrid w:val="0"/>
        </w:rPr>
      </w:pPr>
      <w:r>
        <w:rPr>
          <w:snapToGrid w:val="0"/>
        </w:rPr>
        <w:lastRenderedPageBreak/>
        <w:tab/>
        <w:t>(vi)</w:t>
      </w:r>
      <w:r>
        <w:rPr>
          <w:snapToGrid w:val="0"/>
        </w:rPr>
        <w:tab/>
        <w:t>specifying the standard or standards, and the clause numbers of the standard or standards, against which the equipment has been calibrated.</w:t>
      </w:r>
    </w:p>
    <w:p>
      <w:pPr>
        <w:pStyle w:val="ySubsection"/>
        <w:rPr>
          <w:snapToGrid w:val="0"/>
        </w:rPr>
      </w:pPr>
      <w:r>
        <w:rPr>
          <w:snapToGrid w:val="0"/>
        </w:rPr>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p>
    <w:p>
      <w:pPr>
        <w:pStyle w:val="yFootnotesection"/>
      </w:pPr>
      <w:r>
        <w:tab/>
        <w:t>[Clause 2 inserted: Gazette 5 Dec 2013 p. 5721</w:t>
      </w:r>
      <w:r>
        <w:noBreakHyphen/>
        <w:t>3.]</w:t>
      </w:r>
    </w:p>
    <w:p>
      <w:pPr>
        <w:pStyle w:val="yHeading5"/>
      </w:pPr>
      <w:bookmarkStart w:id="103" w:name="_Toc173502738"/>
      <w:r>
        <w:rPr>
          <w:rStyle w:val="CharSClsNo"/>
        </w:rPr>
        <w:t>3</w:t>
      </w:r>
      <w:r>
        <w:t>.</w:t>
      </w:r>
      <w:r>
        <w:tab/>
        <w:t>Field performance checks</w:t>
      </w:r>
      <w:bookmarkEnd w:id="103"/>
    </w:p>
    <w:p>
      <w:pPr>
        <w:pStyle w:val="ySubsection"/>
        <w:rPr>
          <w:snapToGrid w:val="0"/>
        </w:rPr>
      </w:pPr>
      <w:r>
        <w:tab/>
        <w:t>(1)</w:t>
      </w:r>
      <w:r>
        <w:tab/>
        <w:t xml:space="preserve">Sound measuring equipment referred to in clause 1(1), (2) and (3) — </w:t>
      </w:r>
    </w:p>
    <w:p>
      <w:pPr>
        <w:pStyle w:val="yIndenta"/>
      </w:pPr>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p>
    <w:p>
      <w:pPr>
        <w:pStyle w:val="yIndenta"/>
        <w:rPr>
          <w:snapToGrid w:val="0"/>
        </w:rPr>
      </w:pPr>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 + or</w:t>
      </w:r>
      <w:r>
        <w:t xml:space="preserve"> </w:t>
      </w:r>
      <w:r>
        <w:sym w:font="Symbol" w:char="F02D"/>
      </w:r>
      <w:r>
        <w:t xml:space="preserve"> </w:t>
      </w:r>
      <w:r>
        <w:rPr>
          <w:snapToGrid w:val="0"/>
        </w:rPr>
        <w:t>0.5 dB; and</w:t>
      </w:r>
    </w:p>
    <w:p>
      <w:pPr>
        <w:pStyle w:val="yIndenta"/>
        <w:rPr>
          <w:snapToGrid w:val="0"/>
        </w:rPr>
      </w:pPr>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p>
    <w:p>
      <w:pPr>
        <w:pStyle w:val="ySubsection"/>
        <w:rPr>
          <w:snapToGrid w:val="0"/>
        </w:rPr>
      </w:pPr>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p>
    <w:p>
      <w:pPr>
        <w:pStyle w:val="yFootnotesection"/>
      </w:pPr>
      <w:r>
        <w:tab/>
        <w:t>[Clause 3 inserted: Gazette 5 Dec 2013 p. 5723.]</w:t>
      </w:r>
    </w:p>
    <w:p>
      <w:pPr>
        <w:pStyle w:val="yHeading5"/>
        <w:rPr>
          <w:snapToGrid w:val="0"/>
        </w:rPr>
      </w:pPr>
      <w:bookmarkStart w:id="104" w:name="_Toc173502739"/>
      <w:r>
        <w:rPr>
          <w:rStyle w:val="CharSClsNo"/>
        </w:rPr>
        <w:t>4</w:t>
      </w:r>
      <w:r>
        <w:t>.</w:t>
      </w:r>
      <w:r>
        <w:tab/>
        <w:t>Equipment</w:t>
      </w:r>
      <w:r>
        <w:rPr>
          <w:snapToGrid w:val="0"/>
        </w:rPr>
        <w:t xml:space="preserve"> used for measurement of airblast levels</w:t>
      </w:r>
      <w:bookmarkEnd w:id="104"/>
      <w:r>
        <w:rPr>
          <w:snapToGrid w:val="0"/>
        </w:rPr>
        <w:t xml:space="preserve"> </w:t>
      </w:r>
    </w:p>
    <w:p>
      <w:pPr>
        <w:pStyle w:val="ySubsection"/>
        <w:rPr>
          <w:snapToGrid w:val="0"/>
        </w:rPr>
      </w:pPr>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p>
    <w:p>
      <w:pPr>
        <w:pStyle w:val="ySubsection"/>
      </w:pPr>
      <w:r>
        <w:tab/>
        <w:t>(2)</w:t>
      </w:r>
      <w:r>
        <w:tab/>
        <w:t xml:space="preserve">Sound measuring equipment which is used for measuring airblast levels from blasting must be calibrated in accordance with clause 2 and checked in accordance with clause 3 except that — </w:t>
      </w:r>
    </w:p>
    <w:p>
      <w:pPr>
        <w:pStyle w:val="yIndenta"/>
      </w:pPr>
      <w:r>
        <w:lastRenderedPageBreak/>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p>
    <w:p>
      <w:pPr>
        <w:pStyle w:val="yIndenta"/>
      </w:pPr>
      <w:r>
        <w:tab/>
        <w:t>(b)</w:t>
      </w:r>
      <w:r>
        <w:tab/>
        <w:t>it does not have to be certified as complying with the relevant parts of AS IEC 61672.1–2004 specifying frequency response requirements.</w:t>
      </w:r>
    </w:p>
    <w:p>
      <w:pPr>
        <w:pStyle w:val="ySubsection"/>
        <w:rPr>
          <w:snapToGrid w:val="0"/>
        </w:rPr>
      </w:pPr>
      <w:r>
        <w:tab/>
        <w:t>(3)</w:t>
      </w:r>
      <w:r>
        <w:tab/>
        <w:t>Sound measuring equipment which does</w:t>
      </w:r>
      <w:r>
        <w:rPr>
          <w:snapToGrid w:val="0"/>
        </w:rPr>
        <w:t xml:space="preserve"> not meet the requirements of subclause (2) must not be used for airblast measurements.</w:t>
      </w:r>
    </w:p>
    <w:p>
      <w:pPr>
        <w:pStyle w:val="yFootnotesection"/>
      </w:pPr>
      <w:r>
        <w:tab/>
        <w:t>[Clause 4 inserted: Gazette 5 Dec 2013 p. 5723</w:t>
      </w:r>
      <w:r>
        <w:noBreakHyphen/>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105" w:name="_Toc173498532"/>
      <w:bookmarkStart w:id="106" w:name="_Toc173499668"/>
      <w:bookmarkStart w:id="107" w:name="_Toc173502740"/>
      <w:r>
        <w:lastRenderedPageBreak/>
        <w:t>Notes</w:t>
      </w:r>
      <w:bookmarkEnd w:id="105"/>
      <w:bookmarkEnd w:id="106"/>
      <w:bookmarkEnd w:id="107"/>
    </w:p>
    <w:p>
      <w:pPr>
        <w:pStyle w:val="nStatement"/>
      </w:pPr>
      <w:r>
        <w:t xml:space="preserve">This is a compilation of the </w:t>
      </w:r>
      <w:r>
        <w:rPr>
          <w:i/>
          <w:noProof/>
        </w:rPr>
        <w:t>Environmental Protection (Noise) Regulations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8" w:name="_Toc173502741"/>
      <w:r>
        <w:t>Compilation table</w:t>
      </w:r>
      <w:bookmarkEnd w:id="10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(Noise) Regulations 1997</w:t>
            </w:r>
          </w:p>
        </w:tc>
        <w:tc>
          <w:tcPr>
            <w:tcW w:w="1276" w:type="dxa"/>
          </w:tcPr>
          <w:p>
            <w:pPr>
              <w:pStyle w:val="nTable"/>
              <w:spacing w:after="40"/>
            </w:pPr>
            <w:r>
              <w:t>31 Oct 1997 p. 6035</w:t>
            </w:r>
            <w:r>
              <w:noBreakHyphen/>
              <w:t>74</w:t>
            </w:r>
          </w:p>
        </w:tc>
        <w:tc>
          <w:tcPr>
            <w:tcW w:w="2693" w:type="dxa"/>
          </w:tcPr>
          <w:p>
            <w:pPr>
              <w:pStyle w:val="nTable"/>
              <w:spacing w:after="40"/>
            </w:pPr>
            <w:r>
              <w:t>31 Oct 1997</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(Miscellaneous Amendments) Regulations 1998</w:t>
            </w:r>
            <w:r>
              <w:t xml:space="preserve"> Pt. 5</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(Noise) Amendment Regulations 2000</w:t>
            </w:r>
          </w:p>
        </w:tc>
        <w:tc>
          <w:tcPr>
            <w:tcW w:w="1276" w:type="dxa"/>
          </w:tcPr>
          <w:p>
            <w:pPr>
              <w:pStyle w:val="nTable"/>
              <w:spacing w:after="40"/>
            </w:pPr>
            <w:r>
              <w:t>7 Nov 2000 p. 6143</w:t>
            </w:r>
            <w:r>
              <w:noBreakHyphen/>
              <w:t>4</w:t>
            </w:r>
          </w:p>
        </w:tc>
        <w:tc>
          <w:tcPr>
            <w:tcW w:w="2693" w:type="dxa"/>
          </w:tcPr>
          <w:p>
            <w:pPr>
              <w:pStyle w:val="nTable"/>
              <w:spacing w:after="40"/>
            </w:pPr>
            <w:r>
              <w:t>7 Nov 2000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  The </w:t>
            </w:r>
            <w:r>
              <w:rPr>
                <w:b/>
                <w:i/>
              </w:rPr>
              <w:t>Environmental Protection (Noise) Regulations 1997</w:t>
            </w:r>
            <w:r>
              <w:rPr>
                <w:b/>
              </w:rPr>
              <w:t xml:space="preserve"> as at 7 Nov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Environmental Protection (Noise) Amendment Regulations 2013</w:t>
            </w:r>
            <w:r>
              <w:t xml:space="preserve"> </w:t>
            </w:r>
          </w:p>
        </w:tc>
        <w:tc>
          <w:tcPr>
            <w:tcW w:w="1276" w:type="dxa"/>
            <w:shd w:val="clear" w:color="auto" w:fill="auto"/>
          </w:tcPr>
          <w:p>
            <w:pPr>
              <w:pStyle w:val="nTable"/>
              <w:spacing w:after="40"/>
            </w:pPr>
            <w:r>
              <w:t>5 Dec 2013 p. 5641</w:t>
            </w:r>
            <w:r>
              <w:noBreakHyphen/>
              <w:t>724</w:t>
            </w:r>
          </w:p>
        </w:tc>
        <w:tc>
          <w:tcPr>
            <w:tcW w:w="2693" w:type="dxa"/>
            <w:shd w:val="clear" w:color="auto" w:fill="auto"/>
          </w:tcPr>
          <w:p>
            <w:pPr>
              <w:pStyle w:val="nTable"/>
              <w:spacing w:after="40"/>
              <w:rPr>
                <w:b/>
                <w:kern w:val="28"/>
              </w:rPr>
            </w:pPr>
            <w:r>
              <w:rPr>
                <w:bCs/>
                <w:snapToGrid w:val="0"/>
              </w:rPr>
              <w:t>r. 1 and 2: 5 Dec 2013 (see r. 2(a));</w:t>
            </w:r>
            <w:r>
              <w:rPr>
                <w:bCs/>
                <w:snapToGrid w:val="0"/>
              </w:rPr>
              <w:br/>
              <w:t>Regulations other than r. 1, 2,</w:t>
            </w:r>
            <w:r>
              <w:t xml:space="preserve"> 14, 27, 30</w:t>
            </w:r>
            <w:r>
              <w:noBreakHyphen/>
              <w:t>33 and 36</w:t>
            </w:r>
            <w:r>
              <w:noBreakHyphen/>
              <w:t>39</w:t>
            </w:r>
            <w:r>
              <w:rPr>
                <w:bCs/>
                <w:snapToGrid w:val="0"/>
              </w:rPr>
              <w:t>: 6 Dec 2013 (see r. 2(b));</w:t>
            </w:r>
            <w:r>
              <w:rPr>
                <w:bCs/>
                <w:snapToGrid w:val="0"/>
              </w:rPr>
              <w:br/>
            </w:r>
            <w:r>
              <w:t>r. 14, 27, 30</w:t>
            </w:r>
            <w:r>
              <w:noBreakHyphen/>
              <w:t>33 and 36</w:t>
            </w:r>
            <w:r>
              <w:noBreakHyphen/>
              <w:t xml:space="preserve">39: 5 Mar 2014 (see r. 2(c)) </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Environmental Protection (Noise) Amendment Regulations 2014</w:t>
            </w:r>
          </w:p>
        </w:tc>
        <w:tc>
          <w:tcPr>
            <w:tcW w:w="1276" w:type="dxa"/>
            <w:shd w:val="clear" w:color="auto" w:fill="auto"/>
          </w:tcPr>
          <w:p>
            <w:pPr>
              <w:pStyle w:val="nTable"/>
              <w:spacing w:after="40"/>
            </w:pPr>
            <w:r>
              <w:t>16 May 2014 p. 1539</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w:t>
            </w:r>
            <w:r>
              <w:t xml:space="preserve"> 17 May 2014</w:t>
            </w:r>
            <w:r>
              <w:rPr>
                <w:bCs/>
                <w:snapToGrid w:val="0"/>
              </w:rPr>
              <w:t xml:space="preserve"> (see r. 2(b))</w:t>
            </w:r>
          </w:p>
        </w:tc>
      </w:tr>
      <w:tr>
        <w:tc>
          <w:tcPr>
            <w:tcW w:w="7087" w:type="dxa"/>
            <w:gridSpan w:val="3"/>
            <w:tcBorders>
              <w:top w:val="nil"/>
              <w:bottom w:val="nil"/>
            </w:tcBorders>
            <w:shd w:val="clear" w:color="auto" w:fill="auto"/>
          </w:tcPr>
          <w:p>
            <w:pPr>
              <w:pStyle w:val="nTable"/>
              <w:spacing w:after="40"/>
              <w:rPr>
                <w:bCs/>
                <w:snapToGrid w:val="0"/>
              </w:rPr>
            </w:pPr>
            <w:r>
              <w:rPr>
                <w:b/>
              </w:rPr>
              <w:t xml:space="preserve">Reprint 2:  The </w:t>
            </w:r>
            <w:r>
              <w:rPr>
                <w:b/>
                <w:i/>
              </w:rPr>
              <w:t>Environmental Protection (Noise) Regulations 1997</w:t>
            </w:r>
            <w:r>
              <w:rPr>
                <w:b/>
              </w:rPr>
              <w:t xml:space="preserve"> as at 19 May 2014</w:t>
            </w:r>
            <w:r>
              <w:t xml:space="preserve"> (includes amendments listed above)</w:t>
            </w:r>
          </w:p>
        </w:tc>
      </w:tr>
      <w:tr>
        <w:tc>
          <w:tcPr>
            <w:tcW w:w="3118" w:type="dxa"/>
            <w:tcBorders>
              <w:top w:val="nil"/>
              <w:bottom w:val="nil"/>
            </w:tcBorders>
          </w:tcPr>
          <w:p>
            <w:pPr>
              <w:pStyle w:val="nTable"/>
              <w:spacing w:after="40"/>
            </w:pPr>
            <w:r>
              <w:rPr>
                <w:i/>
              </w:rPr>
              <w:t>Environment Regulations Amendment (Public Health) Regulations 2016</w:t>
            </w:r>
            <w:r>
              <w:t xml:space="preserve"> Pt. 6</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single" w:sz="4" w:space="0" w:color="auto"/>
            </w:tcBorders>
          </w:tcPr>
          <w:p>
            <w:pPr>
              <w:pStyle w:val="nTable"/>
              <w:spacing w:after="40"/>
              <w:rPr>
                <w:i/>
              </w:rPr>
            </w:pPr>
            <w:r>
              <w:rPr>
                <w:i/>
              </w:rPr>
              <w:t>Environment Regulations Amendment (Work Health and Safety) Regulations 2022</w:t>
            </w:r>
            <w:r>
              <w:t xml:space="preserve"> Pt. 2</w:t>
            </w:r>
          </w:p>
        </w:tc>
        <w:tc>
          <w:tcPr>
            <w:tcW w:w="1276" w:type="dxa"/>
            <w:tcBorders>
              <w:top w:val="nil"/>
              <w:bottom w:val="single" w:sz="4" w:space="0" w:color="auto"/>
            </w:tcBorders>
          </w:tcPr>
          <w:p>
            <w:pPr>
              <w:pStyle w:val="nTable"/>
              <w:spacing w:after="40"/>
            </w:pPr>
            <w:r>
              <w:t>SL 2022/25 11 Mar 2022</w:t>
            </w:r>
          </w:p>
        </w:tc>
        <w:tc>
          <w:tcPr>
            <w:tcW w:w="2693" w:type="dxa"/>
            <w:tcBorders>
              <w:top w:val="nil"/>
              <w:bottom w:val="single" w:sz="4" w:space="0" w:color="auto"/>
            </w:tcBorders>
          </w:tcPr>
          <w:p>
            <w:pPr>
              <w:pStyle w:val="nTable"/>
              <w:spacing w:after="40"/>
            </w:pPr>
            <w:r>
              <w:t>31 Mar 2022 (see r. 2(b) and SL 2022/18 cl. 2)</w:t>
            </w:r>
          </w:p>
        </w:tc>
      </w:tr>
    </w:tbl>
    <w:p>
      <w:pPr>
        <w:pStyle w:val="nHeading3"/>
      </w:pPr>
      <w:bookmarkStart w:id="109" w:name="_Toc173502742"/>
      <w:r>
        <w:lastRenderedPageBreak/>
        <w:t>Uncommenced provisions table</w:t>
      </w:r>
      <w:bookmarkEnd w:id="10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 xml:space="preserve">Environmental Protection (Noise) Amendment Regulations (No. 2) 2024 </w:t>
            </w:r>
            <w:r>
              <w:rPr>
                <w:iCs/>
              </w:rPr>
              <w:t>r. 3 and 4</w:t>
            </w:r>
          </w:p>
        </w:tc>
        <w:tc>
          <w:tcPr>
            <w:tcW w:w="1276" w:type="dxa"/>
          </w:tcPr>
          <w:p>
            <w:pPr>
              <w:pStyle w:val="nTable"/>
              <w:spacing w:after="40"/>
            </w:pPr>
            <w:r>
              <w:t>SL 2024/159 7 Aug 2024</w:t>
            </w:r>
          </w:p>
        </w:tc>
        <w:tc>
          <w:tcPr>
            <w:tcW w:w="2693" w:type="dxa"/>
          </w:tcPr>
          <w:p>
            <w:pPr>
              <w:pStyle w:val="nTable"/>
              <w:spacing w:after="40"/>
            </w:pPr>
            <w:r>
              <w:t>1 Sep 2024 (see r. 2(b))</w:t>
            </w:r>
          </w:p>
        </w:tc>
      </w:tr>
    </w:tbl>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11" w:name="_Toc173498534"/>
      <w:bookmarkStart w:id="112" w:name="_Toc173499671"/>
      <w:bookmarkStart w:id="113" w:name="_Toc173502743"/>
      <w:r>
        <w:rPr>
          <w:sz w:val="28"/>
        </w:rPr>
        <w:lastRenderedPageBreak/>
        <w:t>Defined terms</w:t>
      </w:r>
      <w:bookmarkEnd w:id="111"/>
      <w:bookmarkEnd w:id="112"/>
      <w:bookmarkEnd w:id="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airblast level</w:t>
      </w:r>
      <w:r>
        <w:tab/>
        <w:t>11(1)</w:t>
      </w:r>
    </w:p>
    <w:p>
      <w:pPr>
        <w:pStyle w:val="DefinedTerms"/>
      </w:pPr>
      <w:r>
        <w:t>amending provision</w:t>
      </w:r>
      <w:r>
        <w:tab/>
        <w:t>18I(1)</w:t>
      </w:r>
    </w:p>
    <w:p>
      <w:pPr>
        <w:pStyle w:val="DefinedTerms"/>
      </w:pPr>
      <w:r>
        <w:t>amplified call to worship</w:t>
      </w:r>
      <w:r>
        <w:tab/>
        <w:t>15(1)</w:t>
      </w:r>
    </w:p>
    <w:p>
      <w:pPr>
        <w:pStyle w:val="DefinedTerms"/>
      </w:pPr>
      <w:r>
        <w:t>amusement structure</w:t>
      </w:r>
      <w:r>
        <w:tab/>
        <w:t>2(1)</w:t>
      </w:r>
    </w:p>
    <w:p>
      <w:pPr>
        <w:pStyle w:val="DefinedTerms"/>
      </w:pPr>
      <w:r>
        <w:t>ancillary condition</w:t>
      </w:r>
      <w:r>
        <w:tab/>
        <w:t>18D(1), 18(1)</w:t>
      </w:r>
    </w:p>
    <w:p>
      <w:pPr>
        <w:pStyle w:val="DefinedTerms"/>
      </w:pPr>
      <w:r>
        <w:t>ancillary measure</w:t>
      </w:r>
      <w:r>
        <w:tab/>
        <w:t>13.(1), 14A(1), 16A, 16B</w:t>
      </w:r>
    </w:p>
    <w:p>
      <w:pPr>
        <w:pStyle w:val="DefinedTerms"/>
      </w:pPr>
      <w:r>
        <w:t>appellable decision</w:t>
      </w:r>
      <w:r>
        <w:tab/>
        <w:t>16AD(1), 16AE(1), 16BD(1), 16BE(1), 19F(1), 19G(1)</w:t>
      </w:r>
    </w:p>
    <w:p>
      <w:pPr>
        <w:pStyle w:val="DefinedTerms"/>
      </w:pPr>
      <w:r>
        <w:t>approved calibration laboratory</w:t>
      </w:r>
      <w:r>
        <w:tab/>
        <w:t>Sch. 4 cl. 2(1)</w:t>
      </w:r>
    </w:p>
    <w:p>
      <w:pPr>
        <w:pStyle w:val="DefinedTerms"/>
      </w:pPr>
      <w:r>
        <w:t>approved event</w:t>
      </w:r>
      <w:r>
        <w:tab/>
        <w:t>18J</w:t>
      </w:r>
    </w:p>
    <w:p>
      <w:pPr>
        <w:pStyle w:val="DefinedTerms"/>
      </w:pPr>
      <w:r>
        <w:t>approved noise management plan</w:t>
      </w:r>
      <w:r>
        <w:tab/>
        <w:t>16A, 16B</w:t>
      </w:r>
    </w:p>
    <w:p>
      <w:pPr>
        <w:pStyle w:val="DefinedTerms"/>
      </w:pPr>
      <w:r>
        <w:t>approved person</w:t>
      </w:r>
      <w:r>
        <w:tab/>
        <w:t>Sch. 4 cl. 2(1)</w:t>
      </w:r>
    </w:p>
    <w:p>
      <w:pPr>
        <w:pStyle w:val="DefinedTerms"/>
      </w:pPr>
      <w:r>
        <w:t>approved venue</w:t>
      </w:r>
      <w:r>
        <w:tab/>
        <w:t>18J</w:t>
      </w:r>
    </w:p>
    <w:p>
      <w:pPr>
        <w:pStyle w:val="DefinedTerms"/>
      </w:pPr>
      <w:r>
        <w:t>assigned level</w:t>
      </w:r>
      <w:r>
        <w:tab/>
        <w:t>2(1)</w:t>
      </w:r>
    </w:p>
    <w:p>
      <w:pPr>
        <w:pStyle w:val="DefinedTerms"/>
      </w:pPr>
      <w:r>
        <w:t>average daily traffic count</w:t>
      </w:r>
      <w:r>
        <w:tab/>
        <w:t>Sch. 3 cl. 1(1)</w:t>
      </w:r>
    </w:p>
    <w:p>
      <w:pPr>
        <w:pStyle w:val="DefinedTerms"/>
      </w:pPr>
      <w:r>
        <w:t>bellringing</w:t>
      </w:r>
      <w:r>
        <w:tab/>
        <w:t>15(1)</w:t>
      </w:r>
    </w:p>
    <w:p>
      <w:pPr>
        <w:pStyle w:val="DefinedTerms"/>
      </w:pPr>
      <w:r>
        <w:t>blaster</w:t>
      </w:r>
      <w:r>
        <w:tab/>
        <w:t>11(1)</w:t>
      </w:r>
    </w:p>
    <w:p>
      <w:pPr>
        <w:pStyle w:val="DefinedTerms"/>
      </w:pPr>
      <w:r>
        <w:t>blasting</w:t>
      </w:r>
      <w:r>
        <w:tab/>
        <w:t>2.(1)</w:t>
      </w:r>
    </w:p>
    <w:p>
      <w:pPr>
        <w:pStyle w:val="DefinedTerms"/>
      </w:pPr>
      <w:r>
        <w:t>boundary</w:t>
      </w:r>
      <w:r>
        <w:tab/>
        <w:t>19(1)</w:t>
      </w:r>
    </w:p>
    <w:p>
      <w:pPr>
        <w:pStyle w:val="DefinedTerms"/>
      </w:pPr>
      <w:r>
        <w:t>building</w:t>
      </w:r>
      <w:r>
        <w:tab/>
        <w:t>8(1), 11(1)</w:t>
      </w:r>
    </w:p>
    <w:p>
      <w:pPr>
        <w:pStyle w:val="DefinedTerms"/>
      </w:pPr>
      <w:r>
        <w:t>caravan park or camping ground</w:t>
      </w:r>
      <w:r>
        <w:tab/>
        <w:t>2.(1)</w:t>
      </w:r>
    </w:p>
    <w:p>
      <w:pPr>
        <w:pStyle w:val="DefinedTerms"/>
      </w:pPr>
      <w:r>
        <w:t>class 1 works</w:t>
      </w:r>
      <w:r>
        <w:tab/>
        <w:t>14A(1)</w:t>
      </w:r>
    </w:p>
    <w:p>
      <w:pPr>
        <w:pStyle w:val="DefinedTerms"/>
      </w:pPr>
      <w:r>
        <w:t>class 2 works</w:t>
      </w:r>
      <w:r>
        <w:tab/>
        <w:t>14A(1)</w:t>
      </w:r>
    </w:p>
    <w:p>
      <w:pPr>
        <w:pStyle w:val="DefinedTerms"/>
      </w:pPr>
      <w:r>
        <w:t>commercial premises</w:t>
      </w:r>
      <w:r>
        <w:tab/>
        <w:t>2.(1)</w:t>
      </w:r>
    </w:p>
    <w:p>
      <w:pPr>
        <w:pStyle w:val="DefinedTerms"/>
      </w:pPr>
      <w:r>
        <w:t>community noise</w:t>
      </w:r>
      <w:r>
        <w:tab/>
        <w:t>16(1)</w:t>
      </w:r>
    </w:p>
    <w:p>
      <w:pPr>
        <w:pStyle w:val="DefinedTerms"/>
      </w:pPr>
      <w:r>
        <w:t>construction site</w:t>
      </w:r>
      <w:r>
        <w:tab/>
        <w:t>13(1)</w:t>
      </w:r>
    </w:p>
    <w:p>
      <w:pPr>
        <w:pStyle w:val="DefinedTerms"/>
      </w:pPr>
      <w:r>
        <w:t>construction work</w:t>
      </w:r>
      <w:r>
        <w:tab/>
        <w:t>13(1)</w:t>
      </w:r>
    </w:p>
    <w:p>
      <w:pPr>
        <w:pStyle w:val="DefinedTerms"/>
      </w:pPr>
      <w:r>
        <w:t>current approval</w:t>
      </w:r>
      <w:r>
        <w:tab/>
        <w:t>19B(11)</w:t>
      </w:r>
    </w:p>
    <w:p>
      <w:pPr>
        <w:pStyle w:val="DefinedTerms"/>
      </w:pPr>
      <w:r>
        <w:t>current plan</w:t>
      </w:r>
      <w:r>
        <w:tab/>
        <w:t>16AA(6), 16BA(6)</w:t>
      </w:r>
    </w:p>
    <w:p>
      <w:pPr>
        <w:pStyle w:val="DefinedTerms"/>
      </w:pPr>
      <w:r>
        <w:t>emitting premises</w:t>
      </w:r>
      <w:r>
        <w:tab/>
        <w:t>10(3)</w:t>
      </w:r>
    </w:p>
    <w:p>
      <w:pPr>
        <w:pStyle w:val="DefinedTerms"/>
      </w:pPr>
      <w:r>
        <w:t>expiry day</w:t>
      </w:r>
      <w:r>
        <w:tab/>
        <w:t>16AA(6), 16BA(6), 19B(11)</w:t>
      </w:r>
    </w:p>
    <w:p>
      <w:pPr>
        <w:pStyle w:val="DefinedTerms"/>
      </w:pPr>
      <w:r>
        <w:t>farming vehicle</w:t>
      </w:r>
      <w:r>
        <w:tab/>
        <w:t>12(1)</w:t>
      </w:r>
    </w:p>
    <w:p>
      <w:pPr>
        <w:pStyle w:val="DefinedTerms"/>
      </w:pPr>
      <w:r>
        <w:t>former regulation 17</w:t>
      </w:r>
      <w:r>
        <w:tab/>
        <w:t>18I(1)</w:t>
      </w:r>
    </w:p>
    <w:p>
      <w:pPr>
        <w:pStyle w:val="DefinedTerms"/>
      </w:pPr>
      <w:r>
        <w:t>highly sensitive area</w:t>
      </w:r>
      <w:r>
        <w:tab/>
        <w:t>8(1)</w:t>
      </w:r>
    </w:p>
    <w:p>
      <w:pPr>
        <w:pStyle w:val="DefinedTerms"/>
      </w:pPr>
      <w:r>
        <w:t>impulsiveness</w:t>
      </w:r>
      <w:r>
        <w:tab/>
        <w:t>9(1)</w:t>
      </w:r>
    </w:p>
    <w:p>
      <w:pPr>
        <w:pStyle w:val="DefinedTerms"/>
      </w:pPr>
      <w:r>
        <w:t>industrial and utility premises</w:t>
      </w:r>
      <w:r>
        <w:tab/>
        <w:t>2(1)</w:t>
      </w:r>
    </w:p>
    <w:p>
      <w:pPr>
        <w:pStyle w:val="DefinedTerms"/>
      </w:pPr>
      <w:r>
        <w:t>influencing factor</w:t>
      </w:r>
      <w:r>
        <w:tab/>
        <w:t>8(1)</w:t>
      </w:r>
    </w:p>
    <w:p>
      <w:pPr>
        <w:pStyle w:val="DefinedTerms"/>
      </w:pPr>
      <w:r>
        <w:t>inner circle</w:t>
      </w:r>
      <w:r>
        <w:tab/>
        <w:t>Sch. 3 cl. 1(1)</w:t>
      </w:r>
    </w:p>
    <w:p>
      <w:pPr>
        <w:pStyle w:val="DefinedTerms"/>
      </w:pPr>
      <w:r>
        <w:t>Kwinana Industrial Area</w:t>
      </w:r>
      <w:r>
        <w:tab/>
        <w:t>8(1)</w:t>
      </w:r>
    </w:p>
    <w:p>
      <w:pPr>
        <w:pStyle w:val="DefinedTerms"/>
      </w:pPr>
      <w:r>
        <w:t>Kwinana Policy Area</w:t>
      </w:r>
      <w:r>
        <w:tab/>
        <w:t>Sch. 3 cl. 1(1)</w:t>
      </w:r>
    </w:p>
    <w:p>
      <w:pPr>
        <w:pStyle w:val="DefinedTerms"/>
      </w:pPr>
      <w:r>
        <w:lastRenderedPageBreak/>
        <w:t>LA 10 assigned level</w:t>
      </w:r>
      <w:r>
        <w:tab/>
        <w:t>8(1)</w:t>
      </w:r>
    </w:p>
    <w:p>
      <w:pPr>
        <w:pStyle w:val="DefinedTerms"/>
      </w:pPr>
      <w:r>
        <w:t>LA 1 assigned level</w:t>
      </w:r>
      <w:r>
        <w:tab/>
        <w:t>8(1)</w:t>
      </w:r>
    </w:p>
    <w:p>
      <w:pPr>
        <w:pStyle w:val="DefinedTerms"/>
      </w:pPr>
      <w:r>
        <w:t>LAeqT</w:t>
      </w:r>
      <w:r>
        <w:tab/>
        <w:t>9(2)</w:t>
      </w:r>
    </w:p>
    <w:p>
      <w:pPr>
        <w:pStyle w:val="DefinedTerms"/>
      </w:pPr>
      <w:r>
        <w:t>LA Fast</w:t>
      </w:r>
      <w:r>
        <w:tab/>
        <w:t>9(2)</w:t>
      </w:r>
    </w:p>
    <w:p>
      <w:pPr>
        <w:pStyle w:val="DefinedTerms"/>
      </w:pPr>
      <w:r>
        <w:t>LA max assigned level</w:t>
      </w:r>
      <w:r>
        <w:tab/>
        <w:t>8(1)</w:t>
      </w:r>
    </w:p>
    <w:p>
      <w:pPr>
        <w:pStyle w:val="DefinedTerms"/>
      </w:pPr>
      <w:r>
        <w:t>land use map</w:t>
      </w:r>
      <w:r>
        <w:tab/>
        <w:t>Sch. 3 cl. 1(1)</w:t>
      </w:r>
    </w:p>
    <w:p>
      <w:pPr>
        <w:pStyle w:val="DefinedTerms"/>
      </w:pPr>
      <w:r>
        <w:t>LA peak</w:t>
      </w:r>
      <w:r>
        <w:tab/>
        <w:t>9(2)</w:t>
      </w:r>
    </w:p>
    <w:p>
      <w:pPr>
        <w:pStyle w:val="DefinedTerms"/>
      </w:pPr>
      <w:r>
        <w:t>LA Slow</w:t>
      </w:r>
      <w:r>
        <w:tab/>
        <w:t>2(1)</w:t>
      </w:r>
    </w:p>
    <w:p>
      <w:pPr>
        <w:pStyle w:val="DefinedTerms"/>
      </w:pPr>
      <w:r>
        <w:t>LA Slow max</w:t>
      </w:r>
      <w:r>
        <w:tab/>
        <w:t>9(2)</w:t>
      </w:r>
    </w:p>
    <w:p>
      <w:pPr>
        <w:pStyle w:val="DefinedTerms"/>
      </w:pPr>
      <w:r>
        <w:t>local government</w:t>
      </w:r>
      <w:r>
        <w:tab/>
        <w:t>2(1)</w:t>
      </w:r>
    </w:p>
    <w:p>
      <w:pPr>
        <w:pStyle w:val="DefinedTerms"/>
      </w:pPr>
      <w:r>
        <w:t>local government CEO</w:t>
      </w:r>
      <w:r>
        <w:tab/>
        <w:t>18(12)</w:t>
      </w:r>
    </w:p>
    <w:p>
      <w:pPr>
        <w:pStyle w:val="DefinedTerms"/>
      </w:pPr>
      <w:r>
        <w:t>LZ peak</w:t>
      </w:r>
      <w:r>
        <w:tab/>
        <w:t>11(1)</w:t>
      </w:r>
    </w:p>
    <w:p>
      <w:pPr>
        <w:pStyle w:val="DefinedTerms"/>
      </w:pPr>
      <w:r>
        <w:t>major road</w:t>
      </w:r>
      <w:r>
        <w:tab/>
        <w:t>Sch. 3 cl. 1(1)</w:t>
      </w:r>
    </w:p>
    <w:p>
      <w:pPr>
        <w:pStyle w:val="DefinedTerms"/>
      </w:pPr>
      <w:r>
        <w:t>measured</w:t>
      </w:r>
      <w:r>
        <w:tab/>
        <w:t>2(1)</w:t>
      </w:r>
    </w:p>
    <w:p>
      <w:pPr>
        <w:pStyle w:val="DefinedTerms"/>
      </w:pPr>
      <w:r>
        <w:t>mine operator</w:t>
      </w:r>
      <w:r>
        <w:tab/>
        <w:t>2(1)</w:t>
      </w:r>
    </w:p>
    <w:p>
      <w:pPr>
        <w:pStyle w:val="DefinedTerms"/>
      </w:pPr>
      <w:r>
        <w:t>mining operation</w:t>
      </w:r>
      <w:r>
        <w:tab/>
        <w:t>Sch. 3 cl. 1(1)</w:t>
      </w:r>
    </w:p>
    <w:p>
      <w:pPr>
        <w:pStyle w:val="DefinedTerms"/>
      </w:pPr>
      <w:r>
        <w:t>modulation</w:t>
      </w:r>
      <w:r>
        <w:tab/>
        <w:t>9(1)</w:t>
      </w:r>
    </w:p>
    <w:p>
      <w:pPr>
        <w:pStyle w:val="DefinedTerms"/>
      </w:pPr>
      <w:r>
        <w:t>motor sport organisation</w:t>
      </w:r>
      <w:r>
        <w:tab/>
        <w:t>16A</w:t>
      </w:r>
    </w:p>
    <w:p>
      <w:pPr>
        <w:pStyle w:val="DefinedTerms"/>
      </w:pPr>
      <w:r>
        <w:t>motor sport venue</w:t>
      </w:r>
      <w:r>
        <w:tab/>
        <w:t>16A</w:t>
      </w:r>
    </w:p>
    <w:p>
      <w:pPr>
        <w:pStyle w:val="DefinedTerms"/>
      </w:pPr>
      <w:r>
        <w:t>NATA</w:t>
      </w:r>
      <w:r>
        <w:tab/>
        <w:t>Sch. 4 cl. 2(1)</w:t>
      </w:r>
    </w:p>
    <w:p>
      <w:pPr>
        <w:pStyle w:val="DefinedTerms"/>
      </w:pPr>
      <w:r>
        <w:t>noise</w:t>
      </w:r>
      <w:r>
        <w:tab/>
        <w:t>18(1)</w:t>
      </w:r>
    </w:p>
    <w:p>
      <w:pPr>
        <w:pStyle w:val="DefinedTerms"/>
      </w:pPr>
      <w:r>
        <w:t>noise control notice</w:t>
      </w:r>
      <w:r>
        <w:tab/>
        <w:t>16(1)</w:t>
      </w:r>
    </w:p>
    <w:p>
      <w:pPr>
        <w:pStyle w:val="DefinedTerms"/>
      </w:pPr>
      <w:r>
        <w:t>noise sensitive premises</w:t>
      </w:r>
      <w:r>
        <w:tab/>
        <w:t>2(1)</w:t>
      </w:r>
    </w:p>
    <w:p>
      <w:pPr>
        <w:pStyle w:val="DefinedTerms"/>
      </w:pPr>
      <w:r>
        <w:t>noise sensitive purpose</w:t>
      </w:r>
      <w:r>
        <w:tab/>
        <w:t>2(1)</w:t>
      </w:r>
    </w:p>
    <w:p>
      <w:pPr>
        <w:pStyle w:val="DefinedTerms"/>
      </w:pPr>
      <w:r>
        <w:t>non-conforming use</w:t>
      </w:r>
      <w:r>
        <w:tab/>
        <w:t>10(1)</w:t>
      </w:r>
    </w:p>
    <w:p>
      <w:pPr>
        <w:pStyle w:val="DefinedTerms"/>
      </w:pPr>
      <w:r>
        <w:t>notifiable event</w:t>
      </w:r>
      <w:r>
        <w:tab/>
        <w:t>19B(1)</w:t>
      </w:r>
    </w:p>
    <w:p>
      <w:pPr>
        <w:pStyle w:val="DefinedTerms"/>
      </w:pPr>
      <w:r>
        <w:t>one-third octave band</w:t>
      </w:r>
      <w:r>
        <w:tab/>
        <w:t>8(2)</w:t>
      </w:r>
    </w:p>
    <w:p>
      <w:pPr>
        <w:pStyle w:val="DefinedTerms"/>
      </w:pPr>
      <w:r>
        <w:t>other call to worship</w:t>
      </w:r>
      <w:r>
        <w:tab/>
        <w:t>15(1)</w:t>
      </w:r>
    </w:p>
    <w:p>
      <w:pPr>
        <w:pStyle w:val="DefinedTerms"/>
      </w:pPr>
      <w:r>
        <w:t>outer circle</w:t>
      </w:r>
      <w:r>
        <w:tab/>
        <w:t>Sch. 3 cl. 1(1)</w:t>
      </w:r>
    </w:p>
    <w:p>
      <w:pPr>
        <w:pStyle w:val="DefinedTerms"/>
      </w:pPr>
      <w:r>
        <w:t>planning scheme</w:t>
      </w:r>
      <w:r>
        <w:tab/>
        <w:t>10(1)</w:t>
      </w:r>
    </w:p>
    <w:p>
      <w:pPr>
        <w:pStyle w:val="DefinedTerms"/>
      </w:pPr>
      <w:r>
        <w:t>port</w:t>
      </w:r>
      <w:r>
        <w:tab/>
        <w:t>3(2)</w:t>
      </w:r>
    </w:p>
    <w:p>
      <w:pPr>
        <w:pStyle w:val="DefinedTerms"/>
      </w:pPr>
      <w:r>
        <w:t>public holiday</w:t>
      </w:r>
      <w:r>
        <w:tab/>
        <w:t>2(1)</w:t>
      </w:r>
    </w:p>
    <w:p>
      <w:pPr>
        <w:pStyle w:val="DefinedTerms"/>
      </w:pPr>
      <w:r>
        <w:t>racing activity</w:t>
      </w:r>
      <w:r>
        <w:tab/>
        <w:t>16A</w:t>
      </w:r>
    </w:p>
    <w:p>
      <w:pPr>
        <w:pStyle w:val="DefinedTerms"/>
      </w:pPr>
      <w:r>
        <w:t>representative assessment period</w:t>
      </w:r>
      <w:r>
        <w:tab/>
        <w:t>2(1)</w:t>
      </w:r>
    </w:p>
    <w:p>
      <w:pPr>
        <w:pStyle w:val="DefinedTerms"/>
      </w:pPr>
      <w:r>
        <w:t>rural premises</w:t>
      </w:r>
      <w:r>
        <w:tab/>
        <w:t>2(1)</w:t>
      </w:r>
    </w:p>
    <w:p>
      <w:pPr>
        <w:pStyle w:val="DefinedTerms"/>
      </w:pPr>
      <w:r>
        <w:t>secondary road</w:t>
      </w:r>
      <w:r>
        <w:tab/>
        <w:t>Sch. 3 cl. 1(1)</w:t>
      </w:r>
    </w:p>
    <w:p>
      <w:pPr>
        <w:pStyle w:val="DefinedTerms"/>
      </w:pPr>
      <w:r>
        <w:t>sensitive site</w:t>
      </w:r>
      <w:r>
        <w:tab/>
        <w:t>11(1)</w:t>
      </w:r>
    </w:p>
    <w:p>
      <w:pPr>
        <w:pStyle w:val="DefinedTerms"/>
      </w:pPr>
      <w:r>
        <w:t>shooting activity</w:t>
      </w:r>
      <w:r>
        <w:tab/>
        <w:t>16B</w:t>
      </w:r>
    </w:p>
    <w:p>
      <w:pPr>
        <w:pStyle w:val="DefinedTerms"/>
      </w:pPr>
      <w:r>
        <w:t>shooting venue</w:t>
      </w:r>
      <w:r>
        <w:tab/>
        <w:t>16B</w:t>
      </w:r>
    </w:p>
    <w:p>
      <w:pPr>
        <w:pStyle w:val="DefinedTerms"/>
      </w:pPr>
      <w:r>
        <w:t>significantly contribute to</w:t>
      </w:r>
      <w:r>
        <w:tab/>
        <w:t>7(2)</w:t>
      </w:r>
    </w:p>
    <w:p>
      <w:pPr>
        <w:pStyle w:val="DefinedTerms"/>
      </w:pPr>
      <w:r>
        <w:t>specified equipment</w:t>
      </w:r>
      <w:r>
        <w:tab/>
        <w:t>14(1)</w:t>
      </w:r>
    </w:p>
    <w:p>
      <w:pPr>
        <w:pStyle w:val="DefinedTerms"/>
      </w:pPr>
      <w:r>
        <w:t>specified works</w:t>
      </w:r>
      <w:r>
        <w:tab/>
        <w:t>14A(1)</w:t>
      </w:r>
    </w:p>
    <w:p>
      <w:pPr>
        <w:pStyle w:val="DefinedTerms"/>
      </w:pPr>
      <w:r>
        <w:t>surface mining operations</w:t>
      </w:r>
      <w:r>
        <w:tab/>
        <w:t>2(1)</w:t>
      </w:r>
    </w:p>
    <w:p>
      <w:pPr>
        <w:pStyle w:val="DefinedTerms"/>
      </w:pPr>
      <w:r>
        <w:t>tonality</w:t>
      </w:r>
      <w:r>
        <w:tab/>
        <w:t>9(1)</w:t>
      </w:r>
    </w:p>
    <w:p>
      <w:pPr>
        <w:pStyle w:val="DefinedTerms"/>
      </w:pPr>
      <w:r>
        <w:lastRenderedPageBreak/>
        <w:t>transport factor</w:t>
      </w:r>
      <w:r>
        <w:tab/>
        <w:t>Sch. 3 cl. 1(1)</w:t>
      </w:r>
    </w:p>
    <w:p>
      <w:pPr>
        <w:pStyle w:val="DefinedTerms"/>
      </w:pPr>
      <w:r>
        <w:t>venue</w:t>
      </w:r>
      <w:r>
        <w:tab/>
        <w:t>18J</w:t>
      </w:r>
    </w:p>
    <w:p>
      <w:pPr>
        <w:pStyle w:val="DefinedTerms"/>
      </w:pPr>
      <w:r>
        <w:t>venue approval</w:t>
      </w:r>
      <w:r>
        <w:tab/>
        <w:t>18J</w:t>
      </w:r>
    </w:p>
    <w:p>
      <w:pPr>
        <w:pStyle w:val="DefinedTerms"/>
      </w:pPr>
      <w:r>
        <w:t>waste</w:t>
      </w:r>
      <w:r>
        <w:tab/>
        <w:t>14A(1)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2" w:name="Schedule"/>
    <w:bookmarkEnd w:id="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Community noise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Community noise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4" w:name="DefinedTerms"/>
    <w:bookmarkEnd w:id="11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5" w:name="Coversheet"/>
    <w:bookmarkEnd w:id="1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2133916"/>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 w:name="WAFER_20140304105305" w:val="RemoveTocBookmarks,RemoveUnusedBookmarks,RemoveLanguageTags,UsedStyles,ResetPageSize,UpdateArrangement"/>
    <w:docVar w:name="WAFER_20140304105305_GUID" w:val="21ec1d0e-65e9-41eb-94fd-ea8b5071b864"/>
    <w:docVar w:name="WAFER_20150429111234" w:val="ResetPageSize,UpdateArrangement,UpdateNTable"/>
    <w:docVar w:name="WAFER_20150429111234_GUID" w:val="e068e3d0-10db-4f4b-a43a-9526657dff5c"/>
    <w:docVar w:name="WAFER_20151105124711" w:val="UpdateStyles,UsedStyles"/>
    <w:docVar w:name="WAFER_20151105124711_GUID" w:val="d3d0d453-b06a-4724-84a0-680969ef749e"/>
    <w:docVar w:name="WAFER_20170111145104" w:val="RemoveTocBookmarks,RemoveUnusedBookmarks,RemoveLanguageTags,UsedStyles,ResetPageSize"/>
    <w:docVar w:name="WAFER_20170111145104_GUID" w:val="68539918-6367-47e1-9ce6-8d72e0ab9865"/>
    <w:docVar w:name="WAFER_20170124105712" w:val="RemoveTocBookmarks,RemoveUnusedBookmarks,RemoveLanguageTags,UsedStyles,ResetPageSize"/>
    <w:docVar w:name="WAFER_20170124105712_GUID" w:val="4f4fc6c0-1a52-4c93-8b08-40dc5d76410a"/>
    <w:docVar w:name="WAFER_202203081205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8120528_GUID" w:val="95aa9117-e484-4af3-ae6b-69903ba99bfa"/>
    <w:docVar w:name="WAFER_20220318130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0325_GUID" w:val="61b09269-06c9-4fb9-9a37-ff09282bd333"/>
    <w:docVar w:name="WAFER_20240802133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02133916_GUID" w:val="b0adf1de-38f0-4b66-ae5e-ed98e6857d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78EF3D3C-5BB8-4360-8F5B-E876A54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8897868">
      <w:bodyDiv w:val="1"/>
      <w:marLeft w:val="0"/>
      <w:marRight w:val="0"/>
      <w:marTop w:val="0"/>
      <w:marBottom w:val="0"/>
      <w:divBdr>
        <w:top w:val="none" w:sz="0" w:space="0" w:color="auto"/>
        <w:left w:val="none" w:sz="0" w:space="0" w:color="auto"/>
        <w:bottom w:val="none" w:sz="0" w:space="0" w:color="auto"/>
        <w:right w:val="none" w:sz="0" w:space="0" w:color="auto"/>
      </w:divBdr>
    </w:div>
    <w:div w:id="193586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7BD9E-4D57-49DC-852B-8368E3392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22566</Words>
  <Characters>110800</Characters>
  <Application>Microsoft Office Word</Application>
  <DocSecurity>0</DocSecurity>
  <Lines>3077</Lines>
  <Paragraphs>1732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1997 - 02-f0-00</dc:title>
  <dc:subject/>
  <dc:creator/>
  <cp:keywords/>
  <dc:description/>
  <cp:lastModifiedBy>Master Repository Process</cp:lastModifiedBy>
  <cp:revision>4</cp:revision>
  <cp:lastPrinted>2022-03-18T06:43:00Z</cp:lastPrinted>
  <dcterms:created xsi:type="dcterms:W3CDTF">2025-06-25T02:59:00Z</dcterms:created>
  <dcterms:modified xsi:type="dcterms:W3CDTF">2025-06-25T02:59:00Z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DocumentType">
    <vt:lpwstr>Reg</vt:lpwstr>
  </property>
  <property fmtid="{D5CDD505-2E9C-101B-9397-08002B2CF9AE}" pid="4" name="OwlsUID">
    <vt:i4>4419</vt:i4>
  </property>
  <property fmtid="{D5CDD505-2E9C-101B-9397-08002B2CF9AE}" pid="5" name="ReprintNo">
    <vt:lpwstr>2</vt:lpwstr>
  </property>
  <property fmtid="{D5CDD505-2E9C-101B-9397-08002B2CF9AE}" pid="6" name="ReprintedAsAt">
    <vt:filetime>2014-05-18T16:00:00Z</vt:filetime>
  </property>
  <property fmtid="{D5CDD505-2E9C-101B-9397-08002B2CF9AE}" pid="7" name="AsAtDate">
    <vt:lpwstr>07 Aug 2024</vt:lpwstr>
  </property>
  <property fmtid="{D5CDD505-2E9C-101B-9397-08002B2CF9AE}" pid="8" name="Suffix">
    <vt:lpwstr>02-f0-00</vt:lpwstr>
  </property>
  <property fmtid="{D5CDD505-2E9C-101B-9397-08002B2CF9AE}" pid="9" name="Official">
    <vt:lpwstr/>
  </property>
  <property fmtid="{D5CDD505-2E9C-101B-9397-08002B2CF9AE}" pid="10" name="CommencementDate">
    <vt:lpwstr>20240807</vt:lpwstr>
  </property>
  <property fmtid="{D5CDD505-2E9C-101B-9397-08002B2CF9AE}" pid="11" name="CommencementAsAt">
    <vt:filetime>2024-08-06T16:00:00Z</vt:filetime>
  </property>
  <property fmtid="{D5CDD505-2E9C-101B-9397-08002B2CF9AE}" pid="12" name="CommencementYear">
    <vt:lpwstr>2024</vt:lpwstr>
  </property>
</Properties>
</file>