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Security and Related Activities (Control)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Security and Related Activities (Control)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_Toc173507582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_Toc173507583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_Toc173507584 \h </w:instrText>
      </w:r>
      <w:r>
        <w:fldChar w:fldCharType="separate"/>
      </w:r>
      <w:r>
        <w:t>1</w:t>
      </w:r>
      <w:r>
        <w:fldChar w:fldCharType="end"/>
      </w:r>
    </w:p>
    <w:p>
      <w:pPr>
        <w:pStyle w:val="TOC8"/>
        <w:rPr>
          <w:rFonts w:asciiTheme="minorHAnsi" w:eastAsiaTheme="minorEastAsia" w:hAnsiTheme="minorHAnsi" w:cstheme="minorBidi"/>
          <w:szCs w:val="22"/>
        </w:rPr>
      </w:pPr>
      <w:r>
        <w:t>4A.</w:t>
      </w:r>
      <w:r>
        <w:tab/>
        <w:t>Method of giving things to Commissioner, Superintendent or licensing officer</w:t>
      </w:r>
      <w:r>
        <w:tab/>
      </w:r>
      <w:r>
        <w:fldChar w:fldCharType="begin"/>
      </w:r>
      <w:r>
        <w:instrText xml:space="preserve"> PAGEREF _Toc173507585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Exemptions</w:t>
      </w:r>
    </w:p>
    <w:p>
      <w:pPr>
        <w:pStyle w:val="TOC8"/>
        <w:rPr>
          <w:rFonts w:asciiTheme="minorHAnsi" w:eastAsiaTheme="minorEastAsia" w:hAnsiTheme="minorHAnsi" w:cstheme="minorBidi"/>
          <w:szCs w:val="22"/>
        </w:rPr>
      </w:pPr>
      <w:r>
        <w:t>4</w:t>
      </w:r>
      <w:r>
        <w:rPr>
          <w:snapToGrid w:val="0"/>
        </w:rPr>
        <w:t>.</w:t>
      </w:r>
      <w:r>
        <w:rPr>
          <w:snapToGrid w:val="0"/>
        </w:rPr>
        <w:tab/>
        <w:t>Act s. 37 (crowd controller’s licence), exemptions from</w:t>
      </w:r>
      <w:r>
        <w:tab/>
      </w:r>
      <w:r>
        <w:fldChar w:fldCharType="begin"/>
      </w:r>
      <w:r>
        <w:instrText xml:space="preserve"> PAGEREF _Toc173507587 \h </w:instrText>
      </w:r>
      <w:r>
        <w:fldChar w:fldCharType="separate"/>
      </w:r>
      <w:r>
        <w:t>5</w:t>
      </w:r>
      <w:r>
        <w:fldChar w:fldCharType="end"/>
      </w:r>
    </w:p>
    <w:p>
      <w:pPr>
        <w:pStyle w:val="TOC8"/>
        <w:rPr>
          <w:rFonts w:asciiTheme="minorHAnsi" w:eastAsiaTheme="minorEastAsia" w:hAnsiTheme="minorHAnsi" w:cstheme="minorBidi"/>
          <w:szCs w:val="22"/>
        </w:rPr>
      </w:pPr>
      <w:r>
        <w:t>5A.</w:t>
      </w:r>
      <w:r>
        <w:tab/>
        <w:t xml:space="preserve">Some persons to whom </w:t>
      </w:r>
      <w:r>
        <w:rPr>
          <w:i/>
        </w:rPr>
        <w:t xml:space="preserve">Court Security and Custodial Services Act 1999 </w:t>
      </w:r>
      <w:r>
        <w:t>applies, exemption for</w:t>
      </w:r>
      <w:r>
        <w:tab/>
      </w:r>
      <w:r>
        <w:fldChar w:fldCharType="begin"/>
      </w:r>
      <w:r>
        <w:instrText xml:space="preserve"> PAGEREF _Toc173507588 \h </w:instrText>
      </w:r>
      <w:r>
        <w:fldChar w:fldCharType="separate"/>
      </w:r>
      <w:r>
        <w:t>5</w:t>
      </w:r>
      <w:r>
        <w:fldChar w:fldCharType="end"/>
      </w:r>
    </w:p>
    <w:p>
      <w:pPr>
        <w:pStyle w:val="TOC8"/>
        <w:rPr>
          <w:rFonts w:asciiTheme="minorHAnsi" w:eastAsiaTheme="minorEastAsia" w:hAnsiTheme="minorHAnsi" w:cstheme="minorBidi"/>
          <w:szCs w:val="22"/>
        </w:rPr>
      </w:pPr>
      <w:r>
        <w:t>5B.</w:t>
      </w:r>
      <w:r>
        <w:tab/>
        <w:t xml:space="preserve">Some persons to whom </w:t>
      </w:r>
      <w:r>
        <w:rPr>
          <w:i/>
        </w:rPr>
        <w:t>Prisons Act 1981</w:t>
      </w:r>
      <w:r>
        <w:t xml:space="preserve"> Part IIIA applies, exemption for</w:t>
      </w:r>
      <w:r>
        <w:tab/>
      </w:r>
      <w:r>
        <w:fldChar w:fldCharType="begin"/>
      </w:r>
      <w:r>
        <w:instrText xml:space="preserve"> PAGEREF _Toc173507589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Security activities</w:t>
      </w:r>
    </w:p>
    <w:p>
      <w:pPr>
        <w:pStyle w:val="TOC8"/>
        <w:rPr>
          <w:rFonts w:asciiTheme="minorHAnsi" w:eastAsiaTheme="minorEastAsia" w:hAnsiTheme="minorHAnsi" w:cstheme="minorBidi"/>
          <w:szCs w:val="22"/>
        </w:rPr>
      </w:pPr>
      <w:r>
        <w:t>6.</w:t>
      </w:r>
      <w:r>
        <w:tab/>
        <w:t>Locks prescribed (Act s. 14(1)(d))</w:t>
      </w:r>
      <w:r>
        <w:tab/>
      </w:r>
      <w:r>
        <w:fldChar w:fldCharType="begin"/>
      </w:r>
      <w:r>
        <w:instrText xml:space="preserve"> PAGEREF _Toc173507591 \h </w:instrText>
      </w:r>
      <w:r>
        <w:fldChar w:fldCharType="separate"/>
      </w:r>
      <w:r>
        <w:t>7</w:t>
      </w:r>
      <w:r>
        <w:fldChar w:fldCharType="end"/>
      </w:r>
    </w:p>
    <w:p>
      <w:pPr>
        <w:pStyle w:val="TOC8"/>
        <w:rPr>
          <w:rFonts w:asciiTheme="minorHAnsi" w:eastAsiaTheme="minorEastAsia" w:hAnsiTheme="minorHAnsi" w:cstheme="minorBidi"/>
          <w:szCs w:val="22"/>
        </w:rPr>
      </w:pPr>
      <w:r>
        <w:t>7.</w:t>
      </w:r>
      <w:r>
        <w:tab/>
        <w:t>Security doors prescribed (Act s. 14(1)(e))</w:t>
      </w:r>
      <w:r>
        <w:tab/>
      </w:r>
      <w:r>
        <w:fldChar w:fldCharType="begin"/>
      </w:r>
      <w:r>
        <w:instrText xml:space="preserve"> PAGEREF _Toc173507592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Equipment and devices prescribed (Act s. 14(1)(g))</w:t>
      </w:r>
      <w:r>
        <w:tab/>
      </w:r>
      <w:r>
        <w:fldChar w:fldCharType="begin"/>
      </w:r>
      <w:r>
        <w:instrText xml:space="preserve"> PAGEREF _Toc173507593 \h </w:instrText>
      </w:r>
      <w:r>
        <w:fldChar w:fldCharType="separate"/>
      </w:r>
      <w:r>
        <w:t>7</w:t>
      </w:r>
      <w:r>
        <w:fldChar w:fldCharType="end"/>
      </w:r>
    </w:p>
    <w:p>
      <w:pPr>
        <w:pStyle w:val="TOC8"/>
        <w:rPr>
          <w:rFonts w:asciiTheme="minorHAnsi" w:eastAsiaTheme="minorEastAsia" w:hAnsiTheme="minorHAnsi" w:cstheme="minorBidi"/>
          <w:szCs w:val="22"/>
        </w:rPr>
      </w:pPr>
      <w:r>
        <w:t>9.</w:t>
      </w:r>
      <w:r>
        <w:tab/>
        <w:t>Activities prescribed (Act s. 24(1)(b))</w:t>
      </w:r>
      <w:r>
        <w:tab/>
      </w:r>
      <w:r>
        <w:fldChar w:fldCharType="begin"/>
      </w:r>
      <w:r>
        <w:instrText xml:space="preserve"> PAGEREF _Toc173507594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for endorsement (Act s. 24)</w:t>
      </w:r>
      <w:r>
        <w:tab/>
      </w:r>
      <w:r>
        <w:fldChar w:fldCharType="begin"/>
      </w:r>
      <w:r>
        <w:instrText xml:space="preserve"> PAGEREF _Toc173507595 \h </w:instrText>
      </w:r>
      <w:r>
        <w:fldChar w:fldCharType="separate"/>
      </w:r>
      <w:r>
        <w:t>8</w:t>
      </w:r>
      <w:r>
        <w:fldChar w:fldCharType="end"/>
      </w:r>
    </w:p>
    <w:p>
      <w:pPr>
        <w:pStyle w:val="TOC8"/>
        <w:rPr>
          <w:rFonts w:asciiTheme="minorHAnsi" w:eastAsiaTheme="minorEastAsia" w:hAnsiTheme="minorHAnsi" w:cstheme="minorBidi"/>
          <w:szCs w:val="22"/>
        </w:rPr>
      </w:pPr>
      <w:r>
        <w:t>11.</w:t>
      </w:r>
      <w:r>
        <w:tab/>
        <w:t>Medical examinations prescribed (Act s. 24)</w:t>
      </w:r>
      <w:r>
        <w:tab/>
      </w:r>
      <w:r>
        <w:fldChar w:fldCharType="begin"/>
      </w:r>
      <w:r>
        <w:instrText xml:space="preserve"> PAGEREF _Toc173507596 \h </w:instrText>
      </w:r>
      <w:r>
        <w:fldChar w:fldCharType="separate"/>
      </w:r>
      <w:r>
        <w:t>9</w:t>
      </w:r>
      <w:r>
        <w:fldChar w:fldCharType="end"/>
      </w:r>
    </w:p>
    <w:p>
      <w:pPr>
        <w:pStyle w:val="TOC8"/>
        <w:rPr>
          <w:rFonts w:asciiTheme="minorHAnsi" w:eastAsiaTheme="minorEastAsia" w:hAnsiTheme="minorHAnsi" w:cstheme="minorBidi"/>
          <w:szCs w:val="22"/>
        </w:rPr>
      </w:pPr>
      <w:r>
        <w:t>12.</w:t>
      </w:r>
      <w:r>
        <w:tab/>
        <w:t>Application for permit (Act s. 25)</w:t>
      </w:r>
      <w:r>
        <w:tab/>
      </w:r>
      <w:r>
        <w:fldChar w:fldCharType="begin"/>
      </w:r>
      <w:r>
        <w:instrText xml:space="preserve"> PAGEREF _Toc173507597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for endorsement (Act s. 26)</w:t>
      </w:r>
      <w:r>
        <w:tab/>
      </w:r>
      <w:r>
        <w:fldChar w:fldCharType="begin"/>
      </w:r>
      <w:r>
        <w:instrText xml:space="preserve"> PAGEREF _Toc173507598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3A — Inquiry activities</w:t>
      </w:r>
    </w:p>
    <w:p>
      <w:pPr>
        <w:pStyle w:val="TOC8"/>
        <w:rPr>
          <w:rFonts w:asciiTheme="minorHAnsi" w:eastAsiaTheme="minorEastAsia" w:hAnsiTheme="minorHAnsi" w:cstheme="minorBidi"/>
          <w:szCs w:val="22"/>
        </w:rPr>
      </w:pPr>
      <w:r>
        <w:t>13A.</w:t>
      </w:r>
      <w:r>
        <w:tab/>
        <w:t>Investigations not within Act s. 28(1)(a)</w:t>
      </w:r>
      <w:r>
        <w:tab/>
      </w:r>
      <w:r>
        <w:fldChar w:fldCharType="begin"/>
      </w:r>
      <w:r>
        <w:instrText xml:space="preserve"> PAGEREF _Toc173507600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procedures</w:t>
      </w:r>
    </w:p>
    <w:p>
      <w:pPr>
        <w:pStyle w:val="TOC4"/>
        <w:tabs>
          <w:tab w:val="right" w:leader="dot" w:pos="7077"/>
        </w:tabs>
        <w:rPr>
          <w:rFonts w:asciiTheme="minorHAnsi" w:eastAsiaTheme="minorEastAsia" w:hAnsiTheme="minorHAnsi" w:cstheme="minorBidi"/>
          <w:b w:val="0"/>
          <w:szCs w:val="22"/>
        </w:rPr>
      </w:pPr>
      <w:r>
        <w:t>Division 1 — Licences other than temporary licences</w:t>
      </w:r>
    </w:p>
    <w:p>
      <w:pPr>
        <w:pStyle w:val="TOC8"/>
        <w:rPr>
          <w:rFonts w:asciiTheme="minorHAnsi" w:eastAsiaTheme="minorEastAsia" w:hAnsiTheme="minorHAnsi" w:cstheme="minorBidi"/>
          <w:szCs w:val="22"/>
        </w:rPr>
      </w:pPr>
      <w:r>
        <w:t>14</w:t>
      </w:r>
      <w:r>
        <w:rPr>
          <w:snapToGrid w:val="0"/>
        </w:rPr>
        <w:t>.</w:t>
      </w:r>
      <w:r>
        <w:rPr>
          <w:snapToGrid w:val="0"/>
        </w:rPr>
        <w:tab/>
        <w:t>Application for the issue of a licence (Act s. 46(1))</w:t>
      </w:r>
      <w:r>
        <w:tab/>
      </w:r>
      <w:r>
        <w:fldChar w:fldCharType="begin"/>
      </w:r>
      <w:r>
        <w:instrText xml:space="preserve"> PAGEREF _Toc173507603 \h </w:instrText>
      </w:r>
      <w:r>
        <w:fldChar w:fldCharType="separate"/>
      </w:r>
      <w:r>
        <w:t>13</w:t>
      </w:r>
      <w:r>
        <w:fldChar w:fldCharType="end"/>
      </w:r>
    </w:p>
    <w:p>
      <w:pPr>
        <w:pStyle w:val="TOC8"/>
        <w:rPr>
          <w:rFonts w:asciiTheme="minorHAnsi" w:eastAsiaTheme="minorEastAsia" w:hAnsiTheme="minorHAnsi" w:cstheme="minorBidi"/>
          <w:szCs w:val="22"/>
        </w:rPr>
      </w:pPr>
      <w:r>
        <w:t>14A.</w:t>
      </w:r>
      <w:r>
        <w:tab/>
        <w:t>Training course in firearms discharge, approval of providers of</w:t>
      </w:r>
      <w:r>
        <w:tab/>
      </w:r>
      <w:r>
        <w:fldChar w:fldCharType="begin"/>
      </w:r>
      <w:r>
        <w:instrText xml:space="preserve"> PAGEREF _Toc173507604 \h </w:instrText>
      </w:r>
      <w:r>
        <w:fldChar w:fldCharType="separate"/>
      </w:r>
      <w:r>
        <w:t>13</w:t>
      </w:r>
      <w:r>
        <w:fldChar w:fldCharType="end"/>
      </w:r>
    </w:p>
    <w:p>
      <w:pPr>
        <w:pStyle w:val="TOC8"/>
        <w:rPr>
          <w:rFonts w:asciiTheme="minorHAnsi" w:eastAsiaTheme="minorEastAsia" w:hAnsiTheme="minorHAnsi" w:cstheme="minorBidi"/>
          <w:szCs w:val="22"/>
        </w:rPr>
      </w:pPr>
      <w:r>
        <w:t>15.</w:t>
      </w:r>
      <w:r>
        <w:tab/>
        <w:t>Medical examination prescribed for security officers authorised to possess firearm (Act s. 47(1)(d) and 52(1)(h))</w:t>
      </w:r>
      <w:r>
        <w:tab/>
      </w:r>
      <w:r>
        <w:fldChar w:fldCharType="begin"/>
      </w:r>
      <w:r>
        <w:instrText xml:space="preserve"> PAGEREF _Toc173507605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Training courses prescribed (Act s. 47(1)(f)(i), 52(1)(g)(i) and 53(2))</w:t>
      </w:r>
      <w:r>
        <w:tab/>
      </w:r>
      <w:r>
        <w:fldChar w:fldCharType="begin"/>
      </w:r>
      <w:r>
        <w:instrText xml:space="preserve"> PAGEREF _Toc173507606 \h </w:instrText>
      </w:r>
      <w:r>
        <w:fldChar w:fldCharType="separate"/>
      </w:r>
      <w:r>
        <w:t>15</w:t>
      </w:r>
      <w:r>
        <w:fldChar w:fldCharType="end"/>
      </w:r>
    </w:p>
    <w:p>
      <w:pPr>
        <w:pStyle w:val="TOC8"/>
        <w:rPr>
          <w:rFonts w:asciiTheme="minorHAnsi" w:eastAsiaTheme="minorEastAsia" w:hAnsiTheme="minorHAnsi" w:cstheme="minorBidi"/>
          <w:szCs w:val="22"/>
        </w:rPr>
      </w:pPr>
      <w:r>
        <w:t>16A.</w:t>
      </w:r>
      <w:r>
        <w:tab/>
        <w:t>Records required when baton training undertaken</w:t>
      </w:r>
      <w:r>
        <w:tab/>
      </w:r>
      <w:r>
        <w:fldChar w:fldCharType="begin"/>
      </w:r>
      <w:r>
        <w:instrText xml:space="preserve"> PAGEREF _Toc173507607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Examinations prescribed (Act s. 47(1)(f)(ii) and 52(1)(g)(ii))</w:t>
      </w:r>
      <w:r>
        <w:tab/>
      </w:r>
      <w:r>
        <w:fldChar w:fldCharType="begin"/>
      </w:r>
      <w:r>
        <w:instrText xml:space="preserve"> PAGEREF _Toc173507608 \h </w:instrText>
      </w:r>
      <w:r>
        <w:fldChar w:fldCharType="separate"/>
      </w:r>
      <w:r>
        <w:t>18</w:t>
      </w:r>
      <w:r>
        <w:fldChar w:fldCharType="end"/>
      </w:r>
    </w:p>
    <w:p>
      <w:pPr>
        <w:pStyle w:val="TOC8"/>
        <w:rPr>
          <w:rFonts w:asciiTheme="minorHAnsi" w:eastAsiaTheme="minorEastAsia" w:hAnsiTheme="minorHAnsi" w:cstheme="minorBidi"/>
          <w:szCs w:val="22"/>
        </w:rPr>
      </w:pPr>
      <w:r>
        <w:t>18.</w:t>
      </w:r>
      <w:r>
        <w:tab/>
        <w:t>Evidence of age and identity prescribed (Act s. 47(1)(a))</w:t>
      </w:r>
      <w:r>
        <w:tab/>
      </w:r>
      <w:r>
        <w:fldChar w:fldCharType="begin"/>
      </w:r>
      <w:r>
        <w:instrText xml:space="preserve"> PAGEREF _Toc173507609 \h </w:instrText>
      </w:r>
      <w:r>
        <w:fldChar w:fldCharType="separate"/>
      </w:r>
      <w:r>
        <w:t>19</w:t>
      </w:r>
      <w:r>
        <w:fldChar w:fldCharType="end"/>
      </w:r>
    </w:p>
    <w:p>
      <w:pPr>
        <w:pStyle w:val="TOC8"/>
        <w:rPr>
          <w:rFonts w:asciiTheme="minorHAnsi" w:eastAsiaTheme="minorEastAsia" w:hAnsiTheme="minorHAnsi" w:cstheme="minorBidi"/>
          <w:szCs w:val="22"/>
        </w:rPr>
      </w:pPr>
      <w:r>
        <w:t>19.</w:t>
      </w:r>
      <w:r>
        <w:tab/>
        <w:t>Manner of lodging application for renewal prescribed (Act s. 49(1))</w:t>
      </w:r>
      <w:r>
        <w:tab/>
      </w:r>
      <w:r>
        <w:fldChar w:fldCharType="begin"/>
      </w:r>
      <w:r>
        <w:instrText xml:space="preserve"> PAGEREF _Toc173507610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Material to support application for renewal of licence (Act s. 50(1))</w:t>
      </w:r>
      <w:r>
        <w:tab/>
      </w:r>
      <w:r>
        <w:fldChar w:fldCharType="begin"/>
      </w:r>
      <w:r>
        <w:instrText xml:space="preserve"> PAGEREF _Toc173507611 \h </w:instrText>
      </w:r>
      <w:r>
        <w:fldChar w:fldCharType="separate"/>
      </w:r>
      <w:r>
        <w:t>21</w:t>
      </w:r>
      <w:r>
        <w:fldChar w:fldCharType="end"/>
      </w:r>
    </w:p>
    <w:p>
      <w:pPr>
        <w:pStyle w:val="TOC8"/>
        <w:rPr>
          <w:rFonts w:asciiTheme="minorHAnsi" w:eastAsiaTheme="minorEastAsia" w:hAnsiTheme="minorHAnsi" w:cstheme="minorBidi"/>
          <w:szCs w:val="22"/>
        </w:rPr>
      </w:pPr>
      <w:r>
        <w:t>21.</w:t>
      </w:r>
      <w:r>
        <w:tab/>
        <w:t>Conditions and restrictions prescribed (Act s. 63)</w:t>
      </w:r>
      <w:r>
        <w:tab/>
      </w:r>
      <w:r>
        <w:fldChar w:fldCharType="begin"/>
      </w:r>
      <w:r>
        <w:instrText xml:space="preserve"> PAGEREF _Toc173507612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Temporary licences</w:t>
      </w:r>
    </w:p>
    <w:p>
      <w:pPr>
        <w:pStyle w:val="TOC8"/>
        <w:rPr>
          <w:rFonts w:asciiTheme="minorHAnsi" w:eastAsiaTheme="minorEastAsia" w:hAnsiTheme="minorHAnsi" w:cstheme="minorBidi"/>
          <w:szCs w:val="22"/>
        </w:rPr>
      </w:pPr>
      <w:r>
        <w:t>22.</w:t>
      </w:r>
      <w:r>
        <w:tab/>
        <w:t>Manner of lodging application for temporary licence prescribed (Act s. 46(1))</w:t>
      </w:r>
      <w:r>
        <w:tab/>
      </w:r>
      <w:r>
        <w:fldChar w:fldCharType="begin"/>
      </w:r>
      <w:r>
        <w:instrText xml:space="preserve"> PAGEREF _Toc173507614 \h </w:instrText>
      </w:r>
      <w:r>
        <w:fldChar w:fldCharType="separate"/>
      </w:r>
      <w:r>
        <w:t>22</w:t>
      </w:r>
      <w:r>
        <w:fldChar w:fldCharType="end"/>
      </w:r>
    </w:p>
    <w:p>
      <w:pPr>
        <w:pStyle w:val="TOC8"/>
        <w:rPr>
          <w:rFonts w:asciiTheme="minorHAnsi" w:eastAsiaTheme="minorEastAsia" w:hAnsiTheme="minorHAnsi" w:cstheme="minorBidi"/>
          <w:szCs w:val="22"/>
        </w:rPr>
      </w:pPr>
      <w:r>
        <w:t>23.</w:t>
      </w:r>
      <w:r>
        <w:tab/>
        <w:t>Evidence prescribed (Act s. 47(2a))</w:t>
      </w:r>
      <w:r>
        <w:tab/>
      </w:r>
      <w:r>
        <w:fldChar w:fldCharType="begin"/>
      </w:r>
      <w:r>
        <w:instrText xml:space="preserve"> PAGEREF _Toc173507615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5A — Disqualifying offences and disqualifying periods</w:t>
      </w:r>
    </w:p>
    <w:p>
      <w:pPr>
        <w:pStyle w:val="TOC8"/>
        <w:rPr>
          <w:rFonts w:asciiTheme="minorHAnsi" w:eastAsiaTheme="minorEastAsia" w:hAnsiTheme="minorHAnsi" w:cstheme="minorBidi"/>
          <w:szCs w:val="22"/>
        </w:rPr>
      </w:pPr>
      <w:r>
        <w:t>24.</w:t>
      </w:r>
      <w:r>
        <w:tab/>
        <w:t>Disqualifying offences prescribed (Act s. 3)</w:t>
      </w:r>
      <w:r>
        <w:tab/>
      </w:r>
      <w:r>
        <w:fldChar w:fldCharType="begin"/>
      </w:r>
      <w:r>
        <w:instrText xml:space="preserve"> PAGEREF _Toc173507617 \h </w:instrText>
      </w:r>
      <w:r>
        <w:fldChar w:fldCharType="separate"/>
      </w:r>
      <w:r>
        <w:t>24</w:t>
      </w:r>
      <w:r>
        <w:fldChar w:fldCharType="end"/>
      </w:r>
    </w:p>
    <w:p>
      <w:pPr>
        <w:pStyle w:val="TOC8"/>
        <w:rPr>
          <w:rFonts w:asciiTheme="minorHAnsi" w:eastAsiaTheme="minorEastAsia" w:hAnsiTheme="minorHAnsi" w:cstheme="minorBidi"/>
          <w:szCs w:val="22"/>
        </w:rPr>
      </w:pPr>
      <w:r>
        <w:t>25.</w:t>
      </w:r>
      <w:r>
        <w:tab/>
        <w:t>Disqualifying periods prescribed (Act s. 4A)</w:t>
      </w:r>
      <w:r>
        <w:tab/>
      </w:r>
      <w:r>
        <w:fldChar w:fldCharType="begin"/>
      </w:r>
      <w:r>
        <w:instrText xml:space="preserve"> PAGEREF _Toc173507618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Classes of licence</w:t>
      </w:r>
    </w:p>
    <w:p>
      <w:pPr>
        <w:pStyle w:val="TOC8"/>
        <w:rPr>
          <w:rFonts w:asciiTheme="minorHAnsi" w:eastAsiaTheme="minorEastAsia" w:hAnsiTheme="minorHAnsi" w:cstheme="minorBidi"/>
          <w:szCs w:val="22"/>
        </w:rPr>
      </w:pPr>
      <w:r>
        <w:t>26.</w:t>
      </w:r>
      <w:r>
        <w:tab/>
        <w:t>Security consultant’s licence, classes of</w:t>
      </w:r>
      <w:r>
        <w:tab/>
      </w:r>
      <w:r>
        <w:fldChar w:fldCharType="begin"/>
      </w:r>
      <w:r>
        <w:instrText xml:space="preserve"> PAGEREF _Toc173507620 \h </w:instrText>
      </w:r>
      <w:r>
        <w:fldChar w:fldCharType="separate"/>
      </w:r>
      <w:r>
        <w:t>26</w:t>
      </w:r>
      <w:r>
        <w:fldChar w:fldCharType="end"/>
      </w:r>
    </w:p>
    <w:p>
      <w:pPr>
        <w:pStyle w:val="TOC8"/>
        <w:rPr>
          <w:rFonts w:asciiTheme="minorHAnsi" w:eastAsiaTheme="minorEastAsia" w:hAnsiTheme="minorHAnsi" w:cstheme="minorBidi"/>
          <w:szCs w:val="22"/>
        </w:rPr>
      </w:pPr>
      <w:r>
        <w:t>27.</w:t>
      </w:r>
      <w:r>
        <w:tab/>
        <w:t>Security installer’s licence, classes of</w:t>
      </w:r>
      <w:r>
        <w:tab/>
      </w:r>
      <w:r>
        <w:fldChar w:fldCharType="begin"/>
      </w:r>
      <w:r>
        <w:instrText xml:space="preserve"> PAGEREF _Toc173507621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Records</w:t>
      </w:r>
    </w:p>
    <w:p>
      <w:pPr>
        <w:pStyle w:val="TOC8"/>
        <w:rPr>
          <w:rFonts w:asciiTheme="minorHAnsi" w:eastAsiaTheme="minorEastAsia" w:hAnsiTheme="minorHAnsi" w:cstheme="minorBidi"/>
          <w:szCs w:val="22"/>
        </w:rPr>
      </w:pPr>
      <w:r>
        <w:t>35</w:t>
      </w:r>
      <w:r>
        <w:rPr>
          <w:snapToGrid w:val="0"/>
        </w:rPr>
        <w:t>.</w:t>
      </w:r>
      <w:r>
        <w:rPr>
          <w:snapToGrid w:val="0"/>
        </w:rPr>
        <w:tab/>
        <w:t>Records to be kept by security agent prescribed (Act s. 78(1)(a))</w:t>
      </w:r>
      <w:r>
        <w:tab/>
      </w:r>
      <w:r>
        <w:fldChar w:fldCharType="begin"/>
      </w:r>
      <w:r>
        <w:instrText xml:space="preserve"> PAGEREF _Toc173507623 \h </w:instrText>
      </w:r>
      <w:r>
        <w:fldChar w:fldCharType="separate"/>
      </w:r>
      <w:r>
        <w:t>28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Firearms register, content of</w:t>
      </w:r>
      <w:r>
        <w:tab/>
      </w:r>
      <w:r>
        <w:fldChar w:fldCharType="begin"/>
      </w:r>
      <w:r>
        <w:instrText xml:space="preserve"> PAGEREF _Toc173507624 \h </w:instrText>
      </w:r>
      <w:r>
        <w:fldChar w:fldCharType="separate"/>
      </w:r>
      <w:r>
        <w:t>28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Alarm surveillance register, content of</w:t>
      </w:r>
      <w:r>
        <w:tab/>
      </w:r>
      <w:r>
        <w:fldChar w:fldCharType="begin"/>
      </w:r>
      <w:r>
        <w:instrText xml:space="preserve"> PAGEREF _Toc173507625 \h </w:instrText>
      </w:r>
      <w:r>
        <w:fldChar w:fldCharType="separate"/>
      </w:r>
      <w:r>
        <w:t>29</w:t>
      </w:r>
      <w:r>
        <w:fldChar w:fldCharType="end"/>
      </w:r>
    </w:p>
    <w:p>
      <w:pPr>
        <w:pStyle w:val="TOC8"/>
        <w:rPr>
          <w:rFonts w:asciiTheme="minorHAnsi" w:eastAsiaTheme="minorEastAsia" w:hAnsiTheme="minorHAnsi" w:cstheme="minorBidi"/>
          <w:szCs w:val="22"/>
        </w:rPr>
      </w:pPr>
      <w:r>
        <w:t>38A.</w:t>
      </w:r>
      <w:r>
        <w:tab/>
        <w:t xml:space="preserve">Guard dog register, </w:t>
      </w:r>
      <w:r>
        <w:rPr>
          <w:snapToGrid w:val="0"/>
        </w:rPr>
        <w:t>content of</w:t>
      </w:r>
      <w:r>
        <w:tab/>
      </w:r>
      <w:r>
        <w:fldChar w:fldCharType="begin"/>
      </w:r>
      <w:r>
        <w:instrText xml:space="preserve"> PAGEREF _Toc173507626 \h </w:instrText>
      </w:r>
      <w:r>
        <w:fldChar w:fldCharType="separate"/>
      </w:r>
      <w:r>
        <w:t>31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General records of security agent</w:t>
      </w:r>
      <w:r>
        <w:tab/>
      </w:r>
      <w:r>
        <w:fldChar w:fldCharType="begin"/>
      </w:r>
      <w:r>
        <w:instrText xml:space="preserve"> PAGEREF _Toc173507627 \h </w:instrText>
      </w:r>
      <w:r>
        <w:fldChar w:fldCharType="separate"/>
      </w:r>
      <w:r>
        <w:t>32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 by crowd control agent prescribed (Act s. 78(1)(a))</w:t>
      </w:r>
      <w:r>
        <w:tab/>
      </w:r>
      <w:r>
        <w:fldChar w:fldCharType="begin"/>
      </w:r>
      <w:r>
        <w:instrText xml:space="preserve"> PAGEREF _Toc173507628 \h </w:instrText>
      </w:r>
      <w:r>
        <w:fldChar w:fldCharType="separate"/>
      </w:r>
      <w:r>
        <w:t>33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Incident register, content of</w:t>
      </w:r>
      <w:r>
        <w:tab/>
      </w:r>
      <w:r>
        <w:fldChar w:fldCharType="begin"/>
      </w:r>
      <w:r>
        <w:instrText xml:space="preserve"> PAGEREF _Toc173507629 \h </w:instrText>
      </w:r>
      <w:r>
        <w:fldChar w:fldCharType="separate"/>
      </w:r>
      <w:r>
        <w:t>33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General records of crowd control agent</w:t>
      </w:r>
      <w:r>
        <w:tab/>
      </w:r>
      <w:r>
        <w:fldChar w:fldCharType="begin"/>
      </w:r>
      <w:r>
        <w:instrText xml:space="preserve"> PAGEREF _Toc173507630 \h </w:instrText>
      </w:r>
      <w:r>
        <w:fldChar w:fldCharType="separate"/>
      </w:r>
      <w:r>
        <w:t>35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Records to be kept by inquiry agent prescribed (Act s. 78(1)(a))</w:t>
      </w:r>
      <w:r>
        <w:tab/>
      </w:r>
      <w:r>
        <w:fldChar w:fldCharType="begin"/>
      </w:r>
      <w:r>
        <w:instrText xml:space="preserve"> PAGEREF _Toc173507631 \h </w:instrText>
      </w:r>
      <w:r>
        <w:fldChar w:fldCharType="separate"/>
      </w:r>
      <w:r>
        <w:t>36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Records to be kept by person for whom licensed crowd controller provides services prescribed (Act s. 84(a))</w:t>
      </w:r>
      <w:r>
        <w:tab/>
      </w:r>
      <w:r>
        <w:fldChar w:fldCharType="begin"/>
      </w:r>
      <w:r>
        <w:instrText xml:space="preserve"> PAGEREF _Toc173507632 \h </w:instrText>
      </w:r>
      <w:r>
        <w:fldChar w:fldCharType="separate"/>
      </w:r>
      <w:r>
        <w:t>36</w:t>
      </w:r>
      <w:r>
        <w:fldChar w:fldCharType="end"/>
      </w:r>
    </w:p>
    <w:p>
      <w:pPr>
        <w:pStyle w:val="TOC8"/>
        <w:rPr>
          <w:rFonts w:asciiTheme="minorHAnsi" w:eastAsiaTheme="minorEastAsia" w:hAnsiTheme="minorHAnsi" w:cstheme="minorBidi"/>
          <w:szCs w:val="22"/>
        </w:rPr>
      </w:pPr>
      <w:r>
        <w:t>44A.</w:t>
      </w:r>
      <w:r>
        <w:tab/>
        <w:t>Notification of address where records held (Act s. 78(2))</w:t>
      </w:r>
      <w:r>
        <w:tab/>
      </w:r>
      <w:r>
        <w:fldChar w:fldCharType="begin"/>
      </w:r>
      <w:r>
        <w:instrText xml:space="preserve"> PAGEREF _Toc173507633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7 — Drug testing</w:t>
      </w:r>
    </w:p>
    <w:p>
      <w:pPr>
        <w:pStyle w:val="TOC8"/>
        <w:rPr>
          <w:rFonts w:asciiTheme="minorHAnsi" w:eastAsiaTheme="minorEastAsia" w:hAnsiTheme="minorHAnsi" w:cstheme="minorBidi"/>
          <w:szCs w:val="22"/>
        </w:rPr>
      </w:pPr>
      <w:r>
        <w:t>44</w:t>
      </w:r>
      <w:r>
        <w:rPr>
          <w:snapToGrid w:val="0"/>
        </w:rPr>
        <w:t>.</w:t>
      </w:r>
      <w:r>
        <w:rPr>
          <w:snapToGrid w:val="0"/>
        </w:rPr>
        <w:tab/>
        <w:t>Terms used</w:t>
      </w:r>
      <w:r>
        <w:tab/>
      </w:r>
      <w:r>
        <w:fldChar w:fldCharType="begin"/>
      </w:r>
      <w:r>
        <w:instrText xml:space="preserve"> PAGEREF _Toc173507635 \h </w:instrText>
      </w:r>
      <w:r>
        <w:fldChar w:fldCharType="separate"/>
      </w:r>
      <w:r>
        <w:t>37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Drugs prescribed (Act s. 80)</w:t>
      </w:r>
      <w:r>
        <w:tab/>
      </w:r>
      <w:r>
        <w:fldChar w:fldCharType="begin"/>
      </w:r>
      <w:r>
        <w:instrText xml:space="preserve"> PAGEREF _Toc173507636 \h </w:instrText>
      </w:r>
      <w:r>
        <w:fldChar w:fldCharType="separate"/>
      </w:r>
      <w:r>
        <w:t>38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Approval of technologists, sample collectors and analysts</w:t>
      </w:r>
      <w:r>
        <w:tab/>
      </w:r>
      <w:r>
        <w:fldChar w:fldCharType="begin"/>
      </w:r>
      <w:r>
        <w:instrText xml:space="preserve"> PAGEREF _Toc173507637 \h </w:instrText>
      </w:r>
      <w:r>
        <w:fldChar w:fldCharType="separate"/>
      </w:r>
      <w:r>
        <w:t>38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Blood and urine sampling equipment prescribed</w:t>
      </w:r>
      <w:r>
        <w:tab/>
      </w:r>
      <w:r>
        <w:fldChar w:fldCharType="begin"/>
      </w:r>
      <w:r>
        <w:instrText xml:space="preserve"> PAGEREF _Toc173507638 \h </w:instrText>
      </w:r>
      <w:r>
        <w:fldChar w:fldCharType="separate"/>
      </w:r>
      <w:r>
        <w:t>39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Preparation and use of sampling equipment</w:t>
      </w:r>
      <w:r>
        <w:tab/>
      </w:r>
      <w:r>
        <w:fldChar w:fldCharType="begin"/>
      </w:r>
      <w:r>
        <w:instrText xml:space="preserve"> PAGEREF _Toc173507639 \h </w:instrText>
      </w:r>
      <w:r>
        <w:fldChar w:fldCharType="separate"/>
      </w:r>
      <w:r>
        <w:t>40</w:t>
      </w:r>
      <w:r>
        <w:fldChar w:fldCharType="end"/>
      </w:r>
    </w:p>
    <w:p>
      <w:pPr>
        <w:pStyle w:val="TOC8"/>
        <w:rPr>
          <w:rFonts w:asciiTheme="minorHAnsi" w:eastAsiaTheme="minorEastAsia" w:hAnsiTheme="minorHAnsi" w:cstheme="minorBidi"/>
          <w:szCs w:val="22"/>
        </w:rPr>
      </w:pPr>
      <w:r>
        <w:t>48A.</w:t>
      </w:r>
      <w:r>
        <w:tab/>
        <w:t>Licensee to produce identity card when giving blood or urine sample under direction given under Act s. 80</w:t>
      </w:r>
      <w:r>
        <w:tab/>
      </w:r>
      <w:r>
        <w:fldChar w:fldCharType="begin"/>
      </w:r>
      <w:r>
        <w:instrText xml:space="preserve"> PAGEREF _Toc173507640 \h </w:instrText>
      </w:r>
      <w:r>
        <w:fldChar w:fldCharType="separate"/>
      </w:r>
      <w:r>
        <w:t>40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Blood samples, method for collecting</w:t>
      </w:r>
      <w:r>
        <w:tab/>
      </w:r>
      <w:r>
        <w:fldChar w:fldCharType="begin"/>
      </w:r>
      <w:r>
        <w:instrText xml:space="preserve"> PAGEREF _Toc173507641 \h </w:instrText>
      </w:r>
      <w:r>
        <w:fldChar w:fldCharType="separate"/>
      </w:r>
      <w:r>
        <w:t>41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Urine samples, method for collecting</w:t>
      </w:r>
      <w:r>
        <w:tab/>
      </w:r>
      <w:r>
        <w:fldChar w:fldCharType="begin"/>
      </w:r>
      <w:r>
        <w:instrText xml:space="preserve"> PAGEREF _Toc173507642 \h </w:instrText>
      </w:r>
      <w:r>
        <w:fldChar w:fldCharType="separate"/>
      </w:r>
      <w:r>
        <w:t>42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Analysis of samples</w:t>
      </w:r>
      <w:r>
        <w:tab/>
      </w:r>
      <w:r>
        <w:fldChar w:fldCharType="begin"/>
      </w:r>
      <w:r>
        <w:instrText xml:space="preserve"> PAGEREF _Toc173507643 \h </w:instrText>
      </w:r>
      <w:r>
        <w:fldChar w:fldCharType="separate"/>
      </w:r>
      <w:r>
        <w:t>43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Non</w:t>
      </w:r>
      <w:r>
        <w:rPr>
          <w:snapToGrid w:val="0"/>
        </w:rPr>
        <w:noBreakHyphen/>
        <w:t>complying sample defined (Act s. 81(1)(b))</w:t>
      </w:r>
      <w:r>
        <w:tab/>
      </w:r>
      <w:r>
        <w:fldChar w:fldCharType="begin"/>
      </w:r>
      <w:r>
        <w:instrText xml:space="preserve"> PAGEREF _Toc173507644 \h </w:instrText>
      </w:r>
      <w:r>
        <w:fldChar w:fldCharType="separate"/>
      </w:r>
      <w:r>
        <w:t>44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Certificates which are evidence</w:t>
      </w:r>
      <w:r>
        <w:tab/>
      </w:r>
      <w:r>
        <w:fldChar w:fldCharType="begin"/>
      </w:r>
      <w:r>
        <w:instrText xml:space="preserve"> PAGEREF _Toc173507645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54</w:t>
      </w:r>
      <w:r>
        <w:rPr>
          <w:snapToGrid w:val="0"/>
        </w:rPr>
        <w:t>.</w:t>
      </w:r>
      <w:r>
        <w:rPr>
          <w:snapToGrid w:val="0"/>
        </w:rPr>
        <w:tab/>
        <w:t>Fees prescribed</w:t>
      </w:r>
      <w:r>
        <w:tab/>
      </w:r>
      <w:r>
        <w:fldChar w:fldCharType="begin"/>
      </w:r>
      <w:r>
        <w:instrText xml:space="preserve"> PAGEREF _Toc173507647 \h </w:instrText>
      </w:r>
      <w:r>
        <w:fldChar w:fldCharType="separate"/>
      </w:r>
      <w:r>
        <w:t>46</w:t>
      </w:r>
      <w:r>
        <w:fldChar w:fldCharType="end"/>
      </w:r>
    </w:p>
    <w:p>
      <w:pPr>
        <w:pStyle w:val="TOC8"/>
        <w:rPr>
          <w:rFonts w:asciiTheme="minorHAnsi" w:eastAsiaTheme="minorEastAsia" w:hAnsiTheme="minorHAnsi" w:cstheme="minorBidi"/>
          <w:szCs w:val="22"/>
        </w:rPr>
      </w:pPr>
      <w:r>
        <w:t>54A.</w:t>
      </w:r>
      <w:r>
        <w:tab/>
        <w:t>Codes of conduct, preparation, approval and effect of</w:t>
      </w:r>
      <w:r>
        <w:tab/>
      </w:r>
      <w:r>
        <w:fldChar w:fldCharType="begin"/>
      </w:r>
      <w:r>
        <w:instrText xml:space="preserve"> PAGEREF _Toc173507648 \h </w:instrText>
      </w:r>
      <w:r>
        <w:fldChar w:fldCharType="separate"/>
      </w:r>
      <w:r>
        <w:t>46</w:t>
      </w:r>
      <w:r>
        <w:fldChar w:fldCharType="end"/>
      </w:r>
    </w:p>
    <w:p>
      <w:pPr>
        <w:pStyle w:val="TOC8"/>
        <w:rPr>
          <w:rFonts w:asciiTheme="minorHAnsi" w:eastAsiaTheme="minorEastAsia" w:hAnsiTheme="minorHAnsi" w:cstheme="minorBidi"/>
          <w:szCs w:val="22"/>
        </w:rPr>
      </w:pPr>
      <w:r>
        <w:t>55.</w:t>
      </w:r>
      <w:r>
        <w:tab/>
        <w:t>Surrender of licence (Act s. 76(c))</w:t>
      </w:r>
      <w:r>
        <w:tab/>
      </w:r>
      <w:r>
        <w:fldChar w:fldCharType="begin"/>
      </w:r>
      <w:r>
        <w:instrText xml:space="preserve"> PAGEREF _Toc173507649 \h </w:instrText>
      </w:r>
      <w:r>
        <w:fldChar w:fldCharType="separate"/>
      </w:r>
      <w:r>
        <w:t>47</w:t>
      </w:r>
      <w:r>
        <w:fldChar w:fldCharType="end"/>
      </w:r>
    </w:p>
    <w:p>
      <w:pPr>
        <w:pStyle w:val="TOC8"/>
        <w:rPr>
          <w:rFonts w:asciiTheme="minorHAnsi" w:eastAsiaTheme="minorEastAsia" w:hAnsiTheme="minorHAnsi" w:cstheme="minorBidi"/>
          <w:szCs w:val="22"/>
        </w:rPr>
      </w:pPr>
      <w:r>
        <w:lastRenderedPageBreak/>
        <w:t>56.</w:t>
      </w:r>
      <w:r>
        <w:tab/>
        <w:t>Return of licence (Act s. 76)</w:t>
      </w:r>
      <w:r>
        <w:tab/>
      </w:r>
      <w:r>
        <w:fldChar w:fldCharType="begin"/>
      </w:r>
      <w:r>
        <w:instrText xml:space="preserve"> PAGEREF _Toc173507650 \h </w:instrText>
      </w:r>
      <w:r>
        <w:fldChar w:fldCharType="separate"/>
      </w:r>
      <w:r>
        <w:t>47</w:t>
      </w:r>
      <w:r>
        <w:fldChar w:fldCharType="end"/>
      </w:r>
    </w:p>
    <w:p>
      <w:pPr>
        <w:pStyle w:val="TOC8"/>
        <w:rPr>
          <w:rFonts w:asciiTheme="minorHAnsi" w:eastAsiaTheme="minorEastAsia" w:hAnsiTheme="minorHAnsi" w:cstheme="minorBidi"/>
          <w:szCs w:val="22"/>
        </w:rPr>
      </w:pPr>
      <w:r>
        <w:t>57.</w:t>
      </w:r>
      <w:r>
        <w:tab/>
        <w:t>Notification of change of address (Act s. 77)</w:t>
      </w:r>
      <w:r>
        <w:tab/>
      </w:r>
      <w:r>
        <w:fldChar w:fldCharType="begin"/>
      </w:r>
      <w:r>
        <w:instrText xml:space="preserve"> PAGEREF _Toc173507651 \h </w:instrText>
      </w:r>
      <w:r>
        <w:fldChar w:fldCharType="separate"/>
      </w:r>
      <w:r>
        <w:t>47</w:t>
      </w:r>
      <w:r>
        <w:fldChar w:fldCharType="end"/>
      </w:r>
    </w:p>
    <w:p>
      <w:pPr>
        <w:pStyle w:val="TOC8"/>
        <w:rPr>
          <w:rFonts w:asciiTheme="minorHAnsi" w:eastAsiaTheme="minorEastAsia" w:hAnsiTheme="minorHAnsi" w:cstheme="minorBidi"/>
          <w:szCs w:val="22"/>
        </w:rPr>
      </w:pPr>
      <w:r>
        <w:t>58.</w:t>
      </w:r>
      <w:r>
        <w:tab/>
        <w:t>Prescribed offences and modified penalties</w:t>
      </w:r>
      <w:r>
        <w:tab/>
      </w:r>
      <w:r>
        <w:fldChar w:fldCharType="begin"/>
      </w:r>
      <w:r>
        <w:instrText xml:space="preserve"> PAGEREF _Toc173507652 \h </w:instrText>
      </w:r>
      <w:r>
        <w:fldChar w:fldCharType="separate"/>
      </w:r>
      <w:r>
        <w:t>47</w:t>
      </w:r>
      <w:r>
        <w:fldChar w:fldCharType="end"/>
      </w:r>
    </w:p>
    <w:p>
      <w:pPr>
        <w:pStyle w:val="TOC8"/>
        <w:rPr>
          <w:rFonts w:asciiTheme="minorHAnsi" w:eastAsiaTheme="minorEastAsia" w:hAnsiTheme="minorHAnsi" w:cstheme="minorBidi"/>
          <w:szCs w:val="22"/>
        </w:rPr>
      </w:pPr>
      <w:r>
        <w:t>59.</w:t>
      </w:r>
      <w:r>
        <w:tab/>
        <w:t>Forms</w:t>
      </w:r>
      <w:r>
        <w:tab/>
      </w:r>
      <w:r>
        <w:fldChar w:fldCharType="begin"/>
      </w:r>
      <w:r>
        <w:instrText xml:space="preserve"> PAGEREF _Toc173507653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Schedule 1 — Conditions and restrictions attached to licences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Security agent’s licence</w:t>
      </w:r>
    </w:p>
    <w:p>
      <w:pPr>
        <w:pStyle w:val="TOC8"/>
        <w:rPr>
          <w:rFonts w:asciiTheme="minorHAnsi" w:eastAsiaTheme="minorEastAsia" w:hAnsiTheme="minorHAnsi" w:cstheme="minorBidi"/>
          <w:szCs w:val="22"/>
        </w:rPr>
      </w:pPr>
      <w:r>
        <w:t>1A.</w:t>
      </w:r>
      <w:r>
        <w:tab/>
        <w:t>Term used: business activity</w:t>
      </w:r>
      <w:r>
        <w:tab/>
      </w:r>
      <w:r>
        <w:fldChar w:fldCharType="begin"/>
      </w:r>
      <w:r>
        <w:instrText xml:space="preserve"> PAGEREF _Toc173507656 \h </w:instrText>
      </w:r>
      <w:r>
        <w:fldChar w:fldCharType="separate"/>
      </w:r>
      <w:r>
        <w:t>49</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Changes of partners, officers or personnel to be notified</w:t>
      </w:r>
      <w:r>
        <w:tab/>
      </w:r>
      <w:r>
        <w:fldChar w:fldCharType="begin"/>
      </w:r>
      <w:r>
        <w:instrText xml:space="preserve"> PAGEREF _Toc173507657 \h </w:instrText>
      </w:r>
      <w:r>
        <w:fldChar w:fldCharType="separate"/>
      </w:r>
      <w:r>
        <w:t>49</w:t>
      </w:r>
      <w:r>
        <w:fldChar w:fldCharType="end"/>
      </w:r>
    </w:p>
    <w:p>
      <w:pPr>
        <w:pStyle w:val="TOC8"/>
        <w:rPr>
          <w:rFonts w:asciiTheme="minorHAnsi" w:eastAsiaTheme="minorEastAsia" w:hAnsiTheme="minorHAnsi" w:cstheme="minorBidi"/>
          <w:szCs w:val="22"/>
        </w:rPr>
      </w:pPr>
      <w:r>
        <w:t>2.</w:t>
      </w:r>
      <w:r>
        <w:tab/>
        <w:t>Uniforms to be worn by security officers</w:t>
      </w:r>
      <w:r>
        <w:tab/>
      </w:r>
      <w:r>
        <w:fldChar w:fldCharType="begin"/>
      </w:r>
      <w:r>
        <w:instrText xml:space="preserve"> PAGEREF _Toc173507658 \h </w:instrText>
      </w:r>
      <w:r>
        <w:fldChar w:fldCharType="separate"/>
      </w:r>
      <w:r>
        <w:t>49</w:t>
      </w:r>
      <w:r>
        <w:fldChar w:fldCharType="end"/>
      </w:r>
    </w:p>
    <w:p>
      <w:pPr>
        <w:pStyle w:val="TOC8"/>
        <w:rPr>
          <w:rFonts w:asciiTheme="minorHAnsi" w:eastAsiaTheme="minorEastAsia" w:hAnsiTheme="minorHAnsi" w:cstheme="minorBidi"/>
          <w:szCs w:val="22"/>
        </w:rPr>
      </w:pPr>
      <w:r>
        <w:t>3.</w:t>
      </w:r>
      <w:r>
        <w:tab/>
        <w:t>Markings on vehicles used by security officers</w:t>
      </w:r>
      <w:r>
        <w:tab/>
      </w:r>
      <w:r>
        <w:fldChar w:fldCharType="begin"/>
      </w:r>
      <w:r>
        <w:instrText xml:space="preserve"> PAGEREF _Toc173507659 \h </w:instrText>
      </w:r>
      <w:r>
        <w:fldChar w:fldCharType="separate"/>
      </w:r>
      <w:r>
        <w:t>50</w:t>
      </w:r>
      <w:r>
        <w:fldChar w:fldCharType="end"/>
      </w:r>
    </w:p>
    <w:p>
      <w:pPr>
        <w:pStyle w:val="TOC8"/>
        <w:rPr>
          <w:rFonts w:asciiTheme="minorHAnsi" w:eastAsiaTheme="minorEastAsia" w:hAnsiTheme="minorHAnsi" w:cstheme="minorBidi"/>
          <w:szCs w:val="22"/>
        </w:rPr>
      </w:pPr>
      <w:r>
        <w:t>4A.</w:t>
      </w:r>
      <w:r>
        <w:tab/>
        <w:t>Guard dogs not to be used without training</w:t>
      </w:r>
      <w:r>
        <w:tab/>
      </w:r>
      <w:r>
        <w:fldChar w:fldCharType="begin"/>
      </w:r>
      <w:r>
        <w:instrText xml:space="preserve"> PAGEREF _Toc173507660 \h </w:instrText>
      </w:r>
      <w:r>
        <w:fldChar w:fldCharType="separate"/>
      </w:r>
      <w:r>
        <w:t>50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Arming security officers</w:t>
      </w:r>
      <w:r>
        <w:tab/>
      </w:r>
      <w:r>
        <w:fldChar w:fldCharType="begin"/>
      </w:r>
      <w:r>
        <w:instrText xml:space="preserve"> PAGEREF _Toc173507661 \h </w:instrText>
      </w:r>
      <w:r>
        <w:fldChar w:fldCharType="separate"/>
      </w:r>
      <w:r>
        <w:t>50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Firearm security</w:t>
      </w:r>
      <w:r>
        <w:tab/>
      </w:r>
      <w:r>
        <w:fldChar w:fldCharType="begin"/>
      </w:r>
      <w:r>
        <w:instrText xml:space="preserve"> PAGEREF _Toc173507662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Security officer’s licence</w:t>
      </w:r>
    </w:p>
    <w:p>
      <w:pPr>
        <w:pStyle w:val="TOC8"/>
        <w:rPr>
          <w:rFonts w:asciiTheme="minorHAnsi" w:eastAsiaTheme="minorEastAsia" w:hAnsiTheme="minorHAnsi" w:cstheme="minorBidi"/>
          <w:szCs w:val="22"/>
        </w:rPr>
      </w:pPr>
      <w:r>
        <w:t>7</w:t>
      </w:r>
      <w:r>
        <w:rPr>
          <w:snapToGrid w:val="0"/>
        </w:rPr>
        <w:t>.</w:t>
      </w:r>
      <w:r>
        <w:rPr>
          <w:snapToGrid w:val="0"/>
        </w:rPr>
        <w:tab/>
      </w:r>
      <w:r>
        <w:t>Uniforms</w:t>
      </w:r>
      <w:r>
        <w:rPr>
          <w:snapToGrid w:val="0"/>
        </w:rPr>
        <w:t xml:space="preserve"> to be worn by security officers</w:t>
      </w:r>
      <w:r>
        <w:tab/>
      </w:r>
      <w:r>
        <w:fldChar w:fldCharType="begin"/>
      </w:r>
      <w:r>
        <w:instrText xml:space="preserve"> PAGEREF _Toc173507664 \h </w:instrText>
      </w:r>
      <w:r>
        <w:fldChar w:fldCharType="separate"/>
      </w:r>
      <w:r>
        <w:t>52</w:t>
      </w:r>
      <w:r>
        <w:fldChar w:fldCharType="end"/>
      </w:r>
    </w:p>
    <w:p>
      <w:pPr>
        <w:pStyle w:val="TOC8"/>
        <w:rPr>
          <w:rFonts w:asciiTheme="minorHAnsi" w:eastAsiaTheme="minorEastAsia" w:hAnsiTheme="minorHAnsi" w:cstheme="minorBidi"/>
          <w:szCs w:val="22"/>
        </w:rPr>
      </w:pPr>
      <w:r>
        <w:t>8.</w:t>
      </w:r>
      <w:r>
        <w:tab/>
        <w:t>M</w:t>
      </w:r>
      <w:r>
        <w:rPr>
          <w:snapToGrid w:val="0"/>
        </w:rPr>
        <w:t>arkings on vehicles used by security officers</w:t>
      </w:r>
      <w:r>
        <w:tab/>
      </w:r>
      <w:r>
        <w:fldChar w:fldCharType="begin"/>
      </w:r>
      <w:r>
        <w:instrText xml:space="preserve"> PAGEREF _Toc173507665 \h </w:instrText>
      </w:r>
      <w:r>
        <w:fldChar w:fldCharType="separate"/>
      </w:r>
      <w:r>
        <w:t>52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t>Carrying</w:t>
      </w:r>
      <w:r>
        <w:rPr>
          <w:snapToGrid w:val="0"/>
        </w:rPr>
        <w:t xml:space="preserve"> of weapons</w:t>
      </w:r>
      <w:r>
        <w:tab/>
      </w:r>
      <w:r>
        <w:fldChar w:fldCharType="begin"/>
      </w:r>
      <w:r>
        <w:instrText xml:space="preserve"> PAGEREF _Toc173507666 \h </w:instrText>
      </w:r>
      <w:r>
        <w:fldChar w:fldCharType="separate"/>
      </w:r>
      <w:r>
        <w:t>53</w:t>
      </w:r>
      <w:r>
        <w:fldChar w:fldCharType="end"/>
      </w:r>
    </w:p>
    <w:p>
      <w:pPr>
        <w:pStyle w:val="TOC8"/>
        <w:rPr>
          <w:rFonts w:asciiTheme="minorHAnsi" w:eastAsiaTheme="minorEastAsia" w:hAnsiTheme="minorHAnsi" w:cstheme="minorBidi"/>
          <w:szCs w:val="22"/>
        </w:rPr>
      </w:pPr>
      <w:r>
        <w:t>10.</w:t>
      </w:r>
      <w:r>
        <w:tab/>
        <w:t>Firearm</w:t>
      </w:r>
      <w:r>
        <w:rPr>
          <w:snapToGrid w:val="0"/>
        </w:rPr>
        <w:t xml:space="preserve"> security</w:t>
      </w:r>
      <w:r>
        <w:tab/>
      </w:r>
      <w:r>
        <w:fldChar w:fldCharType="begin"/>
      </w:r>
      <w:r>
        <w:instrText xml:space="preserve"> PAGEREF _Toc173507667 \h </w:instrText>
      </w:r>
      <w:r>
        <w:fldChar w:fldCharType="separate"/>
      </w:r>
      <w:r>
        <w:t>53</w:t>
      </w:r>
      <w:r>
        <w:fldChar w:fldCharType="end"/>
      </w:r>
    </w:p>
    <w:p>
      <w:pPr>
        <w:pStyle w:val="TOC8"/>
        <w:rPr>
          <w:rFonts w:asciiTheme="minorHAnsi" w:eastAsiaTheme="minorEastAsia" w:hAnsiTheme="minorHAnsi" w:cstheme="minorBidi"/>
          <w:szCs w:val="22"/>
        </w:rPr>
      </w:pPr>
      <w:r>
        <w:t>11A.</w:t>
      </w:r>
      <w:r>
        <w:tab/>
        <w:t>Guard dogs not to be used without training</w:t>
      </w:r>
      <w:r>
        <w:tab/>
      </w:r>
      <w:r>
        <w:fldChar w:fldCharType="begin"/>
      </w:r>
      <w:r>
        <w:instrText xml:space="preserve"> PAGEREF _Toc173507668 \h </w:instrText>
      </w:r>
      <w:r>
        <w:fldChar w:fldCharType="separate"/>
      </w:r>
      <w:r>
        <w:t>53</w:t>
      </w:r>
      <w:r>
        <w:fldChar w:fldCharType="end"/>
      </w:r>
    </w:p>
    <w:p>
      <w:pPr>
        <w:pStyle w:val="TOC8"/>
        <w:rPr>
          <w:rFonts w:asciiTheme="minorHAnsi" w:eastAsiaTheme="minorEastAsia" w:hAnsiTheme="minorHAnsi" w:cstheme="minorBidi"/>
          <w:szCs w:val="22"/>
        </w:rPr>
      </w:pPr>
      <w:r>
        <w:t>11B.</w:t>
      </w:r>
      <w:r>
        <w:tab/>
        <w:t>First aid certificate</w:t>
      </w:r>
      <w:r>
        <w:tab/>
      </w:r>
      <w:r>
        <w:fldChar w:fldCharType="begin"/>
      </w:r>
      <w:r>
        <w:instrText xml:space="preserve"> PAGEREF _Toc173507669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2A</w:t>
      </w:r>
      <w:r>
        <w:rPr>
          <w:b w:val="0"/>
        </w:rPr>
        <w:t> — </w:t>
      </w:r>
      <w:r>
        <w:t>Security officer’s licence endorsement</w:t>
      </w:r>
    </w:p>
    <w:p>
      <w:pPr>
        <w:pStyle w:val="TOC8"/>
        <w:rPr>
          <w:rFonts w:asciiTheme="minorHAnsi" w:eastAsiaTheme="minorEastAsia" w:hAnsiTheme="minorHAnsi" w:cstheme="minorBidi"/>
          <w:szCs w:val="22"/>
        </w:rPr>
      </w:pPr>
      <w:r>
        <w:t>11.</w:t>
      </w:r>
      <w:r>
        <w:tab/>
        <w:t>Periodic weapons training</w:t>
      </w:r>
      <w:r>
        <w:tab/>
      </w:r>
      <w:r>
        <w:fldChar w:fldCharType="begin"/>
      </w:r>
      <w:r>
        <w:instrText xml:space="preserve"> PAGEREF _Toc173507671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2B</w:t>
      </w:r>
      <w:r>
        <w:rPr>
          <w:b w:val="0"/>
        </w:rPr>
        <w:t> — </w:t>
      </w:r>
      <w:r>
        <w:t>Security bodyguard’s licence</w:t>
      </w:r>
    </w:p>
    <w:p>
      <w:pPr>
        <w:pStyle w:val="TOC8"/>
        <w:rPr>
          <w:rFonts w:asciiTheme="minorHAnsi" w:eastAsiaTheme="minorEastAsia" w:hAnsiTheme="minorHAnsi" w:cstheme="minorBidi"/>
          <w:szCs w:val="22"/>
        </w:rPr>
      </w:pPr>
      <w:r>
        <w:t>12A.</w:t>
      </w:r>
      <w:r>
        <w:tab/>
        <w:t>No weapons to be carried by security bodyguard</w:t>
      </w:r>
      <w:r>
        <w:tab/>
      </w:r>
      <w:r>
        <w:fldChar w:fldCharType="begin"/>
      </w:r>
      <w:r>
        <w:instrText xml:space="preserve"> PAGEREF _Toc173507673 \h </w:instrText>
      </w:r>
      <w:r>
        <w:fldChar w:fldCharType="separate"/>
      </w:r>
      <w:r>
        <w:t>55</w:t>
      </w:r>
      <w:r>
        <w:fldChar w:fldCharType="end"/>
      </w:r>
    </w:p>
    <w:p>
      <w:pPr>
        <w:pStyle w:val="TOC8"/>
        <w:rPr>
          <w:rFonts w:asciiTheme="minorHAnsi" w:eastAsiaTheme="minorEastAsia" w:hAnsiTheme="minorHAnsi" w:cstheme="minorBidi"/>
          <w:szCs w:val="22"/>
        </w:rPr>
      </w:pPr>
      <w:r>
        <w:t>12B.</w:t>
      </w:r>
      <w:r>
        <w:tab/>
        <w:t>First aid certificate</w:t>
      </w:r>
      <w:r>
        <w:tab/>
      </w:r>
      <w:r>
        <w:fldChar w:fldCharType="begin"/>
      </w:r>
      <w:r>
        <w:instrText xml:space="preserve"> PAGEREF _Toc173507674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Inquiry agent’s licence</w:t>
      </w:r>
    </w:p>
    <w:p>
      <w:pPr>
        <w:pStyle w:val="TOC8"/>
        <w:rPr>
          <w:rFonts w:asciiTheme="minorHAnsi" w:eastAsiaTheme="minorEastAsia" w:hAnsiTheme="minorHAnsi" w:cstheme="minorBidi"/>
          <w:szCs w:val="22"/>
        </w:rPr>
      </w:pPr>
      <w:r>
        <w:t>12.</w:t>
      </w:r>
      <w:r>
        <w:tab/>
        <w:t>C</w:t>
      </w:r>
      <w:r>
        <w:rPr>
          <w:snapToGrid w:val="0"/>
        </w:rPr>
        <w:t>hange of partners, officers or personnel to be notified</w:t>
      </w:r>
      <w:r>
        <w:tab/>
      </w:r>
      <w:r>
        <w:fldChar w:fldCharType="begin"/>
      </w:r>
      <w:r>
        <w:instrText xml:space="preserve"> PAGEREF _Toc173507676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Crowd control agent’s licence</w:t>
      </w:r>
    </w:p>
    <w:p>
      <w:pPr>
        <w:pStyle w:val="TOC8"/>
        <w:rPr>
          <w:rFonts w:asciiTheme="minorHAnsi" w:eastAsiaTheme="minorEastAsia" w:hAnsiTheme="minorHAnsi" w:cstheme="minorBidi"/>
          <w:szCs w:val="22"/>
        </w:rPr>
      </w:pPr>
      <w:r>
        <w:t>13.</w:t>
      </w:r>
      <w:r>
        <w:tab/>
        <w:t>C</w:t>
      </w:r>
      <w:r>
        <w:rPr>
          <w:snapToGrid w:val="0"/>
        </w:rPr>
        <w:t>hange of partners, officers or personnel to be notified</w:t>
      </w:r>
      <w:r>
        <w:tab/>
      </w:r>
      <w:r>
        <w:fldChar w:fldCharType="begin"/>
      </w:r>
      <w:r>
        <w:instrText xml:space="preserve"> PAGEREF _Toc173507678 \h </w:instrText>
      </w:r>
      <w:r>
        <w:fldChar w:fldCharType="separate"/>
      </w:r>
      <w:r>
        <w:t>56</w:t>
      </w:r>
      <w:r>
        <w:fldChar w:fldCharType="end"/>
      </w:r>
    </w:p>
    <w:p>
      <w:pPr>
        <w:pStyle w:val="TOC8"/>
        <w:rPr>
          <w:rFonts w:asciiTheme="minorHAnsi" w:eastAsiaTheme="minorEastAsia" w:hAnsiTheme="minorHAnsi" w:cstheme="minorBidi"/>
          <w:szCs w:val="22"/>
        </w:rPr>
      </w:pPr>
      <w:r>
        <w:t>14.</w:t>
      </w:r>
      <w:r>
        <w:tab/>
        <w:t>I</w:t>
      </w:r>
      <w:r>
        <w:rPr>
          <w:snapToGrid w:val="0"/>
        </w:rPr>
        <w:t>dentification cards</w:t>
      </w:r>
      <w:r>
        <w:t xml:space="preserve"> to be worn</w:t>
      </w:r>
      <w:r>
        <w:tab/>
      </w:r>
      <w:r>
        <w:fldChar w:fldCharType="begin"/>
      </w:r>
      <w:r>
        <w:instrText xml:space="preserve"> PAGEREF _Toc173507679 \h </w:instrText>
      </w:r>
      <w:r>
        <w:fldChar w:fldCharType="separate"/>
      </w:r>
      <w:r>
        <w:t>56</w:t>
      </w:r>
      <w:r>
        <w:fldChar w:fldCharType="end"/>
      </w:r>
    </w:p>
    <w:p>
      <w:pPr>
        <w:pStyle w:val="TOC8"/>
        <w:rPr>
          <w:rFonts w:asciiTheme="minorHAnsi" w:eastAsiaTheme="minorEastAsia" w:hAnsiTheme="minorHAnsi" w:cstheme="minorBidi"/>
          <w:szCs w:val="22"/>
        </w:rPr>
      </w:pPr>
      <w:r>
        <w:t>15.</w:t>
      </w:r>
      <w:r>
        <w:tab/>
        <w:t>Information</w:t>
      </w:r>
      <w:r>
        <w:rPr>
          <w:snapToGrid w:val="0"/>
        </w:rPr>
        <w:t xml:space="preserve"> to clients</w:t>
      </w:r>
      <w:r>
        <w:tab/>
      </w:r>
      <w:r>
        <w:fldChar w:fldCharType="begin"/>
      </w:r>
      <w:r>
        <w:instrText xml:space="preserve"> PAGEREF _Toc173507680 \h </w:instrText>
      </w:r>
      <w:r>
        <w:fldChar w:fldCharType="separate"/>
      </w:r>
      <w:r>
        <w:t>56</w:t>
      </w:r>
      <w:r>
        <w:fldChar w:fldCharType="end"/>
      </w:r>
    </w:p>
    <w:p>
      <w:pPr>
        <w:pStyle w:val="TOC8"/>
        <w:rPr>
          <w:rFonts w:asciiTheme="minorHAnsi" w:eastAsiaTheme="minorEastAsia" w:hAnsiTheme="minorHAnsi" w:cstheme="minorBidi"/>
          <w:szCs w:val="22"/>
        </w:rPr>
      </w:pPr>
      <w:r>
        <w:t>15A.</w:t>
      </w:r>
      <w:r>
        <w:tab/>
        <w:t>Information to licensing officer</w:t>
      </w:r>
      <w:r>
        <w:tab/>
      </w:r>
      <w:r>
        <w:fldChar w:fldCharType="begin"/>
      </w:r>
      <w:r>
        <w:instrText xml:space="preserve"> PAGEREF _Toc173507681 \h </w:instrText>
      </w:r>
      <w:r>
        <w:fldChar w:fldCharType="separate"/>
      </w:r>
      <w:r>
        <w:t>57</w:t>
      </w:r>
      <w:r>
        <w:fldChar w:fldCharType="end"/>
      </w:r>
    </w:p>
    <w:p>
      <w:pPr>
        <w:pStyle w:val="TOC8"/>
        <w:rPr>
          <w:rFonts w:asciiTheme="minorHAnsi" w:eastAsiaTheme="minorEastAsia" w:hAnsiTheme="minorHAnsi" w:cstheme="minorBidi"/>
          <w:szCs w:val="22"/>
        </w:rPr>
      </w:pPr>
      <w:r>
        <w:lastRenderedPageBreak/>
        <w:t>16.</w:t>
      </w:r>
      <w:r>
        <w:tab/>
      </w:r>
      <w:r>
        <w:rPr>
          <w:snapToGrid w:val="0"/>
        </w:rPr>
        <w:t>No weapons to be carried by crowd controllers</w:t>
      </w:r>
      <w:r>
        <w:tab/>
      </w:r>
      <w:r>
        <w:fldChar w:fldCharType="begin"/>
      </w:r>
      <w:r>
        <w:instrText xml:space="preserve"> PAGEREF _Toc173507682 \h </w:instrText>
      </w:r>
      <w:r>
        <w:fldChar w:fldCharType="separate"/>
      </w:r>
      <w:r>
        <w:t>57</w:t>
      </w:r>
      <w:r>
        <w:fldChar w:fldCharType="end"/>
      </w:r>
    </w:p>
    <w:p>
      <w:pPr>
        <w:pStyle w:val="TOC8"/>
        <w:rPr>
          <w:rFonts w:asciiTheme="minorHAnsi" w:eastAsiaTheme="minorEastAsia" w:hAnsiTheme="minorHAnsi" w:cstheme="minorBidi"/>
          <w:szCs w:val="22"/>
        </w:rPr>
      </w:pPr>
      <w:r>
        <w:t>16A.</w:t>
      </w:r>
      <w:r>
        <w:tab/>
        <w:t>Incident</w:t>
      </w:r>
      <w:r>
        <w:rPr>
          <w:snapToGrid w:val="0"/>
        </w:rPr>
        <w:t xml:space="preserve"> register, duties as to</w:t>
      </w:r>
      <w:r>
        <w:tab/>
      </w:r>
      <w:r>
        <w:fldChar w:fldCharType="begin"/>
      </w:r>
      <w:r>
        <w:instrText xml:space="preserve"> PAGEREF _Toc173507683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Crowd controller’s licence</w:t>
      </w:r>
    </w:p>
    <w:p>
      <w:pPr>
        <w:pStyle w:val="TOC8"/>
        <w:rPr>
          <w:rFonts w:asciiTheme="minorHAnsi" w:eastAsiaTheme="minorEastAsia" w:hAnsiTheme="minorHAnsi" w:cstheme="minorBidi"/>
          <w:szCs w:val="22"/>
        </w:rPr>
      </w:pPr>
      <w:r>
        <w:t>17.</w:t>
      </w:r>
      <w:r>
        <w:tab/>
        <w:t>I</w:t>
      </w:r>
      <w:r>
        <w:rPr>
          <w:snapToGrid w:val="0"/>
        </w:rPr>
        <w:t>dentification card to be worn</w:t>
      </w:r>
      <w:r>
        <w:tab/>
      </w:r>
      <w:r>
        <w:fldChar w:fldCharType="begin"/>
      </w:r>
      <w:r>
        <w:instrText xml:space="preserve"> PAGEREF _Toc173507685 \h </w:instrText>
      </w:r>
      <w:r>
        <w:fldChar w:fldCharType="separate"/>
      </w:r>
      <w:r>
        <w:t>58</w:t>
      </w:r>
      <w:r>
        <w:fldChar w:fldCharType="end"/>
      </w:r>
    </w:p>
    <w:p>
      <w:pPr>
        <w:pStyle w:val="TOC8"/>
        <w:rPr>
          <w:rFonts w:asciiTheme="minorHAnsi" w:eastAsiaTheme="minorEastAsia" w:hAnsiTheme="minorHAnsi" w:cstheme="minorBidi"/>
          <w:szCs w:val="22"/>
        </w:rPr>
      </w:pPr>
      <w:r>
        <w:t>18.</w:t>
      </w:r>
      <w:r>
        <w:tab/>
      </w:r>
      <w:r>
        <w:rPr>
          <w:snapToGrid w:val="0"/>
        </w:rPr>
        <w:t xml:space="preserve">No </w:t>
      </w:r>
      <w:r>
        <w:t>weapons</w:t>
      </w:r>
      <w:r>
        <w:rPr>
          <w:snapToGrid w:val="0"/>
        </w:rPr>
        <w:t xml:space="preserve"> to be carried by crowd controller</w:t>
      </w:r>
      <w:r>
        <w:tab/>
      </w:r>
      <w:r>
        <w:fldChar w:fldCharType="begin"/>
      </w:r>
      <w:r>
        <w:instrText xml:space="preserve"> PAGEREF _Toc173507686 \h </w:instrText>
      </w:r>
      <w:r>
        <w:fldChar w:fldCharType="separate"/>
      </w:r>
      <w:r>
        <w:t>58</w:t>
      </w:r>
      <w:r>
        <w:fldChar w:fldCharType="end"/>
      </w:r>
    </w:p>
    <w:p>
      <w:pPr>
        <w:pStyle w:val="TOC8"/>
        <w:rPr>
          <w:rFonts w:asciiTheme="minorHAnsi" w:eastAsiaTheme="minorEastAsia" w:hAnsiTheme="minorHAnsi" w:cstheme="minorBidi"/>
          <w:szCs w:val="22"/>
        </w:rPr>
      </w:pPr>
      <w:r>
        <w:t>19A.</w:t>
      </w:r>
      <w:r>
        <w:tab/>
        <w:t>First aid certificate</w:t>
      </w:r>
      <w:r>
        <w:tab/>
      </w:r>
      <w:r>
        <w:fldChar w:fldCharType="begin"/>
      </w:r>
      <w:r>
        <w:instrText xml:space="preserve"> PAGEREF _Toc173507687 \h </w:instrText>
      </w:r>
      <w:r>
        <w:fldChar w:fldCharType="separate"/>
      </w:r>
      <w:r>
        <w:t>59</w:t>
      </w:r>
      <w:r>
        <w:fldChar w:fldCharType="end"/>
      </w:r>
    </w:p>
    <w:p>
      <w:pPr>
        <w:pStyle w:val="TOC8"/>
        <w:rPr>
          <w:rFonts w:asciiTheme="minorHAnsi" w:eastAsiaTheme="minorEastAsia" w:hAnsiTheme="minorHAnsi" w:cstheme="minorBidi"/>
          <w:szCs w:val="22"/>
        </w:rPr>
      </w:pPr>
      <w:r>
        <w:t>19.</w:t>
      </w:r>
      <w:r>
        <w:tab/>
        <w:t>Incident</w:t>
      </w:r>
      <w:r>
        <w:rPr>
          <w:snapToGrid w:val="0"/>
        </w:rPr>
        <w:t xml:space="preserve"> register, duties as to</w:t>
      </w:r>
      <w:r>
        <w:tab/>
      </w:r>
      <w:r>
        <w:fldChar w:fldCharType="begin"/>
      </w:r>
      <w:r>
        <w:instrText xml:space="preserve"> PAGEREF _Toc173507688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6 — All licences</w:t>
      </w:r>
    </w:p>
    <w:p>
      <w:pPr>
        <w:pStyle w:val="TOC8"/>
        <w:rPr>
          <w:rFonts w:asciiTheme="minorHAnsi" w:eastAsiaTheme="minorEastAsia" w:hAnsiTheme="minorHAnsi" w:cstheme="minorBidi"/>
          <w:szCs w:val="22"/>
        </w:rPr>
      </w:pPr>
      <w:r>
        <w:t>20.</w:t>
      </w:r>
      <w:r>
        <w:tab/>
        <w:t>Identity cards, duties of people holding</w:t>
      </w:r>
      <w:r>
        <w:tab/>
      </w:r>
      <w:r>
        <w:fldChar w:fldCharType="begin"/>
      </w:r>
      <w:r>
        <w:instrText xml:space="preserve"> PAGEREF _Toc173507690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Schedule 2 — Disqualifying offences</w:t>
      </w:r>
    </w:p>
    <w:p>
      <w:pPr>
        <w:pStyle w:val="TOC4"/>
        <w:tabs>
          <w:tab w:val="right" w:leader="dot" w:pos="7077"/>
        </w:tabs>
        <w:rPr>
          <w:rFonts w:asciiTheme="minorHAnsi" w:eastAsiaTheme="minorEastAsia" w:hAnsiTheme="minorHAnsi" w:cstheme="minorBidi"/>
          <w:b w:val="0"/>
          <w:szCs w:val="22"/>
        </w:rPr>
      </w:pPr>
      <w:r>
        <w:t>Division 1</w:t>
      </w:r>
      <w:r>
        <w:rPr>
          <w:b w:val="0"/>
        </w:rPr>
        <w:t> — </w:t>
      </w:r>
      <w:r>
        <w:t>Division 1 offences</w:t>
      </w:r>
    </w:p>
    <w:p>
      <w:pPr>
        <w:pStyle w:val="TOC4"/>
        <w:tabs>
          <w:tab w:val="right" w:leader="dot" w:pos="7077"/>
        </w:tabs>
        <w:rPr>
          <w:rFonts w:asciiTheme="minorHAnsi" w:eastAsiaTheme="minorEastAsia" w:hAnsiTheme="minorHAnsi" w:cstheme="minorBidi"/>
          <w:b w:val="0"/>
          <w:szCs w:val="22"/>
        </w:rPr>
      </w:pPr>
      <w:r>
        <w:t>Division 2</w:t>
      </w:r>
      <w:r>
        <w:rPr>
          <w:b w:val="0"/>
        </w:rPr>
        <w:t> — </w:t>
      </w:r>
      <w:r>
        <w:t>Division 2 offences</w:t>
      </w:r>
    </w:p>
    <w:p>
      <w:pPr>
        <w:pStyle w:val="TOC2"/>
        <w:tabs>
          <w:tab w:val="right" w:leader="dot" w:pos="7077"/>
        </w:tabs>
        <w:rPr>
          <w:rFonts w:asciiTheme="minorHAnsi" w:eastAsiaTheme="minorEastAsia" w:hAnsiTheme="minorHAnsi" w:cstheme="minorBidi"/>
          <w:b w:val="0"/>
          <w:sz w:val="22"/>
          <w:szCs w:val="22"/>
        </w:rPr>
      </w:pPr>
      <w:r>
        <w:t>Schedule 3 — Prescribed drugs</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 for infringement notices</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w:t>
      </w:r>
      <w:r>
        <w:rPr>
          <w:b w:val="0"/>
        </w:rPr>
        <w:t> — </w:t>
      </w:r>
      <w:r>
        <w:t>Offence under these regulations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_Toc173507701 \h </w:instrText>
      </w:r>
      <w:r>
        <w:fldChar w:fldCharType="separate"/>
      </w:r>
      <w:r>
        <w:t>76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_Toc173507702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r>
        <w:fldChar w:fldCharType="end"/>
      </w:r>
    </w:p>
    <w:p>
      <w:pPr>
        <w:pStyle w:val="PrincipalActReg"/>
        <w:spacing w:before="120" w:after="600"/>
        <w:rPr>
          <w:snapToGrid w:val="0"/>
        </w:rPr>
      </w:pPr>
      <w:r>
        <w:rPr>
          <w:snapToGrid w:val="0"/>
        </w:rPr>
        <w:lastRenderedPageBreak/>
        <w:t>Security and Related Activities (Control) Act 1996</w:t>
      </w:r>
    </w:p>
    <w:p>
      <w:pPr>
        <w:pStyle w:val="NameofActReg"/>
        <w:spacing w:after="720"/>
      </w:pPr>
      <w:r>
        <w:t>Security and Related Activities (Control) Regulations 1997</w:t>
      </w:r>
    </w:p>
    <w:p>
      <w:pPr>
        <w:pStyle w:val="Heading2"/>
        <w:pageBreakBefore w:val="0"/>
        <w:spacing w:before="240"/>
      </w:pPr>
      <w:bookmarkStart w:id="2" w:name="_Toc173501490"/>
      <w:bookmarkStart w:id="3" w:name="_Toc173502368"/>
      <w:bookmarkStart w:id="4" w:name="_Toc173507581"/>
      <w:r>
        <w:rPr>
          <w:rStyle w:val="CharPartNo"/>
        </w:rPr>
        <w:t>Part 1</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spacing w:before="300"/>
        <w:rPr>
          <w:snapToGrid w:val="0"/>
        </w:rPr>
      </w:pPr>
      <w:bookmarkStart w:id="5" w:name="_Toc173507582"/>
      <w:r>
        <w:rPr>
          <w:rStyle w:val="CharSectno"/>
        </w:rPr>
        <w:t>1</w:t>
      </w:r>
      <w:r>
        <w:rPr>
          <w:snapToGrid w:val="0"/>
        </w:rPr>
        <w:t>.</w:t>
      </w:r>
      <w:r>
        <w:rPr>
          <w:snapToGrid w:val="0"/>
        </w:rPr>
        <w:tab/>
        <w:t>Citation</w:t>
      </w:r>
      <w:bookmarkEnd w:id="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w:t>
      </w:r>
      <w:r>
        <w:rPr>
          <w:snapToGrid w:val="0"/>
        </w:rPr>
        <w:t>.</w:t>
      </w:r>
    </w:p>
    <w:p>
      <w:pPr>
        <w:pStyle w:val="Heading5"/>
        <w:rPr>
          <w:snapToGrid w:val="0"/>
        </w:rPr>
      </w:pPr>
      <w:bookmarkStart w:id="6" w:name="_Toc173507583"/>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p>
    <w:p>
      <w:pPr>
        <w:pStyle w:val="Heading5"/>
        <w:rPr>
          <w:snapToGrid w:val="0"/>
        </w:rPr>
      </w:pPr>
      <w:bookmarkStart w:id="7" w:name="_Toc173507584"/>
      <w:r>
        <w:rPr>
          <w:rStyle w:val="CharSectno"/>
        </w:rPr>
        <w:t>3</w:t>
      </w:r>
      <w:r>
        <w:rPr>
          <w:snapToGrid w:val="0"/>
        </w:rPr>
        <w:t>.</w:t>
      </w:r>
      <w:r>
        <w:rPr>
          <w:snapToGrid w:val="0"/>
        </w:rPr>
        <w:tab/>
        <w:t>Terms used</w:t>
      </w:r>
      <w:bookmarkEnd w:id="7"/>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keepNext/>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lastRenderedPageBreak/>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in relation to a security agent, crowd control agent or inquiry agent, means — </w:t>
      </w:r>
    </w:p>
    <w:p>
      <w:pPr>
        <w:pStyle w:val="Defpara"/>
      </w:pPr>
      <w:r>
        <w:tab/>
        <w:t>(a)</w:t>
      </w:r>
      <w:r>
        <w:tab/>
        <w:t>if the agent’s licence is held on behalf of a partnership or body corporate, the business of the partnership or body corporate; or</w:t>
      </w:r>
    </w:p>
    <w:p>
      <w:pPr>
        <w:pStyle w:val="Defpara"/>
      </w:pPr>
      <w:r>
        <w:tab/>
        <w:t>(b)</w:t>
      </w:r>
      <w:r>
        <w:tab/>
        <w:t>otherwise, the business of the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responsible police division</w:t>
      </w:r>
      <w:r>
        <w:t xml:space="preserve"> means the division of the Police Force of Western Australia that is for the time being responsible for the implementation and enforcement of the Act;</w:t>
      </w:r>
    </w:p>
    <w:p>
      <w:pPr>
        <w:pStyle w:val="Defstart"/>
      </w:pPr>
      <w:r>
        <w:rPr>
          <w:b/>
        </w:rPr>
        <w:tab/>
      </w:r>
      <w:r>
        <w:rPr>
          <w:rStyle w:val="CharDefText"/>
        </w:rPr>
        <w:t>section</w:t>
      </w:r>
      <w:r>
        <w:t xml:space="preserve"> means a section of the Act;</w:t>
      </w:r>
    </w:p>
    <w:p>
      <w:pPr>
        <w:pStyle w:val="Defstart"/>
      </w:pPr>
      <w:r>
        <w:lastRenderedPageBreak/>
        <w:tab/>
      </w:r>
      <w:r>
        <w:rPr>
          <w:rStyle w:val="CharDefText"/>
        </w:rPr>
        <w:t>Superintendent</w:t>
      </w:r>
      <w:r>
        <w:t xml:space="preserve"> means the police officer of the rank of Superintendent or acting at the rank of Superintendent who is in charge of the responsible police division;</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Superintendent and that is conducted by training providers who are approved in accordance with regulation 14A.</w:t>
      </w:r>
    </w:p>
    <w:p>
      <w:pPr>
        <w:pStyle w:val="Footnotesection"/>
        <w:keepLines w:val="0"/>
      </w:pPr>
      <w:r>
        <w:tab/>
        <w:t>[Regulation 3 amended: Gazette 1 Sep 2005 p. 4073</w:t>
      </w:r>
      <w:r>
        <w:noBreakHyphen/>
        <w:t>4; 3 Oct 2006 p. 4343</w:t>
      </w:r>
      <w:r>
        <w:noBreakHyphen/>
        <w:t>4; 4 Dec 2009 p. 4889</w:t>
      </w:r>
      <w:r>
        <w:noBreakHyphen/>
        <w:t>90; 1 Jul 2011 p. 2749; 29 Jul 2016 p. 3243-4 and 3257; SL 2022/211 r. 4.]</w:t>
      </w:r>
    </w:p>
    <w:p>
      <w:pPr>
        <w:pStyle w:val="Heading5"/>
      </w:pPr>
      <w:bookmarkStart w:id="8" w:name="_Toc173507585"/>
      <w:r>
        <w:rPr>
          <w:rStyle w:val="CharSectno"/>
        </w:rPr>
        <w:t>4A</w:t>
      </w:r>
      <w:r>
        <w:t>.</w:t>
      </w:r>
      <w:r>
        <w:tab/>
        <w:t>Method of giving things to Commissioner, Superintendent or licensing officer</w:t>
      </w:r>
      <w:bookmarkEnd w:id="8"/>
    </w:p>
    <w:p>
      <w:pPr>
        <w:pStyle w:val="Subsection"/>
        <w:keepNext/>
      </w:pPr>
      <w:r>
        <w:tab/>
      </w:r>
      <w:r>
        <w:tab/>
        <w:t xml:space="preserve">Where the Act or these regulations authorises or requires a document to be given or delivered to the Commissioner, the Superintendent or a licensing officer, or the Commissioner, the </w:t>
      </w:r>
      <w:r>
        <w:lastRenderedPageBreak/>
        <w:t xml:space="preserve">Superintendent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keepNext/>
      </w:pPr>
      <w:r>
        <w:tab/>
        <w:t>(b)</w:t>
      </w:r>
      <w:r>
        <w:tab/>
        <w:t xml:space="preserve">by post, in accordance with the </w:t>
      </w:r>
      <w:r>
        <w:rPr>
          <w:i/>
        </w:rPr>
        <w:t>Interpretation Act </w:t>
      </w:r>
      <w:r>
        <w:rPr>
          <w:i/>
          <w:iCs/>
        </w:rPr>
        <w:t>1984</w:t>
      </w:r>
      <w:r>
        <w:t xml:space="preserve"> section 75(1),</w:t>
      </w:r>
    </w:p>
    <w:p>
      <w:pPr>
        <w:pStyle w:val="Subsection"/>
        <w:keepNext/>
      </w:pPr>
      <w:r>
        <w:tab/>
      </w:r>
      <w:r>
        <w:tab/>
        <w:t>to the offices of the responsible police division at 303 Sevenoaks Street, Cannington WA 6107 or to Locked Bag 9, East Perth WA 6892.</w:t>
      </w:r>
    </w:p>
    <w:p>
      <w:pPr>
        <w:pStyle w:val="Footnotesection"/>
        <w:keepLines w:val="0"/>
      </w:pPr>
      <w:r>
        <w:tab/>
        <w:t>[Regulation 4A inserted: Gazette 4 Dec 2009 p. 4891; amended: Gazette 29 Jul 2016 p. 3244.]</w:t>
      </w:r>
    </w:p>
    <w:p>
      <w:pPr>
        <w:pStyle w:val="Heading2"/>
      </w:pPr>
      <w:bookmarkStart w:id="9" w:name="_Toc173501495"/>
      <w:bookmarkStart w:id="10" w:name="_Toc173502373"/>
      <w:bookmarkStart w:id="11" w:name="_Toc173507586"/>
      <w:r>
        <w:rPr>
          <w:rStyle w:val="CharPartNo"/>
        </w:rPr>
        <w:lastRenderedPageBreak/>
        <w:t>Part 2</w:t>
      </w:r>
      <w:r>
        <w:rPr>
          <w:rStyle w:val="CharDivNo"/>
        </w:rPr>
        <w:t> </w:t>
      </w:r>
      <w:r>
        <w:t>—</w:t>
      </w:r>
      <w:r>
        <w:rPr>
          <w:rStyle w:val="CharDivText"/>
        </w:rPr>
        <w:t> </w:t>
      </w:r>
      <w:r>
        <w:rPr>
          <w:rStyle w:val="CharPartText"/>
        </w:rPr>
        <w:t>Exemptions</w:t>
      </w:r>
      <w:bookmarkEnd w:id="9"/>
      <w:bookmarkEnd w:id="10"/>
      <w:bookmarkEnd w:id="11"/>
      <w:r>
        <w:rPr>
          <w:rStyle w:val="CharPartText"/>
        </w:rPr>
        <w:t xml:space="preserve"> </w:t>
      </w:r>
    </w:p>
    <w:p>
      <w:pPr>
        <w:pStyle w:val="Heading5"/>
        <w:rPr>
          <w:snapToGrid w:val="0"/>
        </w:rPr>
      </w:pPr>
      <w:bookmarkStart w:id="12" w:name="_Toc173507587"/>
      <w:r>
        <w:rPr>
          <w:rStyle w:val="CharSectno"/>
        </w:rPr>
        <w:t>4</w:t>
      </w:r>
      <w:r>
        <w:rPr>
          <w:snapToGrid w:val="0"/>
        </w:rPr>
        <w:t>.</w:t>
      </w:r>
      <w:r>
        <w:rPr>
          <w:snapToGrid w:val="0"/>
        </w:rPr>
        <w:tab/>
        <w:t>Act s. 37 (crowd controller’s licence), exemptions from</w:t>
      </w:r>
      <w:bookmarkEnd w:id="1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1</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1</w:t>
      </w:r>
      <w:r>
        <w:rPr>
          <w:snapToGrid w:val="0"/>
        </w:rPr>
        <w:t xml:space="preserve">. </w:t>
      </w:r>
    </w:p>
    <w:p>
      <w:pPr>
        <w:pStyle w:val="Ednotesection"/>
      </w:pPr>
      <w:r>
        <w:t>[</w:t>
      </w:r>
      <w:r>
        <w:rPr>
          <w:b/>
        </w:rPr>
        <w:t>5.</w:t>
      </w:r>
      <w:r>
        <w:tab/>
        <w:t>Deleted: Gazette 29 Apr 2011 p. 1532.]</w:t>
      </w:r>
    </w:p>
    <w:p>
      <w:pPr>
        <w:pStyle w:val="Heading5"/>
      </w:pPr>
      <w:bookmarkStart w:id="13" w:name="_Toc173507588"/>
      <w:r>
        <w:rPr>
          <w:rStyle w:val="CharSectno"/>
        </w:rPr>
        <w:t>5A</w:t>
      </w:r>
      <w:r>
        <w:t>.</w:t>
      </w:r>
      <w:r>
        <w:tab/>
        <w:t xml:space="preserve">Some persons to whom </w:t>
      </w:r>
      <w:r>
        <w:rPr>
          <w:i/>
        </w:rPr>
        <w:t xml:space="preserve">Court Security and Custodial Services Act 1999 </w:t>
      </w:r>
      <w:r>
        <w:t>applies, exemption for</w:t>
      </w:r>
      <w:bookmarkEnd w:id="13"/>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lastRenderedPageBreak/>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Gazette 28 Jul 2000 p. 4028; amended: Gazette 12 Jun 2001 p. 2959</w:t>
      </w:r>
      <w:r>
        <w:noBreakHyphen/>
        <w:t>60.]</w:t>
      </w:r>
    </w:p>
    <w:p>
      <w:pPr>
        <w:pStyle w:val="Heading5"/>
      </w:pPr>
      <w:bookmarkStart w:id="14" w:name="_Toc173507589"/>
      <w:r>
        <w:rPr>
          <w:rStyle w:val="CharSectno"/>
        </w:rPr>
        <w:t>5B</w:t>
      </w:r>
      <w:r>
        <w:t>.</w:t>
      </w:r>
      <w:r>
        <w:tab/>
        <w:t xml:space="preserve">Some persons to whom </w:t>
      </w:r>
      <w:r>
        <w:rPr>
          <w:i/>
        </w:rPr>
        <w:t>Prisons Act 1981</w:t>
      </w:r>
      <w:r>
        <w:t xml:space="preserve"> Part IIIA applies, exemption for</w:t>
      </w:r>
      <w:bookmarkEnd w:id="14"/>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Gazette 12 Jun 2001 p. 2960.]</w:t>
      </w:r>
    </w:p>
    <w:p>
      <w:pPr>
        <w:pStyle w:val="Heading2"/>
      </w:pPr>
      <w:bookmarkStart w:id="15" w:name="_Toc173501499"/>
      <w:bookmarkStart w:id="16" w:name="_Toc173502377"/>
      <w:bookmarkStart w:id="17" w:name="_Toc173507590"/>
      <w:r>
        <w:rPr>
          <w:rStyle w:val="CharPartNo"/>
        </w:rPr>
        <w:lastRenderedPageBreak/>
        <w:t>Part 3</w:t>
      </w:r>
      <w:r>
        <w:rPr>
          <w:rStyle w:val="CharDivNo"/>
        </w:rPr>
        <w:t> </w:t>
      </w:r>
      <w:r>
        <w:t>—</w:t>
      </w:r>
      <w:r>
        <w:rPr>
          <w:rStyle w:val="CharDivText"/>
        </w:rPr>
        <w:t> </w:t>
      </w:r>
      <w:r>
        <w:rPr>
          <w:rStyle w:val="CharPartText"/>
        </w:rPr>
        <w:t>Security activities</w:t>
      </w:r>
      <w:bookmarkEnd w:id="15"/>
      <w:bookmarkEnd w:id="16"/>
      <w:bookmarkEnd w:id="17"/>
      <w:r>
        <w:rPr>
          <w:rStyle w:val="CharPartText"/>
        </w:rPr>
        <w:t xml:space="preserve"> </w:t>
      </w:r>
    </w:p>
    <w:p>
      <w:pPr>
        <w:pStyle w:val="Heading5"/>
      </w:pPr>
      <w:bookmarkStart w:id="18" w:name="_Toc173507591"/>
      <w:r>
        <w:rPr>
          <w:rStyle w:val="CharSectno"/>
        </w:rPr>
        <w:t>6</w:t>
      </w:r>
      <w:r>
        <w:t>.</w:t>
      </w:r>
      <w:r>
        <w:tab/>
        <w:t>Locks prescribed (Act s. 14(1)(d))</w:t>
      </w:r>
      <w:bookmarkEnd w:id="18"/>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Gazette 13 Apr 2006 p. 1555.]</w:t>
      </w:r>
    </w:p>
    <w:p>
      <w:pPr>
        <w:pStyle w:val="Heading5"/>
      </w:pPr>
      <w:bookmarkStart w:id="19" w:name="_Toc173507592"/>
      <w:r>
        <w:rPr>
          <w:rStyle w:val="CharSectno"/>
        </w:rPr>
        <w:t>7</w:t>
      </w:r>
      <w:r>
        <w:t>.</w:t>
      </w:r>
      <w:r>
        <w:tab/>
        <w:t>Security doors prescribed (Act s. 14(1)(e))</w:t>
      </w:r>
      <w:bookmarkEnd w:id="19"/>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Gazette 13 Apr 2006 p. 1555</w:t>
      </w:r>
      <w:r>
        <w:noBreakHyphen/>
        <w:t>6.]</w:t>
      </w:r>
    </w:p>
    <w:p>
      <w:pPr>
        <w:pStyle w:val="Heading5"/>
        <w:rPr>
          <w:snapToGrid w:val="0"/>
        </w:rPr>
      </w:pPr>
      <w:bookmarkStart w:id="20" w:name="_Toc173507593"/>
      <w:r>
        <w:rPr>
          <w:rStyle w:val="CharSectno"/>
        </w:rPr>
        <w:t>8</w:t>
      </w:r>
      <w:r>
        <w:rPr>
          <w:snapToGrid w:val="0"/>
        </w:rPr>
        <w:t>.</w:t>
      </w:r>
      <w:r>
        <w:rPr>
          <w:snapToGrid w:val="0"/>
        </w:rPr>
        <w:tab/>
        <w:t>Equipment and devices prescribed (Act s. 14(1)(g))</w:t>
      </w:r>
      <w:bookmarkEnd w:id="20"/>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lastRenderedPageBreak/>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Gazette 13 Apr 2006 p. 1556.]</w:t>
      </w:r>
    </w:p>
    <w:p>
      <w:pPr>
        <w:pStyle w:val="Heading5"/>
      </w:pPr>
      <w:bookmarkStart w:id="21" w:name="_Toc173507594"/>
      <w:r>
        <w:rPr>
          <w:rStyle w:val="CharSectno"/>
        </w:rPr>
        <w:t>9</w:t>
      </w:r>
      <w:r>
        <w:t>.</w:t>
      </w:r>
      <w:r>
        <w:tab/>
        <w:t>Activities prescribed (Act s. 24(1)(b))</w:t>
      </w:r>
      <w:bookmarkEnd w:id="21"/>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Gazette 1 Sep 2005 p. 4074.]</w:t>
      </w:r>
    </w:p>
    <w:p>
      <w:pPr>
        <w:pStyle w:val="Heading5"/>
        <w:rPr>
          <w:snapToGrid w:val="0"/>
        </w:rPr>
      </w:pPr>
      <w:bookmarkStart w:id="22" w:name="_Toc173507595"/>
      <w:r>
        <w:rPr>
          <w:rStyle w:val="CharSectno"/>
        </w:rPr>
        <w:t>10</w:t>
      </w:r>
      <w:r>
        <w:rPr>
          <w:snapToGrid w:val="0"/>
        </w:rPr>
        <w:t>.</w:t>
      </w:r>
      <w:r>
        <w:rPr>
          <w:snapToGrid w:val="0"/>
        </w:rPr>
        <w:tab/>
        <w:t>Application for endorsement (Act s. 24)</w:t>
      </w:r>
      <w:bookmarkEnd w:id="22"/>
      <w:r>
        <w:rPr>
          <w:snapToGrid w:val="0"/>
        </w:rPr>
        <w:t xml:space="preserve"> </w:t>
      </w:r>
    </w:p>
    <w:p>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lastRenderedPageBreak/>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ind w:left="890" w:hanging="890"/>
      </w:pPr>
      <w:r>
        <w:tab/>
        <w:t>[Regulation 10 amended: Gazette 1 Sep 2005 p. 4074; 3 Oct 2006 p. 4344.]</w:t>
      </w:r>
    </w:p>
    <w:p>
      <w:pPr>
        <w:pStyle w:val="Heading5"/>
      </w:pPr>
      <w:bookmarkStart w:id="23" w:name="_Toc173507596"/>
      <w:r>
        <w:rPr>
          <w:rStyle w:val="CharSectno"/>
        </w:rPr>
        <w:t>11</w:t>
      </w:r>
      <w:r>
        <w:t>.</w:t>
      </w:r>
      <w:r>
        <w:tab/>
        <w:t>Medical examinations prescribed (Act s. 24)</w:t>
      </w:r>
      <w:bookmarkEnd w:id="23"/>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 xml:space="preserve">A security officer who has undergone a medical examination is to give to a licensing officer a medical certificate relating to the examination within one month after undergoing the </w:t>
      </w:r>
      <w:r>
        <w:lastRenderedPageBreak/>
        <w:t>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Gazette 4 Dec 2009 p. 4891</w:t>
      </w:r>
      <w:r>
        <w:noBreakHyphen/>
        <w:t>2.]</w:t>
      </w:r>
    </w:p>
    <w:p>
      <w:pPr>
        <w:pStyle w:val="Heading5"/>
      </w:pPr>
      <w:bookmarkStart w:id="24" w:name="_Toc173507597"/>
      <w:r>
        <w:rPr>
          <w:rStyle w:val="CharSectno"/>
        </w:rPr>
        <w:t>12</w:t>
      </w:r>
      <w:r>
        <w:t>.</w:t>
      </w:r>
      <w:r>
        <w:tab/>
        <w:t>Application for permit (Act s. 25)</w:t>
      </w:r>
      <w:bookmarkEnd w:id="24"/>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Gazette 4 Dec 2009 p. 4893.]</w:t>
      </w:r>
    </w:p>
    <w:p>
      <w:pPr>
        <w:pStyle w:val="Heading5"/>
        <w:rPr>
          <w:snapToGrid w:val="0"/>
        </w:rPr>
      </w:pPr>
      <w:bookmarkStart w:id="25" w:name="_Toc173507598"/>
      <w:r>
        <w:rPr>
          <w:rStyle w:val="CharSectno"/>
        </w:rPr>
        <w:t>13</w:t>
      </w:r>
      <w:r>
        <w:rPr>
          <w:snapToGrid w:val="0"/>
        </w:rPr>
        <w:t>.</w:t>
      </w:r>
      <w:r>
        <w:rPr>
          <w:snapToGrid w:val="0"/>
        </w:rPr>
        <w:tab/>
        <w:t>Application for endorsement (Act s. 26)</w:t>
      </w:r>
      <w:bookmarkEnd w:id="25"/>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26" w:name="_Toc173501508"/>
      <w:bookmarkStart w:id="27" w:name="_Toc173502386"/>
      <w:bookmarkStart w:id="28" w:name="_Toc173507599"/>
      <w:r>
        <w:rPr>
          <w:rStyle w:val="CharPartNo"/>
        </w:rPr>
        <w:lastRenderedPageBreak/>
        <w:t>Part 3A</w:t>
      </w:r>
      <w:r>
        <w:t xml:space="preserve"> — </w:t>
      </w:r>
      <w:r>
        <w:rPr>
          <w:rStyle w:val="CharPartText"/>
        </w:rPr>
        <w:t>Inquiry activities</w:t>
      </w:r>
      <w:bookmarkEnd w:id="26"/>
      <w:bookmarkEnd w:id="27"/>
      <w:bookmarkEnd w:id="28"/>
    </w:p>
    <w:p>
      <w:pPr>
        <w:pStyle w:val="Footnoteheading"/>
      </w:pPr>
      <w:r>
        <w:tab/>
        <w:t>[Heading inserted: Gazette 10 Mar 2000 p. 1124.]</w:t>
      </w:r>
    </w:p>
    <w:p>
      <w:pPr>
        <w:pStyle w:val="Heading5"/>
      </w:pPr>
      <w:bookmarkStart w:id="29" w:name="_Toc173507600"/>
      <w:r>
        <w:rPr>
          <w:rStyle w:val="CharSectno"/>
        </w:rPr>
        <w:t>13A</w:t>
      </w:r>
      <w:r>
        <w:t>.</w:t>
      </w:r>
      <w:r>
        <w:tab/>
        <w:t>Investigations not within Act s. 28(1)(a)</w:t>
      </w:r>
      <w:bookmarkEnd w:id="29"/>
    </w:p>
    <w:p>
      <w:pPr>
        <w:pStyle w:val="Subsection"/>
      </w:pPr>
      <w:r>
        <w:tab/>
        <w:t>(1)</w:t>
      </w:r>
      <w:r>
        <w:tab/>
        <w:t xml:space="preserve">In this regulation — </w:t>
      </w:r>
    </w:p>
    <w:p>
      <w:pPr>
        <w:pStyle w:val="Defstart"/>
      </w:pPr>
      <w:r>
        <w:tab/>
      </w:r>
      <w:r>
        <w:rPr>
          <w:rStyle w:val="CharDefText"/>
        </w:rPr>
        <w:t>accountant</w:t>
      </w:r>
      <w:r>
        <w:t xml:space="preserve"> means a member of — </w:t>
      </w:r>
    </w:p>
    <w:p>
      <w:pPr>
        <w:pStyle w:val="Defpara"/>
      </w:pPr>
      <w:r>
        <w:tab/>
        <w:t>(a)</w:t>
      </w:r>
      <w:r>
        <w:tab/>
        <w:t>Chartered Accountants Australia and New Zealand ARBN 084 642 571; or</w:t>
      </w:r>
    </w:p>
    <w:p>
      <w:pPr>
        <w:pStyle w:val="Defpara"/>
      </w:pPr>
      <w:r>
        <w:tab/>
        <w:t>(b)</w:t>
      </w:r>
      <w:r>
        <w:tab/>
        <w:t>CPA Australia Ltd ACN 008 392 452; or</w:t>
      </w:r>
    </w:p>
    <w:p>
      <w:pPr>
        <w:pStyle w:val="Defpara"/>
      </w:pPr>
      <w:r>
        <w:tab/>
        <w:t>(c)</w:t>
      </w:r>
      <w:r>
        <w:tab/>
        <w:t>the Institute of Public Accountants Ltd ACN 004 130 643.</w:t>
      </w:r>
    </w:p>
    <w:p>
      <w:pPr>
        <w:pStyle w:val="Subsection"/>
      </w:pPr>
      <w:r>
        <w:tab/>
        <w:t>(2)</w:t>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(aba)</w:t>
      </w:r>
      <w:r>
        <w:tab/>
        <w:t xml:space="preserve">a person authorised under a contract under the </w:t>
      </w:r>
      <w:r>
        <w:rPr>
          <w:i/>
        </w:rPr>
        <w:t>Declared Places (Mentally Impaired Accused) Act 2015</w:t>
      </w:r>
      <w:r>
        <w:t xml:space="preserve"> section 44 to investigate a complaint about the provision of declared place services, as defined in section 3 of that Act, while acting in the ordinary course of investigating that complaint;</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w:t>
      </w:r>
      <w:r>
        <w:lastRenderedPageBreak/>
        <w:t>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pPr>
      <w:r>
        <w:tab/>
        <w:t>(daa)</w:t>
      </w:r>
      <w:r>
        <w:tab/>
        <w:t>an accountant while acting in the ordinary course of the accountant’s profession;</w:t>
      </w:r>
    </w:p>
    <w:p>
      <w:pPr>
        <w:pStyle w:val="Indenta"/>
        <w:keepLines/>
      </w:pPr>
      <w:r>
        <w:tab/>
        <w:t>(e)</w:t>
      </w:r>
      <w:r>
        <w:tab/>
        <w:t>a person employed or engaged to assist a person referred to in paragraph (aa), (aba), (ab), (a), (b), (c), (da), (d) or (daa), while acting in the ordinary course of that person’s inquiry, investigation or profession.</w:t>
      </w:r>
    </w:p>
    <w:p>
      <w:pPr>
        <w:pStyle w:val="Footnotesection"/>
      </w:pPr>
      <w:r>
        <w:tab/>
        <w:t xml:space="preserve">[Regulation 13A inserted: Gazette 10 Mar 2000 p. 1124; amended: Gazette 1 Sep 2005 p. 4075; </w:t>
      </w:r>
      <w:r>
        <w:rPr>
          <w:szCs w:val="24"/>
        </w:rPr>
        <w:t>11 Feb 2011 p. 505; 16 Jun 2015 p. 2079; SL 2024/161 r. 4</w:t>
      </w:r>
      <w:r>
        <w:t>.]</w:t>
      </w:r>
    </w:p>
    <w:p>
      <w:pPr>
        <w:pStyle w:val="Heading2"/>
      </w:pPr>
      <w:bookmarkStart w:id="30" w:name="_Toc173501510"/>
      <w:bookmarkStart w:id="31" w:name="_Toc173502388"/>
      <w:bookmarkStart w:id="32" w:name="_Toc173507601"/>
      <w:r>
        <w:rPr>
          <w:rStyle w:val="CharPartNo"/>
        </w:rPr>
        <w:lastRenderedPageBreak/>
        <w:t>Part 4</w:t>
      </w:r>
      <w:r>
        <w:t> — </w:t>
      </w:r>
      <w:r>
        <w:rPr>
          <w:rStyle w:val="CharPartText"/>
        </w:rPr>
        <w:t>Licensing procedures</w:t>
      </w:r>
      <w:bookmarkEnd w:id="30"/>
      <w:bookmarkEnd w:id="31"/>
      <w:bookmarkEnd w:id="32"/>
      <w:r>
        <w:rPr>
          <w:rStyle w:val="CharPartText"/>
        </w:rPr>
        <w:t xml:space="preserve"> </w:t>
      </w:r>
    </w:p>
    <w:p>
      <w:pPr>
        <w:pStyle w:val="Heading3"/>
      </w:pPr>
      <w:bookmarkStart w:id="33" w:name="_Toc173501511"/>
      <w:bookmarkStart w:id="34" w:name="_Toc173502389"/>
      <w:bookmarkStart w:id="35" w:name="_Toc173507602"/>
      <w:r>
        <w:rPr>
          <w:rStyle w:val="CharDivNo"/>
        </w:rPr>
        <w:t>Division 1</w:t>
      </w:r>
      <w:r>
        <w:t> — </w:t>
      </w:r>
      <w:r>
        <w:rPr>
          <w:rStyle w:val="CharDivText"/>
        </w:rPr>
        <w:t>Licences other than temporary licences</w:t>
      </w:r>
      <w:bookmarkEnd w:id="33"/>
      <w:bookmarkEnd w:id="34"/>
      <w:bookmarkEnd w:id="35"/>
    </w:p>
    <w:p>
      <w:pPr>
        <w:pStyle w:val="Footnoteheading"/>
      </w:pPr>
      <w:r>
        <w:tab/>
        <w:t>[Heading inserted: Gazette 4 Dec 2009 p. 4893.]</w:t>
      </w:r>
    </w:p>
    <w:p>
      <w:pPr>
        <w:pStyle w:val="Heading5"/>
        <w:spacing w:before="180"/>
        <w:rPr>
          <w:snapToGrid w:val="0"/>
        </w:rPr>
      </w:pPr>
      <w:bookmarkStart w:id="36" w:name="_Toc173507603"/>
      <w:r>
        <w:rPr>
          <w:rStyle w:val="CharSectno"/>
        </w:rPr>
        <w:t>14</w:t>
      </w:r>
      <w:r>
        <w:rPr>
          <w:snapToGrid w:val="0"/>
        </w:rPr>
        <w:t>.</w:t>
      </w:r>
      <w:r>
        <w:rPr>
          <w:snapToGrid w:val="0"/>
        </w:rPr>
        <w:tab/>
        <w:t>Application for the issue of a licence (Act s. 46(1))</w:t>
      </w:r>
      <w:bookmarkEnd w:id="36"/>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Perth, </w:t>
      </w:r>
      <w:r>
        <w:t>(</w:t>
      </w:r>
      <w:r>
        <w:rPr>
          <w:rStyle w:val="CharDefText"/>
        </w:rPr>
        <w:t>GPO</w:t>
      </w:r>
      <w:r>
        <w:t xml:space="preserve">), </w:t>
      </w:r>
      <w:r>
        <w:rPr>
          <w:snapToGrid w:val="0"/>
        </w:rPr>
        <w:t xml:space="preserve">with a licensing officer; or </w:t>
      </w:r>
    </w:p>
    <w:p>
      <w:pPr>
        <w:pStyle w:val="Indenta"/>
      </w:pPr>
      <w:r>
        <w:tab/>
        <w:t>(ab)</w:t>
      </w:r>
      <w:r>
        <w:tab/>
        <w:t>if the applicant resides beyond 50 km of the GPO but is undertaking a course of training prescribed in respect of the licence at a location within 50 km of the GPO, with a licensing officer; or</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Gazette 4 Dec 2009 p. 4893; 29 Jul 2016 p. 3244-5.]</w:t>
      </w:r>
    </w:p>
    <w:p>
      <w:pPr>
        <w:pStyle w:val="Heading5"/>
      </w:pPr>
      <w:bookmarkStart w:id="37" w:name="_Toc173507604"/>
      <w:r>
        <w:rPr>
          <w:rStyle w:val="CharSectno"/>
        </w:rPr>
        <w:t>14A</w:t>
      </w:r>
      <w:r>
        <w:t>.</w:t>
      </w:r>
      <w:r>
        <w:tab/>
        <w:t>Training course in firearms discharge, approval of providers of</w:t>
      </w:r>
      <w:bookmarkEnd w:id="37"/>
    </w:p>
    <w:p>
      <w:pPr>
        <w:pStyle w:val="Subsection"/>
      </w:pPr>
      <w:r>
        <w:tab/>
        <w:t>(1)</w:t>
      </w:r>
      <w:r>
        <w:tab/>
        <w:t>The Superintendent may approve of a person as a provider of a training course in firearms discharge if the Superintendent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lastRenderedPageBreak/>
        <w:tab/>
        <w:t>(c)</w:t>
      </w:r>
      <w:r>
        <w:tab/>
        <w:t>may be subject to such conditions and restrictions (including as to its duration) as the Superintendent thinks fit.</w:t>
      </w:r>
    </w:p>
    <w:p>
      <w:pPr>
        <w:pStyle w:val="Subsection"/>
      </w:pPr>
      <w:r>
        <w:tab/>
        <w:t>(2A)</w:t>
      </w:r>
      <w:r>
        <w:tab/>
        <w:t>The Superintendent may, by giving written notice to the approved training provider, cancel an approval given under subregulation (1), but the cancellation is not effective unless the Superintendent —</w:t>
      </w:r>
    </w:p>
    <w:p>
      <w:pPr>
        <w:pStyle w:val="Indenta"/>
      </w:pPr>
      <w:r>
        <w:tab/>
        <w:t>(a)</w:t>
      </w:r>
      <w:r>
        <w:tab/>
        <w:t>has given to the training provider written notice of the intention to cancel the approval stating the grounds on which the cancellation is intended and allowing the training provider 21 days within which to respond to the notice; and</w:t>
      </w:r>
    </w:p>
    <w:p>
      <w:pPr>
        <w:pStyle w:val="Indenta"/>
      </w:pPr>
      <w:r>
        <w:tab/>
        <w:t>(b)</w:t>
      </w:r>
      <w:r>
        <w:tab/>
        <w:t>has had due regard to any response to the notice made within that time.</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Gazette 3 Oct 2006 p. 4344</w:t>
      </w:r>
      <w:r>
        <w:noBreakHyphen/>
        <w:t>5; amended by 29 Jul 2016 p. 3245 and 3257.]</w:t>
      </w:r>
    </w:p>
    <w:p>
      <w:pPr>
        <w:pStyle w:val="Heading5"/>
      </w:pPr>
      <w:bookmarkStart w:id="38" w:name="_Toc173507605"/>
      <w:r>
        <w:rPr>
          <w:rStyle w:val="CharSectno"/>
        </w:rPr>
        <w:lastRenderedPageBreak/>
        <w:t>15</w:t>
      </w:r>
      <w:r>
        <w:t>.</w:t>
      </w:r>
      <w:r>
        <w:tab/>
        <w:t>Medical examination prescribed for security officers authorised to possess firearm (Act s. 47(1)(d) and 52(1)(h))</w:t>
      </w:r>
      <w:bookmarkEnd w:id="38"/>
    </w:p>
    <w:p>
      <w:pPr>
        <w:pStyle w:val="Subsection"/>
        <w:keepNext/>
      </w:pPr>
      <w:r>
        <w:tab/>
        <w:t>(1)</w:t>
      </w:r>
      <w:r>
        <w:tab/>
        <w:t xml:space="preserve">Subregulation (2) sets out the medical examination prescribed for the purposes of — </w:t>
      </w:r>
    </w:p>
    <w:p>
      <w:pPr>
        <w:pStyle w:val="Indenta"/>
        <w:keepNext/>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Gazette 4 Dec 2009 p. 4894.]</w:t>
      </w:r>
    </w:p>
    <w:p>
      <w:pPr>
        <w:pStyle w:val="Heading5"/>
        <w:keepLines w:val="0"/>
        <w:rPr>
          <w:snapToGrid w:val="0"/>
        </w:rPr>
      </w:pPr>
      <w:bookmarkStart w:id="39" w:name="_Toc173507606"/>
      <w:r>
        <w:rPr>
          <w:rStyle w:val="CharSectno"/>
        </w:rPr>
        <w:t>16</w:t>
      </w:r>
      <w:r>
        <w:rPr>
          <w:snapToGrid w:val="0"/>
        </w:rPr>
        <w:t>.</w:t>
      </w:r>
      <w:r>
        <w:rPr>
          <w:snapToGrid w:val="0"/>
        </w:rPr>
        <w:tab/>
        <w:t>Training courses prescribed (Act s. 47(1)(f)(i), 52(1)(g)(i) and 53(2))</w:t>
      </w:r>
      <w:bookmarkEnd w:id="39"/>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lastRenderedPageBreak/>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Indenta"/>
      </w:pPr>
      <w:r>
        <w:tab/>
        <w:t>(g)</w:t>
      </w:r>
      <w:r>
        <w:tab/>
        <w:t>a Class 2 security consultant’s licence, an approved training course in technical security;</w:t>
      </w:r>
    </w:p>
    <w:p>
      <w:pPr>
        <w:pStyle w:val="Indenta"/>
      </w:pPr>
      <w:r>
        <w:tab/>
        <w:t>(h)</w:t>
      </w:r>
      <w:r>
        <w:tab/>
        <w:t>a Class 2 security installer’s licence, an approved training course in technical security.</w:t>
      </w:r>
    </w:p>
    <w:p>
      <w:pPr>
        <w:pStyle w:val="Subsection"/>
      </w:pPr>
      <w:r>
        <w:tab/>
        <w:t>(1A)</w:t>
      </w:r>
      <w:r>
        <w:tab/>
        <w:t>The training courses prescribed under subregulation (1)(a) and (b) do not apply in respect of a security officer’s licence to the extent that the applicant, if issued with the licence, will be undertaking monitoring duties only (e.g. duties involving the monitoring of surveillance or signalling equipment in a security control room).</w:t>
      </w:r>
    </w:p>
    <w:p>
      <w:pPr>
        <w:pStyle w:val="Subsection"/>
        <w:rPr>
          <w:snapToGrid w:val="0"/>
        </w:rPr>
      </w:pPr>
      <w:r>
        <w:rPr>
          <w:snapToGrid w:val="0"/>
        </w:rPr>
        <w:tab/>
        <w:t>(2)</w:t>
      </w:r>
      <w:r>
        <w:rPr>
          <w:snapToGrid w:val="0"/>
        </w:rPr>
        <w:tab/>
        <w:t xml:space="preserve">The </w:t>
      </w:r>
      <w:r>
        <w:t>Superintendent</w:t>
      </w:r>
      <w:r>
        <w:rPr>
          <w:snapToGrid w:val="0"/>
        </w:rPr>
        <w:t xml:space="preserve">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 xml:space="preserve">The </w:t>
      </w:r>
      <w:r>
        <w:t>Superintendent</w:t>
      </w:r>
      <w:r>
        <w:rPr>
          <w:snapToGrid w:val="0"/>
        </w:rPr>
        <w:t xml:space="preserve"> may, on application by the provider of a training course, approve of the applicant as a course provider if the </w:t>
      </w:r>
      <w:r>
        <w:t>Superintendent</w:t>
      </w:r>
      <w:r>
        <w:rPr>
          <w:snapToGrid w:val="0"/>
        </w:rPr>
        <w:t xml:space="preserve">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lastRenderedPageBreak/>
        <w:tab/>
        <w:t>(b)</w:t>
      </w:r>
      <w:r>
        <w:rPr>
          <w:snapToGrid w:val="0"/>
        </w:rPr>
        <w:tab/>
        <w:t xml:space="preserve">may be subject to such conditions and restrictions (including as to its duration) as the </w:t>
      </w:r>
      <w:r>
        <w:t>Superintendent</w:t>
      </w:r>
      <w:r>
        <w:rPr>
          <w:snapToGrid w:val="0"/>
        </w:rPr>
        <w:t xml:space="preserve"> thinks fit. </w:t>
      </w:r>
    </w:p>
    <w:p>
      <w:pPr>
        <w:pStyle w:val="Subsection"/>
        <w:rPr>
          <w:snapToGrid w:val="0"/>
        </w:rPr>
      </w:pPr>
      <w:r>
        <w:rPr>
          <w:snapToGrid w:val="0"/>
        </w:rPr>
        <w:tab/>
        <w:t>(5)</w:t>
      </w:r>
      <w:r>
        <w:rPr>
          <w:snapToGrid w:val="0"/>
        </w:rPr>
        <w:tab/>
        <w:t xml:space="preserve">The </w:t>
      </w:r>
      <w:r>
        <w:t>Superintendent</w:t>
      </w:r>
      <w:r>
        <w:rPr>
          <w:snapToGrid w:val="0"/>
        </w:rPr>
        <w:t xml:space="preserve"> may, by giving written notice to the course provider, cancel an approval given under subregulation (2) or (3), but the cancellation is not effective unless the </w:t>
      </w:r>
      <w:r>
        <w:t>Superintendent</w:t>
      </w:r>
      <w:r>
        <w:rPr>
          <w:snapToGrid w:val="0"/>
        </w:rPr>
        <w:t>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Gazette 1 Sep 2005 p. 4076</w:t>
      </w:r>
      <w:r>
        <w:noBreakHyphen/>
        <w:t>7; 4 Dec 2009 p. 4894</w:t>
      </w:r>
      <w:r>
        <w:noBreakHyphen/>
        <w:t>5; 29 Jul 2016 p. 3245-6 and 3257.]</w:t>
      </w:r>
    </w:p>
    <w:p>
      <w:pPr>
        <w:pStyle w:val="Heading5"/>
      </w:pPr>
      <w:bookmarkStart w:id="40" w:name="_Toc173507607"/>
      <w:r>
        <w:rPr>
          <w:rStyle w:val="CharSectno"/>
        </w:rPr>
        <w:t>16A</w:t>
      </w:r>
      <w:r>
        <w:t>.</w:t>
      </w:r>
      <w:r>
        <w:tab/>
        <w:t>Records required when baton training undertaken</w:t>
      </w:r>
      <w:bookmarkEnd w:id="40"/>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Gazette 3 Oct 2006 p. 4345.]</w:t>
      </w:r>
    </w:p>
    <w:p>
      <w:pPr>
        <w:pStyle w:val="Heading5"/>
        <w:rPr>
          <w:snapToGrid w:val="0"/>
        </w:rPr>
      </w:pPr>
      <w:bookmarkStart w:id="41" w:name="_Toc173507608"/>
      <w:r>
        <w:rPr>
          <w:rStyle w:val="CharSectno"/>
        </w:rPr>
        <w:lastRenderedPageBreak/>
        <w:t>17</w:t>
      </w:r>
      <w:r>
        <w:rPr>
          <w:snapToGrid w:val="0"/>
        </w:rPr>
        <w:t>.</w:t>
      </w:r>
      <w:r>
        <w:rPr>
          <w:snapToGrid w:val="0"/>
        </w:rPr>
        <w:tab/>
        <w:t>Examinations prescribed (Act s. 47(1)(f)(ii) and 52(1)(g)(ii))</w:t>
      </w:r>
      <w:bookmarkEnd w:id="41"/>
      <w:r>
        <w:rPr>
          <w:snapToGrid w:val="0"/>
        </w:rPr>
        <w:t xml:space="preserve"> </w:t>
      </w:r>
    </w:p>
    <w:p>
      <w:pPr>
        <w:pStyle w:val="Subsection"/>
      </w:pPr>
      <w:r>
        <w:tab/>
        <w:t>(1)</w:t>
      </w:r>
      <w:r>
        <w:tab/>
        <w:t>For the purposes of sections 47(1)(f)(ii) and 52(1)(g)(ii), a written examination on AS 2804 — Installation of Security Screen Doors is prescribed in respect of a Class 3 security consultant’s licence and a Class 3 security installer’s licence.</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pPr>
      <w:r>
        <w:tab/>
        <w:t>(2A)</w:t>
      </w:r>
      <w:r>
        <w:tab/>
        <w:t xml:space="preserve">For the purposes of sections 47(1)(f)(ii) and 52(1)(g)(ii) — </w:t>
      </w:r>
    </w:p>
    <w:p>
      <w:pPr>
        <w:pStyle w:val="Indenta"/>
      </w:pPr>
      <w:r>
        <w:tab/>
        <w:t>(a)</w:t>
      </w:r>
      <w:r>
        <w:tab/>
        <w:t>a written examination on watching, guarding and protecting property is prescribed for a security officer’s licence; and</w:t>
      </w:r>
    </w:p>
    <w:p>
      <w:pPr>
        <w:pStyle w:val="Indenta"/>
      </w:pPr>
      <w:r>
        <w:tab/>
        <w:t>(b)</w:t>
      </w:r>
      <w:r>
        <w:tab/>
        <w:t>a written examination on crowd control activities is prescribed for a crowd controller’s licence.</w:t>
      </w:r>
    </w:p>
    <w:p>
      <w:pPr>
        <w:pStyle w:val="Subsection"/>
      </w:pPr>
      <w:r>
        <w:tab/>
        <w:t>(3)</w:t>
      </w:r>
      <w:r>
        <w:tab/>
        <w:t xml:space="preserve">In this regulation — </w:t>
      </w:r>
    </w:p>
    <w:p>
      <w:pPr>
        <w:pStyle w:val="Defstart"/>
      </w:pPr>
      <w:r>
        <w:tab/>
      </w:r>
      <w:r>
        <w:rPr>
          <w:rStyle w:val="CharDefText"/>
        </w:rPr>
        <w:t>written examination</w:t>
      </w:r>
      <w:r>
        <w:t xml:space="preserve"> means a written examination — </w:t>
      </w:r>
    </w:p>
    <w:p>
      <w:pPr>
        <w:pStyle w:val="Defpara"/>
      </w:pPr>
      <w:r>
        <w:tab/>
        <w:t>(a)</w:t>
      </w:r>
      <w:r>
        <w:tab/>
        <w:t>set by the Superintendent or by a course provider approved under regulation 16(3) to test the applicant’s knowledge of the relevant subject matter; and</w:t>
      </w:r>
    </w:p>
    <w:p>
      <w:pPr>
        <w:pStyle w:val="Defpara"/>
      </w:pPr>
      <w:r>
        <w:tab/>
        <w:t>(b)</w:t>
      </w:r>
      <w:r>
        <w:tab/>
        <w:t>administered by the person to whom the application for the issue of the relevant licence is made under regulation 14 or, in the case of a written examination set by a course provider approved under regulation 16(3), by that course provider.</w:t>
      </w:r>
    </w:p>
    <w:p>
      <w:pPr>
        <w:pStyle w:val="Footnotesection"/>
        <w:ind w:left="890" w:hanging="890"/>
      </w:pPr>
      <w:r>
        <w:tab/>
        <w:t>[Regulation 17 amended: Gazette 4 Dec 2009 p. 4895</w:t>
      </w:r>
      <w:r>
        <w:noBreakHyphen/>
        <w:t>6; 29 Jul 2016 p. 3246-7.]</w:t>
      </w:r>
    </w:p>
    <w:p>
      <w:pPr>
        <w:pStyle w:val="Heading5"/>
        <w:spacing w:before="240"/>
      </w:pPr>
      <w:bookmarkStart w:id="42" w:name="_Toc173507609"/>
      <w:r>
        <w:rPr>
          <w:rStyle w:val="CharSectno"/>
        </w:rPr>
        <w:lastRenderedPageBreak/>
        <w:t>18</w:t>
      </w:r>
      <w:r>
        <w:t>.</w:t>
      </w:r>
      <w:r>
        <w:tab/>
        <w:t>Evidence of age and identity prescribed (Act s. 47(1)(a))</w:t>
      </w:r>
      <w:bookmarkEnd w:id="42"/>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3A.</w:t>
            </w:r>
          </w:p>
        </w:tc>
        <w:tc>
          <w:tcPr>
            <w:tcW w:w="4678" w:type="dxa"/>
            <w:tcBorders>
              <w:top w:val="nil"/>
              <w:left w:val="nil"/>
              <w:bottom w:val="nil"/>
              <w:right w:val="nil"/>
            </w:tcBorders>
          </w:tcPr>
          <w:p>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trPr>
          <w:cantSplit/>
          <w:trHeight w:hRule="exact" w:val="20"/>
        </w:trPr>
        <w:tc>
          <w:tcPr>
            <w:tcW w:w="850" w:type="dxa"/>
            <w:tcBorders>
              <w:top w:val="nil"/>
              <w:left w:val="nil"/>
              <w:bottom w:val="single" w:sz="4" w:space="0" w:color="auto"/>
              <w:right w:val="nil"/>
            </w:tcBorders>
          </w:tcPr>
          <w:p>
            <w:pPr>
              <w:pStyle w:val="TableNAm"/>
            </w:pPr>
          </w:p>
        </w:tc>
        <w:tc>
          <w:tcPr>
            <w:tcW w:w="4678" w:type="dxa"/>
            <w:tcBorders>
              <w:top w:val="nil"/>
              <w:left w:val="nil"/>
              <w:bottom w:val="single" w:sz="4" w:space="0" w:color="auto"/>
              <w:right w:val="nil"/>
            </w:tcBorders>
          </w:tcPr>
          <w:p>
            <w:pPr>
              <w:pStyle w:val="TableNAm"/>
            </w:pPr>
          </w:p>
        </w:tc>
      </w:tr>
      <w:tr>
        <w:trPr>
          <w:cantSplit/>
        </w:trPr>
        <w:tc>
          <w:tcPr>
            <w:tcW w:w="850" w:type="dxa"/>
            <w:tcBorders>
              <w:top w:val="single" w:sz="4" w:space="0" w:color="auto"/>
              <w:left w:val="nil"/>
              <w:bottom w:val="nil"/>
              <w:right w:val="nil"/>
            </w:tcBorders>
          </w:tcPr>
          <w:p>
            <w:pPr>
              <w:pStyle w:val="TableNAm"/>
            </w:pPr>
            <w:r>
              <w:t>3.</w:t>
            </w:r>
          </w:p>
        </w:tc>
        <w:tc>
          <w:tcPr>
            <w:tcW w:w="4678" w:type="dxa"/>
            <w:tcBorders>
              <w:top w:val="single" w:sz="4" w:space="0" w:color="auto"/>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lastRenderedPageBreak/>
              <w:t>4.</w:t>
            </w:r>
          </w:p>
        </w:tc>
        <w:tc>
          <w:tcPr>
            <w:tcW w:w="4678" w:type="dxa"/>
            <w:tcBorders>
              <w:top w:val="nil"/>
              <w:left w:val="nil"/>
              <w:bottom w:val="nil"/>
              <w:right w:val="nil"/>
            </w:tcBorders>
          </w:tcPr>
          <w:p>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single" w:sz="4" w:space="0" w:color="auto"/>
              <w:right w:val="nil"/>
            </w:tcBorders>
          </w:tcPr>
          <w:p>
            <w:pPr>
              <w:pStyle w:val="TableNAm"/>
            </w:pPr>
            <w:r>
              <w:t>6.</w:t>
            </w:r>
          </w:p>
        </w:tc>
        <w:tc>
          <w:tcPr>
            <w:tcW w:w="4678" w:type="dxa"/>
            <w:tcBorders>
              <w:top w:val="nil"/>
              <w:left w:val="nil"/>
              <w:bottom w:val="single" w:sz="4" w:space="0" w:color="auto"/>
              <w:right w:val="nil"/>
            </w:tcBorders>
          </w:tcPr>
          <w:p>
            <w:pPr>
              <w:pStyle w:val="TableNAm"/>
            </w:pPr>
            <w:r>
              <w:t>A diplomatic document bearing the name, date of birth and a photograph of the applicant that has been issued by a government agency to provide evidence of the person’s legal entitlement to enter Australia.</w:t>
            </w:r>
          </w:p>
        </w:tc>
      </w:tr>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A current identity card or licence bearing the name and date of birth of the applicant that has been issued by a government agency outside Australia.</w:t>
            </w:r>
          </w:p>
        </w:tc>
      </w:tr>
      <w:tr>
        <w:trPr>
          <w:cantSplit/>
        </w:trPr>
        <w:tc>
          <w:tcPr>
            <w:tcW w:w="850" w:type="dxa"/>
            <w:tcBorders>
              <w:top w:val="single" w:sz="4" w:space="0" w:color="auto"/>
              <w:left w:val="nil"/>
              <w:bottom w:val="nil"/>
              <w:right w:val="nil"/>
            </w:tcBorders>
          </w:tcPr>
          <w:p>
            <w:pPr>
              <w:pStyle w:val="TableNAm"/>
            </w:pPr>
            <w:r>
              <w:t>9.</w:t>
            </w:r>
          </w:p>
        </w:tc>
        <w:tc>
          <w:tcPr>
            <w:tcW w:w="4678" w:type="dxa"/>
            <w:tcBorders>
              <w:top w:val="single" w:sz="4" w:space="0" w:color="auto"/>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lastRenderedPageBreak/>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Gazette 4 Dec 2009 p. 4896</w:t>
      </w:r>
      <w:r>
        <w:noBreakHyphen/>
        <w:t>8; amended: Gazette 5 Aug 2014 p. 2834.]</w:t>
      </w:r>
    </w:p>
    <w:p>
      <w:pPr>
        <w:pStyle w:val="Heading5"/>
        <w:spacing w:before="170"/>
      </w:pPr>
      <w:bookmarkStart w:id="43" w:name="_Toc173507610"/>
      <w:r>
        <w:rPr>
          <w:rStyle w:val="CharSectno"/>
        </w:rPr>
        <w:t>19</w:t>
      </w:r>
      <w:r>
        <w:t>.</w:t>
      </w:r>
      <w:r>
        <w:tab/>
        <w:t>Manner of lodging application for renewal prescribed (Act s. 49(1))</w:t>
      </w:r>
      <w:bookmarkEnd w:id="43"/>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Gazette 1 Sep 2005 p. 4077.]</w:t>
      </w:r>
    </w:p>
    <w:p>
      <w:pPr>
        <w:pStyle w:val="Heading5"/>
        <w:spacing w:before="170"/>
        <w:rPr>
          <w:snapToGrid w:val="0"/>
        </w:rPr>
      </w:pPr>
      <w:bookmarkStart w:id="44" w:name="_Toc173507611"/>
      <w:r>
        <w:rPr>
          <w:rStyle w:val="CharSectno"/>
        </w:rPr>
        <w:t>20</w:t>
      </w:r>
      <w:r>
        <w:rPr>
          <w:snapToGrid w:val="0"/>
        </w:rPr>
        <w:t>.</w:t>
      </w:r>
      <w:r>
        <w:rPr>
          <w:snapToGrid w:val="0"/>
        </w:rPr>
        <w:tab/>
        <w:t>Material to support application for renewal of licence (Act s. 50(1))</w:t>
      </w:r>
      <w:bookmarkEnd w:id="44"/>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45" w:name="_Toc173507612"/>
      <w:r>
        <w:rPr>
          <w:rStyle w:val="CharSectno"/>
        </w:rPr>
        <w:t>21</w:t>
      </w:r>
      <w:r>
        <w:t>.</w:t>
      </w:r>
      <w:r>
        <w:tab/>
        <w:t>Conditions and restrictions prescribed (Act s. 63)</w:t>
      </w:r>
      <w:bookmarkEnd w:id="45"/>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lastRenderedPageBreak/>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Gazette 3 Oct 2006 p. 4346; amended: Gazette 4 Dec 2009 p. 4898.]</w:t>
      </w:r>
    </w:p>
    <w:p>
      <w:pPr>
        <w:pStyle w:val="Heading3"/>
      </w:pPr>
      <w:bookmarkStart w:id="46" w:name="_Toc173501522"/>
      <w:bookmarkStart w:id="47" w:name="_Toc173502400"/>
      <w:bookmarkStart w:id="48" w:name="_Toc173507613"/>
      <w:r>
        <w:rPr>
          <w:rStyle w:val="CharDivNo"/>
        </w:rPr>
        <w:t>Division 2</w:t>
      </w:r>
      <w:r>
        <w:t> — </w:t>
      </w:r>
      <w:r>
        <w:rPr>
          <w:rStyle w:val="CharDivText"/>
        </w:rPr>
        <w:t>Temporary licences</w:t>
      </w:r>
      <w:bookmarkEnd w:id="46"/>
      <w:bookmarkEnd w:id="47"/>
      <w:bookmarkEnd w:id="48"/>
    </w:p>
    <w:p>
      <w:pPr>
        <w:pStyle w:val="Footnoteheading"/>
      </w:pPr>
      <w:r>
        <w:tab/>
        <w:t>[Heading inserted: Gazette 4 Dec 2009 p. 4898.]</w:t>
      </w:r>
    </w:p>
    <w:p>
      <w:pPr>
        <w:pStyle w:val="Heading5"/>
        <w:spacing w:before="240"/>
      </w:pPr>
      <w:bookmarkStart w:id="49" w:name="_Toc173507614"/>
      <w:r>
        <w:rPr>
          <w:rStyle w:val="CharSectno"/>
        </w:rPr>
        <w:t>22</w:t>
      </w:r>
      <w:r>
        <w:t>.</w:t>
      </w:r>
      <w:r>
        <w:tab/>
        <w:t>Manner of lodging application for temporary licence prescribed (Act s. 46(1))</w:t>
      </w:r>
      <w:bookmarkEnd w:id="49"/>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 Gazette 4 Dec 2009 p. 4898.]</w:t>
      </w:r>
    </w:p>
    <w:p>
      <w:pPr>
        <w:pStyle w:val="Heading5"/>
        <w:spacing w:before="240"/>
      </w:pPr>
      <w:bookmarkStart w:id="50" w:name="_Toc173507615"/>
      <w:r>
        <w:rPr>
          <w:rStyle w:val="CharSectno"/>
        </w:rPr>
        <w:t>23</w:t>
      </w:r>
      <w:r>
        <w:t>.</w:t>
      </w:r>
      <w:r>
        <w:tab/>
        <w:t>Evidence prescribed (Act s. 47(2a))</w:t>
      </w:r>
      <w:bookmarkEnd w:id="50"/>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lastRenderedPageBreak/>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Gazette 4 Dec 2009 p. 4899.]</w:t>
      </w:r>
    </w:p>
    <w:p>
      <w:pPr>
        <w:pStyle w:val="Heading2"/>
      </w:pPr>
      <w:bookmarkStart w:id="51" w:name="_Toc173501525"/>
      <w:bookmarkStart w:id="52" w:name="_Toc173502403"/>
      <w:bookmarkStart w:id="53" w:name="_Toc173507616"/>
      <w:r>
        <w:rPr>
          <w:rStyle w:val="CharPartNo"/>
        </w:rPr>
        <w:lastRenderedPageBreak/>
        <w:t>Part 5A</w:t>
      </w:r>
      <w:r>
        <w:rPr>
          <w:rStyle w:val="CharDivNo"/>
        </w:rPr>
        <w:t> </w:t>
      </w:r>
      <w:r>
        <w:t>—</w:t>
      </w:r>
      <w:r>
        <w:rPr>
          <w:rStyle w:val="CharDivText"/>
        </w:rPr>
        <w:t> </w:t>
      </w:r>
      <w:r>
        <w:rPr>
          <w:rStyle w:val="CharPartText"/>
        </w:rPr>
        <w:t>Disqualifying offences and disqualifying periods</w:t>
      </w:r>
      <w:bookmarkEnd w:id="51"/>
      <w:bookmarkEnd w:id="52"/>
      <w:bookmarkEnd w:id="53"/>
    </w:p>
    <w:p>
      <w:pPr>
        <w:pStyle w:val="Footnoteheading"/>
      </w:pPr>
      <w:r>
        <w:tab/>
        <w:t>[Heading inserted: Gazette 4 Dec 2009 p. 4900.]</w:t>
      </w:r>
    </w:p>
    <w:p>
      <w:pPr>
        <w:pStyle w:val="Heading5"/>
      </w:pPr>
      <w:bookmarkStart w:id="54" w:name="_Toc173507617"/>
      <w:r>
        <w:rPr>
          <w:rStyle w:val="CharSectno"/>
        </w:rPr>
        <w:t>24</w:t>
      </w:r>
      <w:r>
        <w:t>.</w:t>
      </w:r>
      <w:r>
        <w:tab/>
        <w:t>Disqualifying offences prescribed (Act s. 3)</w:t>
      </w:r>
      <w:bookmarkEnd w:id="54"/>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an offence under the laws of the Commonwealth, another State or a Territory or of another country which, regardless of where it was committed, would have constituted an offence described in Schedule 2.</w:t>
      </w:r>
    </w:p>
    <w:p>
      <w:pPr>
        <w:pStyle w:val="Footnotesection"/>
        <w:keepLines w:val="0"/>
      </w:pPr>
      <w:r>
        <w:tab/>
        <w:t>[Regulation 24 inserted: Gazette 4 Dec 2009 p. 4900; amended: Gazette 29 Jul 2016 p. 3247.]</w:t>
      </w:r>
    </w:p>
    <w:p>
      <w:pPr>
        <w:pStyle w:val="Heading5"/>
      </w:pPr>
      <w:bookmarkStart w:id="55" w:name="_Toc173507618"/>
      <w:r>
        <w:rPr>
          <w:rStyle w:val="CharSectno"/>
        </w:rPr>
        <w:t>25</w:t>
      </w:r>
      <w:r>
        <w:t>.</w:t>
      </w:r>
      <w:r>
        <w:tab/>
        <w:t>Disqualifying periods prescribed (Act s. 4A)</w:t>
      </w:r>
      <w:bookmarkEnd w:id="55"/>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lastRenderedPageBreak/>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Gazette 4 Dec 2009 p. 4900</w:t>
      </w:r>
      <w:r>
        <w:noBreakHyphen/>
        <w:t>1; amended: Gazette 22 Jun 2010 p. 2784.]</w:t>
      </w:r>
    </w:p>
    <w:p>
      <w:pPr>
        <w:pStyle w:val="Heading2"/>
      </w:pPr>
      <w:bookmarkStart w:id="56" w:name="_Toc173501528"/>
      <w:bookmarkStart w:id="57" w:name="_Toc173502406"/>
      <w:bookmarkStart w:id="58" w:name="_Toc173507619"/>
      <w:r>
        <w:rPr>
          <w:rStyle w:val="CharPartNo"/>
        </w:rPr>
        <w:lastRenderedPageBreak/>
        <w:t>Part 5</w:t>
      </w:r>
      <w:r>
        <w:rPr>
          <w:rStyle w:val="CharDivNo"/>
        </w:rPr>
        <w:t> </w:t>
      </w:r>
      <w:r>
        <w:t>—</w:t>
      </w:r>
      <w:r>
        <w:rPr>
          <w:rStyle w:val="CharDivText"/>
        </w:rPr>
        <w:t> </w:t>
      </w:r>
      <w:r>
        <w:rPr>
          <w:rStyle w:val="CharPartText"/>
        </w:rPr>
        <w:t>Classes of licence</w:t>
      </w:r>
      <w:bookmarkEnd w:id="56"/>
      <w:bookmarkEnd w:id="57"/>
      <w:bookmarkEnd w:id="58"/>
    </w:p>
    <w:p>
      <w:pPr>
        <w:pStyle w:val="Footnoteheading"/>
      </w:pPr>
      <w:r>
        <w:tab/>
        <w:t>[Heading inserted: Gazette 4 Dec 2009 p. 4901.]</w:t>
      </w:r>
    </w:p>
    <w:p>
      <w:pPr>
        <w:pStyle w:val="Heading5"/>
      </w:pPr>
      <w:bookmarkStart w:id="59" w:name="_Toc173507620"/>
      <w:r>
        <w:rPr>
          <w:rStyle w:val="CharSectno"/>
        </w:rPr>
        <w:t>26</w:t>
      </w:r>
      <w:r>
        <w:t>.</w:t>
      </w:r>
      <w:r>
        <w:tab/>
        <w:t>Security consultant’s licence, classes of</w:t>
      </w:r>
      <w:bookmarkEnd w:id="59"/>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Gazette 4 Dec 2009 p. 4901</w:t>
      </w:r>
      <w:r>
        <w:noBreakHyphen/>
        <w:t>2.]</w:t>
      </w:r>
    </w:p>
    <w:p>
      <w:pPr>
        <w:pStyle w:val="Heading5"/>
      </w:pPr>
      <w:bookmarkStart w:id="60" w:name="_Toc173507621"/>
      <w:r>
        <w:rPr>
          <w:rStyle w:val="CharSectno"/>
        </w:rPr>
        <w:lastRenderedPageBreak/>
        <w:t>27</w:t>
      </w:r>
      <w:r>
        <w:t>.</w:t>
      </w:r>
      <w:r>
        <w:tab/>
        <w:t>Security installer’s licence, classes of</w:t>
      </w:r>
      <w:bookmarkEnd w:id="60"/>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Gazette 4 Dec 2009 p. 4902</w:t>
      </w:r>
      <w:r>
        <w:noBreakHyphen/>
        <w:t>3.]</w:t>
      </w:r>
    </w:p>
    <w:p>
      <w:pPr>
        <w:pStyle w:val="Ednotesection"/>
      </w:pPr>
      <w:r>
        <w:t>[</w:t>
      </w:r>
      <w:r>
        <w:rPr>
          <w:b/>
          <w:bCs/>
        </w:rPr>
        <w:t>28</w:t>
      </w:r>
      <w:r>
        <w:rPr>
          <w:b/>
          <w:bCs/>
        </w:rPr>
        <w:noBreakHyphen/>
        <w:t>34.</w:t>
      </w:r>
      <w:r>
        <w:rPr>
          <w:b/>
          <w:bCs/>
        </w:rPr>
        <w:tab/>
      </w:r>
      <w:r>
        <w:t>Deleted: Gazette 30 Dec 2004 p. 6977.]</w:t>
      </w:r>
    </w:p>
    <w:p>
      <w:pPr>
        <w:pStyle w:val="Heading2"/>
      </w:pPr>
      <w:bookmarkStart w:id="61" w:name="_Toc173501531"/>
      <w:bookmarkStart w:id="62" w:name="_Toc173502409"/>
      <w:bookmarkStart w:id="63" w:name="_Toc173507622"/>
      <w:r>
        <w:rPr>
          <w:rStyle w:val="CharPartNo"/>
        </w:rPr>
        <w:lastRenderedPageBreak/>
        <w:t>Part 6</w:t>
      </w:r>
      <w:r>
        <w:rPr>
          <w:rStyle w:val="CharDivNo"/>
        </w:rPr>
        <w:t> </w:t>
      </w:r>
      <w:r>
        <w:t>—</w:t>
      </w:r>
      <w:r>
        <w:rPr>
          <w:rStyle w:val="CharDivText"/>
        </w:rPr>
        <w:t> </w:t>
      </w:r>
      <w:r>
        <w:rPr>
          <w:rStyle w:val="CharPartText"/>
        </w:rPr>
        <w:t>Records</w:t>
      </w:r>
      <w:bookmarkEnd w:id="61"/>
      <w:bookmarkEnd w:id="62"/>
      <w:bookmarkEnd w:id="63"/>
    </w:p>
    <w:p>
      <w:pPr>
        <w:pStyle w:val="Heading5"/>
        <w:rPr>
          <w:snapToGrid w:val="0"/>
        </w:rPr>
      </w:pPr>
      <w:bookmarkStart w:id="64" w:name="_Toc173507623"/>
      <w:r>
        <w:rPr>
          <w:rStyle w:val="CharSectno"/>
        </w:rPr>
        <w:t>35</w:t>
      </w:r>
      <w:r>
        <w:rPr>
          <w:snapToGrid w:val="0"/>
        </w:rPr>
        <w:t>.</w:t>
      </w:r>
      <w:r>
        <w:rPr>
          <w:snapToGrid w:val="0"/>
        </w:rPr>
        <w:tab/>
        <w:t>Records to be kept by security agent prescribed (Act s. 78(1)(a))</w:t>
      </w:r>
      <w:bookmarkEnd w:id="64"/>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 Gazette 4 Dec 2009 p. 4903.]</w:t>
      </w:r>
    </w:p>
    <w:p>
      <w:pPr>
        <w:pStyle w:val="Heading5"/>
        <w:rPr>
          <w:snapToGrid w:val="0"/>
        </w:rPr>
      </w:pPr>
      <w:bookmarkStart w:id="65" w:name="_Toc173507624"/>
      <w:r>
        <w:rPr>
          <w:rStyle w:val="CharSectno"/>
        </w:rPr>
        <w:t>36</w:t>
      </w:r>
      <w:r>
        <w:rPr>
          <w:snapToGrid w:val="0"/>
        </w:rPr>
        <w:t>.</w:t>
      </w:r>
      <w:r>
        <w:rPr>
          <w:snapToGrid w:val="0"/>
        </w:rPr>
        <w:tab/>
        <w:t>Firearms register, content of</w:t>
      </w:r>
      <w:bookmarkEnd w:id="65"/>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lastRenderedPageBreak/>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Gazette 1 Sep 2005 p. 4077</w:t>
      </w:r>
      <w:r>
        <w:noBreakHyphen/>
        <w:t>8.]</w:t>
      </w:r>
    </w:p>
    <w:p>
      <w:pPr>
        <w:pStyle w:val="Heading5"/>
        <w:rPr>
          <w:snapToGrid w:val="0"/>
        </w:rPr>
      </w:pPr>
      <w:bookmarkStart w:id="66" w:name="_Toc173507625"/>
      <w:r>
        <w:rPr>
          <w:rStyle w:val="CharSectno"/>
        </w:rPr>
        <w:t>37</w:t>
      </w:r>
      <w:r>
        <w:rPr>
          <w:snapToGrid w:val="0"/>
        </w:rPr>
        <w:t>.</w:t>
      </w:r>
      <w:r>
        <w:rPr>
          <w:snapToGrid w:val="0"/>
        </w:rPr>
        <w:tab/>
        <w:t>Alarm surveillance register, content of</w:t>
      </w:r>
      <w:bookmarkEnd w:id="66"/>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lastRenderedPageBreak/>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keepNext/>
        <w:rPr>
          <w:snapToGrid w:val="0"/>
        </w:rPr>
      </w:pPr>
      <w:r>
        <w:rPr>
          <w:snapToGrid w:val="0"/>
        </w:rPr>
        <w:lastRenderedPageBreak/>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Gazette 1 Sep 2005 p. 4078</w:t>
      </w:r>
      <w:r>
        <w:noBreakHyphen/>
        <w:t>80.]</w:t>
      </w:r>
    </w:p>
    <w:p>
      <w:pPr>
        <w:pStyle w:val="Heading5"/>
      </w:pPr>
      <w:bookmarkStart w:id="67" w:name="_Toc173507626"/>
      <w:r>
        <w:rPr>
          <w:rStyle w:val="CharSectno"/>
        </w:rPr>
        <w:t>38A</w:t>
      </w:r>
      <w:r>
        <w:t>.</w:t>
      </w:r>
      <w:r>
        <w:tab/>
        <w:t xml:space="preserve">Guard dog register, </w:t>
      </w:r>
      <w:r>
        <w:rPr>
          <w:snapToGrid w:val="0"/>
        </w:rPr>
        <w:t>content of</w:t>
      </w:r>
      <w:bookmarkEnd w:id="67"/>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Gazette 4 Dec 2009 p. 4903</w:t>
      </w:r>
      <w:r>
        <w:noBreakHyphen/>
        <w:t>4.]</w:t>
      </w:r>
    </w:p>
    <w:p>
      <w:pPr>
        <w:pStyle w:val="Heading5"/>
        <w:keepNext w:val="0"/>
        <w:keepLines w:val="0"/>
        <w:pageBreakBefore/>
        <w:spacing w:before="0"/>
        <w:rPr>
          <w:snapToGrid w:val="0"/>
        </w:rPr>
      </w:pPr>
      <w:bookmarkStart w:id="68" w:name="_Toc173507627"/>
      <w:r>
        <w:rPr>
          <w:rStyle w:val="CharSectno"/>
        </w:rPr>
        <w:lastRenderedPageBreak/>
        <w:t>38</w:t>
      </w:r>
      <w:r>
        <w:rPr>
          <w:snapToGrid w:val="0"/>
        </w:rPr>
        <w:t>.</w:t>
      </w:r>
      <w:r>
        <w:rPr>
          <w:snapToGrid w:val="0"/>
        </w:rPr>
        <w:tab/>
        <w:t>General records of security agent</w:t>
      </w:r>
      <w:bookmarkEnd w:id="68"/>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lastRenderedPageBreak/>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Gazette 1 Sep 2005 p. 4080; 3 Oct 2006 p. 4346; 4 Dec 2009 p. 4904</w:t>
      </w:r>
      <w:r>
        <w:noBreakHyphen/>
        <w:t>5.]</w:t>
      </w:r>
    </w:p>
    <w:p>
      <w:pPr>
        <w:pStyle w:val="Heading5"/>
        <w:rPr>
          <w:snapToGrid w:val="0"/>
        </w:rPr>
      </w:pPr>
      <w:bookmarkStart w:id="69" w:name="_Toc173507628"/>
      <w:r>
        <w:rPr>
          <w:rStyle w:val="CharSectno"/>
        </w:rPr>
        <w:t>39</w:t>
      </w:r>
      <w:r>
        <w:rPr>
          <w:snapToGrid w:val="0"/>
        </w:rPr>
        <w:t>.</w:t>
      </w:r>
      <w:r>
        <w:rPr>
          <w:snapToGrid w:val="0"/>
        </w:rPr>
        <w:tab/>
        <w:t>Records to be kept by crowd control agent prescribed (Act s. 78(1)(a))</w:t>
      </w:r>
      <w:bookmarkEnd w:id="69"/>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Gazette 1 Sep 2005 p. 4080.]</w:t>
      </w:r>
    </w:p>
    <w:p>
      <w:pPr>
        <w:pStyle w:val="Heading5"/>
        <w:rPr>
          <w:snapToGrid w:val="0"/>
        </w:rPr>
      </w:pPr>
      <w:bookmarkStart w:id="70" w:name="_Toc173507629"/>
      <w:r>
        <w:rPr>
          <w:rStyle w:val="CharSectno"/>
        </w:rPr>
        <w:t>40</w:t>
      </w:r>
      <w:r>
        <w:rPr>
          <w:snapToGrid w:val="0"/>
        </w:rPr>
        <w:t>.</w:t>
      </w:r>
      <w:r>
        <w:rPr>
          <w:snapToGrid w:val="0"/>
        </w:rPr>
        <w:tab/>
        <w:t>Incident register, content of</w:t>
      </w:r>
      <w:bookmarkEnd w:id="70"/>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lastRenderedPageBreak/>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for this subregulation: a fine of $2 000.</w:t>
      </w:r>
    </w:p>
    <w:p>
      <w:pPr>
        <w:pStyle w:val="Subsection"/>
      </w:pPr>
      <w:r>
        <w:tab/>
        <w:t>(2A)</w:t>
      </w:r>
      <w:r>
        <w:tab/>
        <w:t xml:space="preserve">Subregulations (1) and (2) do not apply if the details of an incident that would otherwise have to be recorded in the register in accordance with those subregulations are already recorded in the register of incidents maintained at licensed premises under the </w:t>
      </w:r>
      <w:r>
        <w:rPr>
          <w:i/>
        </w:rPr>
        <w:t>Liquor Control Act 1988</w:t>
      </w:r>
      <w:r>
        <w:t xml:space="preserve"> section 116A.</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t>
      </w:r>
      <w:r>
        <w:rPr>
          <w:snapToGrid w:val="0"/>
        </w:rPr>
        <w:lastRenderedPageBreak/>
        <w:t xml:space="preserve">which involves physical contact between the crowd controller and the person being removed or prevented from entering. </w:t>
      </w:r>
    </w:p>
    <w:p>
      <w:pPr>
        <w:pStyle w:val="Footnotesection"/>
      </w:pPr>
      <w:r>
        <w:tab/>
        <w:t>[Regulation 40 amended: Gazette 1 Sep 2005 p. 4081</w:t>
      </w:r>
      <w:r>
        <w:noBreakHyphen/>
        <w:t>2; 29 Jul 2016 p. 3248.]</w:t>
      </w:r>
    </w:p>
    <w:p>
      <w:pPr>
        <w:pStyle w:val="Heading5"/>
        <w:spacing w:before="180"/>
        <w:rPr>
          <w:snapToGrid w:val="0"/>
        </w:rPr>
      </w:pPr>
      <w:bookmarkStart w:id="71" w:name="_Toc173507630"/>
      <w:r>
        <w:rPr>
          <w:rStyle w:val="CharSectno"/>
        </w:rPr>
        <w:t>41</w:t>
      </w:r>
      <w:r>
        <w:rPr>
          <w:snapToGrid w:val="0"/>
        </w:rPr>
        <w:t>.</w:t>
      </w:r>
      <w:r>
        <w:rPr>
          <w:snapToGrid w:val="0"/>
        </w:rPr>
        <w:tab/>
        <w:t>General records of crowd control agent</w:t>
      </w:r>
      <w:bookmarkEnd w:id="71"/>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Gazette 1 Sep 2005 p. 4082; 4 Dec 2009 p. 4905</w:t>
      </w:r>
      <w:r>
        <w:noBreakHyphen/>
        <w:t>6.]</w:t>
      </w:r>
    </w:p>
    <w:p>
      <w:pPr>
        <w:pStyle w:val="Heading5"/>
        <w:spacing w:before="180"/>
        <w:rPr>
          <w:snapToGrid w:val="0"/>
        </w:rPr>
      </w:pPr>
      <w:bookmarkStart w:id="72" w:name="_Toc173507631"/>
      <w:r>
        <w:rPr>
          <w:rStyle w:val="CharSectno"/>
        </w:rPr>
        <w:lastRenderedPageBreak/>
        <w:t>42</w:t>
      </w:r>
      <w:r>
        <w:rPr>
          <w:snapToGrid w:val="0"/>
        </w:rPr>
        <w:t>.</w:t>
      </w:r>
      <w:r>
        <w:rPr>
          <w:snapToGrid w:val="0"/>
        </w:rPr>
        <w:tab/>
        <w:t>Records to be kept by inquiry agent prescribed (Act s. 78(1)(a))</w:t>
      </w:r>
      <w:bookmarkEnd w:id="72"/>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 Gazette 1 Sep 2005 p. 4083.]</w:t>
      </w:r>
    </w:p>
    <w:p>
      <w:pPr>
        <w:pStyle w:val="Heading5"/>
        <w:rPr>
          <w:snapToGrid w:val="0"/>
        </w:rPr>
      </w:pPr>
      <w:bookmarkStart w:id="73" w:name="_Toc173507632"/>
      <w:r>
        <w:rPr>
          <w:rStyle w:val="CharSectno"/>
        </w:rPr>
        <w:t>43</w:t>
      </w:r>
      <w:r>
        <w:rPr>
          <w:snapToGrid w:val="0"/>
        </w:rPr>
        <w:t>.</w:t>
      </w:r>
      <w:r>
        <w:rPr>
          <w:snapToGrid w:val="0"/>
        </w:rPr>
        <w:tab/>
        <w:t>Records to be kept by person for whom licensed crowd controller provides services prescribed (Act s. 84(a))</w:t>
      </w:r>
      <w:bookmarkEnd w:id="73"/>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Gazette 1 Sep 2005 p. 4083.]</w:t>
      </w:r>
    </w:p>
    <w:p>
      <w:pPr>
        <w:pStyle w:val="Heading5"/>
      </w:pPr>
      <w:bookmarkStart w:id="74" w:name="_Toc173507633"/>
      <w:r>
        <w:rPr>
          <w:rStyle w:val="CharSectno"/>
        </w:rPr>
        <w:t>44A</w:t>
      </w:r>
      <w:r>
        <w:t>.</w:t>
      </w:r>
      <w:r>
        <w:tab/>
        <w:t>Notification of address where records held (Act s. 78(2))</w:t>
      </w:r>
      <w:bookmarkEnd w:id="74"/>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Gazette 4 Dec 2009 p. 4906.]</w:t>
      </w:r>
    </w:p>
    <w:p>
      <w:pPr>
        <w:pStyle w:val="Heading2"/>
      </w:pPr>
      <w:bookmarkStart w:id="75" w:name="_Toc173501543"/>
      <w:bookmarkStart w:id="76" w:name="_Toc173502421"/>
      <w:bookmarkStart w:id="77" w:name="_Toc173507634"/>
      <w:r>
        <w:rPr>
          <w:rStyle w:val="CharPartNo"/>
        </w:rPr>
        <w:lastRenderedPageBreak/>
        <w:t>Part 7</w:t>
      </w:r>
      <w:r>
        <w:rPr>
          <w:rStyle w:val="CharDivNo"/>
        </w:rPr>
        <w:t> </w:t>
      </w:r>
      <w:r>
        <w:t>—</w:t>
      </w:r>
      <w:r>
        <w:rPr>
          <w:rStyle w:val="CharDivText"/>
        </w:rPr>
        <w:t> </w:t>
      </w:r>
      <w:r>
        <w:rPr>
          <w:rStyle w:val="CharPartText"/>
        </w:rPr>
        <w:t>Drug testing</w:t>
      </w:r>
      <w:bookmarkEnd w:id="75"/>
      <w:bookmarkEnd w:id="76"/>
      <w:bookmarkEnd w:id="77"/>
      <w:r>
        <w:rPr>
          <w:rStyle w:val="CharPartText"/>
        </w:rPr>
        <w:t xml:space="preserve"> </w:t>
      </w:r>
    </w:p>
    <w:p>
      <w:pPr>
        <w:pStyle w:val="Heading5"/>
        <w:spacing w:before="240"/>
        <w:rPr>
          <w:snapToGrid w:val="0"/>
        </w:rPr>
      </w:pPr>
      <w:bookmarkStart w:id="78" w:name="_Toc173507635"/>
      <w:r>
        <w:rPr>
          <w:rStyle w:val="CharSectno"/>
        </w:rPr>
        <w:t>44</w:t>
      </w:r>
      <w:r>
        <w:rPr>
          <w:snapToGrid w:val="0"/>
        </w:rPr>
        <w:t>.</w:t>
      </w:r>
      <w:r>
        <w:rPr>
          <w:snapToGrid w:val="0"/>
        </w:rPr>
        <w:tab/>
        <w:t>Terms used</w:t>
      </w:r>
      <w:bookmarkEnd w:id="7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the </w:t>
      </w:r>
      <w:r>
        <w:rPr>
          <w:i/>
        </w:rPr>
        <w:t xml:space="preserve">Health (Miscellaneous Provisions) Act 1911 </w:t>
      </w:r>
      <w:r>
        <w:t>section 203;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Gazette 28 Apr 2006 p. 1657; 4 Dec 2009 p. 4906; 10 Jan 2017 p. 224.]</w:t>
      </w:r>
    </w:p>
    <w:p>
      <w:pPr>
        <w:pStyle w:val="Heading5"/>
        <w:keepLines w:val="0"/>
        <w:pageBreakBefore/>
        <w:spacing w:before="0"/>
        <w:rPr>
          <w:snapToGrid w:val="0"/>
        </w:rPr>
      </w:pPr>
      <w:bookmarkStart w:id="79" w:name="_Toc173507636"/>
      <w:r>
        <w:rPr>
          <w:rStyle w:val="CharSectno"/>
        </w:rPr>
        <w:lastRenderedPageBreak/>
        <w:t>45</w:t>
      </w:r>
      <w:r>
        <w:rPr>
          <w:snapToGrid w:val="0"/>
        </w:rPr>
        <w:t>.</w:t>
      </w:r>
      <w:r>
        <w:rPr>
          <w:snapToGrid w:val="0"/>
        </w:rPr>
        <w:tab/>
        <w:t>Drugs prescribed (Act s. 80)</w:t>
      </w:r>
      <w:bookmarkEnd w:id="79"/>
    </w:p>
    <w:p>
      <w:pPr>
        <w:pStyle w:val="Subsection"/>
        <w:spacing w:before="120"/>
        <w:rPr>
          <w:snapToGrid w:val="0"/>
        </w:rPr>
      </w:pPr>
      <w:r>
        <w:rPr>
          <w:snapToGrid w:val="0"/>
        </w:rPr>
        <w:tab/>
      </w:r>
      <w:r>
        <w:rPr>
          <w:snapToGrid w:val="0"/>
        </w:rPr>
        <w:tab/>
        <w:t xml:space="preserve">The drugs referred to in Schedule 3 are prescribed for the purposes of section 80. </w:t>
      </w:r>
    </w:p>
    <w:p>
      <w:pPr>
        <w:pStyle w:val="Heading5"/>
        <w:spacing w:before="180"/>
        <w:rPr>
          <w:snapToGrid w:val="0"/>
        </w:rPr>
      </w:pPr>
      <w:bookmarkStart w:id="80" w:name="_Toc173507637"/>
      <w:r>
        <w:rPr>
          <w:rStyle w:val="CharSectno"/>
        </w:rPr>
        <w:t>46</w:t>
      </w:r>
      <w:r>
        <w:rPr>
          <w:snapToGrid w:val="0"/>
        </w:rPr>
        <w:t>.</w:t>
      </w:r>
      <w:r>
        <w:rPr>
          <w:snapToGrid w:val="0"/>
        </w:rPr>
        <w:tab/>
        <w:t>Approval of technologists, sample collectors and analysts</w:t>
      </w:r>
      <w:bookmarkEnd w:id="80"/>
      <w:r>
        <w:rPr>
          <w:snapToGrid w:val="0"/>
        </w:rPr>
        <w:t xml:space="preserve"> </w:t>
      </w:r>
    </w:p>
    <w:p>
      <w:pPr>
        <w:pStyle w:val="Subsection"/>
        <w:spacing w:before="120"/>
        <w:rPr>
          <w:snapToGrid w:val="0"/>
        </w:rPr>
      </w:pPr>
      <w:r>
        <w:rPr>
          <w:snapToGrid w:val="0"/>
        </w:rPr>
        <w:tab/>
        <w:t>(1)</w:t>
      </w:r>
      <w:r>
        <w:rPr>
          <w:snapToGrid w:val="0"/>
        </w:rPr>
        <w:tab/>
        <w:t xml:space="preserve">The CEO (as defined in the </w:t>
      </w:r>
      <w:r>
        <w:rPr>
          <w:i/>
        </w:rPr>
        <w:t>Health (Miscellaneous Provisions) Act 1911</w:t>
      </w:r>
      <w:r>
        <w:t xml:space="preserve">) </w:t>
      </w:r>
      <w:r>
        <w:rPr>
          <w:snapToGrid w:val="0"/>
        </w:rPr>
        <w:t>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spacing w:before="120"/>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spacing w:before="120"/>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spacing w:before="120"/>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lastRenderedPageBreak/>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 Gazette 4 Dec 2009 p. 4907; 10 Jan 2017 p. 224.]</w:t>
      </w:r>
    </w:p>
    <w:p>
      <w:pPr>
        <w:pStyle w:val="Heading5"/>
        <w:rPr>
          <w:snapToGrid w:val="0"/>
        </w:rPr>
      </w:pPr>
      <w:bookmarkStart w:id="81" w:name="_Toc173507638"/>
      <w:r>
        <w:rPr>
          <w:rStyle w:val="CharSectno"/>
        </w:rPr>
        <w:t>47</w:t>
      </w:r>
      <w:r>
        <w:rPr>
          <w:snapToGrid w:val="0"/>
        </w:rPr>
        <w:t>.</w:t>
      </w:r>
      <w:r>
        <w:rPr>
          <w:snapToGrid w:val="0"/>
        </w:rPr>
        <w:tab/>
        <w:t>Blood and urine sampling equipment prescribed</w:t>
      </w:r>
      <w:bookmarkEnd w:id="81"/>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 Gazette 28 Apr 2006 p. 1657.]</w:t>
      </w:r>
    </w:p>
    <w:p>
      <w:pPr>
        <w:pStyle w:val="Heading5"/>
        <w:keepLines w:val="0"/>
        <w:spacing w:before="240"/>
        <w:rPr>
          <w:snapToGrid w:val="0"/>
        </w:rPr>
      </w:pPr>
      <w:bookmarkStart w:id="82" w:name="_Toc173507639"/>
      <w:r>
        <w:rPr>
          <w:rStyle w:val="CharSectno"/>
        </w:rPr>
        <w:lastRenderedPageBreak/>
        <w:t>48</w:t>
      </w:r>
      <w:r>
        <w:rPr>
          <w:snapToGrid w:val="0"/>
        </w:rPr>
        <w:t>.</w:t>
      </w:r>
      <w:r>
        <w:rPr>
          <w:snapToGrid w:val="0"/>
        </w:rPr>
        <w:tab/>
        <w:t>Preparation and use of sampling equipment</w:t>
      </w:r>
      <w:bookmarkEnd w:id="82"/>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Gazette 28 Apr 2006 p. 1657.]</w:t>
      </w:r>
    </w:p>
    <w:p>
      <w:pPr>
        <w:pStyle w:val="Heading5"/>
        <w:spacing w:before="240"/>
      </w:pPr>
      <w:bookmarkStart w:id="83" w:name="_Toc173507640"/>
      <w:r>
        <w:rPr>
          <w:rStyle w:val="CharSectno"/>
        </w:rPr>
        <w:t>48A</w:t>
      </w:r>
      <w:r>
        <w:t>.</w:t>
      </w:r>
      <w:r>
        <w:tab/>
        <w:t>Licensee to produce identity card when giving blood or urine sample under direction given under Act s. 80</w:t>
      </w:r>
      <w:bookmarkEnd w:id="83"/>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 xml:space="preserve">A person does not commit an offence under subregulation (1), and subregulation (2) does not apply, if the person who provided the sample produced, at the time of providing the sample, evidence that satisfied the sample collector or police </w:t>
      </w:r>
      <w:r>
        <w:lastRenderedPageBreak/>
        <w:t>officer or employee that the person was the subject of the direction.</w:t>
      </w:r>
    </w:p>
    <w:p>
      <w:pPr>
        <w:pStyle w:val="Footnotesection"/>
        <w:ind w:left="890" w:hanging="890"/>
      </w:pPr>
      <w:r>
        <w:tab/>
        <w:t>[Regulation 48A inserted: Gazette 1 Sep 2005 p. 4083</w:t>
      </w:r>
      <w:r>
        <w:noBreakHyphen/>
        <w:t>4; amended: Gazette 4 Dec 2009 p. 4907.]</w:t>
      </w:r>
    </w:p>
    <w:p>
      <w:pPr>
        <w:pStyle w:val="Heading5"/>
        <w:keepNext w:val="0"/>
        <w:keepLines w:val="0"/>
        <w:rPr>
          <w:snapToGrid w:val="0"/>
        </w:rPr>
      </w:pPr>
      <w:bookmarkStart w:id="84" w:name="_Toc173507641"/>
      <w:r>
        <w:rPr>
          <w:rStyle w:val="CharSectno"/>
        </w:rPr>
        <w:t>49</w:t>
      </w:r>
      <w:r>
        <w:rPr>
          <w:snapToGrid w:val="0"/>
        </w:rPr>
        <w:t>.</w:t>
      </w:r>
      <w:r>
        <w:rPr>
          <w:snapToGrid w:val="0"/>
        </w:rPr>
        <w:tab/>
        <w:t>Blood samples, method for collecting</w:t>
      </w:r>
      <w:bookmarkEnd w:id="84"/>
    </w:p>
    <w:p>
      <w:pPr>
        <w:pStyle w:val="Subsection"/>
        <w:spacing w:before="180"/>
        <w:rPr>
          <w:snapToGrid w:val="0"/>
        </w:rPr>
      </w:pPr>
      <w:r>
        <w:rPr>
          <w:snapToGrid w:val="0"/>
        </w:rPr>
        <w:tab/>
        <w:t>(1)</w:t>
      </w:r>
      <w:r>
        <w:rPr>
          <w:snapToGrid w:val="0"/>
        </w:rPr>
        <w:tab/>
        <w:t>A blood sample is to be taken by a sample collector by venepuncture using the syringe.</w:t>
      </w:r>
    </w:p>
    <w:p>
      <w:pPr>
        <w:pStyle w:val="Subsection"/>
        <w:spacing w:before="180"/>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spacing w:before="180"/>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240"/>
        <w:rPr>
          <w:snapToGrid w:val="0"/>
        </w:rPr>
      </w:pPr>
      <w:bookmarkStart w:id="85" w:name="_Toc173507642"/>
      <w:r>
        <w:rPr>
          <w:rStyle w:val="CharSectno"/>
        </w:rPr>
        <w:lastRenderedPageBreak/>
        <w:t>50</w:t>
      </w:r>
      <w:r>
        <w:rPr>
          <w:snapToGrid w:val="0"/>
        </w:rPr>
        <w:t>.</w:t>
      </w:r>
      <w:r>
        <w:rPr>
          <w:snapToGrid w:val="0"/>
        </w:rPr>
        <w:tab/>
        <w:t>Urine samples, method for collecting</w:t>
      </w:r>
      <w:bookmarkEnd w:id="85"/>
      <w:r>
        <w:rPr>
          <w:snapToGrid w:val="0"/>
        </w:rPr>
        <w:t xml:space="preserve"> </w:t>
      </w:r>
    </w:p>
    <w:p>
      <w:pPr>
        <w:pStyle w:val="Subsection"/>
        <w:spacing w:before="180"/>
      </w:pPr>
      <w:r>
        <w:tab/>
        <w:t>(1)</w:t>
      </w:r>
      <w:r>
        <w:tab/>
        <w:t>A urine sample is to be collected by a sample collector in a sterile urine collecting container.</w:t>
      </w:r>
    </w:p>
    <w:p>
      <w:pPr>
        <w:pStyle w:val="Subsection"/>
        <w:spacing w:before="18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rPr>
          <w:snapToGrid w:val="0"/>
        </w:rPr>
      </w:pPr>
      <w:r>
        <w:rPr>
          <w:snapToGrid w:val="0"/>
        </w:rPr>
        <w:lastRenderedPageBreak/>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Gazette 28 Apr 2006 p. 1657</w:t>
      </w:r>
      <w:r>
        <w:noBreakHyphen/>
        <w:t>8.]</w:t>
      </w:r>
    </w:p>
    <w:p>
      <w:pPr>
        <w:pStyle w:val="Heading5"/>
        <w:rPr>
          <w:snapToGrid w:val="0"/>
        </w:rPr>
      </w:pPr>
      <w:bookmarkStart w:id="86" w:name="_Toc173507643"/>
      <w:r>
        <w:rPr>
          <w:rStyle w:val="CharSectno"/>
        </w:rPr>
        <w:t>51</w:t>
      </w:r>
      <w:r>
        <w:rPr>
          <w:snapToGrid w:val="0"/>
        </w:rPr>
        <w:t>.</w:t>
      </w:r>
      <w:r>
        <w:rPr>
          <w:snapToGrid w:val="0"/>
        </w:rPr>
        <w:tab/>
        <w:t>Analysis of samples</w:t>
      </w:r>
      <w:bookmarkEnd w:id="86"/>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Gazette 4 Dec 2009 p. 4907</w:t>
      </w:r>
      <w:r>
        <w:noBreakHyphen/>
        <w:t>8.]</w:t>
      </w:r>
    </w:p>
    <w:p>
      <w:pPr>
        <w:pStyle w:val="Heading5"/>
        <w:rPr>
          <w:snapToGrid w:val="0"/>
        </w:rPr>
      </w:pPr>
      <w:bookmarkStart w:id="87" w:name="_Toc173507644"/>
      <w:r>
        <w:rPr>
          <w:rStyle w:val="CharSectno"/>
        </w:rPr>
        <w:lastRenderedPageBreak/>
        <w:t>52</w:t>
      </w:r>
      <w:r>
        <w:rPr>
          <w:snapToGrid w:val="0"/>
        </w:rPr>
        <w:t>.</w:t>
      </w:r>
      <w:r>
        <w:rPr>
          <w:snapToGrid w:val="0"/>
        </w:rPr>
        <w:tab/>
        <w:t>Non</w:t>
      </w:r>
      <w:r>
        <w:rPr>
          <w:snapToGrid w:val="0"/>
        </w:rPr>
        <w:noBreakHyphen/>
        <w:t>complying sample defined (Act s. 81(1)(b))</w:t>
      </w:r>
      <w:bookmarkEnd w:id="87"/>
    </w:p>
    <w:p>
      <w:pPr>
        <w:pStyle w:val="Subsection"/>
        <w:keepNext/>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88" w:name="_Toc173507645"/>
      <w:r>
        <w:rPr>
          <w:rStyle w:val="CharSectno"/>
        </w:rPr>
        <w:t>53</w:t>
      </w:r>
      <w:r>
        <w:rPr>
          <w:snapToGrid w:val="0"/>
        </w:rPr>
        <w:t>.</w:t>
      </w:r>
      <w:r>
        <w:rPr>
          <w:snapToGrid w:val="0"/>
        </w:rPr>
        <w:tab/>
        <w:t>Certificates which are evidence</w:t>
      </w:r>
      <w:bookmarkEnd w:id="88"/>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Gazette 28 Apr 2006 p. 1658; 4 Dec 2009 p. 4908.]</w:t>
      </w:r>
    </w:p>
    <w:p>
      <w:pPr>
        <w:pStyle w:val="Heading2"/>
      </w:pPr>
      <w:bookmarkStart w:id="89" w:name="_Toc173501555"/>
      <w:bookmarkStart w:id="90" w:name="_Toc173502433"/>
      <w:bookmarkStart w:id="91" w:name="_Toc173507646"/>
      <w:r>
        <w:rPr>
          <w:rStyle w:val="CharPartNo"/>
        </w:rPr>
        <w:lastRenderedPageBreak/>
        <w:t>Part 8</w:t>
      </w:r>
      <w:r>
        <w:rPr>
          <w:rStyle w:val="CharDivNo"/>
        </w:rPr>
        <w:t> </w:t>
      </w:r>
      <w:r>
        <w:t>—</w:t>
      </w:r>
      <w:r>
        <w:rPr>
          <w:rStyle w:val="CharDivText"/>
        </w:rPr>
        <w:t> </w:t>
      </w:r>
      <w:r>
        <w:rPr>
          <w:rStyle w:val="CharPartText"/>
        </w:rPr>
        <w:t>Miscellaneous</w:t>
      </w:r>
      <w:bookmarkEnd w:id="89"/>
      <w:bookmarkEnd w:id="90"/>
      <w:bookmarkEnd w:id="91"/>
      <w:r>
        <w:rPr>
          <w:rStyle w:val="CharPartText"/>
        </w:rPr>
        <w:t xml:space="preserve"> </w:t>
      </w:r>
    </w:p>
    <w:p>
      <w:pPr>
        <w:pStyle w:val="Heading5"/>
        <w:rPr>
          <w:snapToGrid w:val="0"/>
        </w:rPr>
      </w:pPr>
      <w:bookmarkStart w:id="92" w:name="_Toc173507647"/>
      <w:r>
        <w:rPr>
          <w:rStyle w:val="CharSectno"/>
        </w:rPr>
        <w:t>54</w:t>
      </w:r>
      <w:r>
        <w:rPr>
          <w:snapToGrid w:val="0"/>
        </w:rPr>
        <w:t>.</w:t>
      </w:r>
      <w:r>
        <w:rPr>
          <w:snapToGrid w:val="0"/>
        </w:rPr>
        <w:tab/>
        <w:t>Fees prescribed</w:t>
      </w:r>
      <w:bookmarkEnd w:id="92"/>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93" w:name="_Toc173507648"/>
      <w:r>
        <w:rPr>
          <w:rStyle w:val="CharSectno"/>
        </w:rPr>
        <w:t>54A</w:t>
      </w:r>
      <w:r>
        <w:t>.</w:t>
      </w:r>
      <w:r>
        <w:tab/>
        <w:t>Codes of conduct, preparation, approval and effect of</w:t>
      </w:r>
      <w:bookmarkEnd w:id="93"/>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Gazette 1 Sep 2005 p. 4084</w:t>
      </w:r>
      <w:r>
        <w:noBreakHyphen/>
        <w:t>5; amended: Gazette 4 Dec 2009 p. 4908</w:t>
      </w:r>
      <w:r>
        <w:noBreakHyphen/>
        <w:t>9.]</w:t>
      </w:r>
    </w:p>
    <w:p>
      <w:pPr>
        <w:pStyle w:val="Heading5"/>
      </w:pPr>
      <w:bookmarkStart w:id="94" w:name="_Toc173507649"/>
      <w:r>
        <w:rPr>
          <w:rStyle w:val="CharSectno"/>
        </w:rPr>
        <w:lastRenderedPageBreak/>
        <w:t>55</w:t>
      </w:r>
      <w:r>
        <w:t>.</w:t>
      </w:r>
      <w:r>
        <w:tab/>
        <w:t>Surrender of licence (Act s. 76(c))</w:t>
      </w:r>
      <w:bookmarkEnd w:id="94"/>
    </w:p>
    <w:p>
      <w:pPr>
        <w:pStyle w:val="Subsection"/>
      </w:pPr>
      <w:r>
        <w:tab/>
      </w:r>
      <w:r>
        <w:tab/>
        <w:t>For the purposes of section 76(c), a licensee may surrender a licence by written notice given to a licensing officer.</w:t>
      </w:r>
    </w:p>
    <w:p>
      <w:pPr>
        <w:pStyle w:val="Footnotesection"/>
        <w:keepLines w:val="0"/>
      </w:pPr>
      <w:r>
        <w:tab/>
        <w:t>[Regulation 55 inserted: Gazette 4 Dec 2009 p. 4909.]</w:t>
      </w:r>
    </w:p>
    <w:p>
      <w:pPr>
        <w:pStyle w:val="Heading5"/>
      </w:pPr>
      <w:bookmarkStart w:id="95" w:name="_Toc173507650"/>
      <w:r>
        <w:rPr>
          <w:rStyle w:val="CharSectno"/>
        </w:rPr>
        <w:t>56</w:t>
      </w:r>
      <w:r>
        <w:t>.</w:t>
      </w:r>
      <w:r>
        <w:tab/>
        <w:t>Return of licence (Act s. 76)</w:t>
      </w:r>
      <w:bookmarkEnd w:id="95"/>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Gazette 4 Dec 2009 p. 4909.]</w:t>
      </w:r>
    </w:p>
    <w:p>
      <w:pPr>
        <w:pStyle w:val="Heading5"/>
      </w:pPr>
      <w:bookmarkStart w:id="96" w:name="_Toc173507651"/>
      <w:r>
        <w:rPr>
          <w:rStyle w:val="CharSectno"/>
        </w:rPr>
        <w:t>57</w:t>
      </w:r>
      <w:r>
        <w:t>.</w:t>
      </w:r>
      <w:r>
        <w:tab/>
        <w:t>Notification of change of address (Act s. 77)</w:t>
      </w:r>
      <w:bookmarkEnd w:id="96"/>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Gazette 4 Dec 2009 p. 4909.]</w:t>
      </w:r>
    </w:p>
    <w:p>
      <w:pPr>
        <w:pStyle w:val="Heading5"/>
      </w:pPr>
      <w:bookmarkStart w:id="97" w:name="_Toc173507652"/>
      <w:r>
        <w:rPr>
          <w:rStyle w:val="CharSectno"/>
        </w:rPr>
        <w:t>58</w:t>
      </w:r>
      <w:r>
        <w:t>.</w:t>
      </w:r>
      <w:r>
        <w:tab/>
        <w:t>Prescribed offences and modified penalties</w:t>
      </w:r>
      <w:bookmarkEnd w:id="97"/>
    </w:p>
    <w:p>
      <w:pPr>
        <w:pStyle w:val="Subsection"/>
      </w:pPr>
      <w:r>
        <w:tab/>
        <w:t>(1)</w:t>
      </w:r>
      <w:r>
        <w:tab/>
        <w:t>The offences specified in Schedule 5 are prescribed as offences for which an infringement notice may be given under section 88A.</w:t>
      </w:r>
    </w:p>
    <w:p>
      <w:pPr>
        <w:pStyle w:val="Subsection"/>
      </w:pPr>
      <w:r>
        <w:tab/>
        <w:t>(2)</w:t>
      </w:r>
      <w:r>
        <w:tab/>
        <w:t>The modified penalty specified opposite an offence in Schedule 5 is the modified penalty for that offence for the purposes of section 88A(3) and (5).</w:t>
      </w:r>
    </w:p>
    <w:p>
      <w:pPr>
        <w:pStyle w:val="Footnotesection"/>
      </w:pPr>
      <w:r>
        <w:tab/>
        <w:t>[Regulation 58 inserted: Gazette 29 Jul 2016 p. 3248.]</w:t>
      </w:r>
    </w:p>
    <w:p>
      <w:pPr>
        <w:pStyle w:val="Heading5"/>
      </w:pPr>
      <w:bookmarkStart w:id="98" w:name="_Toc173507653"/>
      <w:r>
        <w:rPr>
          <w:rStyle w:val="CharSectno"/>
        </w:rPr>
        <w:lastRenderedPageBreak/>
        <w:t>59</w:t>
      </w:r>
      <w:r>
        <w:t>.</w:t>
      </w:r>
      <w:r>
        <w:tab/>
        <w:t>Forms</w:t>
      </w:r>
      <w:bookmarkEnd w:id="98"/>
    </w:p>
    <w:p>
      <w:pPr>
        <w:pStyle w:val="Subsection"/>
        <w:keepNext/>
      </w:pPr>
      <w:r>
        <w:tab/>
      </w:r>
      <w:r>
        <w:tab/>
        <w:t>The forms set out in Schedule 6 are prescribed in relation to the matters specified in those forms.</w:t>
      </w:r>
    </w:p>
    <w:p>
      <w:pPr>
        <w:pStyle w:val="Footnotesection"/>
      </w:pPr>
      <w:r>
        <w:tab/>
        <w:t>[Regulation 59 inserted: Gazette 29 Jul 2016 p. 3248.]</w:t>
      </w:r>
    </w:p>
    <w:p>
      <w:pPr>
        <w:pStyle w:val="Ednotepart"/>
        <w:spacing w:before="300"/>
      </w:pPr>
      <w:r>
        <w:t>[Part 9 deleted: Gazette 4 Dec 2009 p. 4909.]</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99" w:name="_Toc173501563"/>
      <w:bookmarkStart w:id="100" w:name="_Toc173502441"/>
      <w:bookmarkStart w:id="101" w:name="_Toc173507654"/>
      <w:r>
        <w:rPr>
          <w:rStyle w:val="CharSchNo"/>
        </w:rPr>
        <w:lastRenderedPageBreak/>
        <w:t>Schedule 1</w:t>
      </w:r>
      <w:r>
        <w:t> — </w:t>
      </w:r>
      <w:r>
        <w:rPr>
          <w:rStyle w:val="CharSchText"/>
        </w:rPr>
        <w:t>Conditions and restrictions attached to licences</w:t>
      </w:r>
      <w:bookmarkEnd w:id="99"/>
      <w:bookmarkEnd w:id="100"/>
      <w:bookmarkEnd w:id="101"/>
    </w:p>
    <w:p>
      <w:pPr>
        <w:pStyle w:val="yShoulderClause"/>
        <w:rPr>
          <w:snapToGrid w:val="0"/>
        </w:rPr>
      </w:pPr>
      <w:r>
        <w:t>[r. 21]</w:t>
      </w:r>
    </w:p>
    <w:p>
      <w:pPr>
        <w:pStyle w:val="yFootnoteheading"/>
      </w:pPr>
      <w:r>
        <w:tab/>
        <w:t>[Heading amended: SL 2022/211 r. 5.]</w:t>
      </w:r>
    </w:p>
    <w:p>
      <w:pPr>
        <w:pStyle w:val="yHeading3"/>
        <w:rPr>
          <w:snapToGrid w:val="0"/>
        </w:rPr>
      </w:pPr>
      <w:bookmarkStart w:id="102" w:name="_Toc173501564"/>
      <w:bookmarkStart w:id="103" w:name="_Toc173502442"/>
      <w:bookmarkStart w:id="104" w:name="_Toc173507655"/>
      <w:r>
        <w:rPr>
          <w:rStyle w:val="CharSDivNo"/>
        </w:rPr>
        <w:t>Division 1</w:t>
      </w:r>
      <w:r>
        <w:rPr>
          <w:snapToGrid w:val="0"/>
        </w:rPr>
        <w:t> — </w:t>
      </w:r>
      <w:r>
        <w:rPr>
          <w:rStyle w:val="CharSDivText"/>
        </w:rPr>
        <w:t>Security agent’s licence</w:t>
      </w:r>
      <w:bookmarkEnd w:id="102"/>
      <w:bookmarkEnd w:id="103"/>
      <w:bookmarkEnd w:id="104"/>
    </w:p>
    <w:p>
      <w:pPr>
        <w:pStyle w:val="yHeading5"/>
      </w:pPr>
      <w:bookmarkStart w:id="105" w:name="_Toc173507656"/>
      <w:r>
        <w:rPr>
          <w:rStyle w:val="CharSClsNo"/>
        </w:rPr>
        <w:t>1A</w:t>
      </w:r>
      <w:r>
        <w:t>.</w:t>
      </w:r>
      <w:r>
        <w:tab/>
        <w:t>Term used: business activity</w:t>
      </w:r>
      <w:bookmarkEnd w:id="105"/>
    </w:p>
    <w:p>
      <w:pPr>
        <w:pStyle w:val="ySubsection"/>
      </w:pPr>
      <w:r>
        <w:tab/>
      </w:r>
      <w:r>
        <w:tab/>
        <w:t xml:space="preserve">In this Division — </w:t>
      </w:r>
    </w:p>
    <w:p>
      <w:pPr>
        <w:pStyle w:val="yDefstart"/>
      </w:pPr>
      <w:r>
        <w:tab/>
      </w:r>
      <w:r>
        <w:rPr>
          <w:rStyle w:val="CharDefText"/>
        </w:rPr>
        <w:t>business activity</w:t>
      </w:r>
      <w:r>
        <w:t xml:space="preserve"> means an activity authorised by a security officer’s licence that the security officer performs for a security agent’s business.</w:t>
      </w:r>
    </w:p>
    <w:p>
      <w:pPr>
        <w:pStyle w:val="yFootnotesection"/>
      </w:pPr>
      <w:r>
        <w:tab/>
        <w:t>[Clause 1A inserted: SL 2022/211 r. 6.]</w:t>
      </w:r>
    </w:p>
    <w:p>
      <w:pPr>
        <w:pStyle w:val="yHeading5"/>
        <w:rPr>
          <w:snapToGrid w:val="0"/>
        </w:rPr>
      </w:pPr>
      <w:bookmarkStart w:id="106" w:name="_Toc173507657"/>
      <w:r>
        <w:rPr>
          <w:rStyle w:val="CharSClsNo"/>
        </w:rPr>
        <w:t>1</w:t>
      </w:r>
      <w:r>
        <w:rPr>
          <w:snapToGrid w:val="0"/>
        </w:rPr>
        <w:t>.</w:t>
      </w:r>
      <w:r>
        <w:rPr>
          <w:snapToGrid w:val="0"/>
        </w:rPr>
        <w:tab/>
        <w:t>Changes of partners, officers or personnel to be notified</w:t>
      </w:r>
      <w:bookmarkEnd w:id="106"/>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Gazette 4 Dec 2009 p. 4910.]</w:t>
      </w:r>
    </w:p>
    <w:p>
      <w:pPr>
        <w:pStyle w:val="yHeading5"/>
      </w:pPr>
      <w:bookmarkStart w:id="107" w:name="_Toc173507658"/>
      <w:r>
        <w:rPr>
          <w:rStyle w:val="CharSClsNo"/>
        </w:rPr>
        <w:t>2</w:t>
      </w:r>
      <w:r>
        <w:t>.</w:t>
      </w:r>
      <w:r>
        <w:tab/>
        <w:t>Uniforms to be worn by security officers</w:t>
      </w:r>
      <w:bookmarkEnd w:id="107"/>
    </w:p>
    <w:p>
      <w:pPr>
        <w:pStyle w:val="ySubsection"/>
      </w:pPr>
      <w:r>
        <w:tab/>
        <w:t>(1)</w:t>
      </w:r>
      <w:r>
        <w:tab/>
        <w:t>A security agent must ensure that a security officer wears a uniform of a type approved by the Commissioner at all times while the officer is performing a business activity for the agent’s business.</w:t>
      </w:r>
    </w:p>
    <w:p>
      <w:pPr>
        <w:pStyle w:val="ySubsection"/>
      </w:pPr>
      <w:r>
        <w:tab/>
        <w:t>(2)</w:t>
      </w:r>
      <w:r>
        <w:tab/>
        <w:t xml:space="preserve">Subclause (1) does not apply in relation to — </w:t>
      </w:r>
    </w:p>
    <w:p>
      <w:pPr>
        <w:pStyle w:val="yIndenta"/>
      </w:pPr>
      <w:r>
        <w:tab/>
        <w:t>(a)</w:t>
      </w:r>
      <w:r>
        <w:tab/>
        <w:t>a security officer who is engaged in loss prevention activities in a retail store; or</w:t>
      </w:r>
    </w:p>
    <w:p>
      <w:pPr>
        <w:pStyle w:val="yIndenta"/>
      </w:pPr>
      <w:r>
        <w:lastRenderedPageBreak/>
        <w:tab/>
        <w:t>(b)</w:t>
      </w:r>
      <w:r>
        <w:tab/>
        <w:t>a security officer who is engaged in escort duties if a licensing officer is satisfied that the circumstances require the security officer to wear clothes other than a uniform of a type approved by the Commissioner.</w:t>
      </w:r>
    </w:p>
    <w:p>
      <w:pPr>
        <w:pStyle w:val="ySubsection"/>
      </w:pPr>
      <w:r>
        <w:tab/>
        <w:t>(3)</w:t>
      </w:r>
      <w:r>
        <w:tab/>
        <w:t>A security agent must ensure that a security officer referred to in subclause (2)(a) or (b) does not wear clothes that are confusingly similar to a uniform in use by a police force.</w:t>
      </w:r>
    </w:p>
    <w:p>
      <w:pPr>
        <w:pStyle w:val="yFootnotesection"/>
      </w:pPr>
      <w:r>
        <w:tab/>
        <w:t>[Clause 2 inserted: SL 2022/211 r. 7.]</w:t>
      </w:r>
    </w:p>
    <w:p>
      <w:pPr>
        <w:pStyle w:val="yHeading5"/>
      </w:pPr>
      <w:bookmarkStart w:id="108" w:name="_Toc173507659"/>
      <w:r>
        <w:rPr>
          <w:rStyle w:val="CharSClsNo"/>
        </w:rPr>
        <w:t>3</w:t>
      </w:r>
      <w:r>
        <w:t>.</w:t>
      </w:r>
      <w:r>
        <w:tab/>
        <w:t>Markings on vehicles used by security officers</w:t>
      </w:r>
      <w:bookmarkEnd w:id="108"/>
    </w:p>
    <w:p>
      <w:pPr>
        <w:pStyle w:val="ySubsection"/>
      </w:pPr>
      <w:r>
        <w:tab/>
      </w:r>
      <w:r>
        <w:tab/>
        <w:t>A security agent must ensure that a marking on a vehicle used by a security officer while performing a business activity for the agent’s business is not confusingly similar to a vehicle marking in use by a police force.</w:t>
      </w:r>
    </w:p>
    <w:p>
      <w:pPr>
        <w:pStyle w:val="yFootnotesection"/>
      </w:pPr>
      <w:r>
        <w:tab/>
        <w:t>[Clause 3 inserted: Gazette 1 Sep 2005 p. 4086; amended: SL 2022/211 r. 8.]</w:t>
      </w:r>
    </w:p>
    <w:p>
      <w:pPr>
        <w:pStyle w:val="yHeading5"/>
      </w:pPr>
      <w:bookmarkStart w:id="109" w:name="_Toc173507660"/>
      <w:r>
        <w:rPr>
          <w:rStyle w:val="CharSClsNo"/>
        </w:rPr>
        <w:t>4A</w:t>
      </w:r>
      <w:r>
        <w:t>.</w:t>
      </w:r>
      <w:r>
        <w:rPr>
          <w:b w:val="0"/>
        </w:rPr>
        <w:tab/>
      </w:r>
      <w:r>
        <w:t>Guard dogs not to be used without training</w:t>
      </w:r>
      <w:bookmarkEnd w:id="109"/>
    </w:p>
    <w:p>
      <w:pPr>
        <w:pStyle w:val="ySubsection"/>
      </w:pPr>
      <w:r>
        <w:tab/>
        <w:t>(1)</w:t>
      </w:r>
      <w:r>
        <w:tab/>
        <w:t>A security agent must ensure that a security officer does not use a guard dog in connection with the performance of a business activity for the agent’s business unless the officer has successfully completed an approved training course in the handling of guard dogs.</w:t>
      </w:r>
    </w:p>
    <w:p>
      <w:pPr>
        <w:pStyle w:val="yEdnotesubsection"/>
      </w:pPr>
      <w:r>
        <w:tab/>
        <w:t>[(2)</w:t>
      </w:r>
      <w:r>
        <w:tab/>
        <w:t>deleted]</w:t>
      </w:r>
    </w:p>
    <w:p>
      <w:pPr>
        <w:pStyle w:val="yFootnotesection"/>
      </w:pPr>
      <w:r>
        <w:tab/>
        <w:t>[Clause 4A inserted: Gazette 4 Dec 2009 p. 4910; amended: Gazette 29 Jul 2016 p. 3249; SL 2022/211 r. 9.]</w:t>
      </w:r>
    </w:p>
    <w:p>
      <w:pPr>
        <w:pStyle w:val="yHeading5"/>
        <w:rPr>
          <w:snapToGrid w:val="0"/>
        </w:rPr>
      </w:pPr>
      <w:bookmarkStart w:id="110" w:name="_Toc173507661"/>
      <w:r>
        <w:rPr>
          <w:rStyle w:val="CharSClsNo"/>
        </w:rPr>
        <w:t>4</w:t>
      </w:r>
      <w:r>
        <w:rPr>
          <w:snapToGrid w:val="0"/>
        </w:rPr>
        <w:t>.</w:t>
      </w:r>
      <w:r>
        <w:rPr>
          <w:snapToGrid w:val="0"/>
        </w:rPr>
        <w:tab/>
        <w:t>Arming security officers</w:t>
      </w:r>
      <w:bookmarkEnd w:id="110"/>
      <w:r>
        <w:rPr>
          <w:snapToGrid w:val="0"/>
        </w:rPr>
        <w:t xml:space="preserve"> </w:t>
      </w:r>
    </w:p>
    <w:p>
      <w:pPr>
        <w:pStyle w:val="ySubsection"/>
        <w:rPr>
          <w:snapToGrid w:val="0"/>
        </w:rPr>
      </w:pPr>
      <w:r>
        <w:rPr>
          <w:snapToGrid w:val="0"/>
        </w:rPr>
        <w:tab/>
        <w:t>(1)</w:t>
      </w:r>
      <w:r>
        <w:rPr>
          <w:snapToGrid w:val="0"/>
        </w:rPr>
        <w:tab/>
      </w:r>
      <w:r>
        <w:t xml:space="preserve">A security agent must ensure that a security officer is not in possession of a firearm while the officer is performing a business activity for the agent’s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w:t>
      </w:r>
      <w:r>
        <w:t xml:space="preserve">organisation which holds a licence, </w:t>
      </w:r>
      <w:r>
        <w:rPr>
          <w:snapToGrid w:val="0"/>
        </w:rPr>
        <w:t xml:space="preserve">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lastRenderedPageBreak/>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 xml:space="preserve">is a firearm to which the licence referred to in paragraph (b) </w:t>
      </w:r>
      <w:r>
        <w:t>applies;</w:t>
      </w:r>
    </w:p>
    <w:p>
      <w:pPr>
        <w:pStyle w:val="yIndenta"/>
      </w:pPr>
      <w:r>
        <w:tab/>
      </w:r>
      <w:r>
        <w:tab/>
        <w:t>and</w:t>
      </w:r>
    </w:p>
    <w:p>
      <w:pPr>
        <w:pStyle w:val="yIndenta"/>
      </w:pPr>
      <w:r>
        <w:tab/>
        <w:t>(d)</w:t>
      </w:r>
      <w:r>
        <w:tab/>
        <w:t>the security officer satisfies the condition in clause 11(1).</w:t>
      </w:r>
    </w:p>
    <w:p>
      <w:pPr>
        <w:pStyle w:val="ySubsection"/>
        <w:rPr>
          <w:snapToGrid w:val="0"/>
        </w:rPr>
      </w:pPr>
      <w:r>
        <w:rPr>
          <w:snapToGrid w:val="0"/>
        </w:rPr>
        <w:tab/>
        <w:t>(2)</w:t>
      </w:r>
      <w:r>
        <w:rPr>
          <w:snapToGrid w:val="0"/>
        </w:rPr>
        <w:tab/>
      </w:r>
      <w:r>
        <w:t xml:space="preserve">A security agent must ensure that a security officer is not in possession of a baton while the officer is performing a business activity for the agent’s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 xml:space="preserve">the baton is of a type approved by the Commissioner under </w:t>
      </w:r>
      <w:r>
        <w:t>section 26(2)(b); and</w:t>
      </w:r>
    </w:p>
    <w:p>
      <w:pPr>
        <w:pStyle w:val="yIndenta"/>
      </w:pPr>
      <w:r>
        <w:tab/>
        <w:t>(c)</w:t>
      </w:r>
      <w:r>
        <w:tab/>
        <w:t>the security officer satisfies the condition in clause 11(2).</w:t>
      </w:r>
    </w:p>
    <w:p>
      <w:pPr>
        <w:pStyle w:val="ySubsection"/>
      </w:pPr>
      <w:r>
        <w:tab/>
        <w:t>(3)</w:t>
      </w:r>
      <w:r>
        <w:tab/>
        <w:t>A security agent must ensure that a security officer is not in possession of any other weapon while the officer is performing a business activity for the agent’s business.</w:t>
      </w:r>
    </w:p>
    <w:p>
      <w:pPr>
        <w:pStyle w:val="yFootnotesection"/>
      </w:pPr>
      <w:r>
        <w:tab/>
        <w:t>[Clause 4 amended: Gazette 1 Sep 2005 p. 4086; 4 Dec 2009 p. 4911; SL 2022/211 r. 10.]</w:t>
      </w:r>
    </w:p>
    <w:p>
      <w:pPr>
        <w:pStyle w:val="yHeading5"/>
        <w:rPr>
          <w:snapToGrid w:val="0"/>
        </w:rPr>
      </w:pPr>
      <w:bookmarkStart w:id="111" w:name="_Toc173507662"/>
      <w:r>
        <w:rPr>
          <w:rStyle w:val="CharSClsNo"/>
        </w:rPr>
        <w:t>5</w:t>
      </w:r>
      <w:r>
        <w:rPr>
          <w:snapToGrid w:val="0"/>
        </w:rPr>
        <w:t>.</w:t>
      </w:r>
      <w:r>
        <w:rPr>
          <w:snapToGrid w:val="0"/>
        </w:rPr>
        <w:tab/>
        <w:t>Firearm security</w:t>
      </w:r>
      <w:bookmarkEnd w:id="111"/>
    </w:p>
    <w:p>
      <w:pPr>
        <w:pStyle w:val="ySubsection"/>
        <w:rPr>
          <w:snapToGrid w:val="0"/>
        </w:rPr>
      </w:pPr>
      <w:r>
        <w:rPr>
          <w:snapToGrid w:val="0"/>
        </w:rPr>
        <w:tab/>
        <w:t>(1)</w:t>
      </w:r>
      <w:r>
        <w:rPr>
          <w:snapToGrid w:val="0"/>
        </w:rPr>
        <w:tab/>
      </w:r>
      <w:r>
        <w:t>A security agent must ensure that a firearm for use in connection with the agent’s business is</w:t>
      </w:r>
      <w:r>
        <w:rPr>
          <w:snapToGrid w:val="0"/>
        </w:rPr>
        <w:t xml:space="preserve"> kept, while not being used, at the place of business specified in the security agent’s licence in storage facilities which are adequate to ensure its safety and to safeguard it from loss or improper use. </w:t>
      </w:r>
    </w:p>
    <w:p>
      <w:pPr>
        <w:pStyle w:val="ySubsection"/>
      </w:pPr>
      <w:r>
        <w:tab/>
        <w:t>(2)</w:t>
      </w:r>
      <w:r>
        <w:tab/>
        <w:t xml:space="preserve">Subclause (1) does not prevent a firearm for use in connection with the agent’s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keepNext/>
      </w:pPr>
      <w:r>
        <w:lastRenderedPageBreak/>
        <w:tab/>
        <w:t>(b)</w:t>
      </w:r>
      <w:r>
        <w:tab/>
        <w:t xml:space="preserve">the firearm and any ammunition is stored in accordance with the requirements of the </w:t>
      </w:r>
      <w:r>
        <w:rPr>
          <w:i/>
        </w:rPr>
        <w:t>Firearms Act 1973</w:t>
      </w:r>
      <w:r>
        <w:t>.</w:t>
      </w:r>
    </w:p>
    <w:p>
      <w:pPr>
        <w:pStyle w:val="yFootnotesection"/>
      </w:pPr>
      <w:r>
        <w:tab/>
        <w:t>[Clause 5 amended: Gazette 1 Sep 2005 p. 4086; SL 2022/211 r. 11.]</w:t>
      </w:r>
    </w:p>
    <w:p>
      <w:pPr>
        <w:pStyle w:val="yEdnotesection"/>
      </w:pPr>
      <w:r>
        <w:t>[</w:t>
      </w:r>
      <w:r>
        <w:rPr>
          <w:b/>
        </w:rPr>
        <w:t>6.</w:t>
      </w:r>
      <w:r>
        <w:tab/>
        <w:t>Deleted: SL 2022/211 r. 12.]</w:t>
      </w:r>
    </w:p>
    <w:p>
      <w:pPr>
        <w:pStyle w:val="yHeading3"/>
        <w:rPr>
          <w:snapToGrid w:val="0"/>
        </w:rPr>
      </w:pPr>
      <w:bookmarkStart w:id="112" w:name="_Toc173501572"/>
      <w:bookmarkStart w:id="113" w:name="_Toc173502450"/>
      <w:bookmarkStart w:id="114" w:name="_Toc173507663"/>
      <w:r>
        <w:rPr>
          <w:rStyle w:val="CharSDivNo"/>
        </w:rPr>
        <w:t>Division 2</w:t>
      </w:r>
      <w:r>
        <w:rPr>
          <w:snapToGrid w:val="0"/>
        </w:rPr>
        <w:t> — </w:t>
      </w:r>
      <w:r>
        <w:rPr>
          <w:rStyle w:val="CharSDivText"/>
        </w:rPr>
        <w:t>Security officer’s licence</w:t>
      </w:r>
      <w:bookmarkEnd w:id="112"/>
      <w:bookmarkEnd w:id="113"/>
      <w:bookmarkEnd w:id="114"/>
      <w:r>
        <w:rPr>
          <w:snapToGrid w:val="0"/>
        </w:rPr>
        <w:t xml:space="preserve"> </w:t>
      </w:r>
    </w:p>
    <w:p>
      <w:pPr>
        <w:pStyle w:val="yHeading5"/>
        <w:rPr>
          <w:snapToGrid w:val="0"/>
        </w:rPr>
      </w:pPr>
      <w:bookmarkStart w:id="115" w:name="_Toc173507664"/>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115"/>
    </w:p>
    <w:p>
      <w:pPr>
        <w:pStyle w:val="ySubsection"/>
      </w:pPr>
      <w:r>
        <w:tab/>
        <w:t>(1)</w:t>
      </w:r>
      <w:r>
        <w:tab/>
        <w:t>A security officer must, at all times while performing a licensed activity, wear a uniform of a type approved by the Commissioner.</w:t>
      </w:r>
    </w:p>
    <w:p>
      <w:pPr>
        <w:pStyle w:val="ySubsection"/>
        <w:rPr>
          <w:snapToGrid w:val="0"/>
        </w:rPr>
      </w:pPr>
      <w:r>
        <w:rPr>
          <w:snapToGrid w:val="0"/>
        </w:rPr>
        <w:tab/>
        <w:t>(2)</w:t>
      </w:r>
      <w:r>
        <w:rPr>
          <w:snapToGrid w:val="0"/>
        </w:rPr>
        <w:tab/>
      </w:r>
      <w:r>
        <w:t xml:space="preserve">Subclause (1) </w:t>
      </w:r>
      <w:r>
        <w:rPr>
          <w:snapToGrid w:val="0"/>
        </w:rPr>
        <w:t>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Subclause (1) does not apply — </w:t>
      </w:r>
    </w:p>
    <w:p>
      <w:pPr>
        <w:pStyle w:val="yIndenta"/>
      </w:pPr>
      <w:r>
        <w:tab/>
        <w:t>(a)</w:t>
      </w:r>
      <w:r>
        <w:tab/>
        <w:t>to a security officer who is engaged in loss prevention activities in a retail store; or</w:t>
      </w:r>
    </w:p>
    <w:p>
      <w:pPr>
        <w:pStyle w:val="yIndenta"/>
      </w:pPr>
      <w:r>
        <w:tab/>
        <w:t>(b)</w:t>
      </w:r>
      <w:r>
        <w:tab/>
      </w:r>
      <w:r>
        <w:rPr>
          <w:szCs w:val="22"/>
        </w:rPr>
        <w:t>to a security officer who is engaged in escort duties if a licensing officer is satisfied that the circumstances</w:t>
      </w:r>
      <w:r>
        <w:t xml:space="preserve"> require the security officer to wear clothes other than a uniform of a type approved by the Commissioner.</w:t>
      </w:r>
    </w:p>
    <w:p>
      <w:pPr>
        <w:pStyle w:val="ySubsection"/>
        <w:keepNext/>
      </w:pPr>
      <w:r>
        <w:tab/>
        <w:t>(4)</w:t>
      </w:r>
      <w:r>
        <w:tab/>
        <w:t>A security officer referred to in subclause (3)(a) or (b) must not wear clothes that are confusingly similar to a uniform in use by a police force.</w:t>
      </w:r>
    </w:p>
    <w:p>
      <w:pPr>
        <w:pStyle w:val="yFootnotesection"/>
      </w:pPr>
      <w:r>
        <w:tab/>
        <w:t>[Clause 7 amended: Gazette 1 Sep 2005 p. 4087</w:t>
      </w:r>
      <w:r>
        <w:noBreakHyphen/>
        <w:t>8; SL 2022/211 r. 13.]</w:t>
      </w:r>
    </w:p>
    <w:p>
      <w:pPr>
        <w:pStyle w:val="yHeading5"/>
      </w:pPr>
      <w:bookmarkStart w:id="116" w:name="_Toc173507665"/>
      <w:r>
        <w:rPr>
          <w:rStyle w:val="CharSClsNo"/>
        </w:rPr>
        <w:t>8</w:t>
      </w:r>
      <w:r>
        <w:t>.</w:t>
      </w:r>
      <w:r>
        <w:tab/>
        <w:t>M</w:t>
      </w:r>
      <w:r>
        <w:rPr>
          <w:snapToGrid w:val="0"/>
        </w:rPr>
        <w:t>arkings on vehicles used by security officers</w:t>
      </w:r>
      <w:bookmarkEnd w:id="116"/>
    </w:p>
    <w:p>
      <w:pPr>
        <w:pStyle w:val="ySubsection"/>
      </w:pPr>
      <w:r>
        <w:tab/>
      </w:r>
      <w:r>
        <w:tab/>
        <w:t>A security officer must not use a vehicle while performing a licensed activity if a marking on the vehicle is confusingly similar to a vehicle marking in use by a police force.</w:t>
      </w:r>
    </w:p>
    <w:p>
      <w:pPr>
        <w:pStyle w:val="yFootnotesection"/>
      </w:pPr>
      <w:r>
        <w:tab/>
        <w:t>[Clause 8 inserted: Gazette 1 Sep 2005 p. 4088; amended: SL 2022/211 r. 14.]</w:t>
      </w:r>
    </w:p>
    <w:p>
      <w:pPr>
        <w:pStyle w:val="yHeading5"/>
        <w:rPr>
          <w:snapToGrid w:val="0"/>
        </w:rPr>
      </w:pPr>
      <w:bookmarkStart w:id="117" w:name="_Toc173507666"/>
      <w:r>
        <w:rPr>
          <w:rStyle w:val="CharSClsNo"/>
        </w:rPr>
        <w:lastRenderedPageBreak/>
        <w:t>9</w:t>
      </w:r>
      <w:r>
        <w:rPr>
          <w:snapToGrid w:val="0"/>
        </w:rPr>
        <w:t>.</w:t>
      </w:r>
      <w:r>
        <w:rPr>
          <w:snapToGrid w:val="0"/>
        </w:rPr>
        <w:tab/>
      </w:r>
      <w:r>
        <w:rPr>
          <w:rStyle w:val="CharSClsNo"/>
        </w:rPr>
        <w:t>Carrying</w:t>
      </w:r>
      <w:r>
        <w:rPr>
          <w:snapToGrid w:val="0"/>
        </w:rPr>
        <w:t xml:space="preserve"> of weapons</w:t>
      </w:r>
      <w:bookmarkEnd w:id="117"/>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Gazette 1 Sep 2005 p. 4088; 4 Dec 2009 p. 4911.]</w:t>
      </w:r>
    </w:p>
    <w:p>
      <w:pPr>
        <w:pStyle w:val="yHeading5"/>
        <w:rPr>
          <w:snapToGrid w:val="0"/>
        </w:rPr>
      </w:pPr>
      <w:bookmarkStart w:id="118" w:name="_Toc173507667"/>
      <w:r>
        <w:rPr>
          <w:rStyle w:val="CharSClsNo"/>
        </w:rPr>
        <w:t>10</w:t>
      </w:r>
      <w:r>
        <w:t>.</w:t>
      </w:r>
      <w:r>
        <w:rPr>
          <w:rStyle w:val="CharSClsNo"/>
        </w:rPr>
        <w:tab/>
        <w:t>Firearm</w:t>
      </w:r>
      <w:r>
        <w:rPr>
          <w:snapToGrid w:val="0"/>
        </w:rPr>
        <w:t xml:space="preserve"> security</w:t>
      </w:r>
      <w:bookmarkEnd w:id="118"/>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Gazette 1 Sep 2005 p. 4088.]</w:t>
      </w:r>
    </w:p>
    <w:p>
      <w:pPr>
        <w:pStyle w:val="yHeading5"/>
      </w:pPr>
      <w:bookmarkStart w:id="119" w:name="_Toc173507668"/>
      <w:r>
        <w:rPr>
          <w:rStyle w:val="CharSClsNo"/>
        </w:rPr>
        <w:t>11A</w:t>
      </w:r>
      <w:r>
        <w:t>.</w:t>
      </w:r>
      <w:r>
        <w:rPr>
          <w:b w:val="0"/>
        </w:rPr>
        <w:tab/>
      </w:r>
      <w:r>
        <w:t>Guard dogs not to be used without training</w:t>
      </w:r>
      <w:bookmarkEnd w:id="119"/>
    </w:p>
    <w:p>
      <w:pPr>
        <w:pStyle w:val="ySubsection"/>
      </w:pPr>
      <w:r>
        <w:tab/>
        <w:t>(1)</w:t>
      </w:r>
      <w:r>
        <w:tab/>
        <w:t>A security officer must not use a guard dog in connection with the performance of a licensed activity unless the officer has successfully completed an approved training course in the handling of a guard dog provided by a registered training provider.</w:t>
      </w:r>
    </w:p>
    <w:p>
      <w:pPr>
        <w:pStyle w:val="ySubsection"/>
        <w:rPr>
          <w:iCs/>
        </w:rPr>
      </w:pPr>
      <w:r>
        <w:lastRenderedPageBreak/>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t xml:space="preserve"> (</w:t>
      </w:r>
      <w:r>
        <w:rPr>
          <w:rStyle w:val="CharDefText"/>
        </w:rPr>
        <w:t>commencement day</w:t>
      </w:r>
      <w:r>
        <w:t>) until the day that is 12 months after commencement day</w:t>
      </w:r>
      <w:r>
        <w:rPr>
          <w:iCs/>
        </w:rPr>
        <w:t>.</w:t>
      </w:r>
    </w:p>
    <w:p>
      <w:pPr>
        <w:pStyle w:val="yFootnotesection"/>
      </w:pPr>
      <w:r>
        <w:tab/>
        <w:t>[Clause 11A inserted: Gazette 4 Dec 2009 p. 4911; amended: SL 2022/211 r. 15.]</w:t>
      </w:r>
    </w:p>
    <w:p>
      <w:pPr>
        <w:pStyle w:val="yHeading5"/>
      </w:pPr>
      <w:bookmarkStart w:id="120" w:name="_Toc173507669"/>
      <w:r>
        <w:rPr>
          <w:rStyle w:val="CharSClsNo"/>
        </w:rPr>
        <w:t>11B</w:t>
      </w:r>
      <w:r>
        <w:t>.</w:t>
      </w:r>
      <w:r>
        <w:rPr>
          <w:b w:val="0"/>
        </w:rPr>
        <w:tab/>
      </w:r>
      <w:r>
        <w:t>First aid certificate</w:t>
      </w:r>
      <w:bookmarkEnd w:id="120"/>
    </w:p>
    <w:p>
      <w:pPr>
        <w:pStyle w:val="ySubsection"/>
      </w:pPr>
      <w:r>
        <w:tab/>
        <w:t>(1)</w:t>
      </w:r>
      <w:r>
        <w:tab/>
        <w:t xml:space="preserve">A security officer must not perform any licensed activity unless the officer holds a current first aid certificate. </w:t>
      </w:r>
    </w:p>
    <w:p>
      <w:pPr>
        <w:pStyle w:val="yEdnotesubsection"/>
      </w:pPr>
      <w:r>
        <w:tab/>
        <w:t>[(2)</w:t>
      </w:r>
      <w:r>
        <w:tab/>
        <w:t>deleted]</w:t>
      </w:r>
    </w:p>
    <w:p>
      <w:pPr>
        <w:pStyle w:val="yFootnotesection"/>
      </w:pPr>
      <w:r>
        <w:tab/>
        <w:t>[Clause 11B inserted: Gazette 4 Dec 2009 p. 4912; amended: Gazette 29 Jul 2016 p. 3249.]</w:t>
      </w:r>
    </w:p>
    <w:p>
      <w:pPr>
        <w:pStyle w:val="yHeading3"/>
      </w:pPr>
      <w:bookmarkStart w:id="121" w:name="_Toc173501579"/>
      <w:bookmarkStart w:id="122" w:name="_Toc173502457"/>
      <w:bookmarkStart w:id="123" w:name="_Toc173507670"/>
      <w:r>
        <w:rPr>
          <w:rStyle w:val="CharSDivNo"/>
        </w:rPr>
        <w:t>Division 2A</w:t>
      </w:r>
      <w:r>
        <w:rPr>
          <w:b w:val="0"/>
        </w:rPr>
        <w:t> — </w:t>
      </w:r>
      <w:r>
        <w:rPr>
          <w:rStyle w:val="CharSDivText"/>
        </w:rPr>
        <w:t>Security officer’s licence endorsement</w:t>
      </w:r>
      <w:bookmarkEnd w:id="121"/>
      <w:bookmarkEnd w:id="122"/>
      <w:bookmarkEnd w:id="123"/>
    </w:p>
    <w:p>
      <w:pPr>
        <w:pStyle w:val="yFootnoteheading"/>
      </w:pPr>
      <w:r>
        <w:tab/>
        <w:t>[Heading inserted: Gazette 3 Oct 2006 p. 4347.]</w:t>
      </w:r>
    </w:p>
    <w:p>
      <w:pPr>
        <w:pStyle w:val="yHeading5"/>
      </w:pPr>
      <w:bookmarkStart w:id="124" w:name="_Toc173507671"/>
      <w:r>
        <w:rPr>
          <w:rStyle w:val="CharSClsNo"/>
        </w:rPr>
        <w:t>11</w:t>
      </w:r>
      <w:r>
        <w:t>.</w:t>
      </w:r>
      <w:r>
        <w:tab/>
        <w:t>Periodic weapons training</w:t>
      </w:r>
      <w:bookmarkEnd w:id="124"/>
    </w:p>
    <w:p>
      <w:pPr>
        <w:pStyle w:val="ySubsection"/>
      </w:pPr>
      <w:r>
        <w:tab/>
        <w:t>(1)</w:t>
      </w:r>
      <w:r>
        <w:tab/>
        <w:t>A security officer whose licence is endorsed under section 24 must successfully complete a training course in firearms discharge within the period of 12 months beginning on the day on which the officer last successfully completed a training course in firearms discharge.</w:t>
      </w:r>
    </w:p>
    <w:p>
      <w:pPr>
        <w:pStyle w:val="ySubsection"/>
      </w:pPr>
      <w:r>
        <w:tab/>
        <w:t>(2)</w:t>
      </w:r>
      <w:r>
        <w:tab/>
        <w:t>A security officer whose licence is endorsed under section 26 must successfully complete an approved training course in baton use within the period of 12 months beginning on the day on which the officer last successfully completed an approved training course in baton use.</w:t>
      </w:r>
    </w:p>
    <w:p>
      <w:pPr>
        <w:pStyle w:val="yFootnotesection"/>
      </w:pPr>
      <w:r>
        <w:tab/>
        <w:t>[Clause 11 inserted: SL 2022/211 r. 16.]</w:t>
      </w:r>
    </w:p>
    <w:p>
      <w:pPr>
        <w:pStyle w:val="yHeading3"/>
      </w:pPr>
      <w:bookmarkStart w:id="125" w:name="_Toc173501581"/>
      <w:bookmarkStart w:id="126" w:name="_Toc173502459"/>
      <w:bookmarkStart w:id="127" w:name="_Toc173507672"/>
      <w:r>
        <w:rPr>
          <w:rStyle w:val="CharSDivNo"/>
        </w:rPr>
        <w:lastRenderedPageBreak/>
        <w:t>Division 2B</w:t>
      </w:r>
      <w:r>
        <w:rPr>
          <w:b w:val="0"/>
        </w:rPr>
        <w:t> — </w:t>
      </w:r>
      <w:r>
        <w:rPr>
          <w:rStyle w:val="CharSDivText"/>
        </w:rPr>
        <w:t>Security bodyguard’s licence</w:t>
      </w:r>
      <w:bookmarkEnd w:id="125"/>
      <w:bookmarkEnd w:id="126"/>
      <w:bookmarkEnd w:id="127"/>
    </w:p>
    <w:p>
      <w:pPr>
        <w:pStyle w:val="yFootnoteheading"/>
        <w:keepNext/>
      </w:pPr>
      <w:r>
        <w:tab/>
        <w:t>[Heading inserted: Gazette 4 Dec 2009 p. 4912.]</w:t>
      </w:r>
    </w:p>
    <w:p>
      <w:pPr>
        <w:pStyle w:val="yHeading5"/>
      </w:pPr>
      <w:bookmarkStart w:id="128" w:name="_Toc173507673"/>
      <w:r>
        <w:rPr>
          <w:rStyle w:val="CharSClsNo"/>
        </w:rPr>
        <w:t>12A</w:t>
      </w:r>
      <w:r>
        <w:t>.</w:t>
      </w:r>
      <w:r>
        <w:rPr>
          <w:b w:val="0"/>
        </w:rPr>
        <w:tab/>
      </w:r>
      <w:r>
        <w:t>No weapons to be carried by security bodyguard</w:t>
      </w:r>
      <w:bookmarkEnd w:id="128"/>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r>
        <w:tab/>
        <w:t>[Clause 12A inserted: Gazette 4 Dec 2009 p. 4912.]</w:t>
      </w:r>
    </w:p>
    <w:p>
      <w:pPr>
        <w:pStyle w:val="yHeading5"/>
      </w:pPr>
      <w:bookmarkStart w:id="129" w:name="_Toc173507674"/>
      <w:r>
        <w:rPr>
          <w:rStyle w:val="CharSClsNo"/>
        </w:rPr>
        <w:t>12B</w:t>
      </w:r>
      <w:r>
        <w:t>.</w:t>
      </w:r>
      <w:r>
        <w:rPr>
          <w:b w:val="0"/>
        </w:rPr>
        <w:tab/>
      </w:r>
      <w:r>
        <w:t>First aid certificate</w:t>
      </w:r>
      <w:bookmarkEnd w:id="129"/>
    </w:p>
    <w:p>
      <w:pPr>
        <w:pStyle w:val="ySubsection"/>
      </w:pPr>
      <w:r>
        <w:tab/>
      </w:r>
      <w:r>
        <w:tab/>
        <w:t xml:space="preserve">A security bodyguard must not perform a licensed activity unless the bodyguard holds a current first aid certificate. </w:t>
      </w:r>
    </w:p>
    <w:p>
      <w:pPr>
        <w:pStyle w:val="yFootnotesection"/>
      </w:pPr>
      <w:r>
        <w:tab/>
        <w:t>[Clause 12B inserted: Gazette 4 Dec 2009 p. 4912.]</w:t>
      </w:r>
    </w:p>
    <w:p>
      <w:pPr>
        <w:pStyle w:val="yHeading3"/>
        <w:rPr>
          <w:snapToGrid w:val="0"/>
        </w:rPr>
      </w:pPr>
      <w:bookmarkStart w:id="130" w:name="_Toc173501584"/>
      <w:bookmarkStart w:id="131" w:name="_Toc173502462"/>
      <w:bookmarkStart w:id="132" w:name="_Toc173507675"/>
      <w:r>
        <w:rPr>
          <w:rStyle w:val="CharSDivNo"/>
        </w:rPr>
        <w:t>Division 3</w:t>
      </w:r>
      <w:r>
        <w:rPr>
          <w:snapToGrid w:val="0"/>
        </w:rPr>
        <w:t> — </w:t>
      </w:r>
      <w:r>
        <w:rPr>
          <w:rStyle w:val="CharSDivText"/>
        </w:rPr>
        <w:t>Inquiry agent’s licence</w:t>
      </w:r>
      <w:bookmarkEnd w:id="130"/>
      <w:bookmarkEnd w:id="131"/>
      <w:bookmarkEnd w:id="132"/>
      <w:r>
        <w:rPr>
          <w:snapToGrid w:val="0"/>
        </w:rPr>
        <w:t xml:space="preserve"> </w:t>
      </w:r>
    </w:p>
    <w:p>
      <w:pPr>
        <w:pStyle w:val="yHeading5"/>
        <w:rPr>
          <w:rStyle w:val="CharSClsNo"/>
        </w:rPr>
      </w:pPr>
      <w:bookmarkStart w:id="133" w:name="_Toc173507676"/>
      <w:r>
        <w:rPr>
          <w:rStyle w:val="CharSClsNo"/>
        </w:rPr>
        <w:t>12</w:t>
      </w:r>
      <w:r>
        <w:t>.</w:t>
      </w:r>
      <w:r>
        <w:rPr>
          <w:rStyle w:val="CharSClsNo"/>
        </w:rPr>
        <w:tab/>
        <w:t>C</w:t>
      </w:r>
      <w:r>
        <w:rPr>
          <w:snapToGrid w:val="0"/>
        </w:rPr>
        <w:t>hange of partners, officers or personnel to be notified</w:t>
      </w:r>
      <w:bookmarkEnd w:id="133"/>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Gazette 4 Dec 2009 p. 4913.]</w:t>
      </w:r>
    </w:p>
    <w:p>
      <w:pPr>
        <w:pStyle w:val="yHeading3"/>
        <w:rPr>
          <w:snapToGrid w:val="0"/>
        </w:rPr>
      </w:pPr>
      <w:bookmarkStart w:id="134" w:name="_Toc173501586"/>
      <w:bookmarkStart w:id="135" w:name="_Toc173502464"/>
      <w:bookmarkStart w:id="136" w:name="_Toc173507677"/>
      <w:r>
        <w:rPr>
          <w:rStyle w:val="CharSDivNo"/>
        </w:rPr>
        <w:lastRenderedPageBreak/>
        <w:t>Division 4</w:t>
      </w:r>
      <w:r>
        <w:rPr>
          <w:snapToGrid w:val="0"/>
        </w:rPr>
        <w:t> — </w:t>
      </w:r>
      <w:r>
        <w:rPr>
          <w:rStyle w:val="CharSDivText"/>
        </w:rPr>
        <w:t>Crowd control agent’s licence</w:t>
      </w:r>
      <w:bookmarkEnd w:id="134"/>
      <w:bookmarkEnd w:id="135"/>
      <w:bookmarkEnd w:id="136"/>
    </w:p>
    <w:p>
      <w:pPr>
        <w:pStyle w:val="yHeading5"/>
        <w:rPr>
          <w:rStyle w:val="CharSClsNo"/>
        </w:rPr>
      </w:pPr>
      <w:bookmarkStart w:id="137" w:name="_Toc173507678"/>
      <w:r>
        <w:rPr>
          <w:rStyle w:val="CharSClsNo"/>
        </w:rPr>
        <w:t>13</w:t>
      </w:r>
      <w:r>
        <w:t>.</w:t>
      </w:r>
      <w:r>
        <w:rPr>
          <w:rStyle w:val="CharSClsNo"/>
        </w:rPr>
        <w:tab/>
        <w:t>C</w:t>
      </w:r>
      <w:r>
        <w:rPr>
          <w:snapToGrid w:val="0"/>
        </w:rPr>
        <w:t>hange of partners, officers or personnel to be notified</w:t>
      </w:r>
      <w:bookmarkEnd w:id="137"/>
      <w:r>
        <w:rPr>
          <w:rStyle w:val="CharSClsNo"/>
        </w:rPr>
        <w:t xml:space="preserve"> </w:t>
      </w:r>
    </w:p>
    <w:p>
      <w:pPr>
        <w:pStyle w:val="ySubsection"/>
        <w:keepNext/>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Gazette 4 Dec 2009 p. 4913.]</w:t>
      </w:r>
    </w:p>
    <w:p>
      <w:pPr>
        <w:pStyle w:val="yHeading5"/>
        <w:rPr>
          <w:rStyle w:val="CharSClsNo"/>
        </w:rPr>
      </w:pPr>
      <w:bookmarkStart w:id="138" w:name="_Toc173507679"/>
      <w:r>
        <w:rPr>
          <w:rStyle w:val="CharSClsNo"/>
        </w:rPr>
        <w:t>14</w:t>
      </w:r>
      <w:r>
        <w:t>.</w:t>
      </w:r>
      <w:r>
        <w:rPr>
          <w:rStyle w:val="CharSClsNo"/>
        </w:rPr>
        <w:tab/>
        <w:t>I</w:t>
      </w:r>
      <w:r>
        <w:rPr>
          <w:snapToGrid w:val="0"/>
        </w:rPr>
        <w:t>dentification cards</w:t>
      </w:r>
      <w:r>
        <w:rPr>
          <w:rStyle w:val="CharSClsNo"/>
        </w:rPr>
        <w:t xml:space="preserve"> to be worn</w:t>
      </w:r>
      <w:bookmarkEnd w:id="138"/>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Gazette 1 Sep 2005 p. 4089.]</w:t>
      </w:r>
    </w:p>
    <w:p>
      <w:pPr>
        <w:pStyle w:val="yHeading5"/>
        <w:rPr>
          <w:snapToGrid w:val="0"/>
        </w:rPr>
      </w:pPr>
      <w:bookmarkStart w:id="139" w:name="_Toc173507680"/>
      <w:r>
        <w:rPr>
          <w:rStyle w:val="CharSClsNo"/>
        </w:rPr>
        <w:t>15</w:t>
      </w:r>
      <w:r>
        <w:t>.</w:t>
      </w:r>
      <w:r>
        <w:rPr>
          <w:rStyle w:val="CharSClsNo"/>
        </w:rPr>
        <w:tab/>
        <w:t>Information</w:t>
      </w:r>
      <w:r>
        <w:rPr>
          <w:snapToGrid w:val="0"/>
        </w:rPr>
        <w:t xml:space="preserve"> to clients</w:t>
      </w:r>
      <w:bookmarkEnd w:id="139"/>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lastRenderedPageBreak/>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Gazette 1 Sep 2005 p. 4089.]</w:t>
      </w:r>
    </w:p>
    <w:p>
      <w:pPr>
        <w:pStyle w:val="yHeading5"/>
      </w:pPr>
      <w:bookmarkStart w:id="140" w:name="_Toc173507681"/>
      <w:r>
        <w:rPr>
          <w:rStyle w:val="CharSClsNo"/>
        </w:rPr>
        <w:t>15A</w:t>
      </w:r>
      <w:r>
        <w:t>.</w:t>
      </w:r>
      <w:r>
        <w:rPr>
          <w:b w:val="0"/>
        </w:rPr>
        <w:tab/>
      </w:r>
      <w:r>
        <w:t>Information to licensing officer</w:t>
      </w:r>
      <w:bookmarkEnd w:id="140"/>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keepNext/>
      </w:pPr>
      <w:r>
        <w:tab/>
        <w:t>(2)</w:t>
      </w:r>
      <w:r>
        <w:tab/>
        <w:t>The notice under subclause (1) is to be in writing and given to a licensing officer within any time frame specified in the request.</w:t>
      </w:r>
    </w:p>
    <w:p>
      <w:pPr>
        <w:pStyle w:val="yFootnotesection"/>
      </w:pPr>
      <w:r>
        <w:tab/>
        <w:t>[Clause 15A inserted: Gazette 4 Dec 2009 p. 4913</w:t>
      </w:r>
      <w:r>
        <w:noBreakHyphen/>
        <w:t>14.]</w:t>
      </w:r>
    </w:p>
    <w:p>
      <w:pPr>
        <w:pStyle w:val="yHeading5"/>
        <w:rPr>
          <w:snapToGrid w:val="0"/>
        </w:rPr>
      </w:pPr>
      <w:bookmarkStart w:id="141" w:name="_Toc173507682"/>
      <w:r>
        <w:rPr>
          <w:rStyle w:val="CharSClsNo"/>
        </w:rPr>
        <w:t>16</w:t>
      </w:r>
      <w:r>
        <w:t>.</w:t>
      </w:r>
      <w:r>
        <w:rPr>
          <w:rStyle w:val="CharSClsNo"/>
        </w:rPr>
        <w:tab/>
      </w:r>
      <w:r>
        <w:rPr>
          <w:snapToGrid w:val="0"/>
        </w:rPr>
        <w:t>No weapons to be carried by crowd controllers</w:t>
      </w:r>
      <w:bookmarkEnd w:id="141"/>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r>
        <w:tab/>
        <w:t>[Clause 16 amended: Gazette 1 Sep 2005 p. 4089.]</w:t>
      </w:r>
    </w:p>
    <w:p>
      <w:pPr>
        <w:pStyle w:val="yHeading5"/>
      </w:pPr>
      <w:bookmarkStart w:id="142" w:name="_Toc173507683"/>
      <w:r>
        <w:rPr>
          <w:rStyle w:val="CharSClsNo"/>
        </w:rPr>
        <w:t>16A</w:t>
      </w:r>
      <w:r>
        <w:t>.</w:t>
      </w:r>
      <w:r>
        <w:rPr>
          <w:rStyle w:val="CharSClsNo"/>
        </w:rPr>
        <w:tab/>
        <w:t>Incident</w:t>
      </w:r>
      <w:r>
        <w:rPr>
          <w:snapToGrid w:val="0"/>
        </w:rPr>
        <w:t xml:space="preserve"> register, duties as to</w:t>
      </w:r>
      <w:bookmarkEnd w:id="142"/>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lastRenderedPageBreak/>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Gazette 1 Sep 2005 p. 4090.]</w:t>
      </w:r>
    </w:p>
    <w:p>
      <w:pPr>
        <w:pStyle w:val="yHeading3"/>
        <w:rPr>
          <w:snapToGrid w:val="0"/>
        </w:rPr>
      </w:pPr>
      <w:bookmarkStart w:id="143" w:name="_Toc173501593"/>
      <w:bookmarkStart w:id="144" w:name="_Toc173502471"/>
      <w:bookmarkStart w:id="145" w:name="_Toc173507684"/>
      <w:r>
        <w:rPr>
          <w:rStyle w:val="CharSDivNo"/>
        </w:rPr>
        <w:t>Division 5</w:t>
      </w:r>
      <w:r>
        <w:rPr>
          <w:snapToGrid w:val="0"/>
        </w:rPr>
        <w:t> — </w:t>
      </w:r>
      <w:r>
        <w:rPr>
          <w:rStyle w:val="CharSDivText"/>
        </w:rPr>
        <w:t>Crowd controller’s licence</w:t>
      </w:r>
      <w:bookmarkEnd w:id="143"/>
      <w:bookmarkEnd w:id="144"/>
      <w:bookmarkEnd w:id="145"/>
    </w:p>
    <w:p>
      <w:pPr>
        <w:pStyle w:val="yHeading5"/>
        <w:rPr>
          <w:snapToGrid w:val="0"/>
        </w:rPr>
      </w:pPr>
      <w:bookmarkStart w:id="146" w:name="_Toc173507685"/>
      <w:r>
        <w:rPr>
          <w:rStyle w:val="CharSClsNo"/>
        </w:rPr>
        <w:t>17</w:t>
      </w:r>
      <w:r>
        <w:t>.</w:t>
      </w:r>
      <w:r>
        <w:rPr>
          <w:rStyle w:val="CharSClsNo"/>
        </w:rPr>
        <w:tab/>
        <w:t>I</w:t>
      </w:r>
      <w:r>
        <w:rPr>
          <w:snapToGrid w:val="0"/>
        </w:rPr>
        <w:t>dentification card to be worn</w:t>
      </w:r>
      <w:bookmarkEnd w:id="146"/>
    </w:p>
    <w:p>
      <w:pPr>
        <w:pStyle w:val="ySubsection"/>
        <w:keepNext/>
        <w:rPr>
          <w:snapToGrid w:val="0"/>
        </w:rPr>
      </w:pPr>
      <w:r>
        <w:rPr>
          <w:snapToGrid w:val="0"/>
        </w:rPr>
        <w:tab/>
      </w:r>
      <w:r>
        <w:rPr>
          <w:snapToGrid w:val="0"/>
        </w:rPr>
        <w:tab/>
        <w:t>A crowd controller to whom an identification card has been issued under section 61 must wear that card — </w:t>
      </w:r>
    </w:p>
    <w:p>
      <w:pPr>
        <w:pStyle w:val="yIndenta"/>
        <w:keepNext/>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Gazette 1 Sep 2005 p. 4090.]</w:t>
      </w:r>
    </w:p>
    <w:p>
      <w:pPr>
        <w:pStyle w:val="yHeading5"/>
        <w:rPr>
          <w:rStyle w:val="CharSClsNo"/>
        </w:rPr>
      </w:pPr>
      <w:bookmarkStart w:id="147" w:name="_Toc173507686"/>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147"/>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148" w:name="_Toc173507687"/>
      <w:r>
        <w:rPr>
          <w:rStyle w:val="CharSClsNo"/>
        </w:rPr>
        <w:lastRenderedPageBreak/>
        <w:t>19A</w:t>
      </w:r>
      <w:r>
        <w:t>.</w:t>
      </w:r>
      <w:r>
        <w:rPr>
          <w:b w:val="0"/>
        </w:rPr>
        <w:tab/>
      </w:r>
      <w:r>
        <w:t>First aid certificate</w:t>
      </w:r>
      <w:bookmarkEnd w:id="148"/>
    </w:p>
    <w:p>
      <w:pPr>
        <w:pStyle w:val="ySubsection"/>
      </w:pPr>
      <w:r>
        <w:tab/>
        <w:t>(1)</w:t>
      </w:r>
      <w:r>
        <w:tab/>
        <w:t>A crowd controller must not perform crowd control activities unless the controller holds a current first aid certificate.</w:t>
      </w:r>
    </w:p>
    <w:p>
      <w:pPr>
        <w:pStyle w:val="yEdnotesubsection"/>
      </w:pPr>
      <w:r>
        <w:tab/>
        <w:t>[(2)</w:t>
      </w:r>
      <w:r>
        <w:tab/>
        <w:t>deleted]</w:t>
      </w:r>
    </w:p>
    <w:p>
      <w:pPr>
        <w:pStyle w:val="yFootnotesection"/>
      </w:pPr>
      <w:r>
        <w:tab/>
        <w:t>[Clause 19A inserted: Gazette 4 Dec 2009 p. 4914; amended: Gazette 29 Jul 2016 p. 3249.]</w:t>
      </w:r>
    </w:p>
    <w:p>
      <w:pPr>
        <w:pStyle w:val="yHeading5"/>
      </w:pPr>
      <w:bookmarkStart w:id="149" w:name="_Toc173507688"/>
      <w:r>
        <w:rPr>
          <w:rStyle w:val="CharSClsNo"/>
        </w:rPr>
        <w:t>19</w:t>
      </w:r>
      <w:r>
        <w:t>.</w:t>
      </w:r>
      <w:r>
        <w:rPr>
          <w:rStyle w:val="CharSClsNo"/>
        </w:rPr>
        <w:tab/>
        <w:t>Incident</w:t>
      </w:r>
      <w:r>
        <w:rPr>
          <w:snapToGrid w:val="0"/>
        </w:rPr>
        <w:t xml:space="preserve"> register, duties as to</w:t>
      </w:r>
      <w:bookmarkEnd w:id="149"/>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Gazette 1 Sep 2005 p. 4091.]</w:t>
      </w:r>
    </w:p>
    <w:p>
      <w:pPr>
        <w:pStyle w:val="yHeading3"/>
      </w:pPr>
      <w:bookmarkStart w:id="150" w:name="_Toc173501598"/>
      <w:bookmarkStart w:id="151" w:name="_Toc173502476"/>
      <w:bookmarkStart w:id="152" w:name="_Toc173507689"/>
      <w:r>
        <w:rPr>
          <w:rStyle w:val="CharSDivNo"/>
        </w:rPr>
        <w:t>Division 6 </w:t>
      </w:r>
      <w:r>
        <w:t>— </w:t>
      </w:r>
      <w:r>
        <w:rPr>
          <w:rStyle w:val="CharSDivText"/>
        </w:rPr>
        <w:t>All licences</w:t>
      </w:r>
      <w:bookmarkEnd w:id="150"/>
      <w:bookmarkEnd w:id="151"/>
      <w:bookmarkEnd w:id="152"/>
    </w:p>
    <w:p>
      <w:pPr>
        <w:pStyle w:val="yFootnoteheading"/>
      </w:pPr>
      <w:r>
        <w:tab/>
        <w:t>[Heading inserted: Gazette 1 Sep 2005 p. 4091.]</w:t>
      </w:r>
    </w:p>
    <w:p>
      <w:pPr>
        <w:pStyle w:val="yHeading5"/>
      </w:pPr>
      <w:bookmarkStart w:id="153" w:name="_Toc173507690"/>
      <w:r>
        <w:rPr>
          <w:rStyle w:val="CharSClsNo"/>
        </w:rPr>
        <w:t>20</w:t>
      </w:r>
      <w:r>
        <w:t>.</w:t>
      </w:r>
      <w:r>
        <w:tab/>
        <w:t>Identity cards, duties of people holding</w:t>
      </w:r>
      <w:bookmarkEnd w:id="153"/>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lastRenderedPageBreak/>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Gazette 1 Sep 2005 p. 4091</w:t>
      </w:r>
      <w:r>
        <w:noBreakHyphen/>
        <w:t>2.]</w:t>
      </w:r>
    </w:p>
    <w:p>
      <w:pPr>
        <w:pStyle w:val="yScheduleHeading"/>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155" w:name="_Toc173501600"/>
      <w:bookmarkStart w:id="156" w:name="_Toc173502478"/>
      <w:bookmarkStart w:id="157" w:name="_Toc173507691"/>
      <w:r>
        <w:rPr>
          <w:rStyle w:val="CharSchNo"/>
        </w:rPr>
        <w:lastRenderedPageBreak/>
        <w:t>Schedule 2</w:t>
      </w:r>
      <w:r>
        <w:t> — </w:t>
      </w:r>
      <w:r>
        <w:rPr>
          <w:rStyle w:val="CharSchText"/>
        </w:rPr>
        <w:t>Disqualifying offences</w:t>
      </w:r>
      <w:bookmarkEnd w:id="155"/>
      <w:bookmarkEnd w:id="156"/>
      <w:bookmarkEnd w:id="157"/>
    </w:p>
    <w:p>
      <w:pPr>
        <w:pStyle w:val="yShoulderClause"/>
      </w:pPr>
      <w:r>
        <w:t>[r. 24]</w:t>
      </w:r>
    </w:p>
    <w:p>
      <w:pPr>
        <w:pStyle w:val="yFootnoteheading"/>
      </w:pPr>
      <w:r>
        <w:tab/>
        <w:t>[Heading inserted: Gazette 4 Dec 2009 p. 4914.]</w:t>
      </w:r>
    </w:p>
    <w:p>
      <w:pPr>
        <w:pStyle w:val="yHeading3"/>
      </w:pPr>
      <w:bookmarkStart w:id="158" w:name="_Toc173501601"/>
      <w:bookmarkStart w:id="159" w:name="_Toc173502479"/>
      <w:bookmarkStart w:id="160" w:name="_Toc173507692"/>
      <w:r>
        <w:rPr>
          <w:rStyle w:val="CharSDivNo"/>
        </w:rPr>
        <w:t>Division 1</w:t>
      </w:r>
      <w:r>
        <w:rPr>
          <w:b w:val="0"/>
        </w:rPr>
        <w:t> — </w:t>
      </w:r>
      <w:r>
        <w:rPr>
          <w:rStyle w:val="CharSDivText"/>
        </w:rPr>
        <w:t>Division 1 offences</w:t>
      </w:r>
      <w:bookmarkEnd w:id="158"/>
      <w:bookmarkEnd w:id="159"/>
      <w:bookmarkEnd w:id="160"/>
    </w:p>
    <w:p>
      <w:pPr>
        <w:pStyle w:val="yFootnoteheading"/>
        <w:spacing w:after="120"/>
      </w:pPr>
      <w:r>
        <w:tab/>
        <w:t>[Heading inserted: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192</w:t>
            </w:r>
          </w:p>
        </w:tc>
        <w:tc>
          <w:tcPr>
            <w:tcW w:w="1701" w:type="dxa"/>
            <w:tcBorders>
              <w:top w:val="nil"/>
              <w:left w:val="nil"/>
              <w:bottom w:val="nil"/>
              <w:right w:val="nil"/>
            </w:tcBorders>
          </w:tcPr>
          <w:p>
            <w:pPr>
              <w:pStyle w:val="yTableNAm"/>
              <w:spacing w:before="80"/>
            </w:pPr>
            <w:r>
              <w:t>s. 345</w:t>
            </w:r>
          </w:p>
        </w:tc>
        <w:tc>
          <w:tcPr>
            <w:tcW w:w="1681" w:type="dxa"/>
            <w:tcBorders>
              <w:top w:val="nil"/>
              <w:left w:val="nil"/>
              <w:bottom w:val="nil"/>
              <w:right w:val="nil"/>
            </w:tcBorders>
          </w:tcPr>
          <w:p>
            <w:pPr>
              <w:pStyle w:val="yTableNAm"/>
              <w:spacing w:before="80"/>
            </w:pPr>
            <w:r>
              <w:t>s. 396</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488</w:t>
            </w:r>
          </w:p>
        </w:tc>
        <w:tc>
          <w:tcPr>
            <w:tcW w:w="1701" w:type="dxa"/>
            <w:tcBorders>
              <w:top w:val="nil"/>
              <w:left w:val="nil"/>
              <w:bottom w:val="nil"/>
              <w:right w:val="nil"/>
            </w:tcBorders>
          </w:tcPr>
          <w:p>
            <w:pPr>
              <w:pStyle w:val="yTableNAm"/>
              <w:spacing w:before="80"/>
            </w:pP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941"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Gazette 4 Dec 2009 p. 4914</w:t>
      </w:r>
      <w:r>
        <w:noBreakHyphen/>
        <w:t>15; amended: Gazette 29 Jul 2016 p. 3249.]</w:t>
      </w:r>
    </w:p>
    <w:p>
      <w:pPr>
        <w:pStyle w:val="yHeading3"/>
      </w:pPr>
      <w:bookmarkStart w:id="161" w:name="_Toc173501602"/>
      <w:bookmarkStart w:id="162" w:name="_Toc173502480"/>
      <w:bookmarkStart w:id="163" w:name="_Toc173507693"/>
      <w:r>
        <w:rPr>
          <w:rStyle w:val="CharSDivNo"/>
        </w:rPr>
        <w:lastRenderedPageBreak/>
        <w:t>Division 2</w:t>
      </w:r>
      <w:r>
        <w:rPr>
          <w:b w:val="0"/>
        </w:rPr>
        <w:t> — </w:t>
      </w:r>
      <w:r>
        <w:rPr>
          <w:rStyle w:val="CharSDivText"/>
        </w:rPr>
        <w:t>Division 2 offences</w:t>
      </w:r>
      <w:bookmarkEnd w:id="161"/>
      <w:bookmarkEnd w:id="162"/>
      <w:bookmarkEnd w:id="163"/>
    </w:p>
    <w:p>
      <w:pPr>
        <w:pStyle w:val="yFootnoteheading"/>
        <w:spacing w:after="120"/>
      </w:pPr>
      <w:r>
        <w:tab/>
        <w:t>[Heading inserted: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rPr>
                <w:szCs w:val="22"/>
              </w:rPr>
              <w:t>s. 172</w:t>
            </w:r>
          </w:p>
        </w:tc>
        <w:tc>
          <w:tcPr>
            <w:tcW w:w="1624" w:type="dxa"/>
            <w:tcBorders>
              <w:top w:val="nil"/>
              <w:left w:val="nil"/>
              <w:bottom w:val="nil"/>
              <w:right w:val="nil"/>
            </w:tcBorders>
          </w:tcPr>
          <w:p>
            <w:pPr>
              <w:pStyle w:val="yTableNAm"/>
              <w:spacing w:before="80"/>
            </w:pPr>
            <w:r>
              <w:t>s. 190</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191</w:t>
            </w:r>
          </w:p>
        </w:tc>
        <w:tc>
          <w:tcPr>
            <w:tcW w:w="1701" w:type="dxa"/>
            <w:tcBorders>
              <w:top w:val="nil"/>
              <w:left w:val="nil"/>
              <w:bottom w:val="nil"/>
              <w:right w:val="nil"/>
            </w:tcBorders>
          </w:tcPr>
          <w:p>
            <w:pPr>
              <w:pStyle w:val="yTableNAm"/>
              <w:spacing w:before="80"/>
            </w:pPr>
            <w:r>
              <w:t>s. 202</w:t>
            </w:r>
          </w:p>
        </w:tc>
        <w:tc>
          <w:tcPr>
            <w:tcW w:w="1624" w:type="dxa"/>
            <w:tcBorders>
              <w:top w:val="nil"/>
              <w:left w:val="nil"/>
              <w:bottom w:val="nil"/>
              <w:right w:val="nil"/>
            </w:tcBorders>
          </w:tcPr>
          <w:p>
            <w:pPr>
              <w:pStyle w:val="yTableNAm"/>
              <w:spacing w:before="80"/>
            </w:pPr>
            <w:r>
              <w:t>s. 313</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445</w:t>
            </w:r>
          </w:p>
        </w:tc>
        <w:tc>
          <w:tcPr>
            <w:tcW w:w="1701" w:type="dxa"/>
            <w:tcBorders>
              <w:top w:val="nil"/>
              <w:left w:val="nil"/>
              <w:bottom w:val="nil"/>
              <w:right w:val="nil"/>
            </w:tcBorders>
          </w:tcPr>
          <w:p>
            <w:pPr>
              <w:pStyle w:val="yTableNAm"/>
              <w:spacing w:before="80"/>
            </w:pPr>
            <w:r>
              <w:t>s. 474</w:t>
            </w:r>
          </w:p>
        </w:tc>
        <w:tc>
          <w:tcPr>
            <w:tcW w:w="1624" w:type="dxa"/>
            <w:tcBorders>
              <w:top w:val="nil"/>
              <w:left w:val="nil"/>
              <w:bottom w:val="nil"/>
              <w:right w:val="nil"/>
            </w:tcBorders>
          </w:tcPr>
          <w:p>
            <w:pPr>
              <w:pStyle w:val="yTableNAm"/>
              <w:spacing w:before="80"/>
            </w:pPr>
            <w:r>
              <w:t>s. 514</w:t>
            </w: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Medicines and Poisons Act 2014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Gazette 4 Dec 2009 p. 4915</w:t>
      </w:r>
      <w:r>
        <w:noBreakHyphen/>
        <w:t>16; amended: Gazette 29 Jul 2016 p. 3249; 17 Jan 2017 p. 416.]</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yScheduleHeading"/>
      </w:pPr>
      <w:bookmarkStart w:id="164" w:name="_Toc173501603"/>
      <w:bookmarkStart w:id="165" w:name="_Toc173502481"/>
      <w:bookmarkStart w:id="166" w:name="_Toc173507694"/>
      <w:r>
        <w:rPr>
          <w:rStyle w:val="CharSchNo"/>
        </w:rPr>
        <w:lastRenderedPageBreak/>
        <w:t>Schedule 3</w:t>
      </w:r>
      <w:r>
        <w:rPr>
          <w:rStyle w:val="CharSDivText"/>
        </w:rPr>
        <w:t> </w:t>
      </w:r>
      <w:r>
        <w:t>—</w:t>
      </w:r>
      <w:r>
        <w:rPr>
          <w:rStyle w:val="CharSDivNo"/>
        </w:rPr>
        <w:t> </w:t>
      </w:r>
      <w:r>
        <w:rPr>
          <w:rStyle w:val="CharSchText"/>
        </w:rPr>
        <w:t>Prescribed drugs</w:t>
      </w:r>
      <w:bookmarkEnd w:id="164"/>
      <w:bookmarkEnd w:id="165"/>
      <w:bookmarkEnd w:id="166"/>
    </w:p>
    <w:p>
      <w:pPr>
        <w:pStyle w:val="yShoulderClause"/>
      </w:pPr>
      <w:r>
        <w:t>[r. 45, 51 and 52]</w:t>
      </w:r>
    </w:p>
    <w:p>
      <w:pPr>
        <w:pStyle w:val="yFootnoteheading"/>
        <w:spacing w:after="120"/>
      </w:pPr>
      <w:r>
        <w:tab/>
        <w:t>[Heading inserted: Gazette 17 Jan 2017 p. 416.]</w:t>
      </w:r>
    </w:p>
    <w:p>
      <w:pPr>
        <w:pStyle w:val="ySubsection"/>
      </w:pPr>
      <w:r>
        <w:tab/>
      </w:r>
      <w:r>
        <w:tab/>
        <w:t xml:space="preserve">Any drug, other than testosterone, that is from time to time — </w:t>
      </w:r>
    </w:p>
    <w:p>
      <w:pPr>
        <w:pStyle w:val="yIndenta"/>
      </w:pPr>
      <w:r>
        <w:tab/>
        <w:t>(a)</w:t>
      </w:r>
      <w:r>
        <w:tab/>
        <w:t xml:space="preserve">a specified drug within the meaning of the </w:t>
      </w:r>
      <w:r>
        <w:rPr>
          <w:i/>
        </w:rPr>
        <w:t>Misuse of Drugs Act 1981</w:t>
      </w:r>
      <w:r>
        <w:t xml:space="preserve"> section 3(1); or</w:t>
      </w:r>
    </w:p>
    <w:p>
      <w:pPr>
        <w:pStyle w:val="yIndenta"/>
      </w:pPr>
      <w:r>
        <w:tab/>
        <w:t>(b)</w:t>
      </w:r>
      <w:r>
        <w:tab/>
        <w:t xml:space="preserve">a Schedule 8 poison or a Schedule 9 poison as those terms are defined in the </w:t>
      </w:r>
      <w:r>
        <w:rPr>
          <w:i/>
        </w:rPr>
        <w:t>Medicines and Poisons Act 2014</w:t>
      </w:r>
      <w:r>
        <w:t xml:space="preserve"> section 3.</w:t>
      </w:r>
    </w:p>
    <w:p>
      <w:pPr>
        <w:pStyle w:val="yFootnotesection"/>
        <w:keepNext/>
        <w:sectPr>
          <w:headerReference w:type="even" r:id="rId29"/>
          <w:headerReference w:type="default" r:id="rId30"/>
          <w:pgSz w:w="11907" w:h="16840" w:code="9"/>
          <w:pgMar w:top="2376" w:right="2405" w:bottom="3542" w:left="2405" w:header="706" w:footer="3544" w:gutter="0"/>
          <w:cols w:space="720"/>
          <w:noEndnote/>
          <w:docGrid w:linePitch="326"/>
        </w:sectPr>
      </w:pPr>
      <w:r>
        <w:tab/>
        <w:t>[Schedule 3 inserted: Gazette 17 Jan 2017 p. 416</w:t>
      </w:r>
      <w:r>
        <w:noBreakHyphen/>
        <w:t>17.]</w:t>
      </w:r>
    </w:p>
    <w:p>
      <w:pPr>
        <w:pStyle w:val="yScheduleHeading"/>
      </w:pPr>
      <w:bookmarkStart w:id="167" w:name="_Toc173501604"/>
      <w:bookmarkStart w:id="168" w:name="_Toc173502482"/>
      <w:bookmarkStart w:id="169" w:name="_Toc173507695"/>
      <w:r>
        <w:rPr>
          <w:rStyle w:val="CharSchNo"/>
        </w:rPr>
        <w:lastRenderedPageBreak/>
        <w:t>Schedule 4</w:t>
      </w:r>
      <w:r>
        <w:t> — </w:t>
      </w:r>
      <w:r>
        <w:rPr>
          <w:rStyle w:val="CharSchText"/>
        </w:rPr>
        <w:t>Fees</w:t>
      </w:r>
      <w:bookmarkEnd w:id="167"/>
      <w:bookmarkEnd w:id="168"/>
      <w:bookmarkEnd w:id="169"/>
    </w:p>
    <w:p>
      <w:pPr>
        <w:pStyle w:val="yShoulderClause"/>
      </w:pPr>
      <w:r>
        <w:t>[r. 54]</w:t>
      </w:r>
    </w:p>
    <w:p>
      <w:pPr>
        <w:pStyle w:val="yFootnoteheading"/>
        <w:spacing w:after="60"/>
      </w:pPr>
      <w:r>
        <w:tab/>
        <w:t>[Heading inserted: SL 2024/94 r. 12.]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3543"/>
        <w:gridCol w:w="1276"/>
      </w:tblGrid>
      <w:tr>
        <w:trPr>
          <w:cantSplit/>
          <w:tblHeader/>
        </w:trPr>
        <w:tc>
          <w:tcPr>
            <w:tcW w:w="1985" w:type="dxa"/>
            <w:noWrap/>
          </w:tcPr>
          <w:p>
            <w:pPr>
              <w:pStyle w:val="yTableNAm"/>
              <w:jc w:val="center"/>
              <w:rPr>
                <w:b/>
                <w:bCs/>
              </w:rPr>
            </w:pPr>
            <w:r>
              <w:rPr>
                <w:b/>
                <w:bCs/>
              </w:rPr>
              <w:t>Column 1</w:t>
            </w:r>
          </w:p>
          <w:p>
            <w:pPr>
              <w:pStyle w:val="yTableNAm"/>
              <w:jc w:val="center"/>
              <w:rPr>
                <w:b/>
                <w:bCs/>
              </w:rPr>
            </w:pPr>
            <w:r>
              <w:rPr>
                <w:b/>
                <w:bCs/>
              </w:rPr>
              <w:t>Provision of Act or regulations</w:t>
            </w:r>
          </w:p>
        </w:tc>
        <w:tc>
          <w:tcPr>
            <w:tcW w:w="3543" w:type="dxa"/>
            <w:noWrap/>
          </w:tcPr>
          <w:p>
            <w:pPr>
              <w:pStyle w:val="yTableNAm"/>
              <w:jc w:val="center"/>
              <w:rPr>
                <w:b/>
                <w:bCs/>
              </w:rPr>
            </w:pPr>
            <w:r>
              <w:rPr>
                <w:b/>
                <w:bCs/>
              </w:rPr>
              <w:t>Column 2</w:t>
            </w:r>
          </w:p>
          <w:p>
            <w:pPr>
              <w:pStyle w:val="yTableNAm"/>
              <w:jc w:val="center"/>
              <w:rPr>
                <w:b/>
                <w:bCs/>
              </w:rPr>
            </w:pPr>
            <w:r>
              <w:rPr>
                <w:b/>
                <w:bCs/>
              </w:rPr>
              <w:br/>
              <w:t>Subject matter</w:t>
            </w:r>
          </w:p>
        </w:tc>
        <w:tc>
          <w:tcPr>
            <w:tcW w:w="1276" w:type="dxa"/>
            <w:noWrap/>
          </w:tcPr>
          <w:p>
            <w:pPr>
              <w:pStyle w:val="yTableNAm"/>
              <w:jc w:val="center"/>
              <w:rPr>
                <w:b/>
                <w:bCs/>
              </w:rPr>
            </w:pPr>
            <w:r>
              <w:rPr>
                <w:b/>
                <w:bCs/>
              </w:rPr>
              <w:t>Column 3</w:t>
            </w:r>
          </w:p>
          <w:p>
            <w:pPr>
              <w:pStyle w:val="yTableNAm"/>
              <w:jc w:val="center"/>
              <w:rPr>
                <w:b/>
                <w:bCs/>
              </w:rPr>
            </w:pPr>
            <w:r>
              <w:rPr>
                <w:b/>
                <w:bCs/>
              </w:rPr>
              <w:t>Fee</w:t>
            </w:r>
            <w:r>
              <w:rPr>
                <w:b/>
                <w:bCs/>
              </w:rPr>
              <w:br/>
              <w:t>$</w:t>
            </w:r>
          </w:p>
        </w:tc>
      </w:tr>
      <w:tr>
        <w:trPr>
          <w:cantSplit/>
        </w:trPr>
        <w:tc>
          <w:tcPr>
            <w:tcW w:w="6804" w:type="dxa"/>
            <w:gridSpan w:val="3"/>
            <w:noWrap/>
          </w:tcPr>
          <w:p>
            <w:pPr>
              <w:pStyle w:val="yTableNAm"/>
              <w:rPr>
                <w:b/>
                <w:bCs/>
                <w:i/>
                <w:iCs/>
              </w:rPr>
            </w:pPr>
            <w:r>
              <w:rPr>
                <w:b/>
                <w:bCs/>
                <w:i/>
                <w:iCs/>
              </w:rPr>
              <w:t>Agent’s licences</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for issue of temporary licence under s. 42B </w:t>
            </w:r>
            <w:r>
              <w:tab/>
            </w:r>
          </w:p>
        </w:tc>
        <w:tc>
          <w:tcPr>
            <w:tcW w:w="1276" w:type="dxa"/>
            <w:noWrap/>
            <w:vAlign w:val="bottom"/>
          </w:tcPr>
          <w:p>
            <w:pPr>
              <w:pStyle w:val="yTableNAm"/>
              <w:jc w:val="right"/>
            </w:pPr>
            <w:r>
              <w:t>1 433</w:t>
            </w:r>
          </w:p>
        </w:tc>
      </w:tr>
      <w:tr>
        <w:trPr>
          <w:cantSplit/>
        </w:trPr>
        <w:tc>
          <w:tcPr>
            <w:tcW w:w="1985" w:type="dxa"/>
            <w:noWrap/>
          </w:tcPr>
          <w:p>
            <w:pPr>
              <w:pStyle w:val="yTableNAm"/>
            </w:pPr>
            <w:r>
              <w:t>s. 46(1)(c)</w:t>
            </w:r>
          </w:p>
        </w:tc>
        <w:tc>
          <w:tcPr>
            <w:tcW w:w="3543" w:type="dxa"/>
            <w:noWrap/>
          </w:tcPr>
          <w:p>
            <w:pPr>
              <w:pStyle w:val="yTableNAm"/>
            </w:pPr>
            <w:r>
              <w:t>Application for issue of agent’s licence —</w:t>
            </w:r>
          </w:p>
          <w:p>
            <w:pPr>
              <w:pStyle w:val="yTableNAm"/>
              <w:tabs>
                <w:tab w:val="right" w:leader="dot" w:pos="567"/>
                <w:tab w:val="right" w:leader="dot" w:pos="3328"/>
              </w:tabs>
            </w:pPr>
            <w:r>
              <w:t xml:space="preserve">for 1 year or less </w:t>
            </w:r>
            <w:r>
              <w:tab/>
            </w:r>
          </w:p>
          <w:p>
            <w:pPr>
              <w:pStyle w:val="yTableNAm"/>
              <w:tabs>
                <w:tab w:val="right" w:leader="dot" w:pos="567"/>
                <w:tab w:val="right" w:leader="dot" w:pos="3328"/>
              </w:tabs>
              <w:rPr>
                <w:rStyle w:val="DraftersNotes"/>
                <w:b w:val="0"/>
                <w:i w:val="0"/>
              </w:rPr>
            </w:pPr>
            <w:r>
              <w:t xml:space="preserve">for more than 1 year but not more than 3 years </w:t>
            </w:r>
            <w:r>
              <w:tab/>
            </w:r>
          </w:p>
        </w:tc>
        <w:tc>
          <w:tcPr>
            <w:tcW w:w="1276" w:type="dxa"/>
            <w:noWrap/>
            <w:vAlign w:val="bottom"/>
          </w:tcPr>
          <w:p>
            <w:pPr>
              <w:pStyle w:val="yTableNAm"/>
              <w:jc w:val="right"/>
            </w:pPr>
            <w:r>
              <w:br/>
            </w:r>
          </w:p>
          <w:p>
            <w:pPr>
              <w:pStyle w:val="yTableNAm"/>
              <w:jc w:val="right"/>
            </w:pPr>
            <w:r>
              <w:t>1 433</w:t>
            </w:r>
          </w:p>
          <w:p>
            <w:pPr>
              <w:pStyle w:val="yTableNAm"/>
              <w:jc w:val="right"/>
            </w:pPr>
            <w:r>
              <w:br/>
              <w:t>1 507</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by licensee for additional agent’s licence (each licence) </w:t>
            </w:r>
            <w:r>
              <w:tab/>
            </w:r>
          </w:p>
        </w:tc>
        <w:tc>
          <w:tcPr>
            <w:tcW w:w="1276" w:type="dxa"/>
            <w:noWrap/>
            <w:vAlign w:val="bottom"/>
          </w:tcPr>
          <w:p>
            <w:pPr>
              <w:pStyle w:val="yTableNAm"/>
              <w:jc w:val="right"/>
            </w:pPr>
            <w:r>
              <w:t>1 007</w:t>
            </w:r>
          </w:p>
        </w:tc>
      </w:tr>
      <w:tr>
        <w:trPr>
          <w:cantSplit/>
        </w:trPr>
        <w:tc>
          <w:tcPr>
            <w:tcW w:w="1985" w:type="dxa"/>
            <w:noWrap/>
          </w:tcPr>
          <w:p>
            <w:pPr>
              <w:pStyle w:val="yTableNAm"/>
            </w:pPr>
            <w:r>
              <w:t>s. 49(1)(c)</w:t>
            </w:r>
          </w:p>
        </w:tc>
        <w:tc>
          <w:tcPr>
            <w:tcW w:w="3543" w:type="dxa"/>
            <w:noWrap/>
          </w:tcPr>
          <w:p>
            <w:pPr>
              <w:pStyle w:val="yTableNAm"/>
              <w:tabs>
                <w:tab w:val="right" w:leader="dot" w:pos="567"/>
                <w:tab w:val="right" w:leader="dot" w:pos="3328"/>
              </w:tabs>
            </w:pPr>
            <w:r>
              <w:t xml:space="preserve">Application for renewal of agent’s licence — for 3 years or less (each </w:t>
            </w:r>
            <w:r>
              <w:br/>
              <w:t xml:space="preserve">licence) </w:t>
            </w:r>
            <w:r>
              <w:tab/>
            </w:r>
          </w:p>
        </w:tc>
        <w:tc>
          <w:tcPr>
            <w:tcW w:w="1276" w:type="dxa"/>
            <w:noWrap/>
            <w:vAlign w:val="bottom"/>
          </w:tcPr>
          <w:p>
            <w:pPr>
              <w:pStyle w:val="yTableNAm"/>
              <w:jc w:val="right"/>
              <w:rPr>
                <w:rStyle w:val="DraftersNotes"/>
                <w:b w:val="0"/>
                <w:i w:val="0"/>
              </w:rPr>
            </w:pPr>
            <w:r>
              <w:t>1 077</w:t>
            </w:r>
          </w:p>
        </w:tc>
      </w:tr>
      <w:tr>
        <w:trPr>
          <w:cantSplit/>
        </w:trPr>
        <w:tc>
          <w:tcPr>
            <w:tcW w:w="6804" w:type="dxa"/>
            <w:gridSpan w:val="3"/>
            <w:noWrap/>
          </w:tcPr>
          <w:p>
            <w:pPr>
              <w:pStyle w:val="yTableNAm"/>
              <w:keepNext/>
              <w:rPr>
                <w:b/>
                <w:bCs/>
                <w:i/>
                <w:iCs/>
              </w:rPr>
            </w:pPr>
            <w:r>
              <w:rPr>
                <w:b/>
                <w:bCs/>
                <w:i/>
                <w:iCs/>
              </w:rPr>
              <w:t>Other licences, endorsements and permits</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for issue of temporary licence under s. 42A </w:t>
            </w:r>
            <w:r>
              <w:tab/>
            </w:r>
          </w:p>
        </w:tc>
        <w:tc>
          <w:tcPr>
            <w:tcW w:w="1276" w:type="dxa"/>
            <w:noWrap/>
            <w:vAlign w:val="bottom"/>
          </w:tcPr>
          <w:p>
            <w:pPr>
              <w:pStyle w:val="yTableNAm"/>
              <w:jc w:val="right"/>
            </w:pPr>
            <w:r>
              <w:t>385</w:t>
            </w:r>
          </w:p>
        </w:tc>
      </w:tr>
      <w:tr>
        <w:trPr>
          <w:cantSplit/>
        </w:trPr>
        <w:tc>
          <w:tcPr>
            <w:tcW w:w="1985" w:type="dxa"/>
            <w:noWrap/>
          </w:tcPr>
          <w:p>
            <w:pPr>
              <w:pStyle w:val="yTableNAm"/>
            </w:pPr>
            <w:r>
              <w:lastRenderedPageBreak/>
              <w:t>s. 46(1)(c)</w:t>
            </w:r>
          </w:p>
        </w:tc>
        <w:tc>
          <w:tcPr>
            <w:tcW w:w="3543" w:type="dxa"/>
            <w:noWrap/>
          </w:tcPr>
          <w:p>
            <w:pPr>
              <w:pStyle w:val="yTableNAm"/>
            </w:pPr>
            <w:r>
              <w:t>Application for issue of licence (other than agent’s licence or temporary licence) —</w:t>
            </w:r>
          </w:p>
          <w:p>
            <w:pPr>
              <w:pStyle w:val="yTableNAm"/>
              <w:tabs>
                <w:tab w:val="right" w:leader="dot" w:pos="567"/>
                <w:tab w:val="right" w:leader="dot" w:pos="3328"/>
              </w:tabs>
            </w:pPr>
            <w:r>
              <w:t xml:space="preserve">for 1 year or less </w:t>
            </w:r>
            <w:r>
              <w:tab/>
            </w:r>
          </w:p>
          <w:p>
            <w:pPr>
              <w:pStyle w:val="yTableNAm"/>
              <w:tabs>
                <w:tab w:val="right" w:leader="dot" w:pos="567"/>
                <w:tab w:val="right" w:leader="dot" w:pos="3328"/>
              </w:tabs>
            </w:pPr>
            <w:r>
              <w:t xml:space="preserve">for more than 1 year but not more than 3 years </w:t>
            </w:r>
            <w:r>
              <w:tab/>
            </w:r>
          </w:p>
        </w:tc>
        <w:tc>
          <w:tcPr>
            <w:tcW w:w="1276" w:type="dxa"/>
            <w:noWrap/>
            <w:vAlign w:val="bottom"/>
          </w:tcPr>
          <w:p>
            <w:pPr>
              <w:pStyle w:val="yTableNAm"/>
              <w:jc w:val="right"/>
            </w:pPr>
            <w:r>
              <w:br/>
            </w:r>
            <w:r>
              <w:br/>
            </w:r>
          </w:p>
          <w:p>
            <w:pPr>
              <w:pStyle w:val="yTableNAm"/>
              <w:jc w:val="right"/>
            </w:pPr>
            <w:r>
              <w:t>385</w:t>
            </w:r>
          </w:p>
          <w:p>
            <w:pPr>
              <w:pStyle w:val="yTableNAm"/>
              <w:jc w:val="right"/>
            </w:pPr>
            <w:r>
              <w:br/>
              <w:t>412</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by licensee for additional licence (other than agent’s licence or temporary licence) (each licence) </w:t>
            </w:r>
            <w:r>
              <w:tab/>
            </w:r>
          </w:p>
        </w:tc>
        <w:tc>
          <w:tcPr>
            <w:tcW w:w="1276" w:type="dxa"/>
            <w:noWrap/>
            <w:vAlign w:val="bottom"/>
          </w:tcPr>
          <w:p>
            <w:pPr>
              <w:pStyle w:val="yTableNAm"/>
              <w:jc w:val="right"/>
            </w:pPr>
            <w:r>
              <w:t>232</w:t>
            </w:r>
          </w:p>
        </w:tc>
      </w:tr>
      <w:tr>
        <w:trPr>
          <w:cantSplit/>
        </w:trPr>
        <w:tc>
          <w:tcPr>
            <w:tcW w:w="1985" w:type="dxa"/>
            <w:noWrap/>
          </w:tcPr>
          <w:p>
            <w:pPr>
              <w:pStyle w:val="yTableNAm"/>
            </w:pPr>
            <w:r>
              <w:t>s. 49(1)(c)</w:t>
            </w:r>
          </w:p>
        </w:tc>
        <w:tc>
          <w:tcPr>
            <w:tcW w:w="3543" w:type="dxa"/>
            <w:noWrap/>
          </w:tcPr>
          <w:p>
            <w:pPr>
              <w:pStyle w:val="yTableNAm"/>
              <w:tabs>
                <w:tab w:val="right" w:leader="dot" w:pos="567"/>
                <w:tab w:val="right" w:leader="dot" w:pos="3328"/>
              </w:tabs>
            </w:pPr>
            <w:r>
              <w:t xml:space="preserve">Application for renewal of licence (other than agent’s licence or temporary licence) — for 3 years or less (each licence) </w:t>
            </w:r>
            <w:r>
              <w:tab/>
            </w:r>
          </w:p>
        </w:tc>
        <w:tc>
          <w:tcPr>
            <w:tcW w:w="1276" w:type="dxa"/>
            <w:noWrap/>
            <w:vAlign w:val="bottom"/>
          </w:tcPr>
          <w:p>
            <w:pPr>
              <w:pStyle w:val="yTableNAm"/>
              <w:jc w:val="right"/>
            </w:pPr>
            <w:r>
              <w:t>258</w:t>
            </w:r>
          </w:p>
        </w:tc>
      </w:tr>
      <w:tr>
        <w:trPr>
          <w:cantSplit/>
        </w:trPr>
        <w:tc>
          <w:tcPr>
            <w:tcW w:w="1985" w:type="dxa"/>
            <w:noWrap/>
          </w:tcPr>
          <w:p>
            <w:pPr>
              <w:pStyle w:val="yTableNAm"/>
            </w:pPr>
            <w:r>
              <w:t>r. 10(b)</w:t>
            </w:r>
          </w:p>
        </w:tc>
        <w:tc>
          <w:tcPr>
            <w:tcW w:w="3543" w:type="dxa"/>
            <w:noWrap/>
          </w:tcPr>
          <w:p>
            <w:pPr>
              <w:pStyle w:val="yTableNAm"/>
              <w:tabs>
                <w:tab w:val="right" w:leader="dot" w:pos="567"/>
                <w:tab w:val="right" w:leader="dot" w:pos="3328"/>
              </w:tabs>
            </w:pPr>
            <w:r>
              <w:t xml:space="preserve">Application for endorsement under s. 24 </w:t>
            </w:r>
            <w:r>
              <w:tab/>
            </w:r>
          </w:p>
        </w:tc>
        <w:tc>
          <w:tcPr>
            <w:tcW w:w="1276" w:type="dxa"/>
            <w:noWrap/>
            <w:vAlign w:val="bottom"/>
          </w:tcPr>
          <w:p>
            <w:pPr>
              <w:pStyle w:val="yTableNAm"/>
              <w:jc w:val="right"/>
            </w:pPr>
            <w:r>
              <w:t>228</w:t>
            </w:r>
          </w:p>
        </w:tc>
      </w:tr>
      <w:tr>
        <w:trPr>
          <w:cantSplit/>
        </w:trPr>
        <w:tc>
          <w:tcPr>
            <w:tcW w:w="1985" w:type="dxa"/>
            <w:noWrap/>
          </w:tcPr>
          <w:p>
            <w:pPr>
              <w:pStyle w:val="yTableNAm"/>
            </w:pPr>
            <w:r>
              <w:t>r. 12</w:t>
            </w:r>
          </w:p>
        </w:tc>
        <w:tc>
          <w:tcPr>
            <w:tcW w:w="3543" w:type="dxa"/>
            <w:noWrap/>
          </w:tcPr>
          <w:p>
            <w:pPr>
              <w:pStyle w:val="yTableNAm"/>
              <w:tabs>
                <w:tab w:val="right" w:leader="dot" w:pos="567"/>
                <w:tab w:val="right" w:leader="dot" w:pos="3328"/>
              </w:tabs>
            </w:pPr>
            <w:r>
              <w:t xml:space="preserve">Application for permit under s. 25 </w:t>
            </w:r>
            <w:r>
              <w:tab/>
            </w:r>
          </w:p>
        </w:tc>
        <w:tc>
          <w:tcPr>
            <w:tcW w:w="1276" w:type="dxa"/>
            <w:noWrap/>
            <w:vAlign w:val="bottom"/>
          </w:tcPr>
          <w:p>
            <w:pPr>
              <w:pStyle w:val="yTableNAm"/>
              <w:jc w:val="right"/>
            </w:pPr>
            <w:r>
              <w:t>270</w:t>
            </w:r>
          </w:p>
        </w:tc>
      </w:tr>
      <w:tr>
        <w:trPr>
          <w:cantSplit/>
        </w:trPr>
        <w:tc>
          <w:tcPr>
            <w:tcW w:w="1985" w:type="dxa"/>
            <w:noWrap/>
          </w:tcPr>
          <w:p>
            <w:pPr>
              <w:pStyle w:val="yTableNAm"/>
            </w:pPr>
            <w:r>
              <w:t>r. 13(b)</w:t>
            </w:r>
          </w:p>
        </w:tc>
        <w:tc>
          <w:tcPr>
            <w:tcW w:w="3543" w:type="dxa"/>
            <w:noWrap/>
          </w:tcPr>
          <w:p>
            <w:pPr>
              <w:pStyle w:val="yTableNAm"/>
              <w:tabs>
                <w:tab w:val="right" w:leader="dot" w:pos="567"/>
                <w:tab w:val="right" w:leader="dot" w:pos="3328"/>
              </w:tabs>
            </w:pPr>
            <w:r>
              <w:t xml:space="preserve">Application for endorsement under s. 26 </w:t>
            </w:r>
            <w:r>
              <w:tab/>
            </w:r>
          </w:p>
        </w:tc>
        <w:tc>
          <w:tcPr>
            <w:tcW w:w="1276" w:type="dxa"/>
            <w:noWrap/>
            <w:vAlign w:val="bottom"/>
          </w:tcPr>
          <w:p>
            <w:pPr>
              <w:pStyle w:val="yTableNAm"/>
              <w:jc w:val="right"/>
            </w:pPr>
            <w:r>
              <w:t>228</w:t>
            </w:r>
          </w:p>
        </w:tc>
      </w:tr>
      <w:tr>
        <w:trPr>
          <w:cantSplit/>
        </w:trPr>
        <w:tc>
          <w:tcPr>
            <w:tcW w:w="6804" w:type="dxa"/>
            <w:gridSpan w:val="3"/>
            <w:noWrap/>
          </w:tcPr>
          <w:p>
            <w:pPr>
              <w:pStyle w:val="yTableNAm"/>
              <w:rPr>
                <w:b/>
                <w:bCs/>
                <w:i/>
                <w:iCs/>
              </w:rPr>
            </w:pPr>
            <w:r>
              <w:rPr>
                <w:b/>
                <w:bCs/>
                <w:i/>
                <w:iCs/>
              </w:rPr>
              <w:t>Miscellaneous</w:t>
            </w:r>
          </w:p>
        </w:tc>
      </w:tr>
      <w:tr>
        <w:trPr>
          <w:cantSplit/>
        </w:trPr>
        <w:tc>
          <w:tcPr>
            <w:tcW w:w="1985" w:type="dxa"/>
            <w:noWrap/>
          </w:tcPr>
          <w:p>
            <w:pPr>
              <w:pStyle w:val="yTableNAm"/>
            </w:pPr>
            <w:r>
              <w:t>s. 10(2)</w:t>
            </w:r>
          </w:p>
        </w:tc>
        <w:tc>
          <w:tcPr>
            <w:tcW w:w="3543" w:type="dxa"/>
            <w:noWrap/>
          </w:tcPr>
          <w:p>
            <w:pPr>
              <w:pStyle w:val="yTableNAm"/>
              <w:tabs>
                <w:tab w:val="right" w:leader="dot" w:pos="567"/>
                <w:tab w:val="right" w:leader="dot" w:pos="3328"/>
              </w:tabs>
            </w:pPr>
            <w:r>
              <w:t xml:space="preserve">Application to inspect register </w:t>
            </w:r>
            <w:r>
              <w:tab/>
            </w:r>
          </w:p>
        </w:tc>
        <w:tc>
          <w:tcPr>
            <w:tcW w:w="1276" w:type="dxa"/>
            <w:noWrap/>
            <w:vAlign w:val="bottom"/>
          </w:tcPr>
          <w:p>
            <w:pPr>
              <w:pStyle w:val="yTableNAm"/>
              <w:jc w:val="right"/>
            </w:pPr>
            <w:r>
              <w:t>52</w:t>
            </w:r>
          </w:p>
        </w:tc>
      </w:tr>
      <w:tr>
        <w:trPr>
          <w:cantSplit/>
          <w:trHeight w:val="434"/>
        </w:trPr>
        <w:tc>
          <w:tcPr>
            <w:tcW w:w="1985" w:type="dxa"/>
            <w:noWrap/>
          </w:tcPr>
          <w:p>
            <w:pPr>
              <w:pStyle w:val="yTableNAm"/>
            </w:pPr>
            <w:r>
              <w:t>s. 10(3)</w:t>
            </w:r>
          </w:p>
        </w:tc>
        <w:tc>
          <w:tcPr>
            <w:tcW w:w="3543" w:type="dxa"/>
            <w:noWrap/>
          </w:tcPr>
          <w:p>
            <w:pPr>
              <w:pStyle w:val="yTableNAm"/>
              <w:tabs>
                <w:tab w:val="right" w:leader="dot" w:pos="567"/>
                <w:tab w:val="right" w:leader="dot" w:pos="3328"/>
              </w:tabs>
            </w:pPr>
            <w:r>
              <w:t xml:space="preserve">Certified copy of register entry </w:t>
            </w:r>
            <w:r>
              <w:tab/>
            </w:r>
          </w:p>
        </w:tc>
        <w:tc>
          <w:tcPr>
            <w:tcW w:w="1276" w:type="dxa"/>
            <w:noWrap/>
            <w:vAlign w:val="bottom"/>
          </w:tcPr>
          <w:p>
            <w:pPr>
              <w:pStyle w:val="yTableNAm"/>
              <w:jc w:val="right"/>
            </w:pPr>
            <w:r>
              <w:t>54</w:t>
            </w:r>
          </w:p>
        </w:tc>
      </w:tr>
      <w:tr>
        <w:trPr>
          <w:cantSplit/>
        </w:trPr>
        <w:tc>
          <w:tcPr>
            <w:tcW w:w="1985" w:type="dxa"/>
            <w:noWrap/>
          </w:tcPr>
          <w:p>
            <w:pPr>
              <w:pStyle w:val="yTableNAm"/>
            </w:pPr>
            <w:r>
              <w:t>s. 66</w:t>
            </w:r>
          </w:p>
        </w:tc>
        <w:tc>
          <w:tcPr>
            <w:tcW w:w="3543" w:type="dxa"/>
            <w:noWrap/>
          </w:tcPr>
          <w:p>
            <w:pPr>
              <w:pStyle w:val="yTableNAm"/>
              <w:tabs>
                <w:tab w:val="right" w:leader="dot" w:pos="567"/>
                <w:tab w:val="right" w:leader="dot" w:pos="3328"/>
              </w:tabs>
            </w:pPr>
            <w:r>
              <w:t xml:space="preserve">Issue of duplicate licence or duplicate identity card </w:t>
            </w:r>
            <w:r>
              <w:tab/>
            </w:r>
          </w:p>
        </w:tc>
        <w:tc>
          <w:tcPr>
            <w:tcW w:w="1276" w:type="dxa"/>
            <w:noWrap/>
            <w:vAlign w:val="bottom"/>
          </w:tcPr>
          <w:p>
            <w:pPr>
              <w:pStyle w:val="yTableNAm"/>
              <w:jc w:val="right"/>
            </w:pPr>
            <w:r>
              <w:t>35</w:t>
            </w:r>
          </w:p>
        </w:tc>
      </w:tr>
      <w:tr>
        <w:trPr>
          <w:cantSplit/>
        </w:trPr>
        <w:tc>
          <w:tcPr>
            <w:tcW w:w="1985" w:type="dxa"/>
            <w:noWrap/>
          </w:tcPr>
          <w:p>
            <w:pPr>
              <w:pStyle w:val="yTableNAm"/>
            </w:pPr>
            <w:r>
              <w:lastRenderedPageBreak/>
              <w:t>s. 94(4)(b)</w:t>
            </w:r>
          </w:p>
        </w:tc>
        <w:tc>
          <w:tcPr>
            <w:tcW w:w="3543" w:type="dxa"/>
            <w:noWrap/>
          </w:tcPr>
          <w:p>
            <w:pPr>
              <w:pStyle w:val="yTableNAm"/>
              <w:tabs>
                <w:tab w:val="right" w:leader="dot" w:pos="567"/>
                <w:tab w:val="right" w:leader="dot" w:pos="3328"/>
              </w:tabs>
            </w:pPr>
            <w:r>
              <w:t xml:space="preserve">Additional fee if fingerprints and palm prints are required under s. 48(1)(a) or (b)(i) </w:t>
            </w:r>
            <w:r>
              <w:tab/>
            </w:r>
          </w:p>
        </w:tc>
        <w:tc>
          <w:tcPr>
            <w:tcW w:w="1276" w:type="dxa"/>
            <w:noWrap/>
            <w:vAlign w:val="bottom"/>
          </w:tcPr>
          <w:p>
            <w:pPr>
              <w:pStyle w:val="yTableNAm"/>
              <w:jc w:val="right"/>
            </w:pPr>
            <w:r>
              <w:t>129</w:t>
            </w:r>
          </w:p>
        </w:tc>
      </w:tr>
    </w:tbl>
    <w:p>
      <w:pPr>
        <w:pStyle w:val="yFootnotesection"/>
      </w:pPr>
      <w:r>
        <w:tab/>
        <w:t>[Schedule 4 inserted: SL 2024/94 r. 12.]</w:t>
      </w:r>
    </w:p>
    <w:p>
      <w:pPr>
        <w:pStyle w:val="yScheduleHeading"/>
      </w:pPr>
      <w:bookmarkStart w:id="170" w:name="_Toc173501605"/>
      <w:bookmarkStart w:id="171" w:name="_Toc173502483"/>
      <w:bookmarkStart w:id="172" w:name="_Toc173507696"/>
      <w:r>
        <w:rPr>
          <w:rStyle w:val="CharSchNo"/>
        </w:rPr>
        <w:lastRenderedPageBreak/>
        <w:t>Schedule 5</w:t>
      </w:r>
      <w:r>
        <w:t> — </w:t>
      </w:r>
      <w:r>
        <w:rPr>
          <w:rStyle w:val="CharSchText"/>
        </w:rPr>
        <w:t>Prescribed offences and modified penalties for infringement notices</w:t>
      </w:r>
      <w:bookmarkEnd w:id="170"/>
      <w:bookmarkEnd w:id="171"/>
      <w:bookmarkEnd w:id="172"/>
    </w:p>
    <w:p>
      <w:pPr>
        <w:pStyle w:val="yShoulderClause"/>
        <w:rPr>
          <w:szCs w:val="22"/>
        </w:rPr>
      </w:pPr>
      <w:r>
        <w:rPr>
          <w:szCs w:val="22"/>
        </w:rPr>
        <w:t>[r. 58]</w:t>
      </w:r>
    </w:p>
    <w:p>
      <w:pPr>
        <w:pStyle w:val="yFootnoteheading"/>
      </w:pPr>
      <w:r>
        <w:tab/>
        <w:t>[Heading inserted: Gazette 29 Jul 2016 p. 3249.]</w:t>
      </w:r>
    </w:p>
    <w:p>
      <w:pPr>
        <w:pStyle w:val="yHeading3"/>
      </w:pPr>
      <w:bookmarkStart w:id="173" w:name="_Toc173501606"/>
      <w:bookmarkStart w:id="174" w:name="_Toc173502484"/>
      <w:bookmarkStart w:id="175" w:name="_Toc173507697"/>
      <w:r>
        <w:rPr>
          <w:rStyle w:val="CharSDivNo"/>
        </w:rPr>
        <w:t>Division 1</w:t>
      </w:r>
      <w:r>
        <w:t> — </w:t>
      </w:r>
      <w:r>
        <w:rPr>
          <w:rStyle w:val="CharSDivText"/>
        </w:rPr>
        <w:t>Offences under the Act</w:t>
      </w:r>
      <w:bookmarkEnd w:id="173"/>
      <w:bookmarkEnd w:id="174"/>
      <w:bookmarkEnd w:id="175"/>
    </w:p>
    <w:p>
      <w:pPr>
        <w:pStyle w:val="yFootnoteheading"/>
      </w:pPr>
      <w:r>
        <w:tab/>
        <w:t>[Heading inserted: Gazette 29 Jul 2016 p. 3249.]</w:t>
      </w:r>
    </w:p>
    <w:tbl>
      <w:tblPr>
        <w:tblStyle w:val="TableGrid"/>
        <w:tblW w:w="0" w:type="auto"/>
        <w:tblInd w:w="392" w:type="dxa"/>
        <w:tblLook w:val="04A0" w:firstRow="1" w:lastRow="0" w:firstColumn="1" w:lastColumn="0" w:noHBand="0" w:noVBand="1"/>
      </w:tblPr>
      <w:tblGrid>
        <w:gridCol w:w="766"/>
        <w:gridCol w:w="1785"/>
        <w:gridCol w:w="2835"/>
        <w:gridCol w:w="1276"/>
      </w:tblGrid>
      <w:tr>
        <w:trPr>
          <w:tblHeader/>
        </w:trPr>
        <w:tc>
          <w:tcPr>
            <w:tcW w:w="766" w:type="dxa"/>
          </w:tcPr>
          <w:p>
            <w:pPr>
              <w:pStyle w:val="yTableNAm"/>
            </w:pPr>
            <w:r>
              <w:rPr>
                <w:b/>
              </w:rPr>
              <w:t>Item</w:t>
            </w:r>
          </w:p>
        </w:tc>
        <w:tc>
          <w:tcPr>
            <w:tcW w:w="1785" w:type="dxa"/>
          </w:tcPr>
          <w:p>
            <w:pPr>
              <w:pStyle w:val="yTableNAm"/>
            </w:pPr>
            <w:r>
              <w:rPr>
                <w:b/>
              </w:rPr>
              <w:t>Section</w:t>
            </w:r>
          </w:p>
        </w:tc>
        <w:tc>
          <w:tcPr>
            <w:tcW w:w="2835" w:type="dxa"/>
          </w:tcPr>
          <w:p>
            <w:pPr>
              <w:pStyle w:val="yTableNAm"/>
            </w:pPr>
            <w:r>
              <w:rPr>
                <w:b/>
              </w:rPr>
              <w:t>Offence</w:t>
            </w:r>
          </w:p>
        </w:tc>
        <w:tc>
          <w:tcPr>
            <w:tcW w:w="1276" w:type="dxa"/>
          </w:tcPr>
          <w:p>
            <w:pPr>
              <w:pStyle w:val="yTableNAm"/>
              <w:jc w:val="center"/>
            </w:pPr>
            <w:r>
              <w:rPr>
                <w:b/>
              </w:rPr>
              <w:t>Modified penalty</w:t>
            </w:r>
            <w:r>
              <w:rPr>
                <w:b/>
              </w:rPr>
              <w:br/>
              <w:t>($)</w:t>
            </w:r>
          </w:p>
        </w:tc>
      </w:tr>
      <w:tr>
        <w:tc>
          <w:tcPr>
            <w:tcW w:w="766" w:type="dxa"/>
          </w:tcPr>
          <w:p>
            <w:pPr>
              <w:pStyle w:val="yTableNAm"/>
            </w:pPr>
            <w:r>
              <w:t>1</w:t>
            </w:r>
          </w:p>
        </w:tc>
        <w:tc>
          <w:tcPr>
            <w:tcW w:w="1785" w:type="dxa"/>
          </w:tcPr>
          <w:p>
            <w:pPr>
              <w:pStyle w:val="yTableNAm"/>
            </w:pPr>
            <w:r>
              <w:t>s. 15</w:t>
            </w:r>
          </w:p>
        </w:tc>
        <w:tc>
          <w:tcPr>
            <w:tcW w:w="2835" w:type="dxa"/>
          </w:tcPr>
          <w:p>
            <w:pPr>
              <w:pStyle w:val="yTableNAm"/>
            </w:pPr>
            <w:r>
              <w:t>Acting as a security agent without a licence</w:t>
            </w:r>
          </w:p>
        </w:tc>
        <w:tc>
          <w:tcPr>
            <w:tcW w:w="1276" w:type="dxa"/>
            <w:vAlign w:val="bottom"/>
          </w:tcPr>
          <w:p>
            <w:pPr>
              <w:pStyle w:val="yTableNAm"/>
              <w:jc w:val="center"/>
            </w:pPr>
            <w:r>
              <w:t>500</w:t>
            </w:r>
          </w:p>
        </w:tc>
      </w:tr>
      <w:tr>
        <w:tc>
          <w:tcPr>
            <w:tcW w:w="766" w:type="dxa"/>
          </w:tcPr>
          <w:p>
            <w:pPr>
              <w:pStyle w:val="yTableNAm"/>
            </w:pPr>
            <w:r>
              <w:t>2</w:t>
            </w:r>
          </w:p>
        </w:tc>
        <w:tc>
          <w:tcPr>
            <w:tcW w:w="1785" w:type="dxa"/>
          </w:tcPr>
          <w:p>
            <w:pPr>
              <w:pStyle w:val="yTableNAm"/>
            </w:pPr>
            <w:r>
              <w:t>s. 16</w:t>
            </w:r>
          </w:p>
        </w:tc>
        <w:tc>
          <w:tcPr>
            <w:tcW w:w="2835" w:type="dxa"/>
          </w:tcPr>
          <w:p>
            <w:pPr>
              <w:pStyle w:val="yTableNAm"/>
            </w:pPr>
            <w:r>
              <w:t>Acting as a security officer without a licence</w:t>
            </w:r>
          </w:p>
        </w:tc>
        <w:tc>
          <w:tcPr>
            <w:tcW w:w="1276" w:type="dxa"/>
            <w:vAlign w:val="bottom"/>
          </w:tcPr>
          <w:p>
            <w:pPr>
              <w:pStyle w:val="yTableNAm"/>
              <w:jc w:val="center"/>
            </w:pPr>
            <w:r>
              <w:t>500</w:t>
            </w:r>
          </w:p>
        </w:tc>
      </w:tr>
      <w:tr>
        <w:tc>
          <w:tcPr>
            <w:tcW w:w="766" w:type="dxa"/>
          </w:tcPr>
          <w:p>
            <w:pPr>
              <w:pStyle w:val="yTableNAm"/>
            </w:pPr>
            <w:r>
              <w:t>3</w:t>
            </w:r>
          </w:p>
        </w:tc>
        <w:tc>
          <w:tcPr>
            <w:tcW w:w="1785" w:type="dxa"/>
          </w:tcPr>
          <w:p>
            <w:pPr>
              <w:pStyle w:val="yTableNAm"/>
            </w:pPr>
            <w:r>
              <w:t>s. 17(1) or (2)</w:t>
            </w:r>
          </w:p>
        </w:tc>
        <w:tc>
          <w:tcPr>
            <w:tcW w:w="2835" w:type="dxa"/>
          </w:tcPr>
          <w:p>
            <w:pPr>
              <w:pStyle w:val="yTableNAm"/>
            </w:pPr>
            <w:r>
              <w:t>Acting as a security consultant without a licence</w:t>
            </w:r>
          </w:p>
        </w:tc>
        <w:tc>
          <w:tcPr>
            <w:tcW w:w="1276" w:type="dxa"/>
            <w:vAlign w:val="bottom"/>
          </w:tcPr>
          <w:p>
            <w:pPr>
              <w:pStyle w:val="yTableNAm"/>
              <w:jc w:val="center"/>
            </w:pPr>
            <w:r>
              <w:t>500</w:t>
            </w:r>
          </w:p>
        </w:tc>
      </w:tr>
      <w:tr>
        <w:tc>
          <w:tcPr>
            <w:tcW w:w="766" w:type="dxa"/>
          </w:tcPr>
          <w:p>
            <w:pPr>
              <w:pStyle w:val="yTableNAm"/>
            </w:pPr>
            <w:r>
              <w:t>4</w:t>
            </w:r>
          </w:p>
        </w:tc>
        <w:tc>
          <w:tcPr>
            <w:tcW w:w="1785" w:type="dxa"/>
          </w:tcPr>
          <w:p>
            <w:pPr>
              <w:pStyle w:val="yTableNAm"/>
            </w:pPr>
            <w:r>
              <w:t>s. 18(1) or (2)</w:t>
            </w:r>
          </w:p>
        </w:tc>
        <w:tc>
          <w:tcPr>
            <w:tcW w:w="2835" w:type="dxa"/>
          </w:tcPr>
          <w:p>
            <w:pPr>
              <w:pStyle w:val="yTableNAm"/>
            </w:pPr>
            <w:r>
              <w:t>Acting as a security installer without a licence</w:t>
            </w:r>
          </w:p>
        </w:tc>
        <w:tc>
          <w:tcPr>
            <w:tcW w:w="1276" w:type="dxa"/>
            <w:vAlign w:val="bottom"/>
          </w:tcPr>
          <w:p>
            <w:pPr>
              <w:pStyle w:val="yTableNAm"/>
              <w:jc w:val="center"/>
            </w:pPr>
            <w:r>
              <w:t>500</w:t>
            </w:r>
          </w:p>
        </w:tc>
      </w:tr>
      <w:tr>
        <w:tc>
          <w:tcPr>
            <w:tcW w:w="766" w:type="dxa"/>
          </w:tcPr>
          <w:p>
            <w:pPr>
              <w:pStyle w:val="yTableNAm"/>
            </w:pPr>
            <w:r>
              <w:t>5</w:t>
            </w:r>
          </w:p>
        </w:tc>
        <w:tc>
          <w:tcPr>
            <w:tcW w:w="1785" w:type="dxa"/>
          </w:tcPr>
          <w:p>
            <w:pPr>
              <w:pStyle w:val="yTableNAm"/>
            </w:pPr>
            <w:r>
              <w:t>s. 18A</w:t>
            </w:r>
          </w:p>
        </w:tc>
        <w:tc>
          <w:tcPr>
            <w:tcW w:w="2835" w:type="dxa"/>
          </w:tcPr>
          <w:p>
            <w:pPr>
              <w:pStyle w:val="yTableNAm"/>
            </w:pPr>
            <w:r>
              <w:t>Acting as a security bodyguard without a licence</w:t>
            </w:r>
          </w:p>
        </w:tc>
        <w:tc>
          <w:tcPr>
            <w:tcW w:w="1276" w:type="dxa"/>
            <w:vAlign w:val="bottom"/>
          </w:tcPr>
          <w:p>
            <w:pPr>
              <w:pStyle w:val="yTableNAm"/>
              <w:jc w:val="center"/>
            </w:pPr>
            <w:r>
              <w:t>500</w:t>
            </w:r>
          </w:p>
        </w:tc>
      </w:tr>
      <w:tr>
        <w:tc>
          <w:tcPr>
            <w:tcW w:w="766" w:type="dxa"/>
          </w:tcPr>
          <w:p>
            <w:pPr>
              <w:pStyle w:val="yTableNAm"/>
            </w:pPr>
            <w:r>
              <w:t>6</w:t>
            </w:r>
          </w:p>
        </w:tc>
        <w:tc>
          <w:tcPr>
            <w:tcW w:w="1785" w:type="dxa"/>
          </w:tcPr>
          <w:p>
            <w:pPr>
              <w:pStyle w:val="yTableNAm"/>
            </w:pPr>
            <w:r>
              <w:t>s. 19(1)</w:t>
            </w:r>
          </w:p>
        </w:tc>
        <w:tc>
          <w:tcPr>
            <w:tcW w:w="2835" w:type="dxa"/>
          </w:tcPr>
          <w:p>
            <w:pPr>
              <w:pStyle w:val="yTableNAm"/>
            </w:pPr>
            <w:r>
              <w:t>Acting as a security officer, etc., while not in the employment of a security agent</w:t>
            </w:r>
          </w:p>
        </w:tc>
        <w:tc>
          <w:tcPr>
            <w:tcW w:w="1276" w:type="dxa"/>
            <w:vAlign w:val="bottom"/>
          </w:tcPr>
          <w:p>
            <w:pPr>
              <w:pStyle w:val="yTableNAm"/>
              <w:jc w:val="center"/>
            </w:pPr>
            <w:r>
              <w:t>500</w:t>
            </w:r>
          </w:p>
        </w:tc>
      </w:tr>
      <w:tr>
        <w:tc>
          <w:tcPr>
            <w:tcW w:w="766" w:type="dxa"/>
          </w:tcPr>
          <w:p>
            <w:pPr>
              <w:pStyle w:val="yTableNAm"/>
            </w:pPr>
            <w:r>
              <w:t>7</w:t>
            </w:r>
          </w:p>
        </w:tc>
        <w:tc>
          <w:tcPr>
            <w:tcW w:w="1785" w:type="dxa"/>
          </w:tcPr>
          <w:p>
            <w:pPr>
              <w:pStyle w:val="yTableNAm"/>
            </w:pPr>
            <w:r>
              <w:t>s. 20(1) or (2)</w:t>
            </w:r>
          </w:p>
        </w:tc>
        <w:tc>
          <w:tcPr>
            <w:tcW w:w="2835" w:type="dxa"/>
          </w:tcPr>
          <w:p>
            <w:pPr>
              <w:pStyle w:val="yTableNAm"/>
            </w:pPr>
            <w:r>
              <w:t>Employing an unlicensed person as a security officer, etc.</w:t>
            </w:r>
          </w:p>
        </w:tc>
        <w:tc>
          <w:tcPr>
            <w:tcW w:w="1276" w:type="dxa"/>
            <w:vAlign w:val="bottom"/>
          </w:tcPr>
          <w:p>
            <w:pPr>
              <w:pStyle w:val="yTableNAm"/>
              <w:jc w:val="center"/>
            </w:pPr>
            <w:r>
              <w:t>500</w:t>
            </w:r>
          </w:p>
        </w:tc>
      </w:tr>
      <w:tr>
        <w:tc>
          <w:tcPr>
            <w:tcW w:w="766" w:type="dxa"/>
          </w:tcPr>
          <w:p>
            <w:pPr>
              <w:pStyle w:val="yTableNAm"/>
              <w:keepNext/>
            </w:pPr>
            <w:r>
              <w:lastRenderedPageBreak/>
              <w:t>8</w:t>
            </w:r>
          </w:p>
        </w:tc>
        <w:tc>
          <w:tcPr>
            <w:tcW w:w="1785" w:type="dxa"/>
          </w:tcPr>
          <w:p>
            <w:pPr>
              <w:pStyle w:val="yTableNAm"/>
              <w:keepNext/>
            </w:pPr>
            <w:r>
              <w:t>s. 21(1)</w:t>
            </w:r>
          </w:p>
        </w:tc>
        <w:tc>
          <w:tcPr>
            <w:tcW w:w="2835" w:type="dxa"/>
          </w:tcPr>
          <w:p>
            <w:pPr>
              <w:pStyle w:val="yTableNAm"/>
              <w:keepNext/>
            </w:pPr>
            <w:r>
              <w:t>Advertising or holding out to be willing to supply the services of a security officer, security consultant, security installer or security bodyguard while not being a holder of a security agent’s licence</w:t>
            </w:r>
          </w:p>
        </w:tc>
        <w:tc>
          <w:tcPr>
            <w:tcW w:w="1276" w:type="dxa"/>
            <w:vAlign w:val="bottom"/>
          </w:tcPr>
          <w:p>
            <w:pPr>
              <w:pStyle w:val="yTableNAm"/>
              <w:keepNext/>
              <w:jc w:val="center"/>
            </w:pPr>
            <w:r>
              <w:t>500</w:t>
            </w:r>
          </w:p>
        </w:tc>
      </w:tr>
      <w:tr>
        <w:tc>
          <w:tcPr>
            <w:tcW w:w="766" w:type="dxa"/>
          </w:tcPr>
          <w:p>
            <w:pPr>
              <w:pStyle w:val="yTableNAm"/>
            </w:pPr>
            <w:r>
              <w:t>9</w:t>
            </w:r>
          </w:p>
        </w:tc>
        <w:tc>
          <w:tcPr>
            <w:tcW w:w="1785" w:type="dxa"/>
          </w:tcPr>
          <w:p>
            <w:pPr>
              <w:pStyle w:val="yTableNAm"/>
            </w:pPr>
            <w:r>
              <w:t>s. 23</w:t>
            </w:r>
          </w:p>
        </w:tc>
        <w:tc>
          <w:tcPr>
            <w:tcW w:w="2835" w:type="dxa"/>
          </w:tcPr>
          <w:p>
            <w:pPr>
              <w:pStyle w:val="yTableNAm"/>
            </w:pPr>
            <w:r>
              <w:t>Possessing a firearm without an endorsement on security officer’s licence authorising possession</w:t>
            </w:r>
          </w:p>
        </w:tc>
        <w:tc>
          <w:tcPr>
            <w:tcW w:w="1276" w:type="dxa"/>
            <w:vAlign w:val="bottom"/>
          </w:tcPr>
          <w:p>
            <w:pPr>
              <w:pStyle w:val="yTableNAm"/>
              <w:jc w:val="center"/>
            </w:pPr>
            <w:r>
              <w:t>500</w:t>
            </w:r>
          </w:p>
        </w:tc>
      </w:tr>
      <w:tr>
        <w:tc>
          <w:tcPr>
            <w:tcW w:w="766" w:type="dxa"/>
          </w:tcPr>
          <w:p>
            <w:pPr>
              <w:pStyle w:val="yTableNAm"/>
            </w:pPr>
            <w:r>
              <w:t>10</w:t>
            </w:r>
          </w:p>
        </w:tc>
        <w:tc>
          <w:tcPr>
            <w:tcW w:w="1785" w:type="dxa"/>
          </w:tcPr>
          <w:p>
            <w:pPr>
              <w:pStyle w:val="yTableNAm"/>
            </w:pPr>
            <w:r>
              <w:t>s. 29</w:t>
            </w:r>
          </w:p>
        </w:tc>
        <w:tc>
          <w:tcPr>
            <w:tcW w:w="2835" w:type="dxa"/>
          </w:tcPr>
          <w:p>
            <w:pPr>
              <w:pStyle w:val="yTableNAm"/>
            </w:pPr>
            <w:r>
              <w:t>Acting as an inquiry agent without a licence</w:t>
            </w:r>
          </w:p>
        </w:tc>
        <w:tc>
          <w:tcPr>
            <w:tcW w:w="1276" w:type="dxa"/>
            <w:vAlign w:val="bottom"/>
          </w:tcPr>
          <w:p>
            <w:pPr>
              <w:pStyle w:val="yTableNAm"/>
              <w:jc w:val="center"/>
            </w:pPr>
            <w:r>
              <w:t>500</w:t>
            </w:r>
          </w:p>
        </w:tc>
      </w:tr>
      <w:tr>
        <w:tc>
          <w:tcPr>
            <w:tcW w:w="766" w:type="dxa"/>
          </w:tcPr>
          <w:p>
            <w:pPr>
              <w:pStyle w:val="yTableNAm"/>
            </w:pPr>
            <w:r>
              <w:t>11</w:t>
            </w:r>
          </w:p>
        </w:tc>
        <w:tc>
          <w:tcPr>
            <w:tcW w:w="1785" w:type="dxa"/>
          </w:tcPr>
          <w:p>
            <w:pPr>
              <w:pStyle w:val="yTableNAm"/>
            </w:pPr>
            <w:r>
              <w:t>s. 30</w:t>
            </w:r>
          </w:p>
        </w:tc>
        <w:tc>
          <w:tcPr>
            <w:tcW w:w="2835" w:type="dxa"/>
          </w:tcPr>
          <w:p>
            <w:pPr>
              <w:pStyle w:val="yTableNAm"/>
            </w:pPr>
            <w:r>
              <w:t>Acting as an investigator without a licence</w:t>
            </w:r>
          </w:p>
        </w:tc>
        <w:tc>
          <w:tcPr>
            <w:tcW w:w="1276" w:type="dxa"/>
            <w:vAlign w:val="bottom"/>
          </w:tcPr>
          <w:p>
            <w:pPr>
              <w:pStyle w:val="yTableNAm"/>
              <w:jc w:val="center"/>
            </w:pPr>
            <w:r>
              <w:t>500</w:t>
            </w:r>
          </w:p>
        </w:tc>
      </w:tr>
      <w:tr>
        <w:tc>
          <w:tcPr>
            <w:tcW w:w="766" w:type="dxa"/>
          </w:tcPr>
          <w:p>
            <w:pPr>
              <w:pStyle w:val="yTableNAm"/>
            </w:pPr>
            <w:r>
              <w:t>12</w:t>
            </w:r>
          </w:p>
        </w:tc>
        <w:tc>
          <w:tcPr>
            <w:tcW w:w="1785" w:type="dxa"/>
          </w:tcPr>
          <w:p>
            <w:pPr>
              <w:pStyle w:val="yTableNAm"/>
            </w:pPr>
            <w:r>
              <w:t>s. 31(1)</w:t>
            </w:r>
          </w:p>
        </w:tc>
        <w:tc>
          <w:tcPr>
            <w:tcW w:w="2835" w:type="dxa"/>
          </w:tcPr>
          <w:p>
            <w:pPr>
              <w:pStyle w:val="yTableNAm"/>
            </w:pPr>
            <w:r>
              <w:t>Acting as a licensed investigator while not in the employment of an inquiry agent</w:t>
            </w:r>
          </w:p>
        </w:tc>
        <w:tc>
          <w:tcPr>
            <w:tcW w:w="1276" w:type="dxa"/>
            <w:vAlign w:val="bottom"/>
          </w:tcPr>
          <w:p>
            <w:pPr>
              <w:pStyle w:val="yTableNAm"/>
              <w:jc w:val="center"/>
            </w:pPr>
            <w:r>
              <w:t>500</w:t>
            </w:r>
          </w:p>
        </w:tc>
      </w:tr>
      <w:tr>
        <w:tc>
          <w:tcPr>
            <w:tcW w:w="766" w:type="dxa"/>
          </w:tcPr>
          <w:p>
            <w:pPr>
              <w:pStyle w:val="yTableNAm"/>
            </w:pPr>
            <w:r>
              <w:t>13</w:t>
            </w:r>
          </w:p>
        </w:tc>
        <w:tc>
          <w:tcPr>
            <w:tcW w:w="1785" w:type="dxa"/>
          </w:tcPr>
          <w:p>
            <w:pPr>
              <w:pStyle w:val="yTableNAm"/>
            </w:pPr>
            <w:r>
              <w:t>s. 32</w:t>
            </w:r>
          </w:p>
        </w:tc>
        <w:tc>
          <w:tcPr>
            <w:tcW w:w="2835" w:type="dxa"/>
          </w:tcPr>
          <w:p>
            <w:pPr>
              <w:pStyle w:val="yTableNAm"/>
            </w:pPr>
            <w:r>
              <w:t>Employing a person as an investigator who does not hold an investigator’s licence</w:t>
            </w:r>
          </w:p>
        </w:tc>
        <w:tc>
          <w:tcPr>
            <w:tcW w:w="1276" w:type="dxa"/>
            <w:vAlign w:val="bottom"/>
          </w:tcPr>
          <w:p>
            <w:pPr>
              <w:pStyle w:val="yTableNAm"/>
              <w:jc w:val="center"/>
            </w:pPr>
            <w:r>
              <w:t>500</w:t>
            </w:r>
          </w:p>
        </w:tc>
      </w:tr>
      <w:tr>
        <w:tc>
          <w:tcPr>
            <w:tcW w:w="766" w:type="dxa"/>
          </w:tcPr>
          <w:p>
            <w:pPr>
              <w:pStyle w:val="yTableNAm"/>
            </w:pPr>
            <w:r>
              <w:t>14</w:t>
            </w:r>
          </w:p>
        </w:tc>
        <w:tc>
          <w:tcPr>
            <w:tcW w:w="1785" w:type="dxa"/>
          </w:tcPr>
          <w:p>
            <w:pPr>
              <w:pStyle w:val="yTableNAm"/>
            </w:pPr>
            <w:r>
              <w:t>s. 33(1)</w:t>
            </w:r>
          </w:p>
        </w:tc>
        <w:tc>
          <w:tcPr>
            <w:tcW w:w="2835" w:type="dxa"/>
          </w:tcPr>
          <w:p>
            <w:pPr>
              <w:pStyle w:val="yTableNAm"/>
            </w:pPr>
            <w:r>
              <w:t>Advertising or holding out to be willing to supply the services of an investigator while not being a holder of an inquiry agent’s licence</w:t>
            </w:r>
          </w:p>
        </w:tc>
        <w:tc>
          <w:tcPr>
            <w:tcW w:w="1276" w:type="dxa"/>
            <w:vAlign w:val="bottom"/>
          </w:tcPr>
          <w:p>
            <w:pPr>
              <w:pStyle w:val="yTableNAm"/>
              <w:jc w:val="center"/>
            </w:pPr>
            <w:r>
              <w:t>500</w:t>
            </w:r>
          </w:p>
        </w:tc>
      </w:tr>
      <w:tr>
        <w:tc>
          <w:tcPr>
            <w:tcW w:w="766" w:type="dxa"/>
          </w:tcPr>
          <w:p>
            <w:pPr>
              <w:pStyle w:val="yTableNAm"/>
            </w:pPr>
            <w:r>
              <w:t>15</w:t>
            </w:r>
          </w:p>
        </w:tc>
        <w:tc>
          <w:tcPr>
            <w:tcW w:w="1785" w:type="dxa"/>
          </w:tcPr>
          <w:p>
            <w:pPr>
              <w:pStyle w:val="yTableNAm"/>
            </w:pPr>
            <w:r>
              <w:t>s. 36</w:t>
            </w:r>
          </w:p>
        </w:tc>
        <w:tc>
          <w:tcPr>
            <w:tcW w:w="2835" w:type="dxa"/>
          </w:tcPr>
          <w:p>
            <w:pPr>
              <w:pStyle w:val="yTableNAm"/>
            </w:pPr>
            <w:r>
              <w:t>Acting as a crowd control agent without a licence</w:t>
            </w:r>
          </w:p>
        </w:tc>
        <w:tc>
          <w:tcPr>
            <w:tcW w:w="1276" w:type="dxa"/>
            <w:vAlign w:val="bottom"/>
          </w:tcPr>
          <w:p>
            <w:pPr>
              <w:pStyle w:val="yTableNAm"/>
              <w:jc w:val="center"/>
            </w:pPr>
            <w:r>
              <w:t>500</w:t>
            </w:r>
          </w:p>
        </w:tc>
      </w:tr>
      <w:tr>
        <w:tc>
          <w:tcPr>
            <w:tcW w:w="766" w:type="dxa"/>
          </w:tcPr>
          <w:p>
            <w:pPr>
              <w:pStyle w:val="yTableNAm"/>
            </w:pPr>
            <w:r>
              <w:t>16</w:t>
            </w:r>
          </w:p>
        </w:tc>
        <w:tc>
          <w:tcPr>
            <w:tcW w:w="1785" w:type="dxa"/>
          </w:tcPr>
          <w:p>
            <w:pPr>
              <w:pStyle w:val="yTableNAm"/>
            </w:pPr>
            <w:r>
              <w:t>s. 37</w:t>
            </w:r>
          </w:p>
        </w:tc>
        <w:tc>
          <w:tcPr>
            <w:tcW w:w="2835" w:type="dxa"/>
          </w:tcPr>
          <w:p>
            <w:pPr>
              <w:pStyle w:val="yTableNAm"/>
            </w:pPr>
            <w:r>
              <w:t>Acting as a crowd controller without a licence</w:t>
            </w:r>
          </w:p>
        </w:tc>
        <w:tc>
          <w:tcPr>
            <w:tcW w:w="1276" w:type="dxa"/>
            <w:vAlign w:val="bottom"/>
          </w:tcPr>
          <w:p>
            <w:pPr>
              <w:pStyle w:val="yTableNAm"/>
              <w:jc w:val="center"/>
            </w:pPr>
            <w:r>
              <w:t>500</w:t>
            </w:r>
          </w:p>
        </w:tc>
      </w:tr>
      <w:tr>
        <w:tc>
          <w:tcPr>
            <w:tcW w:w="766" w:type="dxa"/>
          </w:tcPr>
          <w:p>
            <w:pPr>
              <w:pStyle w:val="yTableNAm"/>
            </w:pPr>
            <w:r>
              <w:lastRenderedPageBreak/>
              <w:t>17</w:t>
            </w:r>
          </w:p>
        </w:tc>
        <w:tc>
          <w:tcPr>
            <w:tcW w:w="1785" w:type="dxa"/>
          </w:tcPr>
          <w:p>
            <w:pPr>
              <w:pStyle w:val="yTableNAm"/>
            </w:pPr>
            <w:r>
              <w:t>s. 38(1)</w:t>
            </w:r>
          </w:p>
        </w:tc>
        <w:tc>
          <w:tcPr>
            <w:tcW w:w="2835" w:type="dxa"/>
          </w:tcPr>
          <w:p>
            <w:pPr>
              <w:pStyle w:val="yTableNAm"/>
            </w:pPr>
            <w:r>
              <w:t>Acting as a crowd controller while not in the employment of a crowd control agent</w:t>
            </w:r>
          </w:p>
        </w:tc>
        <w:tc>
          <w:tcPr>
            <w:tcW w:w="1276" w:type="dxa"/>
            <w:vAlign w:val="bottom"/>
          </w:tcPr>
          <w:p>
            <w:pPr>
              <w:pStyle w:val="yTableNAm"/>
              <w:jc w:val="center"/>
            </w:pPr>
            <w:r>
              <w:t>500</w:t>
            </w:r>
          </w:p>
        </w:tc>
      </w:tr>
      <w:tr>
        <w:tc>
          <w:tcPr>
            <w:tcW w:w="766" w:type="dxa"/>
          </w:tcPr>
          <w:p>
            <w:pPr>
              <w:pStyle w:val="yTableNAm"/>
            </w:pPr>
            <w:r>
              <w:t>18</w:t>
            </w:r>
          </w:p>
        </w:tc>
        <w:tc>
          <w:tcPr>
            <w:tcW w:w="1785" w:type="dxa"/>
          </w:tcPr>
          <w:p>
            <w:pPr>
              <w:pStyle w:val="yTableNAm"/>
            </w:pPr>
            <w:r>
              <w:t>s. 39</w:t>
            </w:r>
          </w:p>
        </w:tc>
        <w:tc>
          <w:tcPr>
            <w:tcW w:w="2835" w:type="dxa"/>
          </w:tcPr>
          <w:p>
            <w:pPr>
              <w:pStyle w:val="yTableNAm"/>
            </w:pPr>
            <w:r>
              <w:t>Employing a person as a crowd controller who does not hold a crowd controller’s licence</w:t>
            </w:r>
          </w:p>
        </w:tc>
        <w:tc>
          <w:tcPr>
            <w:tcW w:w="1276" w:type="dxa"/>
            <w:vAlign w:val="bottom"/>
          </w:tcPr>
          <w:p>
            <w:pPr>
              <w:pStyle w:val="yTableNAm"/>
              <w:jc w:val="center"/>
            </w:pPr>
            <w:r>
              <w:t>500</w:t>
            </w:r>
          </w:p>
        </w:tc>
      </w:tr>
      <w:tr>
        <w:tc>
          <w:tcPr>
            <w:tcW w:w="766" w:type="dxa"/>
          </w:tcPr>
          <w:p>
            <w:pPr>
              <w:pStyle w:val="yTableNAm"/>
            </w:pPr>
            <w:r>
              <w:t>19</w:t>
            </w:r>
          </w:p>
        </w:tc>
        <w:tc>
          <w:tcPr>
            <w:tcW w:w="1785" w:type="dxa"/>
          </w:tcPr>
          <w:p>
            <w:pPr>
              <w:pStyle w:val="yTableNAm"/>
            </w:pPr>
            <w:r>
              <w:t>s. 40(1)</w:t>
            </w:r>
          </w:p>
        </w:tc>
        <w:tc>
          <w:tcPr>
            <w:tcW w:w="2835" w:type="dxa"/>
          </w:tcPr>
          <w:p>
            <w:pPr>
              <w:pStyle w:val="yTableNAm"/>
            </w:pPr>
            <w:r>
              <w:t>Advertising or holding out to be willing to supply the services of a crowd controller while not being a holder of a crowd control agent’s licence</w:t>
            </w:r>
          </w:p>
        </w:tc>
        <w:tc>
          <w:tcPr>
            <w:tcW w:w="1276" w:type="dxa"/>
            <w:vAlign w:val="bottom"/>
          </w:tcPr>
          <w:p>
            <w:pPr>
              <w:pStyle w:val="yTableNAm"/>
              <w:jc w:val="center"/>
            </w:pPr>
            <w:r>
              <w:t>500</w:t>
            </w:r>
          </w:p>
        </w:tc>
      </w:tr>
      <w:tr>
        <w:tc>
          <w:tcPr>
            <w:tcW w:w="766" w:type="dxa"/>
          </w:tcPr>
          <w:p>
            <w:pPr>
              <w:pStyle w:val="yTableNAm"/>
            </w:pPr>
            <w:r>
              <w:t>20</w:t>
            </w:r>
          </w:p>
        </w:tc>
        <w:tc>
          <w:tcPr>
            <w:tcW w:w="1785" w:type="dxa"/>
          </w:tcPr>
          <w:p>
            <w:pPr>
              <w:pStyle w:val="yTableNAm"/>
            </w:pPr>
            <w:r>
              <w:t>s. 41(1)</w:t>
            </w:r>
          </w:p>
        </w:tc>
        <w:tc>
          <w:tcPr>
            <w:tcW w:w="2835" w:type="dxa"/>
          </w:tcPr>
          <w:p>
            <w:pPr>
              <w:pStyle w:val="yTableNAm"/>
            </w:pPr>
            <w:r>
              <w:t>Acting as an armed security bodyguard while not authorised to do so</w:t>
            </w:r>
          </w:p>
        </w:tc>
        <w:tc>
          <w:tcPr>
            <w:tcW w:w="1276" w:type="dxa"/>
            <w:vAlign w:val="bottom"/>
          </w:tcPr>
          <w:p>
            <w:pPr>
              <w:pStyle w:val="yTableNAm"/>
              <w:jc w:val="center"/>
            </w:pPr>
            <w:r>
              <w:t>500</w:t>
            </w:r>
          </w:p>
        </w:tc>
      </w:tr>
      <w:tr>
        <w:tc>
          <w:tcPr>
            <w:tcW w:w="766" w:type="dxa"/>
          </w:tcPr>
          <w:p>
            <w:pPr>
              <w:pStyle w:val="yTableNAm"/>
            </w:pPr>
            <w:r>
              <w:t>21</w:t>
            </w:r>
          </w:p>
        </w:tc>
        <w:tc>
          <w:tcPr>
            <w:tcW w:w="1785" w:type="dxa"/>
          </w:tcPr>
          <w:p>
            <w:pPr>
              <w:pStyle w:val="yTableNAm"/>
            </w:pPr>
            <w:r>
              <w:t>s. 64</w:t>
            </w:r>
          </w:p>
        </w:tc>
        <w:tc>
          <w:tcPr>
            <w:tcW w:w="2835" w:type="dxa"/>
          </w:tcPr>
          <w:p>
            <w:pPr>
              <w:pStyle w:val="yTableNAm"/>
            </w:pPr>
            <w:r>
              <w:t>Failing to comply with a condition or restriction attached to a licence</w:t>
            </w:r>
          </w:p>
        </w:tc>
        <w:tc>
          <w:tcPr>
            <w:tcW w:w="1276" w:type="dxa"/>
            <w:vAlign w:val="bottom"/>
          </w:tcPr>
          <w:p>
            <w:pPr>
              <w:pStyle w:val="yTableNAm"/>
              <w:jc w:val="center"/>
            </w:pPr>
            <w:r>
              <w:t>500</w:t>
            </w:r>
          </w:p>
        </w:tc>
      </w:tr>
      <w:tr>
        <w:tc>
          <w:tcPr>
            <w:tcW w:w="766" w:type="dxa"/>
          </w:tcPr>
          <w:p>
            <w:pPr>
              <w:pStyle w:val="yTableNAm"/>
            </w:pPr>
            <w:r>
              <w:t>22</w:t>
            </w:r>
          </w:p>
        </w:tc>
        <w:tc>
          <w:tcPr>
            <w:tcW w:w="1785" w:type="dxa"/>
          </w:tcPr>
          <w:p>
            <w:pPr>
              <w:pStyle w:val="yTableNAm"/>
            </w:pPr>
            <w:r>
              <w:t>s. 67B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23</w:t>
            </w:r>
          </w:p>
        </w:tc>
        <w:tc>
          <w:tcPr>
            <w:tcW w:w="1785" w:type="dxa"/>
          </w:tcPr>
          <w:p>
            <w:pPr>
              <w:pStyle w:val="yTableNAm"/>
            </w:pPr>
            <w:r>
              <w:t>s. 68(2b)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24</w:t>
            </w:r>
          </w:p>
        </w:tc>
        <w:tc>
          <w:tcPr>
            <w:tcW w:w="1785" w:type="dxa"/>
          </w:tcPr>
          <w:p>
            <w:pPr>
              <w:pStyle w:val="yTableNAm"/>
            </w:pPr>
            <w:r>
              <w:t>s. 75</w:t>
            </w:r>
          </w:p>
        </w:tc>
        <w:tc>
          <w:tcPr>
            <w:tcW w:w="2835" w:type="dxa"/>
          </w:tcPr>
          <w:p>
            <w:pPr>
              <w:pStyle w:val="yTableNAm"/>
            </w:pPr>
            <w:r>
              <w:t>Failing to produce licence for inspection</w:t>
            </w:r>
          </w:p>
        </w:tc>
        <w:tc>
          <w:tcPr>
            <w:tcW w:w="1276" w:type="dxa"/>
            <w:vAlign w:val="bottom"/>
          </w:tcPr>
          <w:p>
            <w:pPr>
              <w:pStyle w:val="yTableNAm"/>
              <w:jc w:val="center"/>
            </w:pPr>
            <w:r>
              <w:t>400</w:t>
            </w:r>
          </w:p>
        </w:tc>
      </w:tr>
      <w:tr>
        <w:tc>
          <w:tcPr>
            <w:tcW w:w="766" w:type="dxa"/>
          </w:tcPr>
          <w:p>
            <w:pPr>
              <w:pStyle w:val="yTableNAm"/>
            </w:pPr>
            <w:r>
              <w:t>25</w:t>
            </w:r>
          </w:p>
        </w:tc>
        <w:tc>
          <w:tcPr>
            <w:tcW w:w="1785" w:type="dxa"/>
          </w:tcPr>
          <w:p>
            <w:pPr>
              <w:pStyle w:val="yTableNAm"/>
            </w:pPr>
            <w:r>
              <w:t>s. 76</w:t>
            </w:r>
          </w:p>
        </w:tc>
        <w:tc>
          <w:tcPr>
            <w:tcW w:w="2835" w:type="dxa"/>
          </w:tcPr>
          <w:p>
            <w:pPr>
              <w:pStyle w:val="yTableNAm"/>
            </w:pPr>
            <w:r>
              <w:t>Failing to return licence and identity card when licence has expired, terminated or been surrendered</w:t>
            </w:r>
          </w:p>
        </w:tc>
        <w:tc>
          <w:tcPr>
            <w:tcW w:w="1276" w:type="dxa"/>
            <w:vAlign w:val="bottom"/>
          </w:tcPr>
          <w:p>
            <w:pPr>
              <w:pStyle w:val="yTableNAm"/>
              <w:jc w:val="center"/>
            </w:pPr>
            <w:r>
              <w:t>400</w:t>
            </w:r>
          </w:p>
        </w:tc>
      </w:tr>
      <w:tr>
        <w:tc>
          <w:tcPr>
            <w:tcW w:w="766" w:type="dxa"/>
          </w:tcPr>
          <w:p>
            <w:pPr>
              <w:pStyle w:val="yTableNAm"/>
            </w:pPr>
            <w:r>
              <w:lastRenderedPageBreak/>
              <w:t>26</w:t>
            </w:r>
          </w:p>
        </w:tc>
        <w:tc>
          <w:tcPr>
            <w:tcW w:w="1785" w:type="dxa"/>
          </w:tcPr>
          <w:p>
            <w:pPr>
              <w:pStyle w:val="yTableNAm"/>
            </w:pPr>
            <w:r>
              <w:t>s. 77(1)</w:t>
            </w:r>
          </w:p>
        </w:tc>
        <w:tc>
          <w:tcPr>
            <w:tcW w:w="2835" w:type="dxa"/>
          </w:tcPr>
          <w:p>
            <w:pPr>
              <w:pStyle w:val="yTableNAm"/>
            </w:pPr>
            <w:r>
              <w:t>Failing to give notice of change of business address</w:t>
            </w:r>
          </w:p>
        </w:tc>
        <w:tc>
          <w:tcPr>
            <w:tcW w:w="1276" w:type="dxa"/>
            <w:vAlign w:val="bottom"/>
          </w:tcPr>
          <w:p>
            <w:pPr>
              <w:pStyle w:val="yTableNAm"/>
              <w:jc w:val="center"/>
            </w:pPr>
            <w:r>
              <w:t>400</w:t>
            </w:r>
          </w:p>
        </w:tc>
      </w:tr>
      <w:tr>
        <w:tc>
          <w:tcPr>
            <w:tcW w:w="766" w:type="dxa"/>
          </w:tcPr>
          <w:p>
            <w:pPr>
              <w:pStyle w:val="yTableNAm"/>
            </w:pPr>
            <w:r>
              <w:t>27</w:t>
            </w:r>
          </w:p>
        </w:tc>
        <w:tc>
          <w:tcPr>
            <w:tcW w:w="1785" w:type="dxa"/>
          </w:tcPr>
          <w:p>
            <w:pPr>
              <w:pStyle w:val="yTableNAm"/>
            </w:pPr>
            <w:r>
              <w:t>s. 77(2)</w:t>
            </w:r>
          </w:p>
        </w:tc>
        <w:tc>
          <w:tcPr>
            <w:tcW w:w="2835" w:type="dxa"/>
          </w:tcPr>
          <w:p>
            <w:pPr>
              <w:pStyle w:val="yTableNAm"/>
            </w:pPr>
            <w:r>
              <w:t>Failing to give notice of change of residential address</w:t>
            </w:r>
          </w:p>
        </w:tc>
        <w:tc>
          <w:tcPr>
            <w:tcW w:w="1276" w:type="dxa"/>
            <w:vAlign w:val="bottom"/>
          </w:tcPr>
          <w:p>
            <w:pPr>
              <w:pStyle w:val="yTableNAm"/>
              <w:jc w:val="center"/>
            </w:pPr>
            <w:r>
              <w:t>400</w:t>
            </w:r>
          </w:p>
        </w:tc>
      </w:tr>
      <w:tr>
        <w:tc>
          <w:tcPr>
            <w:tcW w:w="766" w:type="dxa"/>
          </w:tcPr>
          <w:p>
            <w:pPr>
              <w:pStyle w:val="yTableNAm"/>
            </w:pPr>
            <w:r>
              <w:t>28</w:t>
            </w:r>
          </w:p>
        </w:tc>
        <w:tc>
          <w:tcPr>
            <w:tcW w:w="1785" w:type="dxa"/>
          </w:tcPr>
          <w:p>
            <w:pPr>
              <w:pStyle w:val="yTableNAm"/>
            </w:pPr>
            <w:r>
              <w:t>s. 77A(1)</w:t>
            </w:r>
          </w:p>
        </w:tc>
        <w:tc>
          <w:tcPr>
            <w:tcW w:w="2835" w:type="dxa"/>
          </w:tcPr>
          <w:p>
            <w:pPr>
              <w:pStyle w:val="yTableNAm"/>
            </w:pPr>
            <w:r>
              <w:t>Failing to give notice of being charged or found guilty of disqualifying offence</w:t>
            </w:r>
          </w:p>
        </w:tc>
        <w:tc>
          <w:tcPr>
            <w:tcW w:w="1276" w:type="dxa"/>
            <w:vAlign w:val="bottom"/>
          </w:tcPr>
          <w:p>
            <w:pPr>
              <w:pStyle w:val="yTableNAm"/>
              <w:jc w:val="center"/>
            </w:pPr>
            <w:r>
              <w:t>400</w:t>
            </w:r>
          </w:p>
        </w:tc>
      </w:tr>
      <w:tr>
        <w:tc>
          <w:tcPr>
            <w:tcW w:w="766" w:type="dxa"/>
          </w:tcPr>
          <w:p>
            <w:pPr>
              <w:pStyle w:val="yTableNAm"/>
            </w:pPr>
            <w:r>
              <w:t>29</w:t>
            </w:r>
          </w:p>
        </w:tc>
        <w:tc>
          <w:tcPr>
            <w:tcW w:w="1785" w:type="dxa"/>
          </w:tcPr>
          <w:p>
            <w:pPr>
              <w:pStyle w:val="yTableNAm"/>
            </w:pPr>
            <w:r>
              <w:t>s. 78(1)(a)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30</w:t>
            </w:r>
          </w:p>
        </w:tc>
        <w:tc>
          <w:tcPr>
            <w:tcW w:w="1785" w:type="dxa"/>
          </w:tcPr>
          <w:p>
            <w:pPr>
              <w:pStyle w:val="yTableNAm"/>
            </w:pPr>
            <w:r>
              <w:t>s. 78(2)</w:t>
            </w:r>
          </w:p>
        </w:tc>
        <w:tc>
          <w:tcPr>
            <w:tcW w:w="2835" w:type="dxa"/>
          </w:tcPr>
          <w:p>
            <w:pPr>
              <w:pStyle w:val="yTableNAm"/>
            </w:pPr>
            <w:r>
              <w:t>Failing to notify licensing officer of address where records are kept</w:t>
            </w:r>
          </w:p>
        </w:tc>
        <w:tc>
          <w:tcPr>
            <w:tcW w:w="1276" w:type="dxa"/>
            <w:vAlign w:val="bottom"/>
          </w:tcPr>
          <w:p>
            <w:pPr>
              <w:pStyle w:val="yTableNAm"/>
              <w:jc w:val="center"/>
            </w:pPr>
            <w:r>
              <w:t>400</w:t>
            </w:r>
          </w:p>
        </w:tc>
      </w:tr>
      <w:tr>
        <w:tc>
          <w:tcPr>
            <w:tcW w:w="766" w:type="dxa"/>
          </w:tcPr>
          <w:p>
            <w:pPr>
              <w:pStyle w:val="yTableNAm"/>
            </w:pPr>
            <w:r>
              <w:t>31</w:t>
            </w:r>
          </w:p>
        </w:tc>
        <w:tc>
          <w:tcPr>
            <w:tcW w:w="1785" w:type="dxa"/>
          </w:tcPr>
          <w:p>
            <w:pPr>
              <w:pStyle w:val="yTableNAm"/>
            </w:pPr>
            <w:r>
              <w:t>s. 79</w:t>
            </w:r>
          </w:p>
        </w:tc>
        <w:tc>
          <w:tcPr>
            <w:tcW w:w="2835" w:type="dxa"/>
          </w:tcPr>
          <w:p>
            <w:pPr>
              <w:pStyle w:val="yTableNAm"/>
            </w:pPr>
            <w:r>
              <w:t>Disposing of a licence or identity card to another person or permitting another person to use licence or identity card</w:t>
            </w:r>
          </w:p>
        </w:tc>
        <w:tc>
          <w:tcPr>
            <w:tcW w:w="1276" w:type="dxa"/>
            <w:vAlign w:val="bottom"/>
          </w:tcPr>
          <w:p>
            <w:pPr>
              <w:pStyle w:val="yTableNAm"/>
              <w:jc w:val="center"/>
            </w:pPr>
            <w:r>
              <w:t>500</w:t>
            </w:r>
          </w:p>
        </w:tc>
      </w:tr>
      <w:tr>
        <w:tc>
          <w:tcPr>
            <w:tcW w:w="766" w:type="dxa"/>
          </w:tcPr>
          <w:p>
            <w:pPr>
              <w:pStyle w:val="yTableNAm"/>
            </w:pPr>
            <w:r>
              <w:t>32</w:t>
            </w:r>
          </w:p>
        </w:tc>
        <w:tc>
          <w:tcPr>
            <w:tcW w:w="1785" w:type="dxa"/>
          </w:tcPr>
          <w:p>
            <w:pPr>
              <w:pStyle w:val="yTableNAm"/>
            </w:pPr>
            <w:r>
              <w:t>s. 79A(2)</w:t>
            </w:r>
          </w:p>
        </w:tc>
        <w:tc>
          <w:tcPr>
            <w:tcW w:w="2835" w:type="dxa"/>
          </w:tcPr>
          <w:p>
            <w:pPr>
              <w:pStyle w:val="yTableNAm"/>
            </w:pPr>
            <w:r>
              <w:t>Employing an unlicensed person or a person whose licence has been refused, suspended or revoked</w:t>
            </w:r>
          </w:p>
        </w:tc>
        <w:tc>
          <w:tcPr>
            <w:tcW w:w="1276" w:type="dxa"/>
            <w:vAlign w:val="bottom"/>
          </w:tcPr>
          <w:p>
            <w:pPr>
              <w:pStyle w:val="yTableNAm"/>
              <w:jc w:val="center"/>
            </w:pPr>
            <w:r>
              <w:t>500</w:t>
            </w:r>
          </w:p>
        </w:tc>
      </w:tr>
      <w:tr>
        <w:tc>
          <w:tcPr>
            <w:tcW w:w="766" w:type="dxa"/>
          </w:tcPr>
          <w:p>
            <w:pPr>
              <w:pStyle w:val="yTableNAm"/>
            </w:pPr>
            <w:r>
              <w:t>33</w:t>
            </w:r>
          </w:p>
        </w:tc>
        <w:tc>
          <w:tcPr>
            <w:tcW w:w="1785" w:type="dxa"/>
          </w:tcPr>
          <w:p>
            <w:pPr>
              <w:pStyle w:val="yTableNAm"/>
            </w:pPr>
            <w:r>
              <w:t>s. 84(a)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34</w:t>
            </w:r>
          </w:p>
        </w:tc>
        <w:tc>
          <w:tcPr>
            <w:tcW w:w="1785" w:type="dxa"/>
          </w:tcPr>
          <w:p>
            <w:pPr>
              <w:pStyle w:val="yTableNAm"/>
            </w:pPr>
            <w:r>
              <w:t>s. 85(4)</w:t>
            </w:r>
          </w:p>
        </w:tc>
        <w:tc>
          <w:tcPr>
            <w:tcW w:w="2835" w:type="dxa"/>
          </w:tcPr>
          <w:p>
            <w:pPr>
              <w:pStyle w:val="yTableNAm"/>
            </w:pPr>
            <w:r>
              <w:t>Refusing or failing to comply with a requirement or providing false or misleading information</w:t>
            </w:r>
          </w:p>
        </w:tc>
        <w:tc>
          <w:tcPr>
            <w:tcW w:w="1276" w:type="dxa"/>
            <w:vAlign w:val="bottom"/>
          </w:tcPr>
          <w:p>
            <w:pPr>
              <w:pStyle w:val="yTableNAm"/>
              <w:jc w:val="center"/>
            </w:pPr>
            <w:r>
              <w:t>400</w:t>
            </w:r>
          </w:p>
        </w:tc>
      </w:tr>
      <w:tr>
        <w:tc>
          <w:tcPr>
            <w:tcW w:w="766" w:type="dxa"/>
          </w:tcPr>
          <w:p>
            <w:pPr>
              <w:pStyle w:val="yTableNAm"/>
            </w:pPr>
            <w:r>
              <w:t>35</w:t>
            </w:r>
          </w:p>
        </w:tc>
        <w:tc>
          <w:tcPr>
            <w:tcW w:w="1785" w:type="dxa"/>
          </w:tcPr>
          <w:p>
            <w:pPr>
              <w:pStyle w:val="yTableNAm"/>
            </w:pPr>
            <w:r>
              <w:t>s. 93A(2)</w:t>
            </w:r>
          </w:p>
        </w:tc>
        <w:tc>
          <w:tcPr>
            <w:tcW w:w="2835" w:type="dxa"/>
          </w:tcPr>
          <w:p>
            <w:pPr>
              <w:pStyle w:val="yTableNAm"/>
            </w:pPr>
            <w:r>
              <w:t>Refusing or failing to comply with requirement to provide name and address of agent</w:t>
            </w:r>
          </w:p>
        </w:tc>
        <w:tc>
          <w:tcPr>
            <w:tcW w:w="1276" w:type="dxa"/>
            <w:vAlign w:val="bottom"/>
          </w:tcPr>
          <w:p>
            <w:pPr>
              <w:pStyle w:val="yTableNAm"/>
              <w:jc w:val="center"/>
            </w:pPr>
            <w:r>
              <w:t>400</w:t>
            </w:r>
          </w:p>
        </w:tc>
      </w:tr>
    </w:tbl>
    <w:p>
      <w:pPr>
        <w:pStyle w:val="yFootnotesection"/>
      </w:pPr>
      <w:r>
        <w:tab/>
        <w:t>[Division 1 inserted: Gazette 29 Jul 2016 p. 3249-53.]</w:t>
      </w:r>
    </w:p>
    <w:p>
      <w:pPr>
        <w:pStyle w:val="yHeading3"/>
      </w:pPr>
      <w:bookmarkStart w:id="176" w:name="_Toc173501607"/>
      <w:bookmarkStart w:id="177" w:name="_Toc173502485"/>
      <w:bookmarkStart w:id="178" w:name="_Toc173507698"/>
      <w:r>
        <w:rPr>
          <w:rStyle w:val="CharSDivNo"/>
        </w:rPr>
        <w:lastRenderedPageBreak/>
        <w:t>Division 2</w:t>
      </w:r>
      <w:r>
        <w:rPr>
          <w:b w:val="0"/>
        </w:rPr>
        <w:t> — </w:t>
      </w:r>
      <w:r>
        <w:rPr>
          <w:rStyle w:val="CharSDivText"/>
        </w:rPr>
        <w:t>Offence under these regulations</w:t>
      </w:r>
      <w:bookmarkEnd w:id="176"/>
      <w:bookmarkEnd w:id="177"/>
      <w:bookmarkEnd w:id="178"/>
    </w:p>
    <w:p>
      <w:pPr>
        <w:pStyle w:val="yFootnoteheading"/>
      </w:pPr>
      <w:r>
        <w:tab/>
        <w:t>[Heading inserted: Gazette 29 Jul 2016 p. 3253.]</w:t>
      </w:r>
    </w:p>
    <w:tbl>
      <w:tblPr>
        <w:tblStyle w:val="TableGrid"/>
        <w:tblW w:w="0" w:type="auto"/>
        <w:tblInd w:w="392" w:type="dxa"/>
        <w:tblLook w:val="04A0" w:firstRow="1" w:lastRow="0" w:firstColumn="1" w:lastColumn="0" w:noHBand="0" w:noVBand="1"/>
      </w:tblPr>
      <w:tblGrid>
        <w:gridCol w:w="780"/>
        <w:gridCol w:w="1778"/>
        <w:gridCol w:w="2827"/>
        <w:gridCol w:w="1277"/>
      </w:tblGrid>
      <w:tr>
        <w:tc>
          <w:tcPr>
            <w:tcW w:w="780" w:type="dxa"/>
          </w:tcPr>
          <w:p>
            <w:pPr>
              <w:pStyle w:val="yTableNAm"/>
            </w:pPr>
            <w:r>
              <w:rPr>
                <w:b/>
              </w:rPr>
              <w:t>Item</w:t>
            </w:r>
          </w:p>
        </w:tc>
        <w:tc>
          <w:tcPr>
            <w:tcW w:w="1778" w:type="dxa"/>
          </w:tcPr>
          <w:p>
            <w:pPr>
              <w:pStyle w:val="yTableNAm"/>
            </w:pPr>
            <w:r>
              <w:rPr>
                <w:b/>
              </w:rPr>
              <w:t>Regulation</w:t>
            </w:r>
          </w:p>
        </w:tc>
        <w:tc>
          <w:tcPr>
            <w:tcW w:w="2827" w:type="dxa"/>
          </w:tcPr>
          <w:p>
            <w:pPr>
              <w:pStyle w:val="yTableNAm"/>
            </w:pPr>
            <w:r>
              <w:rPr>
                <w:b/>
              </w:rPr>
              <w:t>Offence</w:t>
            </w:r>
          </w:p>
        </w:tc>
        <w:tc>
          <w:tcPr>
            <w:tcW w:w="1277" w:type="dxa"/>
            <w:vAlign w:val="center"/>
          </w:tcPr>
          <w:p>
            <w:pPr>
              <w:pStyle w:val="yTableNAm"/>
              <w:jc w:val="center"/>
            </w:pPr>
            <w:r>
              <w:rPr>
                <w:b/>
              </w:rPr>
              <w:t>Modified penalty</w:t>
            </w:r>
            <w:r>
              <w:rPr>
                <w:b/>
              </w:rPr>
              <w:br/>
              <w:t>($)</w:t>
            </w:r>
          </w:p>
        </w:tc>
      </w:tr>
      <w:tr>
        <w:tc>
          <w:tcPr>
            <w:tcW w:w="780" w:type="dxa"/>
          </w:tcPr>
          <w:p>
            <w:pPr>
              <w:pStyle w:val="yTableNAm"/>
            </w:pPr>
            <w:r>
              <w:t>1</w:t>
            </w:r>
          </w:p>
        </w:tc>
        <w:tc>
          <w:tcPr>
            <w:tcW w:w="1778" w:type="dxa"/>
          </w:tcPr>
          <w:p>
            <w:pPr>
              <w:pStyle w:val="yTableNAm"/>
            </w:pPr>
            <w:r>
              <w:t>r. 40(2)</w:t>
            </w:r>
          </w:p>
        </w:tc>
        <w:tc>
          <w:tcPr>
            <w:tcW w:w="2827" w:type="dxa"/>
          </w:tcPr>
          <w:p>
            <w:pPr>
              <w:pStyle w:val="yTableNAm"/>
            </w:pPr>
            <w:r>
              <w:t>Failing to record details in incident register</w:t>
            </w:r>
          </w:p>
        </w:tc>
        <w:tc>
          <w:tcPr>
            <w:tcW w:w="1277" w:type="dxa"/>
            <w:vAlign w:val="bottom"/>
          </w:tcPr>
          <w:p>
            <w:pPr>
              <w:pStyle w:val="yTableNAm"/>
              <w:jc w:val="center"/>
            </w:pPr>
            <w:r>
              <w:t>400</w:t>
            </w:r>
          </w:p>
        </w:tc>
      </w:tr>
      <w:tr>
        <w:tc>
          <w:tcPr>
            <w:tcW w:w="780" w:type="dxa"/>
          </w:tcPr>
          <w:p>
            <w:pPr>
              <w:pStyle w:val="yTableNAm"/>
            </w:pPr>
            <w:r>
              <w:t>2</w:t>
            </w:r>
          </w:p>
        </w:tc>
        <w:tc>
          <w:tcPr>
            <w:tcW w:w="1778" w:type="dxa"/>
          </w:tcPr>
          <w:p>
            <w:pPr>
              <w:pStyle w:val="yTableNAm"/>
            </w:pPr>
            <w:r>
              <w:t>r. 48A(1)</w:t>
            </w:r>
          </w:p>
        </w:tc>
        <w:tc>
          <w:tcPr>
            <w:tcW w:w="2827" w:type="dxa"/>
          </w:tcPr>
          <w:p>
            <w:pPr>
              <w:pStyle w:val="yTableNAm"/>
            </w:pPr>
            <w:r>
              <w:t>Failing to produce identity card when giving blood or urine sample under direction</w:t>
            </w:r>
          </w:p>
        </w:tc>
        <w:tc>
          <w:tcPr>
            <w:tcW w:w="1277" w:type="dxa"/>
            <w:vAlign w:val="bottom"/>
          </w:tcPr>
          <w:p>
            <w:pPr>
              <w:pStyle w:val="yTableNAm"/>
              <w:jc w:val="center"/>
            </w:pPr>
            <w:r>
              <w:t>400</w:t>
            </w:r>
          </w:p>
        </w:tc>
      </w:tr>
    </w:tbl>
    <w:p>
      <w:pPr>
        <w:pStyle w:val="yFootnotesection"/>
      </w:pPr>
      <w:r>
        <w:tab/>
        <w:t>[Division 2 inserted: Gazette 29 Jul 2016 p. 3253.]</w:t>
      </w:r>
    </w:p>
    <w:p>
      <w:pPr>
        <w:sectPr>
          <w:pgSz w:w="11907" w:h="16840" w:code="9"/>
          <w:pgMar w:top="2376" w:right="2405" w:bottom="3542" w:left="2405" w:header="706" w:footer="3544" w:gutter="0"/>
          <w:cols w:space="720"/>
          <w:noEndnote/>
          <w:docGrid w:linePitch="326"/>
        </w:sectPr>
      </w:pPr>
    </w:p>
    <w:p>
      <w:pPr>
        <w:pStyle w:val="yScheduleHeading"/>
      </w:pPr>
      <w:bookmarkStart w:id="179" w:name="_Toc173501608"/>
      <w:bookmarkStart w:id="180" w:name="_Toc173502486"/>
      <w:bookmarkStart w:id="181" w:name="_Toc173507699"/>
      <w:r>
        <w:rPr>
          <w:rStyle w:val="CharSchNo"/>
        </w:rPr>
        <w:lastRenderedPageBreak/>
        <w:t>Schedule 6</w:t>
      </w:r>
      <w:r>
        <w:t> — </w:t>
      </w:r>
      <w:r>
        <w:rPr>
          <w:rStyle w:val="CharSchText"/>
        </w:rPr>
        <w:t>Forms</w:t>
      </w:r>
      <w:bookmarkEnd w:id="179"/>
      <w:bookmarkEnd w:id="180"/>
      <w:bookmarkEnd w:id="181"/>
    </w:p>
    <w:p>
      <w:pPr>
        <w:pStyle w:val="yShoulderClause"/>
      </w:pPr>
      <w:r>
        <w:t>[r. 59]</w:t>
      </w:r>
    </w:p>
    <w:p>
      <w:pPr>
        <w:pStyle w:val="yFootnoteheading"/>
      </w:pPr>
      <w:r>
        <w:tab/>
        <w:t>[Heading inserted: Gazette 29 Jul 2016 p. 3254.]</w:t>
      </w:r>
    </w:p>
    <w:p>
      <w:pPr>
        <w:pStyle w:val="zyMiscellaneousHeading"/>
        <w:spacing w:after="60"/>
        <w:rPr>
          <w:b/>
        </w:rPr>
      </w:pPr>
      <w:r>
        <w:rPr>
          <w:b/>
        </w:rPr>
        <w:t xml:space="preserve">Form </w:t>
      </w:r>
      <w:r>
        <w:rPr>
          <w:rStyle w:val="CharSClsNo"/>
          <w:b/>
        </w:rPr>
        <w:t>1</w:t>
      </w:r>
      <w:r>
        <w:rPr>
          <w:b/>
        </w:rPr>
        <w:t> — Infringement notice</w:t>
      </w:r>
    </w:p>
    <w:tbl>
      <w:tblPr>
        <w:tblW w:w="6957"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4"/>
        <w:gridCol w:w="1495"/>
        <w:gridCol w:w="3908"/>
      </w:tblGrid>
      <w:tr>
        <w:trPr>
          <w:cantSplit/>
          <w:trHeight w:val="282"/>
        </w:trPr>
        <w:tc>
          <w:tcPr>
            <w:tcW w:w="6957" w:type="dxa"/>
            <w:gridSpan w:val="3"/>
          </w:tcPr>
          <w:p>
            <w:pPr>
              <w:pStyle w:val="yTableNAm"/>
            </w:pPr>
            <w:r>
              <w:br w:type="page"/>
            </w:r>
            <w:r>
              <w:rPr>
                <w:i/>
              </w:rPr>
              <w:t>Security and Related Activities (Control) Act 1996</w:t>
            </w:r>
          </w:p>
          <w:p>
            <w:pPr>
              <w:pStyle w:val="yTableNAm"/>
            </w:pPr>
            <w:r>
              <w:t>Security and Related Activities (Control) Regulations 1997</w:t>
            </w:r>
          </w:p>
          <w:p>
            <w:pPr>
              <w:pStyle w:val="yTableNAm"/>
              <w:rPr>
                <w:b/>
                <w:sz w:val="24"/>
                <w:szCs w:val="24"/>
              </w:rPr>
            </w:pPr>
            <w:r>
              <w:rPr>
                <w:b/>
                <w:sz w:val="24"/>
                <w:szCs w:val="24"/>
              </w:rPr>
              <w:t>Infringement notice</w:t>
            </w:r>
            <w:r>
              <w:rPr>
                <w:b/>
                <w:sz w:val="24"/>
                <w:szCs w:val="24"/>
              </w:rPr>
              <w:tab/>
            </w:r>
          </w:p>
        </w:tc>
      </w:tr>
      <w:tr>
        <w:trPr>
          <w:cantSplit/>
          <w:trHeight w:val="150"/>
        </w:trPr>
        <w:tc>
          <w:tcPr>
            <w:tcW w:w="1554" w:type="dxa"/>
            <w:vMerge w:val="restart"/>
          </w:tcPr>
          <w:p>
            <w:pPr>
              <w:pStyle w:val="yTableNAm"/>
            </w:pPr>
            <w:r>
              <w:rPr>
                <w:b/>
              </w:rPr>
              <w:t>Alleged offender</w:t>
            </w:r>
          </w:p>
        </w:tc>
        <w:tc>
          <w:tcPr>
            <w:tcW w:w="5403" w:type="dxa"/>
            <w:gridSpan w:val="2"/>
          </w:tcPr>
          <w:p>
            <w:pPr>
              <w:pStyle w:val="yTableNAm"/>
            </w:pPr>
            <w:r>
              <w:t>Name:</w:t>
            </w:r>
            <w:r>
              <w:tab/>
              <w:t>Surname</w:t>
            </w:r>
          </w:p>
        </w:tc>
      </w:tr>
      <w:tr>
        <w:trPr>
          <w:cantSplit/>
          <w:trHeight w:val="150"/>
        </w:trPr>
        <w:tc>
          <w:tcPr>
            <w:tcW w:w="1554" w:type="dxa"/>
            <w:vMerge/>
          </w:tcPr>
          <w:p>
            <w:pPr>
              <w:pStyle w:val="zyTableNAm"/>
            </w:pPr>
          </w:p>
        </w:tc>
        <w:tc>
          <w:tcPr>
            <w:tcW w:w="5403" w:type="dxa"/>
            <w:gridSpan w:val="2"/>
          </w:tcPr>
          <w:p>
            <w:pPr>
              <w:pStyle w:val="yTableNAm"/>
            </w:pPr>
            <w:r>
              <w:tab/>
            </w:r>
            <w:r>
              <w:tab/>
              <w:t>Given names</w:t>
            </w:r>
          </w:p>
        </w:tc>
      </w:tr>
      <w:tr>
        <w:trPr>
          <w:cantSplit/>
          <w:trHeight w:val="150"/>
        </w:trPr>
        <w:tc>
          <w:tcPr>
            <w:tcW w:w="1554" w:type="dxa"/>
            <w:vMerge/>
          </w:tcPr>
          <w:p>
            <w:pPr>
              <w:pStyle w:val="zyTableNAm"/>
            </w:pPr>
          </w:p>
        </w:tc>
        <w:tc>
          <w:tcPr>
            <w:tcW w:w="5403" w:type="dxa"/>
            <w:gridSpan w:val="2"/>
          </w:tcPr>
          <w:p>
            <w:pPr>
              <w:pStyle w:val="yTableNAm"/>
            </w:pPr>
            <w:r>
              <w:t>Address _______________________________________</w:t>
            </w:r>
          </w:p>
          <w:p>
            <w:pPr>
              <w:pStyle w:val="yTableNAm"/>
            </w:pPr>
            <w:r>
              <w:tab/>
            </w:r>
            <w:r>
              <w:tab/>
            </w:r>
            <w:r>
              <w:tab/>
            </w:r>
            <w:r>
              <w:tab/>
            </w:r>
            <w:r>
              <w:tab/>
              <w:t>Postcode</w:t>
            </w:r>
          </w:p>
        </w:tc>
      </w:tr>
      <w:tr>
        <w:trPr>
          <w:cantSplit/>
        </w:trPr>
        <w:tc>
          <w:tcPr>
            <w:tcW w:w="1554" w:type="dxa"/>
            <w:vMerge w:val="restart"/>
          </w:tcPr>
          <w:p>
            <w:pPr>
              <w:pStyle w:val="yTableNAm"/>
            </w:pPr>
            <w:r>
              <w:rPr>
                <w:b/>
              </w:rPr>
              <w:t>Details of alleged offence</w:t>
            </w:r>
          </w:p>
        </w:tc>
        <w:tc>
          <w:tcPr>
            <w:tcW w:w="5403" w:type="dxa"/>
            <w:gridSpan w:val="2"/>
          </w:tcPr>
          <w:p>
            <w:pPr>
              <w:pStyle w:val="yTableNAm"/>
            </w:pPr>
            <w:r>
              <w:t>Description of offence ____________________________</w:t>
            </w:r>
          </w:p>
          <w:p>
            <w:pPr>
              <w:pStyle w:val="yTableNAm"/>
              <w:tabs>
                <w:tab w:val="left" w:pos="2663"/>
              </w:tabs>
            </w:pPr>
          </w:p>
        </w:tc>
      </w:tr>
      <w:tr>
        <w:trPr>
          <w:cantSplit/>
        </w:trPr>
        <w:tc>
          <w:tcPr>
            <w:tcW w:w="1554" w:type="dxa"/>
            <w:vMerge/>
          </w:tcPr>
          <w:p>
            <w:pPr>
              <w:pStyle w:val="zyTableNAm"/>
            </w:pPr>
          </w:p>
        </w:tc>
        <w:tc>
          <w:tcPr>
            <w:tcW w:w="5403" w:type="dxa"/>
            <w:gridSpan w:val="2"/>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w:t>
            </w:r>
          </w:p>
        </w:tc>
      </w:tr>
      <w:tr>
        <w:trPr>
          <w:cantSplit/>
        </w:trPr>
        <w:tc>
          <w:tcPr>
            <w:tcW w:w="1554" w:type="dxa"/>
            <w:vMerge/>
          </w:tcPr>
          <w:p>
            <w:pPr>
              <w:pStyle w:val="zyTableNAm"/>
            </w:pPr>
          </w:p>
        </w:tc>
        <w:tc>
          <w:tcPr>
            <w:tcW w:w="5403" w:type="dxa"/>
            <w:gridSpan w:val="2"/>
          </w:tcPr>
          <w:p>
            <w:pPr>
              <w:pStyle w:val="yTableNAm"/>
              <w:tabs>
                <w:tab w:val="clear" w:pos="567"/>
                <w:tab w:val="left" w:pos="820"/>
                <w:tab w:val="left" w:pos="2663"/>
              </w:tabs>
            </w:pPr>
            <w:r>
              <w:t xml:space="preserve">Date </w:t>
            </w:r>
            <w:r>
              <w:tab/>
              <w:t>/          /20</w:t>
            </w:r>
            <w:r>
              <w:tab/>
              <w:t xml:space="preserve">Time </w:t>
            </w:r>
            <w:r>
              <w:tab/>
            </w:r>
          </w:p>
        </w:tc>
      </w:tr>
      <w:tr>
        <w:trPr>
          <w:cantSplit/>
        </w:trPr>
        <w:tc>
          <w:tcPr>
            <w:tcW w:w="1554" w:type="dxa"/>
            <w:vMerge/>
            <w:tcBorders>
              <w:bottom w:val="single" w:sz="4" w:space="0" w:color="auto"/>
            </w:tcBorders>
          </w:tcPr>
          <w:p>
            <w:pPr>
              <w:pStyle w:val="zyTableNAm"/>
            </w:pPr>
          </w:p>
        </w:tc>
        <w:tc>
          <w:tcPr>
            <w:tcW w:w="5403" w:type="dxa"/>
            <w:gridSpan w:val="2"/>
            <w:tcBorders>
              <w:bottom w:val="single" w:sz="4" w:space="0" w:color="auto"/>
            </w:tcBorders>
          </w:tcPr>
          <w:p>
            <w:pPr>
              <w:pStyle w:val="yTableNAm"/>
            </w:pPr>
            <w:r>
              <w:t>Place</w:t>
            </w:r>
          </w:p>
        </w:tc>
      </w:tr>
      <w:tr>
        <w:trPr>
          <w:cantSplit/>
        </w:trPr>
        <w:tc>
          <w:tcPr>
            <w:tcW w:w="1554" w:type="dxa"/>
            <w:vMerge w:val="restart"/>
          </w:tcPr>
          <w:p>
            <w:pPr>
              <w:pStyle w:val="yTableNAm"/>
            </w:pPr>
            <w:r>
              <w:rPr>
                <w:b/>
              </w:rPr>
              <w:t>Officer issuing notice</w:t>
            </w:r>
          </w:p>
        </w:tc>
        <w:tc>
          <w:tcPr>
            <w:tcW w:w="5403" w:type="dxa"/>
            <w:gridSpan w:val="2"/>
            <w:tcBorders>
              <w:bottom w:val="single" w:sz="4" w:space="0" w:color="auto"/>
            </w:tcBorders>
          </w:tcPr>
          <w:p>
            <w:pPr>
              <w:pStyle w:val="yTableNAm"/>
            </w:pPr>
            <w:r>
              <w:t>Name</w:t>
            </w:r>
          </w:p>
        </w:tc>
      </w:tr>
      <w:tr>
        <w:trPr>
          <w:cantSplit/>
        </w:trPr>
        <w:tc>
          <w:tcPr>
            <w:tcW w:w="1554" w:type="dxa"/>
            <w:vMerge/>
          </w:tcPr>
          <w:p>
            <w:pPr>
              <w:pStyle w:val="zyTableNAm"/>
              <w:rPr>
                <w:b/>
              </w:rPr>
            </w:pPr>
          </w:p>
        </w:tc>
        <w:tc>
          <w:tcPr>
            <w:tcW w:w="5403" w:type="dxa"/>
            <w:gridSpan w:val="2"/>
            <w:tcBorders>
              <w:top w:val="single" w:sz="4" w:space="0" w:color="auto"/>
              <w:bottom w:val="single" w:sz="4" w:space="0" w:color="auto"/>
            </w:tcBorders>
          </w:tcPr>
          <w:p>
            <w:pPr>
              <w:pStyle w:val="yTableNAm"/>
              <w:rPr>
                <w:highlight w:val="yellow"/>
              </w:rPr>
            </w:pPr>
            <w:r>
              <w:t>Signature</w:t>
            </w:r>
          </w:p>
        </w:tc>
      </w:tr>
      <w:tr>
        <w:trPr>
          <w:cantSplit/>
        </w:trPr>
        <w:tc>
          <w:tcPr>
            <w:tcW w:w="1554" w:type="dxa"/>
            <w:vMerge/>
            <w:tcBorders>
              <w:bottom w:val="single" w:sz="4" w:space="0" w:color="auto"/>
            </w:tcBorders>
          </w:tcPr>
          <w:p>
            <w:pPr>
              <w:pStyle w:val="zyTableNAm"/>
              <w:rPr>
                <w:b/>
              </w:rPr>
            </w:pPr>
          </w:p>
        </w:tc>
        <w:tc>
          <w:tcPr>
            <w:tcW w:w="5403" w:type="dxa"/>
            <w:gridSpan w:val="2"/>
            <w:tcBorders>
              <w:top w:val="single" w:sz="4" w:space="0" w:color="auto"/>
              <w:bottom w:val="single" w:sz="4" w:space="0" w:color="auto"/>
            </w:tcBorders>
          </w:tcPr>
          <w:p>
            <w:pPr>
              <w:pStyle w:val="yTableNAm"/>
            </w:pPr>
            <w:r>
              <w:t>Office</w:t>
            </w:r>
          </w:p>
        </w:tc>
      </w:tr>
      <w:tr>
        <w:trPr>
          <w:cantSplit/>
        </w:trPr>
        <w:tc>
          <w:tcPr>
            <w:tcW w:w="1554" w:type="dxa"/>
            <w:tcBorders>
              <w:top w:val="single" w:sz="4" w:space="0" w:color="auto"/>
              <w:bottom w:val="single" w:sz="4" w:space="0" w:color="auto"/>
            </w:tcBorders>
          </w:tcPr>
          <w:p>
            <w:pPr>
              <w:pStyle w:val="yTableNAm"/>
            </w:pPr>
            <w:r>
              <w:rPr>
                <w:b/>
              </w:rPr>
              <w:t>Date of notice</w:t>
            </w:r>
          </w:p>
        </w:tc>
        <w:tc>
          <w:tcPr>
            <w:tcW w:w="5403" w:type="dxa"/>
            <w:gridSpan w:val="2"/>
            <w:tcBorders>
              <w:top w:val="single" w:sz="4" w:space="0" w:color="auto"/>
              <w:bottom w:val="single" w:sz="4" w:space="0" w:color="auto"/>
            </w:tcBorders>
          </w:tcPr>
          <w:p>
            <w:pPr>
              <w:pStyle w:val="yTableNAm"/>
              <w:tabs>
                <w:tab w:val="clear" w:pos="567"/>
                <w:tab w:val="left" w:pos="678"/>
                <w:tab w:val="left" w:pos="1245"/>
              </w:tabs>
            </w:pPr>
            <w:r>
              <w:tab/>
              <w:t>/</w:t>
            </w:r>
            <w:r>
              <w:tab/>
              <w:t>/20</w:t>
            </w:r>
          </w:p>
        </w:tc>
      </w:tr>
      <w:tr>
        <w:trPr>
          <w:cantSplit/>
        </w:trPr>
        <w:tc>
          <w:tcPr>
            <w:tcW w:w="1554" w:type="dxa"/>
            <w:tcBorders>
              <w:top w:val="single" w:sz="4" w:space="0" w:color="auto"/>
              <w:bottom w:val="single" w:sz="4" w:space="0" w:color="auto"/>
            </w:tcBorders>
          </w:tcPr>
          <w:p>
            <w:pPr>
              <w:pStyle w:val="yTableNAm"/>
            </w:pPr>
            <w:r>
              <w:rPr>
                <w:b/>
              </w:rPr>
              <w:t>Modified 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yTableNAm"/>
            </w:pPr>
            <w:r>
              <w:rPr>
                <w:b/>
              </w:rPr>
              <w:t>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zyTableNAm"/>
            </w:pPr>
          </w:p>
        </w:tc>
        <w:tc>
          <w:tcPr>
            <w:tcW w:w="5403" w:type="dxa"/>
            <w:gridSpan w:val="2"/>
            <w:tcBorders>
              <w:top w:val="single" w:sz="4" w:space="0" w:color="auto"/>
              <w:bottom w:val="single" w:sz="4" w:space="0" w:color="auto"/>
            </w:tcBorders>
          </w:tcPr>
          <w:p>
            <w:pPr>
              <w:pStyle w:val="yTableNAm"/>
            </w:pPr>
            <w:r>
              <w:t>You do not have to pay this amount.  This is the maximum fine that can be imposed if you are prosecuted in a court and convicted of an offence.</w:t>
            </w:r>
          </w:p>
        </w:tc>
      </w:tr>
      <w:tr>
        <w:trPr>
          <w:cantSplit/>
        </w:trPr>
        <w:tc>
          <w:tcPr>
            <w:tcW w:w="1554" w:type="dxa"/>
            <w:vMerge w:val="restart"/>
            <w:tcBorders>
              <w:top w:val="single" w:sz="4" w:space="0" w:color="auto"/>
            </w:tcBorders>
          </w:tcPr>
          <w:p>
            <w:pPr>
              <w:pStyle w:val="yTableNAm"/>
            </w:pPr>
            <w:r>
              <w:rPr>
                <w:b/>
              </w:rPr>
              <w:lastRenderedPageBreak/>
              <w:t>Notice to alleged offender</w:t>
            </w:r>
          </w:p>
        </w:tc>
        <w:tc>
          <w:tcPr>
            <w:tcW w:w="5403" w:type="dxa"/>
            <w:gridSpan w:val="2"/>
            <w:tcBorders>
              <w:top w:val="single" w:sz="4" w:space="0" w:color="auto"/>
              <w:bottom w:val="nil"/>
            </w:tcBorders>
          </w:tcPr>
          <w:p>
            <w:pPr>
              <w:pStyle w:val="yTableNAm"/>
            </w:pPr>
            <w:r>
              <w:t>It is alleged that you have committed the above offence.</w:t>
            </w:r>
          </w:p>
        </w:tc>
      </w:tr>
      <w:tr>
        <w:trPr>
          <w:cantSplit/>
        </w:trPr>
        <w:tc>
          <w:tcPr>
            <w:tcW w:w="1554" w:type="dxa"/>
            <w:vMerge/>
          </w:tcPr>
          <w:p>
            <w:pPr>
              <w:pStyle w:val="zyTableNAm"/>
              <w:keepLines/>
              <w:widowControl w:val="0"/>
            </w:pPr>
          </w:p>
        </w:tc>
        <w:tc>
          <w:tcPr>
            <w:tcW w:w="5403" w:type="dxa"/>
            <w:gridSpan w:val="2"/>
            <w:tcBorders>
              <w:top w:val="nil"/>
            </w:tcBorders>
          </w:tcPr>
          <w:p>
            <w:pPr>
              <w:pStyle w:val="yTableNAm"/>
              <w:rPr>
                <w:highlight w:val="yellow"/>
              </w:rPr>
            </w:pPr>
            <w:r>
              <w:rPr>
                <w:b/>
              </w:rPr>
              <w:t>If you do not want to be prosecuted in court for the alleged offence</w:t>
            </w:r>
            <w:r>
              <w:t>, pay the modified penalty within 28 days after the date of this notice.  See below for how and where to pay the modified penalty.</w:t>
            </w:r>
          </w:p>
        </w:tc>
      </w:tr>
      <w:tr>
        <w:trPr>
          <w:cantSplit/>
        </w:trPr>
        <w:tc>
          <w:tcPr>
            <w:tcW w:w="1554" w:type="dxa"/>
            <w:vMerge/>
          </w:tcPr>
          <w:p>
            <w:pPr>
              <w:pStyle w:val="zyTableNAm"/>
              <w:widowControl w:val="0"/>
            </w:pPr>
          </w:p>
        </w:tc>
        <w:tc>
          <w:tcPr>
            <w:tcW w:w="5403" w:type="dxa"/>
            <w:gridSpan w:val="2"/>
          </w:tcPr>
          <w:p>
            <w:pPr>
              <w:pStyle w:val="yTableNAm"/>
            </w:pPr>
            <w:r>
              <w:rPr>
                <w:b/>
              </w:rPr>
              <w:t>Paying the modified penalty will not be regarded as an admission for the purposes of any civil or criminal court case.</w:t>
            </w:r>
          </w:p>
        </w:tc>
      </w:tr>
      <w:tr>
        <w:trPr>
          <w:cantSplit/>
        </w:trPr>
        <w:tc>
          <w:tcPr>
            <w:tcW w:w="1554" w:type="dxa"/>
            <w:vMerge/>
          </w:tcPr>
          <w:p>
            <w:pPr>
              <w:pStyle w:val="zyTableNAm"/>
              <w:widowControl w:val="0"/>
            </w:pPr>
          </w:p>
        </w:tc>
        <w:tc>
          <w:tcPr>
            <w:tcW w:w="5403" w:type="dxa"/>
            <w:gridSpan w:val="2"/>
          </w:tcPr>
          <w:p>
            <w:pPr>
              <w:pStyle w:val="yTableNAm"/>
            </w:pPr>
            <w:r>
              <w:rPr>
                <w:b/>
              </w:rPr>
              <w:t>If you do not pay</w:t>
            </w:r>
            <w:r>
              <w:t xml:space="preserve"> the modified penalty within 28 days, you may be prosecuted in court for the alleged offence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cantSplit/>
        </w:trPr>
        <w:tc>
          <w:tcPr>
            <w:tcW w:w="1554" w:type="dxa"/>
            <w:vMerge/>
          </w:tcPr>
          <w:p>
            <w:pPr>
              <w:pStyle w:val="yTableNAm"/>
            </w:pPr>
            <w:r>
              <w:t>Date of notice</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need more time</w:t>
            </w:r>
            <w:r>
              <w:t xml:space="preserve"> to pay the modified penalty, you should contact the designated person at the address below.</w:t>
            </w:r>
          </w:p>
        </w:tc>
      </w:tr>
      <w:tr>
        <w:trPr>
          <w:cantSplit/>
        </w:trPr>
        <w:tc>
          <w:tcPr>
            <w:tcW w:w="1554" w:type="dxa"/>
            <w:vMerge/>
          </w:tcPr>
          <w:p>
            <w:pPr>
              <w:pStyle w:val="yTableNAm"/>
            </w:pPr>
            <w:r>
              <w:t>Modified 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designated person at the address below within 28 days after the date of this notice.</w:t>
            </w:r>
          </w:p>
        </w:tc>
      </w:tr>
      <w:tr>
        <w:trPr>
          <w:cantSplit/>
        </w:trPr>
        <w:tc>
          <w:tcPr>
            <w:tcW w:w="1554" w:type="dxa"/>
            <w:vMerge/>
          </w:tcPr>
          <w:p>
            <w:pPr>
              <w:pStyle w:val="yTableNAm"/>
            </w:pPr>
            <w:r>
              <w:t>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are prosecuted in a court for the alleged offence, and convicted, you will be liable to a penalty and costs.</w:t>
            </w:r>
          </w:p>
        </w:tc>
      </w:tr>
      <w:tr>
        <w:trPr>
          <w:cantSplit/>
        </w:trPr>
        <w:tc>
          <w:tcPr>
            <w:tcW w:w="1554" w:type="dxa"/>
            <w:vMerge/>
          </w:tcPr>
          <w:p>
            <w:pPr>
              <w:pStyle w:val="yTableNAm"/>
            </w:pPr>
            <w:r>
              <w:lastRenderedPageBreak/>
              <w:t>Notice to alleged offender</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consider that you have good reason to have this notice withdrawn, you can write to the designated person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554" w:type="dxa"/>
            <w:tcBorders>
              <w:top w:val="single" w:sz="4" w:space="0" w:color="auto"/>
              <w:left w:val="single" w:sz="4" w:space="0" w:color="auto"/>
              <w:bottom w:val="single" w:sz="4" w:space="0" w:color="auto"/>
              <w:right w:val="single" w:sz="4" w:space="0" w:color="auto"/>
            </w:tcBorders>
          </w:tcPr>
          <w:p>
            <w:pPr>
              <w:pStyle w:val="yTableNAm"/>
            </w:pPr>
            <w:r>
              <w:rPr>
                <w:b/>
              </w:rPr>
              <w:t>How to pay the modified penalty</w:t>
            </w:r>
          </w:p>
        </w:tc>
        <w:tc>
          <w:tcPr>
            <w:tcW w:w="1495" w:type="dxa"/>
            <w:tcBorders>
              <w:top w:val="single" w:sz="4" w:space="0" w:color="auto"/>
              <w:left w:val="single" w:sz="4" w:space="0" w:color="auto"/>
              <w:bottom w:val="single" w:sz="4" w:space="0" w:color="auto"/>
              <w:right w:val="single" w:sz="4" w:space="0" w:color="auto"/>
            </w:tcBorders>
          </w:tcPr>
          <w:p>
            <w:pPr>
              <w:pStyle w:val="yTableNAm"/>
            </w:pPr>
            <w:r>
              <w:t>In person</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paying in person]</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post</w:t>
            </w:r>
          </w:p>
        </w:tc>
        <w:tc>
          <w:tcPr>
            <w:tcW w:w="3908" w:type="dxa"/>
            <w:tcBorders>
              <w:top w:val="single" w:sz="4" w:space="0" w:color="auto"/>
              <w:left w:val="single" w:sz="4" w:space="0" w:color="auto"/>
              <w:bottom w:val="single" w:sz="4" w:space="0" w:color="auto"/>
              <w:right w:val="single" w:sz="4" w:space="0" w:color="auto"/>
            </w:tcBorders>
          </w:tcPr>
          <w:p>
            <w:pPr>
              <w:pStyle w:val="yTableNAm"/>
            </w:pPr>
            <w:r>
              <w:t>Post this notice, with a cheque or money order made payable to [</w:t>
            </w:r>
            <w:r>
              <w:rPr>
                <w:i/>
              </w:rPr>
              <w:t>payee</w:t>
            </w:r>
            <w:r>
              <w:t>], to:</w:t>
            </w:r>
          </w:p>
          <w:p>
            <w:pPr>
              <w:pStyle w:val="yTableNAm"/>
            </w:pPr>
            <w:r>
              <w:t>Western Australia Police</w:t>
            </w:r>
            <w:r>
              <w:br/>
              <w:t>303 Sevenoaks Street</w:t>
            </w:r>
            <w:r>
              <w:br/>
              <w:t>Cannington WA 6107</w:t>
            </w:r>
          </w:p>
          <w:p>
            <w:pPr>
              <w:pStyle w:val="yTableNAm"/>
            </w:pPr>
            <w:r>
              <w:t>or</w:t>
            </w:r>
          </w:p>
          <w:p>
            <w:pPr>
              <w:pStyle w:val="yTableNAm"/>
            </w:pPr>
            <w:r>
              <w:t>Locked Bag 9, East Perth WA 6892</w:t>
            </w:r>
          </w:p>
          <w:p>
            <w:pPr>
              <w:pStyle w:val="yTableNAm"/>
            </w:pPr>
          </w:p>
          <w:p>
            <w:pPr>
              <w:pStyle w:val="yTableNAm"/>
              <w:rPr>
                <w:u w:val="single"/>
              </w:rPr>
            </w:pPr>
            <w:r>
              <w:t>Do not send cash in the mail.</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Online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online payments]</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telephone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telephone payments]</w:t>
            </w:r>
          </w:p>
        </w:tc>
      </w:tr>
    </w:tbl>
    <w:p>
      <w:pPr>
        <w:pStyle w:val="yFootnotesection"/>
      </w:pPr>
      <w:r>
        <w:tab/>
        <w:t>[Form 1 inserted: Gazette 29 Jul 2016 p. 3254</w:t>
      </w:r>
      <w:r>
        <w:noBreakHyphen/>
        <w:t>6; amended: SL 2020/171 r. 4.]</w:t>
      </w:r>
    </w:p>
    <w:p>
      <w:pPr>
        <w:pStyle w:val="zyMiscellaneousHeading"/>
        <w:spacing w:before="360" w:after="60"/>
        <w:rPr>
          <w:b/>
        </w:rPr>
      </w:pPr>
      <w:r>
        <w:rPr>
          <w:b/>
        </w:rPr>
        <w:t xml:space="preserve">Form </w:t>
      </w:r>
      <w:r>
        <w:rPr>
          <w:rStyle w:val="CharSClsNo"/>
          <w:b/>
        </w:rPr>
        <w:t>2</w:t>
      </w:r>
      <w:r>
        <w:rPr>
          <w:b/>
        </w:rPr>
        <w:t> — 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387"/>
      </w:tblGrid>
      <w:tr>
        <w:trPr>
          <w:cantSplit/>
          <w:trHeight w:val="282"/>
        </w:trPr>
        <w:tc>
          <w:tcPr>
            <w:tcW w:w="6946" w:type="dxa"/>
            <w:gridSpan w:val="2"/>
          </w:tcPr>
          <w:p>
            <w:pPr>
              <w:pStyle w:val="yTableNAm"/>
            </w:pPr>
            <w:r>
              <w:rPr>
                <w:i/>
              </w:rPr>
              <w:t>Security and Related Activities (Control) Act 1996</w:t>
            </w:r>
          </w:p>
          <w:p>
            <w:pPr>
              <w:pStyle w:val="yTableNAm"/>
            </w:pPr>
            <w:r>
              <w:t>Security and Related Activities (Control) Regulations 1997</w:t>
            </w:r>
          </w:p>
          <w:p>
            <w:pPr>
              <w:pStyle w:val="yTableNAm"/>
              <w:rPr>
                <w:szCs w:val="22"/>
              </w:rPr>
            </w:pPr>
            <w:r>
              <w:rPr>
                <w:b/>
                <w:sz w:val="24"/>
                <w:szCs w:val="24"/>
              </w:rPr>
              <w:t>Withdrawal of infringement notice</w:t>
            </w:r>
          </w:p>
        </w:tc>
      </w:tr>
      <w:tr>
        <w:trPr>
          <w:cantSplit/>
          <w:trHeight w:val="150"/>
        </w:trPr>
        <w:tc>
          <w:tcPr>
            <w:tcW w:w="1559" w:type="dxa"/>
            <w:vMerge w:val="restart"/>
          </w:tcPr>
          <w:p>
            <w:pPr>
              <w:pStyle w:val="yTableNAm"/>
            </w:pPr>
            <w:r>
              <w:rPr>
                <w:b/>
              </w:rPr>
              <w:t>Alleged offender</w:t>
            </w:r>
          </w:p>
        </w:tc>
        <w:tc>
          <w:tcPr>
            <w:tcW w:w="5387" w:type="dxa"/>
          </w:tcPr>
          <w:p>
            <w:pPr>
              <w:pStyle w:val="yTableNAm"/>
            </w:pPr>
            <w:r>
              <w:t>Name:</w:t>
            </w:r>
            <w:r>
              <w:tab/>
              <w:t>Surname</w:t>
            </w:r>
          </w:p>
        </w:tc>
      </w:tr>
      <w:tr>
        <w:trPr>
          <w:cantSplit/>
          <w:trHeight w:val="150"/>
        </w:trPr>
        <w:tc>
          <w:tcPr>
            <w:tcW w:w="1559" w:type="dxa"/>
            <w:vMerge/>
          </w:tcPr>
          <w:p>
            <w:pPr>
              <w:pStyle w:val="zyTableNAm"/>
              <w:rPr>
                <w:b/>
              </w:rPr>
            </w:pPr>
          </w:p>
        </w:tc>
        <w:tc>
          <w:tcPr>
            <w:tcW w:w="5387" w:type="dxa"/>
          </w:tcPr>
          <w:p>
            <w:pPr>
              <w:pStyle w:val="yTableNAm"/>
            </w:pPr>
            <w:r>
              <w:tab/>
              <w:t>Given names</w:t>
            </w:r>
          </w:p>
        </w:tc>
      </w:tr>
      <w:tr>
        <w:trPr>
          <w:cantSplit/>
          <w:trHeight w:val="150"/>
        </w:trPr>
        <w:tc>
          <w:tcPr>
            <w:tcW w:w="1559" w:type="dxa"/>
            <w:vMerge/>
          </w:tcPr>
          <w:p>
            <w:pPr>
              <w:pStyle w:val="zyTableNAm"/>
              <w:rPr>
                <w:b/>
              </w:rPr>
            </w:pPr>
          </w:p>
        </w:tc>
        <w:tc>
          <w:tcPr>
            <w:tcW w:w="5387" w:type="dxa"/>
          </w:tcPr>
          <w:p>
            <w:pPr>
              <w:pStyle w:val="yTableNAm"/>
            </w:pPr>
            <w:r>
              <w:t>Address _______________________________________</w:t>
            </w:r>
          </w:p>
          <w:p>
            <w:pPr>
              <w:pStyle w:val="yTableNAm"/>
            </w:pPr>
            <w:r>
              <w:tab/>
            </w:r>
            <w:r>
              <w:tab/>
            </w:r>
            <w:r>
              <w:tab/>
            </w:r>
            <w:r>
              <w:tab/>
            </w:r>
            <w:r>
              <w:tab/>
              <w:t>Postcode</w:t>
            </w:r>
          </w:p>
        </w:tc>
      </w:tr>
      <w:tr>
        <w:trPr>
          <w:cantSplit/>
        </w:trPr>
        <w:tc>
          <w:tcPr>
            <w:tcW w:w="1559" w:type="dxa"/>
            <w:vMerge w:val="restart"/>
          </w:tcPr>
          <w:p>
            <w:pPr>
              <w:pStyle w:val="yTableNAm"/>
            </w:pPr>
            <w:r>
              <w:rPr>
                <w:b/>
              </w:rPr>
              <w:t>Infringement notice</w:t>
            </w:r>
          </w:p>
        </w:tc>
        <w:tc>
          <w:tcPr>
            <w:tcW w:w="5387" w:type="dxa"/>
          </w:tcPr>
          <w:p>
            <w:pPr>
              <w:pStyle w:val="yTableNAm"/>
            </w:pPr>
            <w:r>
              <w:t>Infringement notice no.</w:t>
            </w:r>
          </w:p>
        </w:tc>
      </w:tr>
      <w:tr>
        <w:trPr>
          <w:cantSplit/>
        </w:trPr>
        <w:tc>
          <w:tcPr>
            <w:tcW w:w="1559" w:type="dxa"/>
            <w:vMerge/>
          </w:tcPr>
          <w:p>
            <w:pPr>
              <w:pStyle w:val="zyTableNAm"/>
            </w:pPr>
          </w:p>
        </w:tc>
        <w:tc>
          <w:tcPr>
            <w:tcW w:w="5387" w:type="dxa"/>
          </w:tcPr>
          <w:p>
            <w:pPr>
              <w:pStyle w:val="yTableNAm"/>
              <w:tabs>
                <w:tab w:val="left" w:pos="1735"/>
              </w:tabs>
            </w:pPr>
            <w:r>
              <w:t xml:space="preserve">Date of notice  </w:t>
            </w:r>
            <w:r>
              <w:tab/>
              <w:t>/</w:t>
            </w:r>
            <w:r>
              <w:tab/>
              <w:t>/20</w:t>
            </w:r>
          </w:p>
        </w:tc>
      </w:tr>
      <w:tr>
        <w:trPr>
          <w:cantSplit/>
        </w:trPr>
        <w:tc>
          <w:tcPr>
            <w:tcW w:w="1559" w:type="dxa"/>
            <w:vMerge w:val="restart"/>
          </w:tcPr>
          <w:p>
            <w:pPr>
              <w:pStyle w:val="yTableNAm"/>
            </w:pPr>
            <w:r>
              <w:rPr>
                <w:b/>
              </w:rPr>
              <w:t>Alleged offence</w:t>
            </w:r>
          </w:p>
        </w:tc>
        <w:tc>
          <w:tcPr>
            <w:tcW w:w="5387" w:type="dxa"/>
          </w:tcPr>
          <w:p>
            <w:pPr>
              <w:pStyle w:val="yTableNAm"/>
            </w:pPr>
            <w:r>
              <w:t>Description of offence ____________________________</w:t>
            </w:r>
          </w:p>
          <w:p>
            <w:pPr>
              <w:pStyle w:val="yTableNAm"/>
            </w:pPr>
          </w:p>
        </w:tc>
      </w:tr>
      <w:tr>
        <w:trPr>
          <w:cantSplit/>
        </w:trPr>
        <w:tc>
          <w:tcPr>
            <w:tcW w:w="1559" w:type="dxa"/>
            <w:vMerge/>
          </w:tcPr>
          <w:p>
            <w:pPr>
              <w:pStyle w:val="zyTableNAm"/>
              <w:rPr>
                <w:b/>
              </w:rPr>
            </w:pPr>
          </w:p>
        </w:tc>
        <w:tc>
          <w:tcPr>
            <w:tcW w:w="5387" w:type="dxa"/>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 </w:t>
            </w:r>
          </w:p>
          <w:p>
            <w:pPr>
              <w:pStyle w:val="yTableNAm"/>
            </w:pPr>
          </w:p>
        </w:tc>
      </w:tr>
      <w:tr>
        <w:trPr>
          <w:cantSplit/>
        </w:trPr>
        <w:tc>
          <w:tcPr>
            <w:tcW w:w="1559" w:type="dxa"/>
            <w:vMerge/>
          </w:tcPr>
          <w:p>
            <w:pPr>
              <w:pStyle w:val="zyTableNAm"/>
            </w:pPr>
          </w:p>
        </w:tc>
        <w:tc>
          <w:tcPr>
            <w:tcW w:w="5387" w:type="dxa"/>
          </w:tcPr>
          <w:p>
            <w:pPr>
              <w:pStyle w:val="yTableNAm"/>
              <w:tabs>
                <w:tab w:val="clear" w:pos="567"/>
                <w:tab w:val="left" w:pos="743"/>
                <w:tab w:val="left" w:pos="1168"/>
                <w:tab w:val="left" w:pos="2139"/>
              </w:tabs>
            </w:pPr>
            <w:r>
              <w:t xml:space="preserve">Date </w:t>
            </w:r>
            <w:r>
              <w:tab/>
              <w:t>/</w:t>
            </w:r>
            <w:r>
              <w:tab/>
              <w:t>/20</w:t>
            </w:r>
            <w:r>
              <w:tab/>
              <w:t>Time</w:t>
            </w:r>
            <w:r>
              <w:tab/>
            </w:r>
          </w:p>
        </w:tc>
      </w:tr>
      <w:tr>
        <w:trPr>
          <w:cantSplit/>
        </w:trPr>
        <w:tc>
          <w:tcPr>
            <w:tcW w:w="1559" w:type="dxa"/>
            <w:vMerge/>
          </w:tcPr>
          <w:p>
            <w:pPr>
              <w:pStyle w:val="zyTableNAm"/>
            </w:pPr>
          </w:p>
        </w:tc>
        <w:tc>
          <w:tcPr>
            <w:tcW w:w="5387" w:type="dxa"/>
          </w:tcPr>
          <w:p>
            <w:pPr>
              <w:pStyle w:val="yTableNAm"/>
            </w:pPr>
            <w:r>
              <w:t>Place</w:t>
            </w:r>
          </w:p>
        </w:tc>
      </w:tr>
      <w:tr>
        <w:trPr>
          <w:cantSplit/>
        </w:trPr>
        <w:tc>
          <w:tcPr>
            <w:tcW w:w="1559" w:type="dxa"/>
            <w:vMerge w:val="restart"/>
          </w:tcPr>
          <w:p>
            <w:pPr>
              <w:pStyle w:val="yTableNAm"/>
            </w:pPr>
            <w:r>
              <w:rPr>
                <w:b/>
              </w:rPr>
              <w:t>Officer withdrawing notice</w:t>
            </w:r>
          </w:p>
        </w:tc>
        <w:tc>
          <w:tcPr>
            <w:tcW w:w="5387" w:type="dxa"/>
          </w:tcPr>
          <w:p>
            <w:pPr>
              <w:pStyle w:val="yTableNAm"/>
            </w:pPr>
            <w:r>
              <w:t>Name</w:t>
            </w:r>
          </w:p>
        </w:tc>
      </w:tr>
      <w:tr>
        <w:trPr>
          <w:cantSplit/>
        </w:trPr>
        <w:tc>
          <w:tcPr>
            <w:tcW w:w="1559" w:type="dxa"/>
            <w:vMerge/>
          </w:tcPr>
          <w:p>
            <w:pPr>
              <w:pStyle w:val="zyTableNAm"/>
            </w:pPr>
          </w:p>
        </w:tc>
        <w:tc>
          <w:tcPr>
            <w:tcW w:w="5387" w:type="dxa"/>
          </w:tcPr>
          <w:p>
            <w:pPr>
              <w:pStyle w:val="yTableNAm"/>
            </w:pPr>
            <w:r>
              <w:t>Signature</w:t>
            </w:r>
          </w:p>
        </w:tc>
      </w:tr>
      <w:tr>
        <w:trPr>
          <w:cantSplit/>
        </w:trPr>
        <w:tc>
          <w:tcPr>
            <w:tcW w:w="1559" w:type="dxa"/>
            <w:vMerge/>
          </w:tcPr>
          <w:p>
            <w:pPr>
              <w:pStyle w:val="zyTableNAm"/>
            </w:pPr>
          </w:p>
        </w:tc>
        <w:tc>
          <w:tcPr>
            <w:tcW w:w="5387" w:type="dxa"/>
          </w:tcPr>
          <w:p>
            <w:pPr>
              <w:pStyle w:val="yTableNAm"/>
            </w:pPr>
            <w:r>
              <w:t>Office</w:t>
            </w:r>
          </w:p>
        </w:tc>
      </w:tr>
      <w:tr>
        <w:tc>
          <w:tcPr>
            <w:tcW w:w="1559" w:type="dxa"/>
          </w:tcPr>
          <w:p>
            <w:pPr>
              <w:pStyle w:val="yTableNAm"/>
            </w:pPr>
            <w:r>
              <w:rPr>
                <w:b/>
              </w:rPr>
              <w:t>Date of withdrawal</w:t>
            </w:r>
          </w:p>
        </w:tc>
        <w:tc>
          <w:tcPr>
            <w:tcW w:w="5387" w:type="dxa"/>
            <w:tcBorders>
              <w:bottom w:val="single" w:sz="4" w:space="0" w:color="auto"/>
            </w:tcBorders>
          </w:tcPr>
          <w:p>
            <w:pPr>
              <w:pStyle w:val="yTableNAm"/>
              <w:tabs>
                <w:tab w:val="left" w:pos="1077"/>
              </w:tabs>
            </w:pPr>
            <w:r>
              <w:tab/>
              <w:t>/</w:t>
            </w:r>
            <w:r>
              <w:tab/>
              <w:t>/20</w:t>
            </w:r>
          </w:p>
        </w:tc>
      </w:tr>
      <w:tr>
        <w:tc>
          <w:tcPr>
            <w:tcW w:w="1559" w:type="dxa"/>
          </w:tcPr>
          <w:p>
            <w:pPr>
              <w:pStyle w:val="yTableNAm"/>
            </w:pPr>
            <w:r>
              <w:rPr>
                <w:b/>
              </w:rPr>
              <w:t>Withdrawal of infringement notice</w:t>
            </w:r>
          </w:p>
          <w:p>
            <w:pPr>
              <w:pStyle w:val="zyTableNAm"/>
              <w:rPr>
                <w:b/>
              </w:rPr>
            </w:pPr>
          </w:p>
        </w:tc>
        <w:tc>
          <w:tcPr>
            <w:tcW w:w="5387" w:type="dxa"/>
          </w:tcPr>
          <w:p>
            <w:pPr>
              <w:pStyle w:val="yTableNAm"/>
            </w:pPr>
            <w: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 inserted: Gazette 29 Jul 2016 p. 3256</w:t>
      </w:r>
      <w:r>
        <w:noBreakHyphen/>
        <w:t>7.]</w:t>
      </w:r>
    </w:p>
    <w:p>
      <w:pPr>
        <w:pStyle w:val="CentredBaseLine"/>
        <w:keepNext/>
        <w:keepLines/>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nHeading2"/>
      </w:pPr>
      <w:bookmarkStart w:id="182" w:name="_Toc173501609"/>
      <w:bookmarkStart w:id="183" w:name="_Toc173502487"/>
      <w:bookmarkStart w:id="184" w:name="_Toc173507700"/>
      <w:r>
        <w:lastRenderedPageBreak/>
        <w:t>Notes</w:t>
      </w:r>
      <w:bookmarkEnd w:id="182"/>
      <w:bookmarkEnd w:id="183"/>
      <w:bookmarkEnd w:id="184"/>
    </w:p>
    <w:p>
      <w:pPr>
        <w:pStyle w:val="nStatement"/>
      </w:pPr>
      <w:r>
        <w:t xml:space="preserve">This is a compilation of the </w:t>
      </w:r>
      <w:r>
        <w:rPr>
          <w:i/>
          <w:noProof/>
        </w:rPr>
        <w:t>Security and Related Activities (Control) Regulations 1997</w:t>
      </w:r>
      <w:r>
        <w:t xml:space="preserve"> and includes amendments made by other written laws. For provisions that have come into operation, and for information about any reprints, see the compilation table. </w:t>
      </w:r>
    </w:p>
    <w:p>
      <w:pPr>
        <w:pStyle w:val="nHeading3"/>
      </w:pPr>
      <w:bookmarkStart w:id="185" w:name="_Toc173507701"/>
      <w:r>
        <w:t>Compilation table</w:t>
      </w:r>
      <w:bookmarkEnd w:id="185"/>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Regulations 1997</w:t>
            </w:r>
          </w:p>
        </w:tc>
        <w:tc>
          <w:tcPr>
            <w:tcW w:w="1276" w:type="dxa"/>
          </w:tcPr>
          <w:p>
            <w:pPr>
              <w:pStyle w:val="nTable"/>
              <w:spacing w:after="40"/>
            </w:pPr>
            <w:r>
              <w:t>27 Mar 1997 p. 1651</w:t>
            </w:r>
            <w:r>
              <w:noBreakHyphen/>
              <w:t>90</w:t>
            </w:r>
          </w:p>
        </w:tc>
        <w:tc>
          <w:tcPr>
            <w:tcW w:w="2693" w:type="dxa"/>
          </w:tcPr>
          <w:p>
            <w:pPr>
              <w:pStyle w:val="nTable"/>
              <w:spacing w:after="40"/>
            </w:pPr>
            <w:r>
              <w:t xml:space="preserve">1 Apr 1997 (see r. 2 and </w:t>
            </w:r>
            <w:r>
              <w:rPr>
                <w:i/>
              </w:rPr>
              <w:t>Gazette</w:t>
            </w:r>
            <w:r>
              <w:t xml:space="preserve"> 27 Mar 1997 p. 1693)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Amendment Regulations (No. 2) 1998</w:t>
            </w:r>
          </w:p>
        </w:tc>
        <w:tc>
          <w:tcPr>
            <w:tcW w:w="1276" w:type="dxa"/>
          </w:tcPr>
          <w:p>
            <w:pPr>
              <w:pStyle w:val="nTable"/>
              <w:spacing w:after="40"/>
            </w:pPr>
            <w:r>
              <w:t>12 Jun 1998 p. 3201</w:t>
            </w:r>
            <w:r>
              <w:noBreakHyphen/>
              <w:t>3</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1999</w:t>
            </w:r>
          </w:p>
        </w:tc>
        <w:tc>
          <w:tcPr>
            <w:tcW w:w="1276" w:type="dxa"/>
          </w:tcPr>
          <w:p>
            <w:pPr>
              <w:pStyle w:val="nTable"/>
              <w:spacing w:after="40"/>
            </w:pPr>
            <w:r>
              <w:t>30 Jun 1999 p. 2865</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2000</w:t>
            </w:r>
          </w:p>
        </w:tc>
        <w:tc>
          <w:tcPr>
            <w:tcW w:w="1276" w:type="dxa"/>
          </w:tcPr>
          <w:p>
            <w:pPr>
              <w:pStyle w:val="nTable"/>
              <w:spacing w:after="40"/>
            </w:pPr>
            <w:r>
              <w:t>10 Mar 2000 p. 1123</w:t>
            </w:r>
            <w:r>
              <w:noBreakHyphen/>
              <w:t>4</w:t>
            </w:r>
          </w:p>
        </w:tc>
        <w:tc>
          <w:tcPr>
            <w:tcW w:w="2693" w:type="dxa"/>
          </w:tcPr>
          <w:p>
            <w:pPr>
              <w:pStyle w:val="nTable"/>
              <w:spacing w:after="40"/>
            </w:pPr>
            <w:r>
              <w:t>10 Mar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2000</w:t>
            </w:r>
          </w:p>
        </w:tc>
        <w:tc>
          <w:tcPr>
            <w:tcW w:w="1276" w:type="dxa"/>
          </w:tcPr>
          <w:p>
            <w:pPr>
              <w:pStyle w:val="nTable"/>
              <w:spacing w:after="40"/>
            </w:pPr>
            <w:r>
              <w:t>30 Jun 2000 p. 3425</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2000</w:t>
            </w:r>
          </w:p>
        </w:tc>
        <w:tc>
          <w:tcPr>
            <w:tcW w:w="1276" w:type="dxa"/>
          </w:tcPr>
          <w:p>
            <w:pPr>
              <w:pStyle w:val="nTable"/>
              <w:spacing w:after="40"/>
            </w:pPr>
            <w:r>
              <w:t>28 Jul 2000 p. 4028</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2001</w:t>
            </w:r>
          </w:p>
        </w:tc>
        <w:tc>
          <w:tcPr>
            <w:tcW w:w="1276" w:type="dxa"/>
          </w:tcPr>
          <w:p>
            <w:pPr>
              <w:pStyle w:val="nTable"/>
              <w:spacing w:after="40"/>
            </w:pPr>
            <w:r>
              <w:t>12 Jun 2001 p. 2959</w:t>
            </w:r>
            <w:r>
              <w:noBreakHyphen/>
              <w:t>60</w:t>
            </w:r>
          </w:p>
        </w:tc>
        <w:tc>
          <w:tcPr>
            <w:tcW w:w="2693" w:type="dxa"/>
          </w:tcPr>
          <w:p>
            <w:pPr>
              <w:pStyle w:val="nTable"/>
              <w:spacing w:after="40"/>
            </w:pPr>
            <w:r>
              <w:t>12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2001</w:t>
            </w:r>
          </w:p>
        </w:tc>
        <w:tc>
          <w:tcPr>
            <w:tcW w:w="1276" w:type="dxa"/>
          </w:tcPr>
          <w:p>
            <w:pPr>
              <w:pStyle w:val="nTable"/>
              <w:spacing w:after="40"/>
            </w:pPr>
            <w:r>
              <w:t>31 Aug 2001 p. 4885</w:t>
            </w:r>
            <w:r>
              <w:noBreakHyphen/>
              <w:t>6</w:t>
            </w:r>
          </w:p>
        </w:tc>
        <w:tc>
          <w:tcPr>
            <w:tcW w:w="2693" w:type="dxa"/>
          </w:tcPr>
          <w:p>
            <w:pPr>
              <w:pStyle w:val="nTable"/>
              <w:spacing w:after="40"/>
            </w:pPr>
            <w:r>
              <w:t>1 Sep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2002</w:t>
            </w:r>
          </w:p>
        </w:tc>
        <w:tc>
          <w:tcPr>
            <w:tcW w:w="1276" w:type="dxa"/>
          </w:tcPr>
          <w:p>
            <w:pPr>
              <w:pStyle w:val="nTable"/>
              <w:spacing w:after="40"/>
            </w:pPr>
            <w:r>
              <w:t>28 Jun 2002 p. 3100</w:t>
            </w:r>
            <w:r>
              <w:noBreakHyphen/>
              <w:t>1</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2003</w:t>
            </w:r>
          </w:p>
        </w:tc>
        <w:tc>
          <w:tcPr>
            <w:tcW w:w="1276" w:type="dxa"/>
          </w:tcPr>
          <w:p>
            <w:pPr>
              <w:pStyle w:val="nTable"/>
              <w:spacing w:after="40"/>
            </w:pPr>
            <w:r>
              <w:t>20 Jun 2003 p. 2248</w:t>
            </w:r>
            <w:r>
              <w:noBreakHyphen/>
              <w:t>9</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Security and Related Activities (Control) Amendment Regulations 2004</w:t>
            </w:r>
          </w:p>
        </w:tc>
        <w:tc>
          <w:tcPr>
            <w:tcW w:w="1276" w:type="dxa"/>
          </w:tcPr>
          <w:p>
            <w:pPr>
              <w:pStyle w:val="nTable"/>
              <w:spacing w:after="40"/>
            </w:pPr>
            <w:r>
              <w:t>29 Jun 2004 p. 2542</w:t>
            </w:r>
            <w:r>
              <w:noBreakHyphen/>
              <w:t>3</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2004</w:t>
            </w:r>
          </w:p>
        </w:tc>
        <w:tc>
          <w:tcPr>
            <w:tcW w:w="1276" w:type="dxa"/>
          </w:tcPr>
          <w:p>
            <w:pPr>
              <w:pStyle w:val="nTable"/>
              <w:spacing w:after="40"/>
            </w:pPr>
            <w:r>
              <w:t>30 Dec 2004 p. 6977</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2005</w:t>
            </w:r>
          </w:p>
        </w:tc>
        <w:tc>
          <w:tcPr>
            <w:tcW w:w="1276" w:type="dxa"/>
          </w:tcPr>
          <w:p>
            <w:pPr>
              <w:pStyle w:val="nTable"/>
              <w:spacing w:after="40"/>
            </w:pPr>
            <w:r>
              <w:t>1 Sep 2005 p. 4071</w:t>
            </w:r>
            <w:r>
              <w:noBreakHyphen/>
              <w:t>93</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2006</w:t>
            </w:r>
          </w:p>
        </w:tc>
        <w:tc>
          <w:tcPr>
            <w:tcW w:w="1276" w:type="dxa"/>
          </w:tcPr>
          <w:p>
            <w:pPr>
              <w:pStyle w:val="nTable"/>
              <w:spacing w:after="40"/>
            </w:pPr>
            <w:r>
              <w:t>13 Apr 2006 p. 1555</w:t>
            </w:r>
            <w:r>
              <w:noBreakHyphen/>
              <w:t>6</w:t>
            </w:r>
          </w:p>
        </w:tc>
        <w:tc>
          <w:tcPr>
            <w:tcW w:w="2693" w:type="dxa"/>
          </w:tcPr>
          <w:p>
            <w:pPr>
              <w:pStyle w:val="nTable"/>
              <w:spacing w:after="40"/>
            </w:pPr>
            <w:r>
              <w:t>13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2006</w:t>
            </w:r>
          </w:p>
        </w:tc>
        <w:tc>
          <w:tcPr>
            <w:tcW w:w="1276" w:type="dxa"/>
          </w:tcPr>
          <w:p>
            <w:pPr>
              <w:pStyle w:val="nTable"/>
              <w:spacing w:after="40"/>
            </w:pPr>
            <w:r>
              <w:t>28 Apr 2006 p. 1656</w:t>
            </w:r>
            <w:r>
              <w:noBreakHyphen/>
              <w:t>8</w:t>
            </w:r>
          </w:p>
        </w:tc>
        <w:tc>
          <w:tcPr>
            <w:tcW w:w="2693" w:type="dxa"/>
          </w:tcPr>
          <w:p>
            <w:pPr>
              <w:pStyle w:val="nTable"/>
              <w:spacing w:after="40"/>
            </w:pPr>
            <w:r>
              <w:t>28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4) 2006</w:t>
            </w:r>
          </w:p>
        </w:tc>
        <w:tc>
          <w:tcPr>
            <w:tcW w:w="1276" w:type="dxa"/>
          </w:tcPr>
          <w:p>
            <w:pPr>
              <w:pStyle w:val="nTable"/>
              <w:spacing w:after="40"/>
            </w:pPr>
            <w:r>
              <w:t>27 Jun 2006 p. 2303</w:t>
            </w:r>
            <w:r>
              <w:noBreakHyphen/>
              <w:t>4</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2006</w:t>
            </w:r>
          </w:p>
        </w:tc>
        <w:tc>
          <w:tcPr>
            <w:tcW w:w="1276" w:type="dxa"/>
          </w:tcPr>
          <w:p>
            <w:pPr>
              <w:pStyle w:val="nTable"/>
              <w:spacing w:after="40"/>
            </w:pPr>
            <w:r>
              <w:t>3 Oct 2006 p. 4343</w:t>
            </w:r>
            <w:r>
              <w:noBreakHyphen/>
              <w:t>7</w:t>
            </w:r>
          </w:p>
        </w:tc>
        <w:tc>
          <w:tcPr>
            <w:tcW w:w="2693" w:type="dxa"/>
          </w:tcPr>
          <w:p>
            <w:pPr>
              <w:pStyle w:val="nTable"/>
              <w:spacing w:after="40"/>
            </w:pPr>
            <w:r>
              <w:t>3 Oct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2007</w:t>
            </w:r>
          </w:p>
        </w:tc>
        <w:tc>
          <w:tcPr>
            <w:tcW w:w="1276" w:type="dxa"/>
          </w:tcPr>
          <w:p>
            <w:pPr>
              <w:pStyle w:val="nTable"/>
              <w:spacing w:after="40"/>
            </w:pPr>
            <w:r>
              <w:t>29 Jun 2007 p. 3200</w:t>
            </w:r>
            <w:r>
              <w:noBreakHyphen/>
              <w:t>1</w:t>
            </w:r>
          </w:p>
        </w:tc>
        <w:tc>
          <w:tcPr>
            <w:tcW w:w="2693" w:type="dxa"/>
          </w:tcPr>
          <w:p>
            <w:pPr>
              <w:pStyle w:val="nTable"/>
              <w:spacing w:after="40"/>
            </w:pPr>
            <w:r>
              <w:t>r. 1 and 2: 29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2008</w:t>
            </w:r>
          </w:p>
        </w:tc>
        <w:tc>
          <w:tcPr>
            <w:tcW w:w="1276" w:type="dxa"/>
          </w:tcPr>
          <w:p>
            <w:pPr>
              <w:pStyle w:val="nTable"/>
              <w:spacing w:after="40"/>
            </w:pPr>
            <w:r>
              <w:t>24 Jun 2008 p. 2903</w:t>
            </w:r>
            <w:r>
              <w:noBreakHyphen/>
              <w:t>4</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2009</w:t>
            </w:r>
            <w:r>
              <w:rPr>
                <w:iCs/>
              </w:rPr>
              <w:t xml:space="preserve"> </w:t>
            </w:r>
          </w:p>
        </w:tc>
        <w:tc>
          <w:tcPr>
            <w:tcW w:w="1276" w:type="dxa"/>
          </w:tcPr>
          <w:p>
            <w:pPr>
              <w:pStyle w:val="nTable"/>
              <w:spacing w:after="40"/>
            </w:pPr>
            <w:r>
              <w:t>26 May 2009 p. 1810</w:t>
            </w:r>
            <w:r>
              <w:noBreakHyphen/>
              <w:t>12</w:t>
            </w:r>
          </w:p>
        </w:tc>
        <w:tc>
          <w:tcPr>
            <w:tcW w:w="2693" w:type="dxa"/>
          </w:tcPr>
          <w:p>
            <w:pPr>
              <w:pStyle w:val="nTable"/>
              <w:spacing w:after="40"/>
              <w:rPr>
                <w:snapToGrid w:val="0"/>
              </w:rPr>
            </w:pPr>
            <w:r>
              <w:rPr>
                <w:snapToGrid w:val="0"/>
              </w:rPr>
              <w:t>r. 1 and 2: 26 May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Security and Related Activities (Control) Amendment Regulations (No. 2) 2009</w:t>
            </w:r>
          </w:p>
        </w:tc>
        <w:tc>
          <w:tcPr>
            <w:tcW w:w="1276" w:type="dxa"/>
          </w:tcPr>
          <w:p>
            <w:pPr>
              <w:pStyle w:val="nTable"/>
              <w:spacing w:after="40"/>
            </w:pPr>
            <w:r>
              <w:t>4 Dec 2009 p. 4887</w:t>
            </w:r>
            <w:r>
              <w:noBreakHyphen/>
              <w:t>916</w:t>
            </w:r>
          </w:p>
        </w:tc>
        <w:tc>
          <w:tcPr>
            <w:tcW w:w="2693" w:type="dxa"/>
          </w:tcPr>
          <w:p>
            <w:pPr>
              <w:pStyle w:val="nTable"/>
              <w:spacing w:after="40"/>
              <w:rPr>
                <w:snapToGrid w:val="0"/>
              </w:rPr>
            </w:pPr>
            <w:r>
              <w:rPr>
                <w:snapToGrid w:val="0"/>
              </w:rPr>
              <w:t>r. 1 and 2: 4 Dec 2009 (see r. 2(a));</w:t>
            </w:r>
            <w:r>
              <w:rPr>
                <w:snapToGrid w:val="0"/>
              </w:rPr>
              <w:br/>
              <w:t xml:space="preserve">Regulations other than r. 1 and 2: 13 Dec 2009 (see r. 2(b) and </w:t>
            </w:r>
            <w:r>
              <w:rPr>
                <w:i/>
                <w:iCs/>
                <w:snapToGrid w:val="0"/>
              </w:rPr>
              <w:t>Gazette</w:t>
            </w:r>
            <w:r>
              <w:rPr>
                <w:snapToGrid w:val="0"/>
              </w:rPr>
              <w:t xml:space="preserve"> 4 Dec 2009 p. 4919)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2010</w:t>
            </w:r>
          </w:p>
        </w:tc>
        <w:tc>
          <w:tcPr>
            <w:tcW w:w="1276" w:type="dxa"/>
          </w:tcPr>
          <w:p>
            <w:pPr>
              <w:pStyle w:val="nTable"/>
              <w:spacing w:after="40"/>
            </w:pPr>
            <w:r>
              <w:t>18 Jun 2010 p. 2691</w:t>
            </w:r>
            <w:r>
              <w:noBreakHyphen/>
              <w:t>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2010</w:t>
            </w:r>
          </w:p>
        </w:tc>
        <w:tc>
          <w:tcPr>
            <w:tcW w:w="1276" w:type="dxa"/>
          </w:tcPr>
          <w:p>
            <w:pPr>
              <w:pStyle w:val="nTable"/>
              <w:spacing w:after="40"/>
            </w:pPr>
            <w:r>
              <w:t>22 Jun 2010 p. 2784</w:t>
            </w:r>
          </w:p>
        </w:tc>
        <w:tc>
          <w:tcPr>
            <w:tcW w:w="2693" w:type="dxa"/>
          </w:tcPr>
          <w:p>
            <w:pPr>
              <w:pStyle w:val="nTable"/>
              <w:spacing w:after="40"/>
              <w:rPr>
                <w:snapToGrid w:val="0"/>
              </w:rPr>
            </w:pPr>
            <w:r>
              <w:rPr>
                <w:snapToGrid w:val="0"/>
              </w:rPr>
              <w:t>r. 1 and 2: 22 Jun 2010 (see r. 2(a));</w:t>
            </w:r>
            <w:r>
              <w:rPr>
                <w:snapToGrid w:val="0"/>
              </w:rPr>
              <w:br/>
              <w:t>Regulations other than r. 1 and 2: 23 Jun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Public Sector Reform (Consequential Amendments) Regulations 2011</w:t>
            </w:r>
            <w:r>
              <w:t xml:space="preserve"> Pt. 7</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2) 2011</w:t>
            </w:r>
          </w:p>
        </w:tc>
        <w:tc>
          <w:tcPr>
            <w:tcW w:w="1276" w:type="dxa"/>
          </w:tcPr>
          <w:p>
            <w:pPr>
              <w:pStyle w:val="nTable"/>
              <w:spacing w:after="40"/>
            </w:pPr>
            <w:r>
              <w:t>29 Apr 2011 p. 1532</w:t>
            </w:r>
          </w:p>
        </w:tc>
        <w:tc>
          <w:tcPr>
            <w:tcW w:w="2693" w:type="dxa"/>
          </w:tcPr>
          <w:p>
            <w:pPr>
              <w:pStyle w:val="nTable"/>
              <w:spacing w:after="40"/>
              <w:rPr>
                <w:snapToGrid w:val="0"/>
              </w:rPr>
            </w:pPr>
            <w:r>
              <w:rPr>
                <w:snapToGrid w:val="0"/>
              </w:rPr>
              <w:t>r. 1 and 2: 29 Apr 2011 (see r. 2(a));</w:t>
            </w:r>
            <w:r>
              <w:rPr>
                <w:snapToGrid w:val="0"/>
              </w:rPr>
              <w:br/>
              <w:t>Regulations other than r. 1 and 2: 30 Apr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3) 2011</w:t>
            </w:r>
          </w:p>
        </w:tc>
        <w:tc>
          <w:tcPr>
            <w:tcW w:w="1276" w:type="dxa"/>
          </w:tcPr>
          <w:p>
            <w:pPr>
              <w:pStyle w:val="nTable"/>
              <w:spacing w:after="40"/>
            </w:pPr>
            <w:r>
              <w:t>10 Jun 2011 p. 2112</w:t>
            </w:r>
            <w:r>
              <w:noBreakHyphen/>
              <w:t>13</w:t>
            </w:r>
          </w:p>
        </w:tc>
        <w:tc>
          <w:tcPr>
            <w:tcW w:w="2693" w:type="dxa"/>
          </w:tcPr>
          <w:p>
            <w:pPr>
              <w:pStyle w:val="nTable"/>
              <w:spacing w:after="40"/>
              <w:rPr>
                <w:snapToGrid w:val="0"/>
              </w:rPr>
            </w:pPr>
            <w:r>
              <w:rPr>
                <w:snapToGrid w:val="0"/>
              </w:rPr>
              <w:t>r. 1 and 2: 10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4) 2011</w:t>
            </w:r>
          </w:p>
        </w:tc>
        <w:tc>
          <w:tcPr>
            <w:tcW w:w="1276" w:type="dxa"/>
            <w:shd w:val="clear" w:color="auto" w:fill="auto"/>
          </w:tcPr>
          <w:p>
            <w:pPr>
              <w:pStyle w:val="nTable"/>
              <w:spacing w:after="40"/>
            </w:pPr>
            <w:r>
              <w:t>1 Jul 2011 p. 2748</w:t>
            </w:r>
            <w:r>
              <w:noBreakHyphen/>
              <w:t>9</w:t>
            </w:r>
          </w:p>
        </w:tc>
        <w:tc>
          <w:tcPr>
            <w:tcW w:w="2693" w:type="dxa"/>
            <w:shd w:val="clear" w:color="auto" w:fill="auto"/>
          </w:tcPr>
          <w:p>
            <w:pPr>
              <w:pStyle w:val="nTable"/>
              <w:spacing w:after="40"/>
              <w:rPr>
                <w:snapToGrid w:val="0"/>
              </w:rPr>
            </w:pPr>
            <w:r>
              <w:rPr>
                <w:snapToGrid w:val="0"/>
              </w:rPr>
              <w:t>r. 1 and 2: 1 Jul 2011 (see r. 2(a));</w:t>
            </w:r>
            <w:r>
              <w:rPr>
                <w:snapToGrid w:val="0"/>
              </w:rPr>
              <w:br/>
              <w:t>Regulations other than r. 1 and 2: 2 Jul 2011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2012</w:t>
            </w:r>
          </w:p>
        </w:tc>
        <w:tc>
          <w:tcPr>
            <w:tcW w:w="1276" w:type="dxa"/>
            <w:shd w:val="clear" w:color="auto" w:fill="auto"/>
          </w:tcPr>
          <w:p>
            <w:pPr>
              <w:pStyle w:val="nTable"/>
              <w:spacing w:after="40"/>
            </w:pPr>
            <w:r>
              <w:t>15 Jun 2012 p. 2540</w:t>
            </w:r>
            <w:r>
              <w:noBreakHyphen/>
              <w:t>2</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keepLines/>
              <w:spacing w:after="40"/>
              <w:rPr>
                <w:i/>
              </w:rPr>
            </w:pPr>
            <w:r>
              <w:rPr>
                <w:i/>
              </w:rPr>
              <w:lastRenderedPageBreak/>
              <w:t>Security and Related Activities (Control) Amendment Regulations 2013</w:t>
            </w:r>
          </w:p>
        </w:tc>
        <w:tc>
          <w:tcPr>
            <w:tcW w:w="1276" w:type="dxa"/>
            <w:shd w:val="clear" w:color="auto" w:fill="auto"/>
          </w:tcPr>
          <w:p>
            <w:pPr>
              <w:pStyle w:val="nTable"/>
              <w:keepNext/>
              <w:keepLines/>
              <w:spacing w:after="40"/>
              <w:rPr>
                <w:i/>
              </w:rPr>
            </w:pPr>
            <w:r>
              <w:t>28 Jun 2013 p. 2780-1</w:t>
            </w:r>
          </w:p>
        </w:tc>
        <w:tc>
          <w:tcPr>
            <w:tcW w:w="2693" w:type="dxa"/>
            <w:shd w:val="clear" w:color="auto" w:fill="auto"/>
          </w:tcPr>
          <w:p>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2014</w:t>
            </w:r>
          </w:p>
        </w:tc>
        <w:tc>
          <w:tcPr>
            <w:tcW w:w="1276" w:type="dxa"/>
            <w:shd w:val="clear" w:color="auto" w:fill="auto"/>
          </w:tcPr>
          <w:p>
            <w:pPr>
              <w:pStyle w:val="nTable"/>
              <w:spacing w:after="40"/>
            </w:pPr>
            <w:r>
              <w:t>17 Jun 2014 p. 1998-9</w:t>
            </w:r>
          </w:p>
        </w:tc>
        <w:tc>
          <w:tcPr>
            <w:tcW w:w="2693" w:type="dxa"/>
            <w:shd w:val="clear" w:color="auto" w:fill="auto"/>
          </w:tcPr>
          <w:p>
            <w:pPr>
              <w:pStyle w:val="nTable"/>
              <w:spacing w:after="40"/>
              <w:rPr>
                <w:snapToGrid w:val="0"/>
              </w:rPr>
            </w:pPr>
            <w:r>
              <w:rPr>
                <w:snapToGrid w:val="0"/>
              </w:rPr>
              <w:t>r. 1 and 2: 17 Jun 2014 (see r. 2(a));</w:t>
            </w:r>
            <w:r>
              <w:rPr>
                <w:snapToGrid w:val="0"/>
              </w:rPr>
              <w:br/>
              <w:t>Regulations other than r. 1 and 2: 1 Jul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2014</w:t>
            </w:r>
          </w:p>
        </w:tc>
        <w:tc>
          <w:tcPr>
            <w:tcW w:w="1276" w:type="dxa"/>
            <w:shd w:val="clear" w:color="auto" w:fill="auto"/>
          </w:tcPr>
          <w:p>
            <w:pPr>
              <w:pStyle w:val="nTable"/>
              <w:spacing w:after="40"/>
            </w:pPr>
            <w:r>
              <w:t>5 Aug 2014 p. 2834</w:t>
            </w:r>
          </w:p>
        </w:tc>
        <w:tc>
          <w:tcPr>
            <w:tcW w:w="2693" w:type="dxa"/>
            <w:shd w:val="clear" w:color="auto" w:fill="auto"/>
          </w:tcPr>
          <w:p>
            <w:pPr>
              <w:pStyle w:val="nTable"/>
              <w:spacing w:after="40"/>
              <w:rPr>
                <w:snapToGrid w:val="0"/>
              </w:rPr>
            </w:pPr>
            <w:r>
              <w:rPr>
                <w:bCs/>
                <w:snapToGrid w:val="0"/>
              </w:rPr>
              <w:t>r. 1 and 2: 5 Aug 2014 (see r. 2(a));</w:t>
            </w:r>
            <w:r>
              <w:rPr>
                <w:bCs/>
                <w:snapToGrid w:val="0"/>
              </w:rPr>
              <w:br/>
              <w:t>Regulations other than r. 1 and 2: 6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2015</w:t>
            </w:r>
          </w:p>
        </w:tc>
        <w:tc>
          <w:tcPr>
            <w:tcW w:w="1276" w:type="dxa"/>
            <w:shd w:val="clear" w:color="auto" w:fill="auto"/>
          </w:tcPr>
          <w:p>
            <w:pPr>
              <w:pStyle w:val="nTable"/>
              <w:spacing w:after="40"/>
            </w:pPr>
            <w:r>
              <w:t>2 Jun 2015 p. 1944</w:t>
            </w:r>
            <w:r>
              <w:noBreakHyphen/>
              <w:t>5</w:t>
            </w:r>
          </w:p>
        </w:tc>
        <w:tc>
          <w:tcPr>
            <w:tcW w:w="2693" w:type="dxa"/>
            <w:shd w:val="clear" w:color="auto" w:fill="auto"/>
          </w:tcPr>
          <w:p>
            <w:pPr>
              <w:pStyle w:val="nTable"/>
              <w:spacing w:after="40"/>
              <w:rPr>
                <w:bCs/>
                <w:snapToGrid w:val="0"/>
              </w:rPr>
            </w:pPr>
            <w:r>
              <w:rPr>
                <w:bCs/>
                <w:snapToGrid w:val="0"/>
              </w:rPr>
              <w:t xml:space="preserve">r. 1 and 2: </w:t>
            </w:r>
            <w:r>
              <w:t>2 Jun 2015</w:t>
            </w:r>
            <w:r>
              <w:rPr>
                <w:bCs/>
                <w:snapToGrid w:val="0"/>
              </w:rPr>
              <w:t xml:space="preserve">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2015</w:t>
            </w:r>
          </w:p>
        </w:tc>
        <w:tc>
          <w:tcPr>
            <w:tcW w:w="1276" w:type="dxa"/>
            <w:shd w:val="clear" w:color="auto" w:fill="auto"/>
          </w:tcPr>
          <w:p>
            <w:pPr>
              <w:pStyle w:val="nTable"/>
              <w:spacing w:after="40"/>
            </w:pPr>
            <w:r>
              <w:t>16 Jun 2015 p. 2078</w:t>
            </w:r>
            <w:r>
              <w:noBreakHyphen/>
              <w:t>9</w:t>
            </w:r>
          </w:p>
        </w:tc>
        <w:tc>
          <w:tcPr>
            <w:tcW w:w="2693" w:type="dxa"/>
            <w:shd w:val="clear" w:color="auto" w:fill="auto"/>
          </w:tcPr>
          <w:p>
            <w:pPr>
              <w:pStyle w:val="nTable"/>
              <w:spacing w:after="40"/>
              <w:rPr>
                <w:bCs/>
                <w:snapToGrid w:val="0"/>
              </w:rPr>
            </w:pPr>
            <w:r>
              <w:rPr>
                <w:bCs/>
                <w:snapToGrid w:val="0"/>
              </w:rPr>
              <w:t>r. 1 and 2: 16 Jun 2015 (see r. 2(a));</w:t>
            </w:r>
            <w:r>
              <w:rPr>
                <w:bCs/>
                <w:snapToGrid w:val="0"/>
              </w:rPr>
              <w:br/>
              <w:t>Regulations other than r. 1 and 2: 17 Jun 2015 (see r. 2(b) and Gazette 16 Jun 2015 p. 2071)</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Security and Related Activities (Control) Regulations 1997</w:t>
            </w:r>
            <w:r>
              <w:rPr>
                <w:b/>
                <w:bCs/>
                <w:snapToGrid w:val="0"/>
                <w:spacing w:val="-2"/>
              </w:rPr>
              <w:t xml:space="preserve"> as at 4 Dec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Regulations Amendment (Fees and Charges) Regulations 2016 </w:t>
            </w:r>
            <w:r>
              <w:t>Pt. 5</w:t>
            </w:r>
          </w:p>
        </w:tc>
        <w:tc>
          <w:tcPr>
            <w:tcW w:w="1276" w:type="dxa"/>
            <w:shd w:val="clear" w:color="auto" w:fill="auto"/>
          </w:tcPr>
          <w:p>
            <w:pPr>
              <w:pStyle w:val="nTable"/>
              <w:spacing w:after="40"/>
            </w:pPr>
            <w:r>
              <w:t>14 Jun 2016 p. 1826</w:t>
            </w:r>
            <w:r>
              <w:noBreakHyphen/>
              <w:t>33</w:t>
            </w:r>
          </w:p>
        </w:tc>
        <w:tc>
          <w:tcPr>
            <w:tcW w:w="2693" w:type="dxa"/>
            <w:shd w:val="clear" w:color="auto" w:fill="auto"/>
          </w:tcPr>
          <w:p>
            <w:pPr>
              <w:pStyle w:val="nTable"/>
              <w:spacing w:after="40"/>
              <w:rPr>
                <w:bCs/>
                <w:snapToGrid w:val="0"/>
              </w:rPr>
            </w:pPr>
            <w:r>
              <w:t>1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2016</w:t>
            </w:r>
          </w:p>
        </w:tc>
        <w:tc>
          <w:tcPr>
            <w:tcW w:w="1276" w:type="dxa"/>
            <w:shd w:val="clear" w:color="auto" w:fill="auto"/>
          </w:tcPr>
          <w:p>
            <w:pPr>
              <w:pStyle w:val="nTable"/>
              <w:spacing w:after="40"/>
            </w:pPr>
            <w:r>
              <w:t>29 Jul 2016 p. 3243-57</w:t>
            </w:r>
          </w:p>
        </w:tc>
        <w:tc>
          <w:tcPr>
            <w:tcW w:w="2693" w:type="dxa"/>
            <w:shd w:val="clear" w:color="auto" w:fill="auto"/>
          </w:tcPr>
          <w:p>
            <w:pPr>
              <w:pStyle w:val="nTable"/>
              <w:spacing w:after="40"/>
            </w:pPr>
            <w:r>
              <w:rPr>
                <w:bCs/>
                <w:snapToGrid w:val="0"/>
                <w:spacing w:val="-2"/>
              </w:rPr>
              <w:t>r. 1 and 2: 29 Jul 2016 (see r. 2(a));</w:t>
            </w:r>
            <w:r>
              <w:rPr>
                <w:bCs/>
                <w:snapToGrid w:val="0"/>
                <w:spacing w:val="-2"/>
              </w:rPr>
              <w:br/>
              <w:t>Regulations other than r. 1 and 2: 30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Service Regulations Amendment (Public Health) Regulations 2016 </w:t>
            </w:r>
            <w:r>
              <w:t>Pt. 4</w:t>
            </w:r>
          </w:p>
        </w:tc>
        <w:tc>
          <w:tcPr>
            <w:tcW w:w="1276" w:type="dxa"/>
            <w:shd w:val="clear" w:color="auto" w:fill="auto"/>
          </w:tcPr>
          <w:p>
            <w:pPr>
              <w:pStyle w:val="nTable"/>
              <w:spacing w:after="40"/>
            </w:pPr>
            <w:r>
              <w:t>10 Jan 2017 p. 221-4</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Police Regulations Amendment (Poisons) Regulations 2016</w:t>
            </w:r>
            <w:r>
              <w:t xml:space="preserve"> Pt. 4</w:t>
            </w:r>
          </w:p>
        </w:tc>
        <w:tc>
          <w:tcPr>
            <w:tcW w:w="1276" w:type="dxa"/>
            <w:shd w:val="clear" w:color="auto" w:fill="auto"/>
          </w:tcPr>
          <w:p>
            <w:pPr>
              <w:pStyle w:val="nTable"/>
              <w:spacing w:after="40"/>
            </w:pPr>
            <w:r>
              <w:t>17 Jan 2017 p. 412</w:t>
            </w:r>
            <w:r>
              <w:noBreakHyphen/>
              <w:t>17</w:t>
            </w:r>
          </w:p>
        </w:tc>
        <w:tc>
          <w:tcPr>
            <w:tcW w:w="2693" w:type="dxa"/>
            <w:shd w:val="clear" w:color="auto" w:fill="auto"/>
          </w:tcPr>
          <w:p>
            <w:pPr>
              <w:pStyle w:val="nTable"/>
              <w:spacing w:after="40"/>
            </w:pPr>
            <w:r>
              <w:t xml:space="preserve">30 Jan 2017 (see r. 2(b) and </w:t>
            </w:r>
            <w:r>
              <w:rPr>
                <w:i/>
              </w:rPr>
              <w:t>Gazette</w:t>
            </w:r>
            <w:r>
              <w:t xml:space="preserve"> 17 Jan 2017 p. 403)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2017</w:t>
            </w:r>
            <w:r>
              <w:t xml:space="preserve"> Pt. 5</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2018</w:t>
            </w:r>
            <w:r>
              <w:t xml:space="preserve"> Pt. 5</w:t>
            </w:r>
          </w:p>
        </w:tc>
        <w:tc>
          <w:tcPr>
            <w:tcW w:w="1276" w:type="dxa"/>
            <w:shd w:val="clear" w:color="auto" w:fill="auto"/>
          </w:tcPr>
          <w:p>
            <w:pPr>
              <w:pStyle w:val="nTable"/>
              <w:spacing w:after="40"/>
            </w:pPr>
            <w:r>
              <w:t>26 Jun 2018 p. 2392</w:t>
            </w:r>
            <w:r>
              <w:noBreakHyphen/>
              <w:t>400</w:t>
            </w:r>
          </w:p>
        </w:tc>
        <w:tc>
          <w:tcPr>
            <w:tcW w:w="2693" w:type="dxa"/>
            <w:shd w:val="clear" w:color="auto" w:fill="auto"/>
          </w:tcPr>
          <w:p>
            <w:pPr>
              <w:pStyle w:val="nTable"/>
              <w:spacing w:after="40"/>
            </w:pPr>
            <w:r>
              <w:t>1 Jul 2018 (see r. 2(b))</w:t>
            </w:r>
          </w:p>
        </w:tc>
      </w:tr>
      <w:tr>
        <w:tc>
          <w:tcPr>
            <w:tcW w:w="3119" w:type="dxa"/>
            <w:tcBorders>
              <w:top w:val="nil"/>
              <w:bottom w:val="nil"/>
            </w:tcBorders>
            <w:shd w:val="clear" w:color="auto" w:fill="auto"/>
          </w:tcPr>
          <w:p>
            <w:pPr>
              <w:pStyle w:val="nTable"/>
              <w:spacing w:after="40"/>
              <w:rPr>
                <w:i/>
              </w:rPr>
            </w:pPr>
            <w:r>
              <w:rPr>
                <w:i/>
              </w:rPr>
              <w:t>Police Regulations Amendment (Fees and Charges) Regulations 2019</w:t>
            </w:r>
            <w:r>
              <w:t xml:space="preserve"> Pt. 5</w:t>
            </w:r>
          </w:p>
        </w:tc>
        <w:tc>
          <w:tcPr>
            <w:tcW w:w="1276" w:type="dxa"/>
            <w:tcBorders>
              <w:top w:val="nil"/>
              <w:bottom w:val="nil"/>
            </w:tcBorders>
            <w:shd w:val="clear" w:color="auto" w:fill="auto"/>
          </w:tcPr>
          <w:p>
            <w:pPr>
              <w:pStyle w:val="nTable"/>
              <w:spacing w:after="40"/>
            </w:pPr>
            <w:r>
              <w:t>21 Jun 2019 p. 2141</w:t>
            </w:r>
            <w:r>
              <w:noBreakHyphen/>
              <w:t>50</w:t>
            </w:r>
          </w:p>
        </w:tc>
        <w:tc>
          <w:tcPr>
            <w:tcW w:w="2693" w:type="dxa"/>
            <w:tcBorders>
              <w:top w:val="nil"/>
              <w:bottom w:val="nil"/>
            </w:tcBorders>
            <w:shd w:val="clear" w:color="auto" w:fill="auto"/>
          </w:tcPr>
          <w:p>
            <w:pPr>
              <w:pStyle w:val="nTable"/>
              <w:spacing w:after="40"/>
            </w:pPr>
            <w:r>
              <w:t>1 Jul 2019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Police Regulations Amendment (Fees and Charges) Regulations 2020</w:t>
            </w:r>
            <w:r>
              <w:t xml:space="preserve"> Pt. 5</w:t>
            </w:r>
          </w:p>
        </w:tc>
        <w:tc>
          <w:tcPr>
            <w:tcW w:w="1276" w:type="dxa"/>
            <w:tcBorders>
              <w:top w:val="nil"/>
              <w:bottom w:val="nil"/>
            </w:tcBorders>
            <w:shd w:val="clear" w:color="auto" w:fill="auto"/>
          </w:tcPr>
          <w:p>
            <w:pPr>
              <w:pStyle w:val="nTable"/>
              <w:spacing w:after="40"/>
            </w:pPr>
            <w:r>
              <w:t xml:space="preserve">SL 2020/82 19 Jun 2020 </w:t>
            </w:r>
          </w:p>
        </w:tc>
        <w:tc>
          <w:tcPr>
            <w:tcW w:w="2693" w:type="dxa"/>
            <w:tcBorders>
              <w:top w:val="nil"/>
              <w:bottom w:val="nil"/>
            </w:tcBorders>
            <w:shd w:val="clear" w:color="auto" w:fill="auto"/>
          </w:tcPr>
          <w:p>
            <w:pPr>
              <w:pStyle w:val="nTable"/>
              <w:spacing w:after="40"/>
            </w:pPr>
            <w:r>
              <w:t>1 Jul 2020 (see r. 2(b))</w:t>
            </w:r>
          </w:p>
        </w:tc>
      </w:tr>
      <w:tr>
        <w:trPr>
          <w:cantSplit/>
        </w:trPr>
        <w:tc>
          <w:tcPr>
            <w:tcW w:w="3119" w:type="dxa"/>
            <w:tcBorders>
              <w:top w:val="nil"/>
              <w:bottom w:val="nil"/>
            </w:tcBorders>
            <w:shd w:val="clear" w:color="auto" w:fill="auto"/>
          </w:tcPr>
          <w:p>
            <w:pPr>
              <w:pStyle w:val="nTable"/>
              <w:spacing w:after="40"/>
              <w:rPr>
                <w:i/>
              </w:rPr>
            </w:pPr>
            <w:r>
              <w:rPr>
                <w:i/>
              </w:rPr>
              <w:t>Security and Related Activities (Control) Amendment Regulations 2020</w:t>
            </w:r>
          </w:p>
        </w:tc>
        <w:tc>
          <w:tcPr>
            <w:tcW w:w="1276" w:type="dxa"/>
            <w:tcBorders>
              <w:top w:val="nil"/>
              <w:bottom w:val="nil"/>
            </w:tcBorders>
            <w:shd w:val="clear" w:color="auto" w:fill="auto"/>
          </w:tcPr>
          <w:p>
            <w:pPr>
              <w:pStyle w:val="nTable"/>
              <w:spacing w:after="40"/>
            </w:pPr>
            <w:r>
              <w:t>SL 2020/171 25 Sep 2020</w:t>
            </w:r>
          </w:p>
        </w:tc>
        <w:tc>
          <w:tcPr>
            <w:tcW w:w="2693" w:type="dxa"/>
            <w:tcBorders>
              <w:top w:val="nil"/>
              <w:bottom w:val="nil"/>
            </w:tcBorders>
            <w:shd w:val="clear" w:color="auto" w:fill="auto"/>
          </w:tcPr>
          <w:p>
            <w:pPr>
              <w:pStyle w:val="nTable"/>
              <w:spacing w:after="40"/>
            </w:pPr>
            <w:r>
              <w:t>r. 1 and 2: 25 Sep 2020 (see r. 2(a));</w:t>
            </w:r>
            <w:r>
              <w:br/>
              <w:t>Regulations other than r. 1 and 2: 29 Sep 2020 (see r. 2(b) and SL 2020/159 cl. 2(a))</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2021</w:t>
            </w:r>
            <w:r>
              <w:t xml:space="preserve"> Pt. 5</w:t>
            </w:r>
          </w:p>
        </w:tc>
        <w:tc>
          <w:tcPr>
            <w:tcW w:w="1276" w:type="dxa"/>
            <w:tcBorders>
              <w:top w:val="nil"/>
              <w:bottom w:val="nil"/>
            </w:tcBorders>
            <w:shd w:val="clear" w:color="auto" w:fill="auto"/>
          </w:tcPr>
          <w:p>
            <w:pPr>
              <w:pStyle w:val="nTable"/>
              <w:spacing w:after="40"/>
            </w:pPr>
            <w:r>
              <w:t xml:space="preserve">SL 2021/106 29 Jun 2021 </w:t>
            </w:r>
          </w:p>
        </w:tc>
        <w:tc>
          <w:tcPr>
            <w:tcW w:w="2693"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2022</w:t>
            </w:r>
            <w:r>
              <w:t xml:space="preserve"> Pt. 5</w:t>
            </w:r>
          </w:p>
        </w:tc>
        <w:tc>
          <w:tcPr>
            <w:tcW w:w="1276" w:type="dxa"/>
            <w:tcBorders>
              <w:top w:val="nil"/>
              <w:bottom w:val="nil"/>
            </w:tcBorders>
            <w:shd w:val="clear" w:color="auto" w:fill="auto"/>
          </w:tcPr>
          <w:p>
            <w:pPr>
              <w:pStyle w:val="nTable"/>
              <w:spacing w:after="40"/>
            </w:pPr>
            <w:r>
              <w:t>SL 2022/65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9" w:type="dxa"/>
            <w:tcBorders>
              <w:top w:val="nil"/>
              <w:bottom w:val="nil"/>
            </w:tcBorders>
            <w:shd w:val="clear" w:color="auto" w:fill="auto"/>
          </w:tcPr>
          <w:p>
            <w:pPr>
              <w:pStyle w:val="nTable"/>
              <w:spacing w:after="40"/>
              <w:rPr>
                <w:i/>
              </w:rPr>
            </w:pPr>
            <w:r>
              <w:rPr>
                <w:i/>
              </w:rPr>
              <w:t>Security and Related Activities (Control) Amendment Regulations 2022</w:t>
            </w:r>
          </w:p>
        </w:tc>
        <w:tc>
          <w:tcPr>
            <w:tcW w:w="1276" w:type="dxa"/>
            <w:tcBorders>
              <w:top w:val="nil"/>
              <w:bottom w:val="nil"/>
            </w:tcBorders>
            <w:shd w:val="clear" w:color="auto" w:fill="auto"/>
          </w:tcPr>
          <w:p>
            <w:pPr>
              <w:pStyle w:val="nTable"/>
              <w:spacing w:after="40"/>
            </w:pPr>
            <w:r>
              <w:t>SL 2022/211 16 Dec 2022</w:t>
            </w:r>
          </w:p>
        </w:tc>
        <w:tc>
          <w:tcPr>
            <w:tcW w:w="2693" w:type="dxa"/>
            <w:tcBorders>
              <w:top w:val="nil"/>
              <w:bottom w:val="nil"/>
            </w:tcBorders>
            <w:shd w:val="clear" w:color="auto" w:fill="auto"/>
          </w:tcPr>
          <w:p>
            <w:pPr>
              <w:pStyle w:val="nTable"/>
              <w:spacing w:after="40"/>
            </w:pPr>
            <w:r>
              <w:t>r. 1 and 2: 16 Dec 2022 (see r. 2(a));</w:t>
            </w:r>
            <w:r>
              <w:br/>
              <w:t>Regulations other than r. 1 and 2: 17 Dec 2022 (see r. 2(b))</w:t>
            </w:r>
          </w:p>
        </w:tc>
      </w:tr>
      <w:tr>
        <w:trPr>
          <w:cantSplit/>
        </w:trPr>
        <w:tc>
          <w:tcPr>
            <w:tcW w:w="3119" w:type="dxa"/>
            <w:tcBorders>
              <w:top w:val="nil"/>
              <w:bottom w:val="nil"/>
            </w:tcBorders>
            <w:shd w:val="clear" w:color="auto" w:fill="auto"/>
          </w:tcPr>
          <w:p>
            <w:pPr>
              <w:pStyle w:val="nTable"/>
              <w:spacing w:after="40"/>
              <w:rPr>
                <w:i/>
              </w:rPr>
            </w:pPr>
            <w:r>
              <w:rPr>
                <w:i/>
              </w:rPr>
              <w:t xml:space="preserve">Police Regulations Amendment (Fees and Charges) Regulations 2023 </w:t>
            </w:r>
            <w:r>
              <w:t>Pt. 5</w:t>
            </w:r>
          </w:p>
        </w:tc>
        <w:tc>
          <w:tcPr>
            <w:tcW w:w="1276" w:type="dxa"/>
            <w:tcBorders>
              <w:top w:val="nil"/>
              <w:bottom w:val="nil"/>
            </w:tcBorders>
            <w:shd w:val="clear" w:color="auto" w:fill="auto"/>
          </w:tcPr>
          <w:p>
            <w:pPr>
              <w:pStyle w:val="nTable"/>
              <w:spacing w:after="40"/>
            </w:pPr>
            <w:r>
              <w:t>SL 2023/74 16 Jun 2023</w:t>
            </w:r>
          </w:p>
        </w:tc>
        <w:tc>
          <w:tcPr>
            <w:tcW w:w="2693" w:type="dxa"/>
            <w:tcBorders>
              <w:top w:val="nil"/>
              <w:bottom w:val="nil"/>
            </w:tcBorders>
            <w:shd w:val="clear" w:color="auto" w:fill="auto"/>
          </w:tcPr>
          <w:p>
            <w:pPr>
              <w:pStyle w:val="nTable"/>
              <w:spacing w:after="40"/>
            </w:pPr>
            <w:r>
              <w:t>1 Jul 2023 (see r. 2(b))</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2024</w:t>
            </w:r>
            <w:r>
              <w:rPr>
                <w:iCs/>
              </w:rPr>
              <w:t xml:space="preserve"> Pt. 5</w:t>
            </w:r>
          </w:p>
        </w:tc>
        <w:tc>
          <w:tcPr>
            <w:tcW w:w="1276" w:type="dxa"/>
            <w:tcBorders>
              <w:top w:val="nil"/>
              <w:bottom w:val="nil"/>
            </w:tcBorders>
            <w:shd w:val="clear" w:color="auto" w:fill="auto"/>
          </w:tcPr>
          <w:p>
            <w:pPr>
              <w:pStyle w:val="nTable"/>
              <w:spacing w:after="40"/>
            </w:pPr>
            <w:r>
              <w:t>SL 2024/94 12 Jun 2024</w:t>
            </w:r>
          </w:p>
        </w:tc>
        <w:tc>
          <w:tcPr>
            <w:tcW w:w="2693" w:type="dxa"/>
            <w:tcBorders>
              <w:top w:val="nil"/>
              <w:bottom w:val="nil"/>
            </w:tcBorders>
            <w:shd w:val="clear" w:color="auto" w:fill="auto"/>
          </w:tcPr>
          <w:p>
            <w:pPr>
              <w:pStyle w:val="nTable"/>
              <w:spacing w:after="40"/>
            </w:pPr>
            <w:r>
              <w:t>1 Jul 2024 (see r. 2(b))</w:t>
            </w:r>
          </w:p>
        </w:tc>
      </w:tr>
      <w:tr>
        <w:trPr>
          <w:cantSplit/>
        </w:trPr>
        <w:tc>
          <w:tcPr>
            <w:tcW w:w="3119" w:type="dxa"/>
            <w:tcBorders>
              <w:top w:val="nil"/>
              <w:bottom w:val="single" w:sz="4" w:space="0" w:color="auto"/>
            </w:tcBorders>
            <w:shd w:val="clear" w:color="auto" w:fill="auto"/>
          </w:tcPr>
          <w:p>
            <w:pPr>
              <w:pStyle w:val="nTable"/>
              <w:spacing w:after="40"/>
              <w:rPr>
                <w:i/>
              </w:rPr>
            </w:pPr>
            <w:r>
              <w:rPr>
                <w:i/>
              </w:rPr>
              <w:t>Security and Related Activities (Control) Amendment Regulations 2024</w:t>
            </w:r>
          </w:p>
        </w:tc>
        <w:tc>
          <w:tcPr>
            <w:tcW w:w="1276" w:type="dxa"/>
            <w:tcBorders>
              <w:top w:val="nil"/>
              <w:bottom w:val="single" w:sz="4" w:space="0" w:color="auto"/>
            </w:tcBorders>
            <w:shd w:val="clear" w:color="auto" w:fill="auto"/>
          </w:tcPr>
          <w:p>
            <w:pPr>
              <w:pStyle w:val="nTable"/>
              <w:spacing w:after="40"/>
            </w:pPr>
            <w:r>
              <w:t>SL 2024/161 7 Aug 2024</w:t>
            </w:r>
          </w:p>
        </w:tc>
        <w:tc>
          <w:tcPr>
            <w:tcW w:w="2693" w:type="dxa"/>
            <w:tcBorders>
              <w:top w:val="nil"/>
              <w:bottom w:val="single" w:sz="4" w:space="0" w:color="auto"/>
            </w:tcBorders>
            <w:shd w:val="clear" w:color="auto" w:fill="auto"/>
          </w:tcPr>
          <w:p>
            <w:pPr>
              <w:pStyle w:val="nTable"/>
              <w:spacing w:after="40"/>
            </w:pPr>
            <w:r>
              <w:t>r. 1 and 2: 7 Aug 2024 (see r. 2(a));</w:t>
            </w:r>
            <w:r>
              <w:br/>
              <w:t>Regulations other than r. 1 and 2: 8 Aug 2024 (see r. 2(b))</w:t>
            </w:r>
          </w:p>
        </w:tc>
      </w:tr>
    </w:tbl>
    <w:p>
      <w:pPr>
        <w:pStyle w:val="nHeading3"/>
      </w:pPr>
      <w:bookmarkStart w:id="186" w:name="_Toc173507702"/>
      <w:r>
        <w:t>Other notes</w:t>
      </w:r>
      <w:bookmarkEnd w:id="186"/>
    </w:p>
    <w:p>
      <w:pPr>
        <w:pStyle w:val="nNote"/>
        <w:keepNext/>
        <w:spacing w:before="160"/>
      </w:pPr>
      <w:r>
        <w:rPr>
          <w:szCs w:val="13"/>
          <w:vertAlign w:val="superscript"/>
        </w:rPr>
        <w:t>1</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
      <w:pPr>
        <w:sectPr>
          <w:headerReference w:type="even" r:id="rId34"/>
          <w:headerReference w:type="default" r:id="rId35"/>
          <w:pgSz w:w="11907" w:h="16840" w:code="9"/>
          <w:pgMar w:top="2376" w:right="2404" w:bottom="3544" w:left="2404" w:header="720" w:footer="3544" w:gutter="0"/>
          <w:cols w:space="720"/>
          <w:noEndnote/>
          <w:docGrid w:linePitch="326"/>
        </w:sectPr>
      </w:pPr>
    </w:p>
    <w:p>
      <w:pPr>
        <w:pStyle w:val="nHeading2"/>
        <w:rPr>
          <w:sz w:val="28"/>
        </w:rPr>
      </w:pPr>
      <w:bookmarkStart w:id="188" w:name="_Toc173501612"/>
      <w:bookmarkStart w:id="189" w:name="_Toc173502490"/>
      <w:bookmarkStart w:id="190" w:name="_Toc173507703"/>
      <w:r>
        <w:rPr>
          <w:sz w:val="28"/>
        </w:rPr>
        <w:lastRenderedPageBreak/>
        <w:t>Defined terms</w:t>
      </w:r>
      <w:bookmarkEnd w:id="188"/>
      <w:bookmarkEnd w:id="189"/>
      <w:bookmarkEnd w:id="1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44</w:t>
      </w:r>
    </w:p>
    <w:p>
      <w:pPr>
        <w:pStyle w:val="DefinedTerms"/>
      </w:pPr>
      <w:r>
        <w:t>ANZS</w:t>
      </w:r>
      <w:r>
        <w:tab/>
        <w:t>3(2)</w:t>
      </w:r>
    </w:p>
    <w:p>
      <w:pPr>
        <w:pStyle w:val="DefinedTerms"/>
      </w:pPr>
      <w:r>
        <w:t>approved testing equipment</w:t>
      </w:r>
      <w:r>
        <w:tab/>
        <w:t>44</w:t>
      </w:r>
    </w:p>
    <w:p>
      <w:pPr>
        <w:pStyle w:val="DefinedTerms"/>
      </w:pPr>
      <w:r>
        <w:t>approved training course</w:t>
      </w:r>
      <w:r>
        <w:tab/>
        <w:t>3(1)</w:t>
      </w:r>
    </w:p>
    <w:p>
      <w:pPr>
        <w:pStyle w:val="DefinedTerms"/>
      </w:pPr>
      <w:r>
        <w:t>AS</w:t>
      </w:r>
      <w:r>
        <w:tab/>
        <w:t>3(2)</w:t>
      </w:r>
    </w:p>
    <w:p>
      <w:pPr>
        <w:pStyle w:val="DefinedTerms"/>
      </w:pPr>
      <w:r>
        <w:t>blood sampling equipment</w:t>
      </w:r>
      <w:r>
        <w:tab/>
        <w:t>44</w:t>
      </w:r>
    </w:p>
    <w:p>
      <w:pPr>
        <w:pStyle w:val="DefinedTerms"/>
      </w:pPr>
      <w:r>
        <w:t>business</w:t>
      </w:r>
      <w:r>
        <w:tab/>
        <w:t>3(1)</w:t>
      </w:r>
    </w:p>
    <w:p>
      <w:pPr>
        <w:pStyle w:val="DefinedTerms"/>
      </w:pPr>
      <w:r>
        <w:t>business activity</w:t>
      </w:r>
      <w:r>
        <w:tab/>
        <w:t>Sch. 1 cl. 1A</w:t>
      </w:r>
    </w:p>
    <w:p>
      <w:pPr>
        <w:pStyle w:val="DefinedTerms"/>
      </w:pPr>
      <w:r>
        <w:t>chief executive officer</w:t>
      </w:r>
      <w:r>
        <w:tab/>
        <w:t>44</w:t>
      </w:r>
    </w:p>
    <w:p>
      <w:pPr>
        <w:pStyle w:val="DefinedTerms"/>
      </w:pPr>
      <w:r>
        <w:t>commencement day</w:t>
      </w:r>
      <w:r>
        <w:tab/>
        <w:t>Sch. 1 cl. 11A(2)</w:t>
      </w:r>
    </w:p>
    <w:p>
      <w:pPr>
        <w:pStyle w:val="DefinedTerms"/>
      </w:pPr>
      <w:r>
        <w:t>crowd control activities</w:t>
      </w:r>
      <w:r>
        <w:tab/>
        <w:t>3(1)</w:t>
      </w:r>
    </w:p>
    <w:p>
      <w:pPr>
        <w:pStyle w:val="DefinedTerms"/>
      </w:pPr>
      <w:r>
        <w:t>current first aid certificate</w:t>
      </w:r>
      <w:r>
        <w:tab/>
        <w:t>3(1)</w:t>
      </w:r>
    </w:p>
    <w:p>
      <w:pPr>
        <w:pStyle w:val="DefinedTerms"/>
      </w:pPr>
      <w:r>
        <w:t>Division 1 offence</w:t>
      </w:r>
      <w:r>
        <w:tab/>
        <w:t>25(1)</w:t>
      </w:r>
    </w:p>
    <w:p>
      <w:pPr>
        <w:pStyle w:val="DefinedTerms"/>
      </w:pPr>
      <w:r>
        <w:t>Division 2 incident</w:t>
      </w:r>
      <w:r>
        <w:tab/>
        <w:t>25(1)</w:t>
      </w:r>
    </w:p>
    <w:p>
      <w:pPr>
        <w:pStyle w:val="DefinedTerms"/>
      </w:pPr>
      <w:r>
        <w:t>GPO</w:t>
      </w:r>
      <w:r>
        <w:tab/>
        <w:t>14</w:t>
      </w:r>
    </w:p>
    <w:p>
      <w:pPr>
        <w:pStyle w:val="DefinedTerms"/>
      </w:pPr>
      <w:r>
        <w:t>guard dog</w:t>
      </w:r>
      <w:r>
        <w:tab/>
        <w:t>3(1), 38A(1)</w:t>
      </w:r>
    </w:p>
    <w:p>
      <w:pPr>
        <w:pStyle w:val="DefinedTerms"/>
      </w:pPr>
      <w:r>
        <w:t>licensed activity</w:t>
      </w:r>
      <w:r>
        <w:tab/>
        <w:t>3(1)</w:t>
      </w:r>
    </w:p>
    <w:p>
      <w:pPr>
        <w:pStyle w:val="DefinedTerms"/>
      </w:pPr>
      <w:r>
        <w:t>licensed premises</w:t>
      </w:r>
      <w:r>
        <w:tab/>
        <w:t>4(1)</w:t>
      </w:r>
    </w:p>
    <w:p>
      <w:pPr>
        <w:pStyle w:val="DefinedTerms"/>
      </w:pPr>
      <w:r>
        <w:t>licensee</w:t>
      </w:r>
      <w:r>
        <w:tab/>
        <w:t>44</w:t>
      </w:r>
    </w:p>
    <w:p>
      <w:pPr>
        <w:pStyle w:val="DefinedTerms"/>
      </w:pPr>
      <w:r>
        <w:t>medical certificate</w:t>
      </w:r>
      <w:r>
        <w:tab/>
        <w:t>3(1)</w:t>
      </w:r>
    </w:p>
    <w:p>
      <w:pPr>
        <w:pStyle w:val="DefinedTerms"/>
      </w:pPr>
      <w:r>
        <w:t>medical practitioner</w:t>
      </w:r>
      <w:r>
        <w:tab/>
        <w:t>3(1)</w:t>
      </w:r>
    </w:p>
    <w:p>
      <w:pPr>
        <w:pStyle w:val="DefinedTerms"/>
      </w:pPr>
      <w:r>
        <w:t>police officer or employee</w:t>
      </w:r>
      <w:r>
        <w:tab/>
        <w:t>44</w:t>
      </w:r>
    </w:p>
    <w:p>
      <w:pPr>
        <w:pStyle w:val="DefinedTerms"/>
      </w:pPr>
      <w:r>
        <w:t>responsible police division</w:t>
      </w:r>
      <w:r>
        <w:tab/>
        <w:t>3(1)</w:t>
      </w:r>
    </w:p>
    <w:p>
      <w:pPr>
        <w:pStyle w:val="DefinedTerms"/>
      </w:pPr>
      <w:r>
        <w:t>sample collector</w:t>
      </w:r>
      <w:r>
        <w:tab/>
        <w:t>44</w:t>
      </w:r>
    </w:p>
    <w:p>
      <w:pPr>
        <w:pStyle w:val="DefinedTerms"/>
      </w:pPr>
      <w:r>
        <w:t>sampling equipment</w:t>
      </w:r>
      <w:r>
        <w:tab/>
        <w:t>44</w:t>
      </w:r>
    </w:p>
    <w:p>
      <w:pPr>
        <w:pStyle w:val="DefinedTerms"/>
      </w:pPr>
      <w:r>
        <w:t>section</w:t>
      </w:r>
      <w:r>
        <w:tab/>
        <w:t>3(1)</w:t>
      </w:r>
    </w:p>
    <w:p>
      <w:pPr>
        <w:pStyle w:val="DefinedTerms"/>
      </w:pPr>
      <w:r>
        <w:t>Superintendent</w:t>
      </w:r>
      <w:r>
        <w:tab/>
        <w:t>3(1)</w:t>
      </w:r>
    </w:p>
    <w:p>
      <w:pPr>
        <w:pStyle w:val="DefinedTerms"/>
      </w:pPr>
      <w:r>
        <w:t>technologist</w:t>
      </w:r>
      <w:r>
        <w:tab/>
        <w:t>44</w:t>
      </w:r>
    </w:p>
    <w:p>
      <w:pPr>
        <w:pStyle w:val="DefinedTerms"/>
      </w:pPr>
      <w:r>
        <w:t>training course in firearms discharge</w:t>
      </w:r>
      <w:r>
        <w:tab/>
        <w:t>3(1)</w:t>
      </w:r>
    </w:p>
    <w:p>
      <w:pPr>
        <w:pStyle w:val="DefinedTerms"/>
      </w:pPr>
      <w:r>
        <w:t>urine sampling equipment</w:t>
      </w:r>
      <w:r>
        <w:tab/>
        <w:t>44</w:t>
      </w:r>
    </w:p>
    <w:p>
      <w:pPr>
        <w:pStyle w:val="DefinedTerms"/>
      </w:pPr>
      <w:r>
        <w:t>written examination</w:t>
      </w:r>
      <w:r>
        <w:tab/>
        <w:t>17(3)</w:t>
      </w:r>
    </w:p>
    <w:p/>
    <w:p>
      <w:pPr>
        <w:sectPr>
          <w:headerReference w:type="even" r:id="rId36"/>
          <w:headerReference w:type="default" r:id="rId3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63BA3F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7A68CB9A" w14:textId="551E0B94" w:rsidR="00594D14" w:rsidRDefault="00B328A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02B88">
                        <w:rPr>
                          <w:sz w:val="16"/>
                        </w:rPr>
                        <w:t>2024</w:t>
                      </w:r>
                      <w:r>
                        <w:rPr>
                          <w:sz w:val="16"/>
                        </w:rPr>
                        <w:fldChar w:fldCharType="end"/>
                      </w:r>
                      <w:r>
                        <w:rPr>
                          <w:sz w:val="16"/>
                        </w:rPr>
                        <w:t>.</w:t>
                      </w:r>
                    </w:p>
                    <w:p w14:paraId="2157BF38" w14:textId="77777777" w:rsidR="00594D14" w:rsidRDefault="00B328A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E4F8CF4" w14:textId="51775D3F" w:rsidR="00594D14" w:rsidRDefault="00B328A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02B88">
                        <w:rPr>
                          <w:sz w:val="16"/>
                        </w:rPr>
                        <w:t>2024</w:t>
                      </w:r>
                      <w:r>
                        <w:rPr>
                          <w:sz w:val="16"/>
                        </w:rPr>
                        <w:fldChar w:fldCharType="end"/>
                      </w:r>
                      <w:r>
                        <w:rPr>
                          <w:sz w:val="16"/>
                        </w:rPr>
                        <w:t>.</w:t>
                      </w:r>
                    </w:p>
                    <w:p w14:paraId="0CDF3CAB" w14:textId="77777777" w:rsidR="00594D14" w:rsidRDefault="00B328A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Aug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07-w0-00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07-w0-00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07-w0-00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Aug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07-w0-00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07-w0-00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07-w0-00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3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9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46" w:type="dxa"/>
        </w:tcPr>
        <w:p>
          <w:pPr>
            <w:pStyle w:val="Header"/>
            <w:spacing w:before="40"/>
          </w:pPr>
          <w:r>
            <w:rPr>
              <w:b/>
            </w:rPr>
            <w:fldChar w:fldCharType="begin"/>
          </w:r>
          <w:r>
            <w:rPr>
              <w:b/>
            </w:rPr>
            <w:instrText xml:space="preserve"> styleref CharDivNo </w:instrText>
          </w:r>
          <w:r>
            <w:rPr>
              <w:b/>
            </w:rPr>
            <w:fldChar w:fldCharType="end"/>
          </w:r>
        </w:p>
      </w:tc>
      <w:tc>
        <w:tcPr>
          <w:tcW w:w="5917"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884" w:type="dxa"/>
        </w:tcPr>
        <w:p>
          <w:pPr>
            <w:pStyle w:val="Header"/>
            <w:spacing w:before="40"/>
            <w:jc w:val="right"/>
          </w:pPr>
          <w:r>
            <w:fldChar w:fldCharType="begin"/>
          </w:r>
          <w:r>
            <w:instrText>styleref CharPartText</w:instrText>
          </w:r>
          <w:r>
            <w:fldChar w:fldCharType="separate"/>
          </w:r>
          <w:r>
            <w:t>Preliminary</w: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497"/>
      <w:gridCol w:w="576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497"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66"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rPr>
        <w:jc w:val="center"/>
      </w:trPr>
      <w:tc>
        <w:tcPr>
          <w:tcW w:w="1497" w:type="dxa"/>
        </w:tcPr>
        <w:p>
          <w:pPr>
            <w:pStyle w:val="Header"/>
            <w:spacing w:before="40"/>
          </w:pPr>
          <w:r>
            <w:rPr>
              <w:b/>
            </w:rPr>
            <w:fldChar w:fldCharType="begin"/>
          </w:r>
          <w:r>
            <w:rPr>
              <w:b/>
            </w:rPr>
            <w:instrText xml:space="preserve"> STYLEREF CharSDivNo \* charformat</w:instrText>
          </w:r>
          <w:r>
            <w:rPr>
              <w:b/>
            </w:rPr>
            <w:fldChar w:fldCharType="separate"/>
          </w:r>
          <w:r>
            <w:rPr>
              <w:b/>
            </w:rPr>
            <w:t>Division 1</w:t>
          </w:r>
          <w:r>
            <w:rPr>
              <w:b/>
            </w:rPr>
            <w:fldChar w:fldCharType="end"/>
          </w:r>
        </w:p>
      </w:tc>
      <w:tc>
        <w:tcPr>
          <w:tcW w:w="5766" w:type="dxa"/>
        </w:tcPr>
        <w:p>
          <w:pPr>
            <w:pStyle w:val="Header"/>
            <w:spacing w:before="40"/>
          </w:pPr>
          <w:r>
            <w:fldChar w:fldCharType="begin"/>
          </w:r>
          <w:r>
            <w:instrText>styleref CharSDivText</w:instrText>
          </w:r>
          <w:r>
            <w:fldChar w:fldCharType="separate"/>
          </w:r>
          <w:r>
            <w:t>Security agent’s licence</w:t>
          </w:r>
          <w:r>
            <w:fldChar w:fldCharType="end"/>
          </w:r>
        </w:p>
      </w:tc>
    </w:tr>
    <w:tr>
      <w:trPr>
        <w:jc w:val="center"/>
      </w:trPr>
      <w:tc>
        <w:tcPr>
          <w:tcW w:w="1497"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c>
        <w:tcPr>
          <w:tcW w:w="576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Security agent’s licence</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1</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r>
  </w:tbl>
  <w:p>
    <w:pPr>
      <w:pStyle w:val="Header"/>
      <w:pBdr>
        <w:top w:val="single" w:sz="4" w:space="1" w:color="auto"/>
      </w:pBdr>
    </w:pPr>
    <w:bookmarkStart w:id="154" w:name="Schedule"/>
    <w:bookmarkEnd w:id="15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styleref CharSDivText</w:instrText>
          </w:r>
          <w:r>
            <w:fldChar w:fldCharType="separate"/>
          </w:r>
          <w:r>
            <w:t>All licences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All licences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6</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Disqualifying offences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Division 2 offences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 xml:space="preserve"> styleref CharSchText </w:instrText>
          </w:r>
          <w:r>
            <w:fldChar w:fldCharType="separate"/>
          </w:r>
          <w:r>
            <w:t>Disqualifying offences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Division 2 offences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 for infringement notices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w:instrText>
          </w:r>
          <w:r>
            <w:rPr>
              <w:b/>
            </w:rPr>
            <w:fldChar w:fldCharType="separate"/>
          </w:r>
          <w:r>
            <w:rPr>
              <w:b/>
            </w:rPr>
            <w:t>20</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 xml:space="preserve"> styleref CharSchText </w:instrText>
          </w:r>
          <w:r>
            <w:fldChar w:fldCharType="separate"/>
          </w:r>
          <w:r>
            <w:t>Prescribed offences and modified penalties for infringement notices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5</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r>
      <w:trPr>
        <w:jc w:val="center"/>
      </w:trPr>
      <w:tc>
        <w:tcPr>
          <w:tcW w:w="5772" w:type="dxa"/>
        </w:tcPr>
        <w:p>
          <w:pPr>
            <w:pStyle w:val="Header"/>
            <w:spacing w:before="40"/>
            <w:jc w:val="right"/>
          </w:pPr>
        </w:p>
      </w:tc>
      <w:tc>
        <w:tcPr>
          <w:tcW w:w="1482"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w:instrText>
          </w:r>
          <w:r>
            <w:rPr>
              <w:b/>
            </w:rPr>
            <w:fldChar w:fldCharType="separate"/>
          </w:r>
          <w:r>
            <w:rPr>
              <w:b/>
            </w:rPr>
            <w:t>20</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7" w:name="Compilation"/>
    <w:bookmarkEnd w:id="187"/>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1" w:name="DefinedTerms"/>
    <w:bookmarkEnd w:id="191"/>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2" w:name="Coversheet"/>
    <w:bookmarkEnd w:id="1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658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02142908"/>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 w:name="WAFER_20150820121100" w:val="RemoveTocBookmarks,RemoveUnusedBookmarks,RemoveLanguageTags,UsedStyles,ResetPageSize,RemoveCustomizations"/>
    <w:docVar w:name="WAFER_20150820121100_GUID" w:val="22cbb7c4-f739-462e-9d91-c62df0dbdfc4"/>
    <w:docVar w:name="WAFER_20151104113007" w:val="UpdateStyles,UsedStyles"/>
    <w:docVar w:name="WAFER_20151104113007_GUID" w:val="328c8689-2582-477e-bb9b-56eb74789471"/>
    <w:docVar w:name="WAFER_20170112084002" w:val="RemoveTocBookmarks,RemoveUnusedBookmarks,RemoveLanguageTags,UsedStyles,ResetPageSize"/>
    <w:docVar w:name="WAFER_20170112084002_GUID" w:val="f00d2172-0063-4220-9f52-6ae2ef31b006"/>
    <w:docVar w:name="WAFER_202006181512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51237_GUID" w:val="bd73fba4-4e34-456d-9727-5c7a98015662"/>
    <w:docVar w:name="WAFER_20200623095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5946_GUID" w:val="dc648999-51c4-4219-a2da-ba19166de4a5"/>
    <w:docVar w:name="WAFER_20200922171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71347_GUID" w:val="e709533c-ecd4-45f8-87d8-1f8b0f8e3c0d"/>
    <w:docVar w:name="WAFER_20210628111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240_GUID" w:val="80ae8f59-e4bb-404f-b1b5-d61ee6a8992f"/>
    <w:docVar w:name="WAFER_202206010909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905_GUID" w:val="c77cfb01-5732-446f-b33f-b1d4408536d0"/>
    <w:docVar w:name="WAFER_202206241114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431_GUID" w:val="c119d31c-a1c8-4cf0-b49e-fc396886a5dc"/>
    <w:docVar w:name="WAFER_202212151047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5104746_GUID" w:val="485eea64-3c11-4ac5-a7d5-abcce315f79e"/>
    <w:docVar w:name="WAFER_202306131559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5907_GUID" w:val="1aa7cb3a-f50a-4158-bdbd-ad8b18dcc044"/>
    <w:docVar w:name="WAFER_20230626170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0608_GUID" w:val="8694cae0-b902-4018-bdd3-06aa2907f8a9"/>
    <w:docVar w:name="WAFER_202312281610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002_GUID" w:val="a45a3fe5-d2bb-44b0-94e4-2881e3f084b1"/>
    <w:docVar w:name="WAFER_20240607134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34827_GUID" w:val="04225664-d3ea-41d0-a8eb-87f4d5241f9a"/>
    <w:docVar w:name="WAFER_20240625131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31341_GUID" w:val="432049e8-81e4-4d2a-9e05-593052435871"/>
    <w:docVar w:name="WAFER_202408021429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42908_GUID" w:val="df8a4f03-4200-4807-92f3-b25b7216fe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5889"/>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671380">
      <w:bodyDiv w:val="1"/>
      <w:marLeft w:val="0"/>
      <w:marRight w:val="0"/>
      <w:marTop w:val="0"/>
      <w:marBottom w:val="0"/>
      <w:divBdr>
        <w:top w:val="none" w:sz="0" w:space="0" w:color="auto"/>
        <w:left w:val="none" w:sz="0" w:space="0" w:color="auto"/>
        <w:bottom w:val="none" w:sz="0" w:space="0" w:color="auto"/>
        <w:right w:val="none" w:sz="0" w:space="0" w:color="auto"/>
      </w:divBdr>
    </w:div>
    <w:div w:id="952788886">
      <w:bodyDiv w:val="1"/>
      <w:marLeft w:val="0"/>
      <w:marRight w:val="0"/>
      <w:marTop w:val="0"/>
      <w:marBottom w:val="0"/>
      <w:divBdr>
        <w:top w:val="none" w:sz="0" w:space="0" w:color="auto"/>
        <w:left w:val="none" w:sz="0" w:space="0" w:color="auto"/>
        <w:bottom w:val="none" w:sz="0" w:space="0" w:color="auto"/>
        <w:right w:val="none" w:sz="0" w:space="0" w:color="auto"/>
      </w:divBdr>
    </w:div>
    <w:div w:id="126452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C396C-84AB-4356-BFD7-B3DC03A64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18556</Words>
  <Characters>90740</Characters>
  <Application>Microsoft Office Word</Application>
  <DocSecurity>0</DocSecurity>
  <Lines>3024</Lines>
  <Paragraphs>1884</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107412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1997 - 07-w0-00</dc:title>
  <dc:subject/>
  <dc:creator/>
  <cp:keywords/>
  <dc:description/>
  <cp:lastModifiedBy>Master Repository Process</cp:lastModifiedBy>
  <cp:revision>4</cp:revision>
  <cp:lastPrinted>2016-07-28T08:24:00Z</cp:lastPrinted>
  <dcterms:created xsi:type="dcterms:W3CDTF">2025-06-20T03:29:00Z</dcterms:created>
  <dcterms:modified xsi:type="dcterms:W3CDTF">2025-06-20T03:29:00Z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DocumentType">
    <vt:lpwstr>Reg</vt:lpwstr>
  </property>
  <property fmtid="{D5CDD505-2E9C-101B-9397-08002B2CF9AE}" pid="4" name="OwlsUID">
    <vt:i4>4767</vt:i4>
  </property>
  <property fmtid="{D5CDD505-2E9C-101B-9397-08002B2CF9AE}" pid="5" name="ThisVersion">
    <vt:lpwstr>05-d0-00</vt:lpwstr>
  </property>
  <property fmtid="{D5CDD505-2E9C-101B-9397-08002B2CF9AE}" pid="6" name="ReprintedAsAt">
    <vt:filetime>2015-12-03T16:00:00Z</vt:filetime>
  </property>
  <property fmtid="{D5CDD505-2E9C-101B-9397-08002B2CF9AE}" pid="7" name="ReprintNo">
    <vt:lpwstr>7</vt:lpwstr>
  </property>
  <property fmtid="{D5CDD505-2E9C-101B-9397-08002B2CF9AE}" pid="8" name="AsAtDate">
    <vt:lpwstr>08 Aug 2024</vt:lpwstr>
  </property>
  <property fmtid="{D5CDD505-2E9C-101B-9397-08002B2CF9AE}" pid="9" name="Suffix">
    <vt:lpwstr>07-w0-00</vt:lpwstr>
  </property>
  <property fmtid="{D5CDD505-2E9C-101B-9397-08002B2CF9AE}" pid="10" name="Official">
    <vt:lpwstr/>
  </property>
  <property fmtid="{D5CDD505-2E9C-101B-9397-08002B2CF9AE}" pid="11" name="CommencementDate">
    <vt:lpwstr>20240808</vt:lpwstr>
  </property>
  <property fmtid="{D5CDD505-2E9C-101B-9397-08002B2CF9AE}" pid="12" name="CommencementAsAt">
    <vt:filetime>2024-08-07T16:00:00Z</vt:filetime>
  </property>
  <property fmtid="{D5CDD505-2E9C-101B-9397-08002B2CF9AE}" pid="13" name="CommencementYear">
    <vt:lpwstr>2024</vt:lpwstr>
  </property>
</Properties>
</file>