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Supreme Court Act 1935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Supreme Court (Court of Appeal) Amendment Rules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Supreme Court (Court of Appeal) Amendment Rules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_Toc173842389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_Toc173842390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r>
        <w:tab/>
      </w:r>
      <w:r>
        <w:fldChar w:fldCharType="begin"/>
      </w:r>
      <w:r>
        <w:instrText xml:space="preserve"> PAGEREF _Toc173842391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Rule 29 amended</w:t>
      </w:r>
      <w:r>
        <w:tab/>
      </w:r>
      <w:r>
        <w:fldChar w:fldCharType="begin"/>
      </w:r>
      <w:r>
        <w:instrText xml:space="preserve"> PAGEREF _Toc173842392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Rule 32 amended</w:t>
      </w:r>
      <w:r>
        <w:tab/>
      </w:r>
      <w:r>
        <w:fldChar w:fldCharType="begin"/>
      </w:r>
      <w:r>
        <w:instrText xml:space="preserve"> PAGEREF _Toc173842393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Rule 62 amended</w:t>
      </w:r>
      <w:r>
        <w:tab/>
      </w:r>
      <w:r>
        <w:fldChar w:fldCharType="begin"/>
      </w:r>
      <w:r>
        <w:instrText xml:space="preserve"> PAGEREF _Toc173842394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Supreme Court Act 1935</w:t>
      </w:r>
    </w:p>
    <w:p>
      <w:pPr>
        <w:pStyle w:val="NameofActReg"/>
      </w:pPr>
      <w:r>
        <w:t>Supreme Court (Court of Appeal) Amendment Rules 2024</w:t>
      </w:r>
    </w:p>
    <w:p>
      <w:pPr>
        <w:pStyle w:val="MadeBy"/>
      </w:pPr>
      <w:r>
        <w:t>Made by the judges of the Supreme Court.</w:t>
      </w:r>
    </w:p>
    <w:p>
      <w:pPr>
        <w:pStyle w:val="Heading5"/>
      </w:pPr>
      <w:bookmarkStart w:id="2" w:name="_Toc173842231"/>
      <w:bookmarkStart w:id="3" w:name="_Toc17384238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Supreme Court (Court of Appeal) Amendment Rules 2024</w:t>
      </w:r>
      <w:r>
        <w:t>.</w:t>
      </w:r>
    </w:p>
    <w:p>
      <w:pPr>
        <w:pStyle w:val="Heading5"/>
        <w:rPr>
          <w:spacing w:val="-2"/>
        </w:rPr>
      </w:pPr>
      <w:bookmarkStart w:id="5" w:name="_Toc173842232"/>
      <w:bookmarkStart w:id="6" w:name="_Toc17384239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rules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rules</w:t>
      </w:r>
      <w:r>
        <w:t xml:space="preserve"> 1 and 2 — on the day on which these </w:t>
      </w:r>
      <w:r>
        <w:rPr>
          <w:spacing w:val="-2"/>
        </w:rPr>
        <w:t>rules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rules</w:t>
      </w:r>
      <w:r>
        <w:t> — on 1 September 2024.</w:t>
      </w:r>
    </w:p>
    <w:p>
      <w:pPr>
        <w:pStyle w:val="Heading5"/>
        <w:rPr>
          <w:snapToGrid w:val="0"/>
        </w:rPr>
      </w:pPr>
      <w:bookmarkStart w:id="7" w:name="_Toc173842233"/>
      <w:bookmarkStart w:id="8" w:name="_Toc17384239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rules amend</w:t>
      </w:r>
      <w:r>
        <w:t xml:space="preserve"> the </w:t>
      </w:r>
      <w:r>
        <w:rPr>
          <w:i/>
        </w:rPr>
        <w:t>Supreme Court (Court of Appeal) Rules 2005</w:t>
      </w:r>
      <w:r>
        <w:t>.</w:t>
      </w:r>
    </w:p>
    <w:p>
      <w:pPr>
        <w:pStyle w:val="Heading5"/>
        <w:keepNext w:val="0"/>
      </w:pPr>
      <w:bookmarkStart w:id="9" w:name="_Toc173842234"/>
      <w:bookmarkStart w:id="10" w:name="_Toc173842392"/>
      <w:r>
        <w:rPr>
          <w:rStyle w:val="CharSectno"/>
        </w:rPr>
        <w:t>4</w:t>
      </w:r>
      <w:r>
        <w:t>.</w:t>
      </w:r>
      <w:r>
        <w:tab/>
        <w:t>Rule 29 amended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In rule 29(1):</w:t>
      </w:r>
    </w:p>
    <w:p>
      <w:pPr>
        <w:pStyle w:val="Indenta"/>
      </w:pPr>
      <w:r>
        <w:tab/>
        <w:t>(a)</w:t>
      </w:r>
      <w:r>
        <w:tab/>
        <w:t>in paragraph (b) delete “(2).” and insert:</w:t>
      </w:r>
    </w:p>
    <w:p>
      <w:pPr>
        <w:pStyle w:val="BlankOpen"/>
        <w:keepNext w:val="0"/>
      </w:pPr>
    </w:p>
    <w:p>
      <w:pPr>
        <w:pStyle w:val="Indenta"/>
      </w:pPr>
      <w:r>
        <w:tab/>
      </w:r>
      <w:r>
        <w:tab/>
        <w:t>(2); and</w:t>
      </w:r>
    </w:p>
    <w:p>
      <w:pPr>
        <w:pStyle w:val="BlankClose"/>
      </w:pPr>
    </w:p>
    <w:p>
      <w:pPr>
        <w:pStyle w:val="Indenta"/>
        <w:keepNext/>
        <w:keepLines/>
      </w:pPr>
      <w:r>
        <w:lastRenderedPageBreak/>
        <w:tab/>
        <w:t>(b)</w:t>
      </w:r>
      <w:r>
        <w:tab/>
        <w:t>after paragraph (b) insert:</w:t>
      </w:r>
    </w:p>
    <w:p>
      <w:pPr>
        <w:pStyle w:val="BlankOpen"/>
      </w:pPr>
    </w:p>
    <w:p>
      <w:pPr>
        <w:pStyle w:val="zIndenta"/>
        <w:keepNext/>
        <w:keepLines/>
      </w:pPr>
      <w:r>
        <w:tab/>
        <w:t>(c)</w:t>
      </w:r>
      <w:r>
        <w:tab/>
        <w:t xml:space="preserve">if the civil appeal is an appeal under the </w:t>
      </w:r>
      <w:r>
        <w:rPr>
          <w:i/>
        </w:rPr>
        <w:t>Criminal Law (Mental Impairment) Act 2023</w:t>
      </w:r>
      <w:r>
        <w:t xml:space="preserve"> Part 12 — a document that sets out the grounds of appeal.</w:t>
      </w:r>
    </w:p>
    <w:p>
      <w:pPr>
        <w:pStyle w:val="BlankClose"/>
      </w:pPr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  <w:t>(2)</w:t>
      </w:r>
      <w:r>
        <w:tab/>
        <w:t>After rule 29(3) insert:</w:t>
      </w:r>
    </w:p>
    <w:p>
      <w:pPr>
        <w:pStyle w:val="BlankOpen"/>
      </w:pPr>
    </w:p>
    <w:p>
      <w:pPr>
        <w:pStyle w:val="zSubsection"/>
      </w:pPr>
      <w:r>
        <w:tab/>
        <w:t>(4)</w:t>
      </w:r>
      <w:r>
        <w:tab/>
        <w:t xml:space="preserve">For the purposes of the </w:t>
      </w:r>
      <w:r>
        <w:rPr>
          <w:i/>
        </w:rPr>
        <w:t>Criminal Law (Mental Impairment) Act </w:t>
      </w:r>
      <w:r>
        <w:rPr>
          <w:i/>
          <w:iCs/>
        </w:rPr>
        <w:t>2023</w:t>
      </w:r>
      <w:r>
        <w:t xml:space="preserve"> section 214(4), a Form 2 filed in accordance with this rule, accompanied by a document that sets out the grounds of appeal, is taken to be an application for leave to appeal that sets out the grounds of the appeal.</w:t>
      </w:r>
    </w:p>
    <w:p>
      <w:pPr>
        <w:pStyle w:val="BlankClose"/>
      </w:pPr>
    </w:p>
    <w:p>
      <w:pPr>
        <w:pStyle w:val="Heading5"/>
      </w:pPr>
      <w:bookmarkStart w:id="11" w:name="_Toc173842235"/>
      <w:bookmarkStart w:id="12" w:name="_Toc173842393"/>
      <w:r>
        <w:rPr>
          <w:rStyle w:val="CharSectno"/>
        </w:rPr>
        <w:t>5</w:t>
      </w:r>
      <w:r>
        <w:t>.</w:t>
      </w:r>
      <w:r>
        <w:tab/>
        <w:t>Rule 32 amended</w:t>
      </w:r>
      <w:bookmarkEnd w:id="11"/>
      <w:bookmarkEnd w:id="12"/>
    </w:p>
    <w:p>
      <w:pPr>
        <w:pStyle w:val="Subsection"/>
        <w:keepNext/>
      </w:pPr>
      <w:r>
        <w:tab/>
      </w:r>
      <w:r>
        <w:tab/>
        <w:t>In rule 32(4):</w:t>
      </w:r>
    </w:p>
    <w:p>
      <w:pPr>
        <w:pStyle w:val="Indenta"/>
        <w:keepNext/>
      </w:pPr>
      <w:r>
        <w:tab/>
        <w:t>(a)</w:t>
      </w:r>
      <w:r>
        <w:tab/>
        <w:t>in paragraph (f) delete “arise.”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arise; and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after paragraph (f) insert:</w:t>
      </w:r>
    </w:p>
    <w:p>
      <w:pPr>
        <w:pStyle w:val="BlankOpen"/>
      </w:pPr>
    </w:p>
    <w:p>
      <w:pPr>
        <w:pStyle w:val="zIndenta"/>
      </w:pPr>
      <w:r>
        <w:tab/>
        <w:t>(g)</w:t>
      </w:r>
      <w:r>
        <w:tab/>
        <w:t>must, for any ground that alleges the primary court acted without or in excess of jurisdiction, state the basis for the allegation.</w:t>
      </w:r>
    </w:p>
    <w:p>
      <w:pPr>
        <w:pStyle w:val="BlankClose"/>
      </w:pPr>
    </w:p>
    <w:p>
      <w:pPr>
        <w:pStyle w:val="Heading5"/>
      </w:pPr>
      <w:bookmarkStart w:id="13" w:name="_Toc173842236"/>
      <w:bookmarkStart w:id="14" w:name="_Toc173842394"/>
      <w:r>
        <w:rPr>
          <w:rStyle w:val="CharSectno"/>
        </w:rPr>
        <w:lastRenderedPageBreak/>
        <w:t>6</w:t>
      </w:r>
      <w:r>
        <w:t>.</w:t>
      </w:r>
      <w:r>
        <w:tab/>
        <w:t>Rule 62 amended</w:t>
      </w:r>
      <w:bookmarkEnd w:id="13"/>
      <w:bookmarkEnd w:id="14"/>
    </w:p>
    <w:p>
      <w:pPr>
        <w:pStyle w:val="Subsection"/>
        <w:keepNext/>
      </w:pPr>
      <w:r>
        <w:tab/>
      </w:r>
      <w:r>
        <w:tab/>
        <w:t>In rule 62(4)(e) delete “chairperson of the Mentally Impaired Accused Review Board; and”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President of the Mental Impairment Review Tribunal; and </w:t>
      </w:r>
    </w:p>
    <w:p>
      <w:pPr>
        <w:pStyle w:val="BlankClose"/>
      </w:pPr>
    </w:p>
    <w:p>
      <w:pPr>
        <w:pStyle w:val="MadeBy"/>
      </w:pPr>
      <w:r>
        <w:t>Date: 6 August 2024</w:t>
      </w:r>
    </w:p>
    <w:p>
      <w:pPr>
        <w:pStyle w:val="MadeBy"/>
        <w:spacing w:before="120"/>
      </w:pPr>
      <w:r>
        <w:t>The Hon. Chief Justice Peter Quinlan</w:t>
      </w:r>
    </w:p>
    <w:p>
      <w:pPr>
        <w:pStyle w:val="MadeBy"/>
        <w:spacing w:before="0"/>
      </w:pPr>
      <w:r>
        <w:t>Chief Justice of Western Australia</w:t>
      </w:r>
    </w:p>
    <w:p>
      <w:pPr>
        <w:pStyle w:val="MadeBy"/>
        <w:spacing w:before="0"/>
      </w:pPr>
      <w:r>
        <w:t>Supreme Court of Western Australia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915A4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9E68991" w14:textId="46B7F711" w:rsidR="00744EE9" w:rsidRDefault="00744EE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800FA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C385EE9" w14:textId="77777777" w:rsidR="00744EE9" w:rsidRDefault="00744EE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99DE54F" w14:textId="3549D2E9" w:rsidR="00744EE9" w:rsidRDefault="00744EE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800FA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97311A5" w14:textId="77777777" w:rsidR="00744EE9" w:rsidRDefault="00744EE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Supreme Court (Court of Appeal) Amendment Rules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Supreme Court (Court of Appeal) Amendment Rules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Supreme Court (Court of Appeal) Amendment Rules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Supreme Court (Court of Appeal) Amendment Rules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21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1&lt;/Current&gt;&lt;Maximum&gt;0&lt;/Maximum&gt;&lt;/AllLaws&gt;"/>
    <w:docVar w:name="WAFER" w:val="2024080612583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6191501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619150152_GUID" w:val="c35151b4-6b52-4da0-8ae1-2dabe7c8bb17"/>
    <w:docVar w:name="WAFER_202407021132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702113258_GUID" w:val="c4cb61c0-ec81-4bd9-9411-6e9c2cfc1e63"/>
    <w:docVar w:name="WAFER_202408061258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806125833_GUID" w:val="7b80c559-6c6f-4aae-a173-55852325671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08ABCF95-58F6-4AD2-9A89-8FAB597A6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448</Words>
  <Characters>2131</Characters>
  <Application>Microsoft Office Word</Application>
  <DocSecurity>0</DocSecurity>
  <Lines>106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Supreme Court (Court of Appeal) Amendment Rules 2024 - 00-00-00</dc:title>
  <dc:subject/>
  <dc:creator/>
  <cp:keywords/>
  <dc:description/>
  <cp:lastModifiedBy>Master Repository Process</cp:lastModifiedBy>
  <cp:revision>4</cp:revision>
  <cp:lastPrinted>2024-06-18T08:38:00Z</cp:lastPrinted>
  <dcterms:created xsi:type="dcterms:W3CDTF">2025-06-13T04:07:00Z</dcterms:created>
  <dcterms:modified xsi:type="dcterms:W3CDTF">2025-06-13T04:07:00Z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54893</vt:lpwstr>
  </property>
  <property fmtid="{D5CDD505-2E9C-101B-9397-08002B2CF9AE}" pid="3" name="DocumentType">
    <vt:lpwstr>Reg</vt:lpwstr>
  </property>
  <property fmtid="{D5CDD505-2E9C-101B-9397-08002B2CF9AE}" pid="4" name="AsAtDate">
    <vt:lpwstr>07 Aug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2024/166</vt:lpwstr>
  </property>
  <property fmtid="{D5CDD505-2E9C-101B-9397-08002B2CF9AE}" pid="8" name="PublishDate">
    <vt:lpwstr>7 Aug 2024</vt:lpwstr>
  </property>
  <property fmtid="{D5CDD505-2E9C-101B-9397-08002B2CF9AE}" pid="9" name="CommencementDate">
    <vt:lpwstr>20240807</vt:lpwstr>
  </property>
  <property fmtid="{D5CDD505-2E9C-101B-9397-08002B2CF9AE}" pid="10" name="CommencementAsAt">
    <vt:filetime>2024-08-06T16:00:00Z</vt:filetime>
  </property>
  <property fmtid="{D5CDD505-2E9C-101B-9397-08002B2CF9AE}" pid="11" name="CommencementYear">
    <vt:lpwstr>2024</vt:lpwstr>
  </property>
</Properties>
</file>