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Animal Resources Authority Act 1981</w:t>
      </w:r>
      <w:r>
        <w:fldChar w:fldCharType="end"/>
      </w:r>
    </w:p>
    <w:p>
      <w:pPr>
        <w:pStyle w:val="Subsection"/>
        <w:rPr>
          <w:iCs/>
        </w:rPr>
      </w:pPr>
      <w:r>
        <w:tab/>
      </w:r>
      <w:r>
        <w:tab/>
        <w:t xml:space="preserve">This Act was repealed by the </w:t>
      </w:r>
      <w:r>
        <w:rPr>
          <w:i/>
        </w:rPr>
        <w:t xml:space="preserve">Animal Resources Authority Amendment and Repeal Act 2022 </w:t>
      </w:r>
      <w:r>
        <w:rPr>
          <w:iCs/>
        </w:rPr>
        <w:t>s. 14 (No. 12 of 2022) on 22 Aug 2024 (see s. 2(1)(c) and SL 2024/176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Resources Authority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_Toc175039250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_Toc175039251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_Toc175039252 \h </w:instrText>
      </w:r>
      <w:r>
        <w:fldChar w:fldCharType="separate"/>
      </w:r>
      <w:r>
        <w:t>2</w:t>
      </w:r>
      <w:r>
        <w:fldChar w:fldCharType="end"/>
      </w:r>
    </w:p>
    <w:p>
      <w:pPr>
        <w:pStyle w:val="TOC8"/>
        <w:rPr>
          <w:rFonts w:asciiTheme="minorHAnsi" w:eastAsiaTheme="minorEastAsia" w:hAnsiTheme="minorHAnsi" w:cstheme="minorBidi"/>
          <w:szCs w:val="22"/>
        </w:rPr>
      </w:pPr>
      <w:r>
        <w:t>3A.</w:t>
      </w:r>
      <w:r>
        <w:tab/>
        <w:t>Application of Act limited</w:t>
      </w:r>
      <w:r>
        <w:tab/>
      </w:r>
      <w:r>
        <w:fldChar w:fldCharType="begin"/>
      </w:r>
      <w:r>
        <w:instrText xml:space="preserve"> PAGEREF _Toc175039253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Animal Resources Authority</w:t>
      </w:r>
    </w:p>
    <w:p>
      <w:pPr>
        <w:pStyle w:val="TOC8"/>
        <w:rPr>
          <w:rFonts w:asciiTheme="minorHAnsi" w:eastAsiaTheme="minorEastAsia" w:hAnsiTheme="minorHAnsi" w:cstheme="minorBidi"/>
          <w:szCs w:val="22"/>
        </w:rPr>
      </w:pPr>
      <w:r>
        <w:t>4</w:t>
      </w:r>
      <w:r>
        <w:rPr>
          <w:snapToGrid w:val="0"/>
        </w:rPr>
        <w:t>.</w:t>
      </w:r>
      <w:r>
        <w:rPr>
          <w:snapToGrid w:val="0"/>
        </w:rPr>
        <w:tab/>
        <w:t>Authority, establishment and nature of</w:t>
      </w:r>
      <w:r>
        <w:tab/>
      </w:r>
      <w:r>
        <w:fldChar w:fldCharType="begin"/>
      </w:r>
      <w:r>
        <w:instrText xml:space="preserve"> PAGEREF _Toc175039255 \h </w:instrText>
      </w:r>
      <w:r>
        <w:fldChar w:fldCharType="separate"/>
      </w:r>
      <w:r>
        <w:t>3</w:t>
      </w:r>
      <w:r>
        <w:fldChar w:fldCharType="end"/>
      </w:r>
    </w:p>
    <w:p>
      <w:pPr>
        <w:pStyle w:val="TOC8"/>
        <w:rPr>
          <w:rFonts w:asciiTheme="minorHAnsi" w:eastAsiaTheme="minorEastAsia" w:hAnsiTheme="minorHAnsi" w:cstheme="minorBidi"/>
          <w:szCs w:val="22"/>
        </w:rPr>
      </w:pPr>
      <w:r>
        <w:t>5.</w:t>
      </w:r>
      <w:r>
        <w:tab/>
        <w:t>Authority constituted by Minister</w:t>
      </w:r>
      <w:r>
        <w:tab/>
      </w:r>
      <w:r>
        <w:fldChar w:fldCharType="begin"/>
      </w:r>
      <w:r>
        <w:instrText xml:space="preserve"> PAGEREF _Toc175039256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 of Authority</w:t>
      </w:r>
    </w:p>
    <w:p>
      <w:pPr>
        <w:pStyle w:val="TOC8"/>
        <w:rPr>
          <w:rFonts w:asciiTheme="minorHAnsi" w:eastAsiaTheme="minorEastAsia" w:hAnsiTheme="minorHAnsi" w:cstheme="minorBidi"/>
          <w:szCs w:val="22"/>
        </w:rPr>
      </w:pPr>
      <w:r>
        <w:t>9A.</w:t>
      </w:r>
      <w:r>
        <w:tab/>
        <w:t>Authority to continue performing its functions for certain purposes</w:t>
      </w:r>
      <w:r>
        <w:tab/>
      </w:r>
      <w:r>
        <w:fldChar w:fldCharType="begin"/>
      </w:r>
      <w:r>
        <w:instrText xml:space="preserve"> PAGEREF _Toc175039258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Functions</w:t>
      </w:r>
      <w:r>
        <w:tab/>
      </w:r>
      <w:r>
        <w:fldChar w:fldCharType="begin"/>
      </w:r>
      <w:r>
        <w:instrText xml:space="preserve"> PAGEREF _Toc175039259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w:t>
      </w:r>
      <w:r>
        <w:tab/>
      </w:r>
      <w:r>
        <w:fldChar w:fldCharType="begin"/>
      </w:r>
      <w:r>
        <w:instrText xml:space="preserve"> PAGEREF _Toc175039260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Authority</w:t>
      </w:r>
      <w:r>
        <w:tab/>
      </w:r>
      <w:r>
        <w:fldChar w:fldCharType="begin"/>
      </w:r>
      <w:r>
        <w:instrText xml:space="preserve"> PAGEREF _Toc175039261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Staff of Authority, appointment etc. of</w:t>
      </w:r>
      <w:r>
        <w:tab/>
      </w:r>
      <w:r>
        <w:fldChar w:fldCharType="begin"/>
      </w:r>
      <w:r>
        <w:instrText xml:space="preserve"> PAGEREF _Toc175039262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service officer on staff, provisions about</w:t>
      </w:r>
      <w:r>
        <w:tab/>
      </w:r>
      <w:r>
        <w:fldChar w:fldCharType="begin"/>
      </w:r>
      <w:r>
        <w:instrText xml:space="preserve"> PAGEREF _Toc175039263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r>
      <w:r>
        <w:rPr>
          <w:i/>
          <w:snapToGrid w:val="0"/>
        </w:rPr>
        <w:t>Superannuation and Family Benefits Act 1938</w:t>
      </w:r>
      <w:r>
        <w:rPr>
          <w:snapToGrid w:val="0"/>
        </w:rPr>
        <w:t>, application of</w:t>
      </w:r>
      <w:r>
        <w:tab/>
      </w:r>
      <w:r>
        <w:fldChar w:fldCharType="begin"/>
      </w:r>
      <w:r>
        <w:instrText xml:space="preserve"> PAGEREF _Toc175039264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Staff in Senior Executive Service, status of etc.</w:t>
      </w:r>
      <w:r>
        <w:tab/>
      </w:r>
      <w:r>
        <w:fldChar w:fldCharType="begin"/>
      </w:r>
      <w:r>
        <w:instrText xml:space="preserve"> PAGEREF _Toc175039265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may direct Authority</w:t>
      </w:r>
      <w:r>
        <w:tab/>
      </w:r>
      <w:r>
        <w:fldChar w:fldCharType="begin"/>
      </w:r>
      <w:r>
        <w:instrText xml:space="preserve"> PAGEREF _Toc175039266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w:t>
      </w:r>
    </w:p>
    <w:p>
      <w:pPr>
        <w:pStyle w:val="TOC8"/>
        <w:rPr>
          <w:rFonts w:asciiTheme="minorHAnsi" w:eastAsiaTheme="minorEastAsia" w:hAnsiTheme="minorHAnsi" w:cstheme="minorBidi"/>
          <w:szCs w:val="22"/>
        </w:rPr>
      </w:pPr>
      <w:r>
        <w:t>16</w:t>
      </w:r>
      <w:r>
        <w:rPr>
          <w:snapToGrid w:val="0"/>
        </w:rPr>
        <w:t>.</w:t>
      </w:r>
      <w:r>
        <w:rPr>
          <w:snapToGrid w:val="0"/>
        </w:rPr>
        <w:tab/>
        <w:t>Financial management and profits</w:t>
      </w:r>
      <w:r>
        <w:tab/>
      </w:r>
      <w:r>
        <w:fldChar w:fldCharType="begin"/>
      </w:r>
      <w:r>
        <w:instrText xml:space="preserve"> PAGEREF _Toc175039268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Funds and property of Authority</w:t>
      </w:r>
      <w:r>
        <w:tab/>
      </w:r>
      <w:r>
        <w:fldChar w:fldCharType="begin"/>
      </w:r>
      <w:r>
        <w:instrText xml:space="preserve"> PAGEREF _Toc175039269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Animal Resources Authority Account</w:t>
      </w:r>
      <w:r>
        <w:tab/>
      </w:r>
      <w:r>
        <w:fldChar w:fldCharType="begin"/>
      </w:r>
      <w:r>
        <w:instrText xml:space="preserve"> PAGEREF _Toc175039270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Investment powers</w:t>
      </w:r>
      <w:r>
        <w:tab/>
      </w:r>
      <w:r>
        <w:fldChar w:fldCharType="begin"/>
      </w:r>
      <w:r>
        <w:instrText xml:space="preserve"> PAGEREF _Toc175039271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_Toc175039272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Borrowing powers</w:t>
      </w:r>
      <w:r>
        <w:tab/>
      </w:r>
      <w:r>
        <w:fldChar w:fldCharType="begin"/>
      </w:r>
      <w:r>
        <w:instrText xml:space="preserve"> PAGEREF _Toc175039273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Guarantee by Treasurer</w:t>
      </w:r>
      <w:r>
        <w:tab/>
      </w:r>
      <w:r>
        <w:fldChar w:fldCharType="begin"/>
      </w:r>
      <w:r>
        <w:instrText xml:space="preserve"> PAGEREF _Toc175039274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26</w:t>
      </w:r>
      <w:r>
        <w:rPr>
          <w:snapToGrid w:val="0"/>
        </w:rPr>
        <w:t>.</w:t>
      </w:r>
      <w:r>
        <w:rPr>
          <w:snapToGrid w:val="0"/>
        </w:rPr>
        <w:tab/>
        <w:t>Execution of documents by Authority</w:t>
      </w:r>
      <w:r>
        <w:tab/>
      </w:r>
      <w:r>
        <w:fldChar w:fldCharType="begin"/>
      </w:r>
      <w:r>
        <w:instrText xml:space="preserve"> PAGEREF _Toc175039276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 xml:space="preserve">Transitional provisions for </w:t>
      </w:r>
      <w:r>
        <w:rPr>
          <w:i/>
        </w:rPr>
        <w:t>Animal Resources Authority Amendment and Repeal Act 2022</w:t>
      </w:r>
    </w:p>
    <w:p>
      <w:pPr>
        <w:pStyle w:val="TOC4"/>
        <w:tabs>
          <w:tab w:val="right" w:leader="dot" w:pos="7077"/>
        </w:tabs>
        <w:rPr>
          <w:rFonts w:asciiTheme="minorHAnsi" w:eastAsiaTheme="minorEastAsia" w:hAnsiTheme="minorHAnsi" w:cstheme="minorBidi"/>
          <w:b w:val="0"/>
          <w:szCs w:val="22"/>
        </w:rPr>
      </w:pPr>
      <w:r>
        <w:t>Division 1 — Members of Authority</w:t>
      </w:r>
    </w:p>
    <w:p>
      <w:pPr>
        <w:pStyle w:val="TOC8"/>
        <w:rPr>
          <w:rFonts w:asciiTheme="minorHAnsi" w:eastAsiaTheme="minorEastAsia" w:hAnsiTheme="minorHAnsi" w:cstheme="minorBidi"/>
          <w:szCs w:val="22"/>
        </w:rPr>
      </w:pPr>
      <w:r>
        <w:t>27.</w:t>
      </w:r>
      <w:r>
        <w:tab/>
        <w:t>Members go out of office</w:t>
      </w:r>
      <w:r>
        <w:tab/>
      </w:r>
      <w:r>
        <w:fldChar w:fldCharType="begin"/>
      </w:r>
      <w:r>
        <w:instrText xml:space="preserve"> PAGEREF _Toc175039279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Abolition of authority and related provisions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_Toc175039281 \h </w:instrText>
      </w:r>
      <w:r>
        <w:fldChar w:fldCharType="separate"/>
      </w:r>
      <w:r>
        <w:t>14</w:t>
      </w:r>
      <w:r>
        <w:fldChar w:fldCharType="end"/>
      </w:r>
    </w:p>
    <w:p>
      <w:pPr>
        <w:pStyle w:val="TOC8"/>
        <w:rPr>
          <w:rFonts w:asciiTheme="minorHAnsi" w:eastAsiaTheme="minorEastAsia" w:hAnsiTheme="minorHAnsi" w:cstheme="minorBidi"/>
          <w:szCs w:val="22"/>
        </w:rPr>
      </w:pPr>
      <w:r>
        <w:t>29.</w:t>
      </w:r>
      <w:r>
        <w:tab/>
        <w:t>Former Authority abolished</w:t>
      </w:r>
      <w:r>
        <w:tab/>
      </w:r>
      <w:r>
        <w:fldChar w:fldCharType="begin"/>
      </w:r>
      <w:r>
        <w:instrText xml:space="preserve"> PAGEREF _Toc175039282 \h </w:instrText>
      </w:r>
      <w:r>
        <w:fldChar w:fldCharType="separate"/>
      </w:r>
      <w:r>
        <w:t>15</w:t>
      </w:r>
      <w:r>
        <w:fldChar w:fldCharType="end"/>
      </w:r>
    </w:p>
    <w:p>
      <w:pPr>
        <w:pStyle w:val="TOC8"/>
        <w:rPr>
          <w:rFonts w:asciiTheme="minorHAnsi" w:eastAsiaTheme="minorEastAsia" w:hAnsiTheme="minorHAnsi" w:cstheme="minorBidi"/>
          <w:szCs w:val="22"/>
        </w:rPr>
      </w:pPr>
      <w:r>
        <w:t>30.</w:t>
      </w:r>
      <w:r>
        <w:tab/>
        <w:t>Staff members</w:t>
      </w:r>
      <w:r>
        <w:tab/>
      </w:r>
      <w:r>
        <w:fldChar w:fldCharType="begin"/>
      </w:r>
      <w:r>
        <w:instrText xml:space="preserve"> PAGEREF _Toc175039283 \h </w:instrText>
      </w:r>
      <w:r>
        <w:fldChar w:fldCharType="separate"/>
      </w:r>
      <w:r>
        <w:t>15</w:t>
      </w:r>
      <w:r>
        <w:fldChar w:fldCharType="end"/>
      </w:r>
    </w:p>
    <w:p>
      <w:pPr>
        <w:pStyle w:val="TOC8"/>
        <w:rPr>
          <w:rFonts w:asciiTheme="minorHAnsi" w:eastAsiaTheme="minorEastAsia" w:hAnsiTheme="minorHAnsi" w:cstheme="minorBidi"/>
          <w:szCs w:val="22"/>
        </w:rPr>
      </w:pPr>
      <w:r>
        <w:t>31.</w:t>
      </w:r>
      <w:r>
        <w:tab/>
        <w:t>Transfer of assets, rights, liabilities, proceedings and remedies</w:t>
      </w:r>
      <w:r>
        <w:tab/>
      </w:r>
      <w:r>
        <w:fldChar w:fldCharType="begin"/>
      </w:r>
      <w:r>
        <w:instrText xml:space="preserve"> PAGEREF _Toc175039284 \h </w:instrText>
      </w:r>
      <w:r>
        <w:fldChar w:fldCharType="separate"/>
      </w:r>
      <w:r>
        <w:t>16</w:t>
      </w:r>
      <w:r>
        <w:fldChar w:fldCharType="end"/>
      </w:r>
    </w:p>
    <w:p>
      <w:pPr>
        <w:pStyle w:val="TOC8"/>
        <w:rPr>
          <w:rFonts w:asciiTheme="minorHAnsi" w:eastAsiaTheme="minorEastAsia" w:hAnsiTheme="minorHAnsi" w:cstheme="minorBidi"/>
          <w:szCs w:val="22"/>
        </w:rPr>
      </w:pPr>
      <w:r>
        <w:t>32.</w:t>
      </w:r>
      <w:r>
        <w:tab/>
        <w:t>Exemption from State tax</w:t>
      </w:r>
      <w:r>
        <w:tab/>
      </w:r>
      <w:r>
        <w:fldChar w:fldCharType="begin"/>
      </w:r>
      <w:r>
        <w:instrText xml:space="preserve"> PAGEREF _Toc175039285 \h </w:instrText>
      </w:r>
      <w:r>
        <w:fldChar w:fldCharType="separate"/>
      </w:r>
      <w:r>
        <w:t>17</w:t>
      </w:r>
      <w:r>
        <w:fldChar w:fldCharType="end"/>
      </w:r>
    </w:p>
    <w:p>
      <w:pPr>
        <w:pStyle w:val="TOC8"/>
        <w:rPr>
          <w:rFonts w:asciiTheme="minorHAnsi" w:eastAsiaTheme="minorEastAsia" w:hAnsiTheme="minorHAnsi" w:cstheme="minorBidi"/>
          <w:szCs w:val="22"/>
        </w:rPr>
      </w:pPr>
      <w:r>
        <w:t>33.</w:t>
      </w:r>
      <w:r>
        <w:tab/>
        <w:t>Closure of Account</w:t>
      </w:r>
      <w:r>
        <w:tab/>
      </w:r>
      <w:r>
        <w:fldChar w:fldCharType="begin"/>
      </w:r>
      <w:r>
        <w:instrText xml:space="preserve"> PAGEREF _Toc175039286 \h </w:instrText>
      </w:r>
      <w:r>
        <w:fldChar w:fldCharType="separate"/>
      </w:r>
      <w:r>
        <w:t>17</w:t>
      </w:r>
      <w:r>
        <w:fldChar w:fldCharType="end"/>
      </w:r>
    </w:p>
    <w:p>
      <w:pPr>
        <w:pStyle w:val="TOC8"/>
        <w:rPr>
          <w:rFonts w:asciiTheme="minorHAnsi" w:eastAsiaTheme="minorEastAsia" w:hAnsiTheme="minorHAnsi" w:cstheme="minorBidi"/>
          <w:szCs w:val="22"/>
        </w:rPr>
      </w:pPr>
      <w:r>
        <w:t>34.</w:t>
      </w:r>
      <w:r>
        <w:tab/>
        <w:t>Agreements, instruments and documents</w:t>
      </w:r>
      <w:r>
        <w:tab/>
      </w:r>
      <w:r>
        <w:fldChar w:fldCharType="begin"/>
      </w:r>
      <w:r>
        <w:instrText xml:space="preserve"> PAGEREF _Toc175039287 \h </w:instrText>
      </w:r>
      <w:r>
        <w:fldChar w:fldCharType="separate"/>
      </w:r>
      <w:r>
        <w:t>17</w:t>
      </w:r>
      <w:r>
        <w:fldChar w:fldCharType="end"/>
      </w:r>
    </w:p>
    <w:p>
      <w:pPr>
        <w:pStyle w:val="TOC8"/>
        <w:rPr>
          <w:rFonts w:asciiTheme="minorHAnsi" w:eastAsiaTheme="minorEastAsia" w:hAnsiTheme="minorHAnsi" w:cstheme="minorBidi"/>
          <w:szCs w:val="22"/>
        </w:rPr>
      </w:pPr>
      <w:r>
        <w:t>35.</w:t>
      </w:r>
      <w:r>
        <w:tab/>
        <w:t>Completion of things commenced</w:t>
      </w:r>
      <w:r>
        <w:tab/>
      </w:r>
      <w:r>
        <w:fldChar w:fldCharType="begin"/>
      </w:r>
      <w:r>
        <w:instrText xml:space="preserve"> PAGEREF _Toc175039288 \h </w:instrText>
      </w:r>
      <w:r>
        <w:fldChar w:fldCharType="separate"/>
      </w:r>
      <w:r>
        <w:t>18</w:t>
      </w:r>
      <w:r>
        <w:fldChar w:fldCharType="end"/>
      </w:r>
    </w:p>
    <w:p>
      <w:pPr>
        <w:pStyle w:val="TOC8"/>
        <w:rPr>
          <w:rFonts w:asciiTheme="minorHAnsi" w:eastAsiaTheme="minorEastAsia" w:hAnsiTheme="minorHAnsi" w:cstheme="minorBidi"/>
          <w:szCs w:val="22"/>
        </w:rPr>
      </w:pPr>
      <w:r>
        <w:t>36.</w:t>
      </w:r>
      <w:r>
        <w:tab/>
        <w:t>Continuing effect of things done</w:t>
      </w:r>
      <w:r>
        <w:tab/>
      </w:r>
      <w:r>
        <w:fldChar w:fldCharType="begin"/>
      </w:r>
      <w:r>
        <w:instrText xml:space="preserve"> PAGEREF _Toc175039289 \h </w:instrText>
      </w:r>
      <w:r>
        <w:fldChar w:fldCharType="separate"/>
      </w:r>
      <w:r>
        <w:t>18</w:t>
      </w:r>
      <w:r>
        <w:fldChar w:fldCharType="end"/>
      </w:r>
    </w:p>
    <w:p>
      <w:pPr>
        <w:pStyle w:val="TOC8"/>
        <w:rPr>
          <w:rFonts w:asciiTheme="minorHAnsi" w:eastAsiaTheme="minorEastAsia" w:hAnsiTheme="minorHAnsi" w:cstheme="minorBidi"/>
          <w:szCs w:val="22"/>
        </w:rPr>
      </w:pPr>
      <w:r>
        <w:t>37.</w:t>
      </w:r>
      <w:r>
        <w:tab/>
        <w:t>Effect on other instruments, rights and obligations</w:t>
      </w:r>
      <w:r>
        <w:tab/>
      </w:r>
      <w:r>
        <w:fldChar w:fldCharType="begin"/>
      </w:r>
      <w:r>
        <w:instrText xml:space="preserve"> PAGEREF _Toc175039290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_Toc175039292 \h </w:instrText>
      </w:r>
      <w:r>
        <w:fldChar w:fldCharType="separate"/>
      </w:r>
      <w:r>
        <w:t>20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_Toc175039293 \h </w:instrText>
      </w:r>
      <w:r>
        <w:fldChar w:fldCharType="separate"/>
      </w:r>
      <w:r>
        <w:t>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_Toc175039294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Animal Resources Authority Act 1981</w:t>
      </w:r>
    </w:p>
    <w:p>
      <w:pPr>
        <w:pStyle w:val="LongTitle"/>
      </w:pPr>
      <w:r>
        <w:t>An Act to provide for the winding up of the Animal Resources Authority and related matters.</w:t>
      </w:r>
    </w:p>
    <w:p>
      <w:pPr>
        <w:pStyle w:val="Footnotelongtitle"/>
      </w:pPr>
      <w:r>
        <w:tab/>
        <w:t>[Long title inserted: No. 12 of 2022 s. 4.]</w:t>
      </w:r>
    </w:p>
    <w:p>
      <w:pPr>
        <w:pStyle w:val="Heading2"/>
      </w:pPr>
      <w:bookmarkStart w:id="2" w:name="_Toc171080999"/>
      <w:bookmarkStart w:id="3" w:name="_Toc171324118"/>
      <w:bookmarkStart w:id="4" w:name="_Toc174960677"/>
      <w:bookmarkStart w:id="5" w:name="_Toc174960791"/>
      <w:bookmarkStart w:id="6" w:name="_Toc17503924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175039250"/>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w:t>
      </w:r>
    </w:p>
    <w:p>
      <w:pPr>
        <w:pStyle w:val="Heading5"/>
        <w:rPr>
          <w:snapToGrid w:val="0"/>
        </w:rPr>
      </w:pPr>
      <w:bookmarkStart w:id="8" w:name="_Toc175039251"/>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9" w:name="_Toc175039252"/>
      <w:r>
        <w:rPr>
          <w:rStyle w:val="CharSectno"/>
        </w:rPr>
        <w:t>3</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reference occurs;</w:t>
      </w:r>
    </w:p>
    <w:p>
      <w:pPr>
        <w:pStyle w:val="Defstart"/>
      </w:pPr>
      <w:r>
        <w:tab/>
      </w:r>
      <w:r>
        <w:rPr>
          <w:rStyle w:val="CharDefText"/>
        </w:rPr>
        <w:t>transition day</w:t>
      </w:r>
      <w:r>
        <w:t xml:space="preserve"> means the day on which the </w:t>
      </w:r>
      <w:r>
        <w:rPr>
          <w:i/>
        </w:rPr>
        <w:t>Animal Resources Authority Amendment and Repeal Act 2022</w:t>
      </w:r>
      <w:r>
        <w:t xml:space="preserve"> section 12 comes into operation.</w:t>
      </w:r>
    </w:p>
    <w:p>
      <w:pPr>
        <w:pStyle w:val="Footnotesection"/>
      </w:pPr>
      <w:r>
        <w:tab/>
        <w:t>[Section 3 amended: No. 12 of 2022 s. 5.]</w:t>
      </w:r>
    </w:p>
    <w:p>
      <w:pPr>
        <w:pStyle w:val="Heading5"/>
      </w:pPr>
      <w:bookmarkStart w:id="10" w:name="_Toc175039253"/>
      <w:r>
        <w:rPr>
          <w:rStyle w:val="CharSectno"/>
        </w:rPr>
        <w:t>3A</w:t>
      </w:r>
      <w:r>
        <w:t>.</w:t>
      </w:r>
      <w:r>
        <w:tab/>
        <w:t>Application of Act limited</w:t>
      </w:r>
      <w:bookmarkEnd w:id="10"/>
    </w:p>
    <w:p>
      <w:pPr>
        <w:pStyle w:val="Subsection"/>
      </w:pPr>
      <w:r>
        <w:tab/>
      </w:r>
      <w:r>
        <w:tab/>
        <w:t>This Act does not apply on or after transition day except as provided in Part 6 Division 2.</w:t>
      </w:r>
    </w:p>
    <w:p>
      <w:pPr>
        <w:pStyle w:val="Footnotesection"/>
      </w:pPr>
      <w:r>
        <w:tab/>
        <w:t>[Section 3A inserted: No. 12 of 2022 s. 6.]</w:t>
      </w:r>
    </w:p>
    <w:p>
      <w:pPr>
        <w:pStyle w:val="Heading2"/>
      </w:pPr>
      <w:bookmarkStart w:id="11" w:name="_Toc171081004"/>
      <w:bookmarkStart w:id="12" w:name="_Toc171324123"/>
      <w:bookmarkStart w:id="13" w:name="_Toc174960682"/>
      <w:bookmarkStart w:id="14" w:name="_Toc174960796"/>
      <w:bookmarkStart w:id="15" w:name="_Toc175039254"/>
      <w:r>
        <w:rPr>
          <w:rStyle w:val="CharPartNo"/>
        </w:rPr>
        <w:lastRenderedPageBreak/>
        <w:t>Part II</w:t>
      </w:r>
      <w:r>
        <w:rPr>
          <w:rStyle w:val="CharDivNo"/>
        </w:rPr>
        <w:t> </w:t>
      </w:r>
      <w:r>
        <w:t>—</w:t>
      </w:r>
      <w:r>
        <w:rPr>
          <w:rStyle w:val="CharDivText"/>
        </w:rPr>
        <w:t> </w:t>
      </w:r>
      <w:r>
        <w:rPr>
          <w:rStyle w:val="CharPartText"/>
        </w:rPr>
        <w:t>Animal Resources Authority</w:t>
      </w:r>
      <w:bookmarkEnd w:id="11"/>
      <w:bookmarkEnd w:id="12"/>
      <w:bookmarkEnd w:id="13"/>
      <w:bookmarkEnd w:id="14"/>
      <w:bookmarkEnd w:id="15"/>
    </w:p>
    <w:p>
      <w:pPr>
        <w:pStyle w:val="Heading5"/>
        <w:rPr>
          <w:snapToGrid w:val="0"/>
        </w:rPr>
      </w:pPr>
      <w:bookmarkStart w:id="16" w:name="_Toc175039255"/>
      <w:r>
        <w:rPr>
          <w:rStyle w:val="CharSectno"/>
        </w:rPr>
        <w:t>4</w:t>
      </w:r>
      <w:r>
        <w:rPr>
          <w:snapToGrid w:val="0"/>
        </w:rPr>
        <w:t>.</w:t>
      </w:r>
      <w:r>
        <w:rPr>
          <w:snapToGrid w:val="0"/>
        </w:rPr>
        <w:tab/>
        <w:t>Authority, establishment and nature of</w:t>
      </w:r>
      <w:bookmarkEnd w:id="16"/>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pPr>
      <w:bookmarkStart w:id="17" w:name="_Toc175039256"/>
      <w:r>
        <w:rPr>
          <w:rStyle w:val="CharSectno"/>
        </w:rPr>
        <w:t>5</w:t>
      </w:r>
      <w:r>
        <w:t>.</w:t>
      </w:r>
      <w:r>
        <w:tab/>
        <w:t>Authority constituted by Minister</w:t>
      </w:r>
      <w:bookmarkEnd w:id="17"/>
    </w:p>
    <w:p>
      <w:pPr>
        <w:pStyle w:val="Subsection"/>
      </w:pPr>
      <w:r>
        <w:tab/>
      </w:r>
      <w:r>
        <w:tab/>
        <w:t>The Authority is constituted by the Minister.</w:t>
      </w:r>
    </w:p>
    <w:p>
      <w:pPr>
        <w:pStyle w:val="Footnotesection"/>
      </w:pPr>
      <w:r>
        <w:tab/>
        <w:t>[Section 5 inserted: No. 12 of 2022 s. 7.]</w:t>
      </w:r>
    </w:p>
    <w:p>
      <w:pPr>
        <w:pStyle w:val="Ednotesection"/>
      </w:pPr>
      <w:r>
        <w:t>[</w:t>
      </w:r>
      <w:r>
        <w:rPr>
          <w:b/>
        </w:rPr>
        <w:t>6</w:t>
      </w:r>
      <w:r>
        <w:rPr>
          <w:b/>
        </w:rPr>
        <w:noBreakHyphen/>
        <w:t>8.</w:t>
      </w:r>
      <w:r>
        <w:tab/>
        <w:t>Deleted: No. 12 of 2022 s. 7.]</w:t>
      </w:r>
    </w:p>
    <w:p>
      <w:pPr>
        <w:pStyle w:val="Heading2"/>
      </w:pPr>
      <w:bookmarkStart w:id="18" w:name="_Toc171081007"/>
      <w:bookmarkStart w:id="19" w:name="_Toc171324126"/>
      <w:bookmarkStart w:id="20" w:name="_Toc174960685"/>
      <w:bookmarkStart w:id="21" w:name="_Toc174960799"/>
      <w:bookmarkStart w:id="22" w:name="_Toc175039257"/>
      <w:r>
        <w:rPr>
          <w:rStyle w:val="CharPartNo"/>
        </w:rPr>
        <w:lastRenderedPageBreak/>
        <w:t>Part III</w:t>
      </w:r>
      <w:r>
        <w:rPr>
          <w:rStyle w:val="CharDivNo"/>
        </w:rPr>
        <w:t> </w:t>
      </w:r>
      <w:r>
        <w:t>—</w:t>
      </w:r>
      <w:r>
        <w:rPr>
          <w:rStyle w:val="CharDivText"/>
        </w:rPr>
        <w:t> </w:t>
      </w:r>
      <w:r>
        <w:rPr>
          <w:rStyle w:val="CharPartText"/>
        </w:rPr>
        <w:t>Functions and powers of Authority</w:t>
      </w:r>
      <w:bookmarkEnd w:id="18"/>
      <w:bookmarkEnd w:id="19"/>
      <w:bookmarkEnd w:id="20"/>
      <w:bookmarkEnd w:id="21"/>
      <w:bookmarkEnd w:id="22"/>
    </w:p>
    <w:p>
      <w:pPr>
        <w:pStyle w:val="Heading5"/>
      </w:pPr>
      <w:bookmarkStart w:id="23" w:name="_Toc175039258"/>
      <w:r>
        <w:rPr>
          <w:rStyle w:val="CharSectno"/>
        </w:rPr>
        <w:t>9A</w:t>
      </w:r>
      <w:r>
        <w:t>.</w:t>
      </w:r>
      <w:r>
        <w:tab/>
        <w:t>Authority to continue performing its functions for certain purposes</w:t>
      </w:r>
      <w:bookmarkEnd w:id="23"/>
    </w:p>
    <w:p>
      <w:pPr>
        <w:pStyle w:val="Subsection"/>
      </w:pPr>
      <w:r>
        <w:tab/>
        <w:t>(1)</w:t>
      </w:r>
      <w:r>
        <w:tab/>
        <w:t xml:space="preserve">The Authority must continue to perform its functions under this Act, but only for the following purposes — </w:t>
      </w:r>
    </w:p>
    <w:p>
      <w:pPr>
        <w:pStyle w:val="Indenta"/>
      </w:pPr>
      <w:r>
        <w:tab/>
        <w:t>(a)</w:t>
      </w:r>
      <w:r>
        <w:tab/>
        <w:t xml:space="preserve">to prepare reports and financial statements, including the final report required under the </w:t>
      </w:r>
      <w:r>
        <w:rPr>
          <w:i/>
        </w:rPr>
        <w:t>Financial Management Act 2006</w:t>
      </w:r>
      <w:r>
        <w:t xml:space="preserve"> Part 5 Division 3;</w:t>
      </w:r>
    </w:p>
    <w:p>
      <w:pPr>
        <w:pStyle w:val="Indenta"/>
      </w:pPr>
      <w:r>
        <w:tab/>
        <w:t>(b)</w:t>
      </w:r>
      <w:r>
        <w:tab/>
        <w:t>to wind up its affairs (including realising its assets and discharging its liabilities) as soon as practicable but, in any case, not later than transition day.</w:t>
      </w:r>
    </w:p>
    <w:p>
      <w:pPr>
        <w:pStyle w:val="Subsection"/>
      </w:pPr>
      <w:r>
        <w:tab/>
        <w:t>(2)</w:t>
      </w:r>
      <w:r>
        <w:tab/>
        <w:t>The Authority may do all things necessary or convenient to be done for or in connection with the purposes specified in subsection (1), including executing a contract, deed or other instrument necessary for its winding up.</w:t>
      </w:r>
    </w:p>
    <w:p>
      <w:pPr>
        <w:pStyle w:val="Subsection"/>
      </w:pPr>
      <w:r>
        <w:tab/>
        <w:t>(3)</w:t>
      </w:r>
      <w:r>
        <w:tab/>
        <w:t>This section overrides sections 9 and 10 and those sections must be read as if the Authority’s functions were conferred only to give effect to the purposes specified in subsection (1).</w:t>
      </w:r>
    </w:p>
    <w:p>
      <w:pPr>
        <w:pStyle w:val="Footnotesection"/>
      </w:pPr>
      <w:r>
        <w:tab/>
        <w:t>[Section 9A inserted: No. 12 of 2022 s. 8.]</w:t>
      </w:r>
    </w:p>
    <w:p>
      <w:pPr>
        <w:pStyle w:val="Heading5"/>
        <w:rPr>
          <w:snapToGrid w:val="0"/>
        </w:rPr>
      </w:pPr>
      <w:bookmarkStart w:id="24" w:name="_Toc175039259"/>
      <w:r>
        <w:rPr>
          <w:rStyle w:val="CharSectno"/>
        </w:rPr>
        <w:t>9</w:t>
      </w:r>
      <w:r>
        <w:rPr>
          <w:snapToGrid w:val="0"/>
        </w:rPr>
        <w:t>.</w:t>
      </w:r>
      <w:r>
        <w:rPr>
          <w:snapToGrid w:val="0"/>
        </w:rPr>
        <w:tab/>
        <w:t>Functions</w:t>
      </w:r>
      <w:bookmarkEnd w:id="24"/>
    </w:p>
    <w:p>
      <w:pPr>
        <w:pStyle w:val="Subsection"/>
        <w:spacing w:before="140"/>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lastRenderedPageBreak/>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25" w:name="_Toc175039260"/>
      <w:r>
        <w:rPr>
          <w:rStyle w:val="CharSectno"/>
        </w:rPr>
        <w:t>10</w:t>
      </w:r>
      <w:r>
        <w:rPr>
          <w:snapToGrid w:val="0"/>
        </w:rPr>
        <w:t>.</w:t>
      </w:r>
      <w:r>
        <w:rPr>
          <w:snapToGrid w:val="0"/>
        </w:rPr>
        <w:tab/>
        <w:t>Powers</w:t>
      </w:r>
      <w:bookmarkEnd w:id="25"/>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w:t>
      </w:r>
    </w:p>
    <w:p>
      <w:pPr>
        <w:pStyle w:val="Indenta"/>
        <w:spacing w:before="60"/>
        <w:rPr>
          <w:snapToGrid w:val="0"/>
        </w:rPr>
      </w:pPr>
      <w:r>
        <w:rPr>
          <w:snapToGrid w:val="0"/>
        </w:rPr>
        <w:tab/>
        <w:t>(a)</w:t>
      </w:r>
      <w:r>
        <w:rPr>
          <w:snapToGrid w:val="0"/>
        </w:rPr>
        <w:tab/>
        <w:t>may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spacing w:before="60"/>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spacing w:before="60"/>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spacing w:before="200"/>
        <w:rPr>
          <w:snapToGrid w:val="0"/>
        </w:rPr>
      </w:pPr>
      <w:bookmarkStart w:id="26" w:name="_Toc175039261"/>
      <w:r>
        <w:rPr>
          <w:rStyle w:val="CharSectno"/>
        </w:rPr>
        <w:t>11</w:t>
      </w:r>
      <w:r>
        <w:rPr>
          <w:snapToGrid w:val="0"/>
        </w:rPr>
        <w:t>.</w:t>
      </w:r>
      <w:r>
        <w:rPr>
          <w:snapToGrid w:val="0"/>
        </w:rPr>
        <w:tab/>
        <w:t>Delegation by Authority</w:t>
      </w:r>
      <w:bookmarkEnd w:id="26"/>
    </w:p>
    <w:p>
      <w:pPr>
        <w:pStyle w:val="Subsection"/>
        <w:spacing w:before="120"/>
        <w:rPr>
          <w:snapToGrid w:val="0"/>
        </w:rPr>
      </w:pPr>
      <w:r>
        <w:rPr>
          <w:snapToGrid w:val="0"/>
        </w:rPr>
        <w:tab/>
        <w:t>(1)</w:t>
      </w:r>
      <w:r>
        <w:rPr>
          <w:snapToGrid w:val="0"/>
        </w:rPr>
        <w:tab/>
        <w:t xml:space="preserve">The Authority may, either generally or as otherwise provided by the instrument of delegation, in writing delegate to a person appointed under section 12(1)(a), or to a committee, any of its </w:t>
      </w:r>
      <w:r>
        <w:rPr>
          <w:snapToGrid w:val="0"/>
        </w:rPr>
        <w:lastRenderedPageBreak/>
        <w:t>powers or duties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spacing w:before="120"/>
        <w:rPr>
          <w:snapToGrid w:val="0"/>
        </w:rPr>
      </w:pPr>
      <w:r>
        <w:rPr>
          <w:snapToGrid w:val="0"/>
        </w:rPr>
        <w:tab/>
        <w:t>(3)</w:t>
      </w:r>
      <w:r>
        <w:rPr>
          <w:snapToGrid w:val="0"/>
        </w:rPr>
        <w:tab/>
        <w:t>A delegation under this section may —</w:t>
      </w:r>
    </w:p>
    <w:p>
      <w:pPr>
        <w:pStyle w:val="Indenta"/>
        <w:spacing w:before="60"/>
        <w:rPr>
          <w:snapToGrid w:val="0"/>
        </w:rPr>
      </w:pPr>
      <w:r>
        <w:rPr>
          <w:snapToGrid w:val="0"/>
        </w:rPr>
        <w:tab/>
        <w:t>(a)</w:t>
      </w:r>
      <w:r>
        <w:rPr>
          <w:snapToGrid w:val="0"/>
        </w:rPr>
        <w:tab/>
        <w:t>be made subject to such conditions, qualifications and exceptions as are set out in the instrument of delegation; and</w:t>
      </w:r>
    </w:p>
    <w:p>
      <w:pPr>
        <w:pStyle w:val="Indenta"/>
        <w:spacing w:before="60"/>
        <w:rPr>
          <w:snapToGrid w:val="0"/>
        </w:rPr>
      </w:pPr>
      <w:r>
        <w:rPr>
          <w:snapToGrid w:val="0"/>
        </w:rPr>
        <w:tab/>
        <w:t>(b)</w:t>
      </w:r>
      <w:r>
        <w:rPr>
          <w:snapToGrid w:val="0"/>
        </w:rPr>
        <w:tab/>
        <w:t>be revoked or varied by instrument in writing signed by the Authority.</w:t>
      </w:r>
    </w:p>
    <w:p>
      <w:pPr>
        <w:pStyle w:val="Subsection"/>
        <w:spacing w:before="120"/>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spacing w:before="200"/>
        <w:rPr>
          <w:snapToGrid w:val="0"/>
        </w:rPr>
      </w:pPr>
      <w:bookmarkStart w:id="27" w:name="_Toc175039262"/>
      <w:r>
        <w:rPr>
          <w:rStyle w:val="CharSectno"/>
        </w:rPr>
        <w:t>12</w:t>
      </w:r>
      <w:r>
        <w:rPr>
          <w:snapToGrid w:val="0"/>
        </w:rPr>
        <w:t>.</w:t>
      </w:r>
      <w:r>
        <w:rPr>
          <w:snapToGrid w:val="0"/>
        </w:rPr>
        <w:tab/>
        <w:t>Staff of Authority, appointment etc. of</w:t>
      </w:r>
      <w:bookmarkEnd w:id="27"/>
    </w:p>
    <w:p>
      <w:pPr>
        <w:pStyle w:val="Subsection"/>
        <w:keepNext/>
        <w:spacing w:before="120"/>
        <w:rPr>
          <w:snapToGrid w:val="0"/>
        </w:rPr>
      </w:pPr>
      <w:r>
        <w:rPr>
          <w:snapToGrid w:val="0"/>
        </w:rPr>
        <w:tab/>
        <w:t>(1)</w:t>
      </w:r>
      <w:r>
        <w:rPr>
          <w:snapToGrid w:val="0"/>
        </w:rPr>
        <w:tab/>
        <w:t>Subject to subsection (4), the Authority may appoint —</w:t>
      </w:r>
    </w:p>
    <w:p>
      <w:pPr>
        <w:pStyle w:val="Indenta"/>
        <w:spacing w:before="60"/>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spacing w:before="180"/>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w:t>
      </w:r>
      <w:r>
        <w:t xml:space="preserve"> Public Sector Commissioner</w:t>
      </w:r>
      <w:r>
        <w:rPr>
          <w:snapToGrid w:val="0"/>
        </w:rPr>
        <w:t>.</w:t>
      </w:r>
    </w:p>
    <w:p>
      <w:pPr>
        <w:pStyle w:val="Subsection"/>
        <w:spacing w:before="180"/>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 xml:space="preserve">time, of the services of </w:t>
      </w:r>
      <w:r>
        <w:rPr>
          <w:snapToGrid w:val="0"/>
        </w:rPr>
        <w:lastRenderedPageBreak/>
        <w:t>any member of the staff or employee of that institution in any capacity mentioned in subsection (1)(a) or (b).</w:t>
      </w:r>
    </w:p>
    <w:p>
      <w:pPr>
        <w:pStyle w:val="Subsection"/>
        <w:spacing w:before="180"/>
        <w:rPr>
          <w:snapToGrid w:val="0"/>
        </w:rPr>
      </w:pPr>
      <w:r>
        <w:rPr>
          <w:snapToGrid w:val="0"/>
        </w:rPr>
        <w:tab/>
        <w:t>(4)</w:t>
      </w:r>
      <w:r>
        <w:rPr>
          <w:snapToGrid w:val="0"/>
        </w:rPr>
        <w:tab/>
        <w:t>The Authority shall not exercise any power conferred on it by subsection (1) or (3) except with the approval of the Minister on the recommendation of the</w:t>
      </w:r>
      <w:r>
        <w:t xml:space="preserve"> Public Sector Commissioner</w:t>
      </w:r>
      <w:r>
        <w:rPr>
          <w:snapToGrid w:val="0"/>
        </w:rPr>
        <w:t>.</w:t>
      </w:r>
    </w:p>
    <w:p>
      <w:pPr>
        <w:pStyle w:val="Footnotesection"/>
      </w:pPr>
      <w:r>
        <w:tab/>
        <w:t>[Section 12 amended: No. 39 of 2010 s. 89.]</w:t>
      </w:r>
    </w:p>
    <w:p>
      <w:pPr>
        <w:pStyle w:val="Heading5"/>
        <w:spacing w:before="260"/>
        <w:rPr>
          <w:snapToGrid w:val="0"/>
        </w:rPr>
      </w:pPr>
      <w:bookmarkStart w:id="28" w:name="_Toc175039263"/>
      <w:r>
        <w:rPr>
          <w:rStyle w:val="CharSectno"/>
        </w:rPr>
        <w:t>13</w:t>
      </w:r>
      <w:r>
        <w:rPr>
          <w:snapToGrid w:val="0"/>
        </w:rPr>
        <w:t>.</w:t>
      </w:r>
      <w:r>
        <w:rPr>
          <w:snapToGrid w:val="0"/>
        </w:rPr>
        <w:tab/>
        <w:t>Public service officer on staff, provisions about</w:t>
      </w:r>
      <w:bookmarkEnd w:id="28"/>
    </w:p>
    <w:p>
      <w:pPr>
        <w:pStyle w:val="Subsection"/>
        <w:spacing w:before="180"/>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w:t>
      </w:r>
    </w:p>
    <w:p>
      <w:pPr>
        <w:pStyle w:val="Indenta"/>
        <w:spacing w:before="100"/>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spacing w:before="100"/>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1</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[Section 13 amended: No. 32 of 1994 s. 3(2); No. 42 of 1997 s. 8.]</w:t>
      </w:r>
    </w:p>
    <w:p>
      <w:pPr>
        <w:pStyle w:val="Heading5"/>
        <w:rPr>
          <w:snapToGrid w:val="0"/>
        </w:rPr>
      </w:pPr>
      <w:bookmarkStart w:id="29" w:name="_Toc175039264"/>
      <w:r>
        <w:rPr>
          <w:rStyle w:val="CharSectno"/>
        </w:rPr>
        <w:t>14</w:t>
      </w:r>
      <w:r>
        <w:rPr>
          <w:snapToGrid w:val="0"/>
        </w:rPr>
        <w:t>.</w:t>
      </w:r>
      <w:r>
        <w:rPr>
          <w:snapToGrid w:val="0"/>
        </w:rPr>
        <w:tab/>
      </w:r>
      <w:r>
        <w:rPr>
          <w:i/>
          <w:snapToGrid w:val="0"/>
        </w:rPr>
        <w:t>Superannuation and Family Benefits Act 1938</w:t>
      </w:r>
      <w:r>
        <w:rPr>
          <w:snapToGrid w:val="0"/>
        </w:rPr>
        <w:t>, application of</w:t>
      </w:r>
      <w:bookmarkEnd w:id="29"/>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1</w:t>
      </w:r>
      <w:r>
        <w:rPr>
          <w:snapToGrid w:val="0"/>
        </w:rPr>
        <w:t xml:space="preserve"> is committed to recommend that the Authority be </w:t>
      </w:r>
      <w:r>
        <w:rPr>
          <w:snapToGrid w:val="0"/>
        </w:rPr>
        <w:lastRenderedPageBreak/>
        <w:t xml:space="preserve">included as a corporate body in the term </w:t>
      </w:r>
      <w:r>
        <w:rPr>
          <w:b/>
          <w:i/>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1</w:t>
      </w:r>
      <w:r>
        <w:rPr>
          <w:snapToGrid w:val="0"/>
        </w:rPr>
        <w:t>.</w:t>
      </w:r>
    </w:p>
    <w:p>
      <w:pPr>
        <w:pStyle w:val="Heading5"/>
        <w:rPr>
          <w:snapToGrid w:val="0"/>
        </w:rPr>
      </w:pPr>
      <w:bookmarkStart w:id="30" w:name="_Toc175039265"/>
      <w:r>
        <w:rPr>
          <w:rStyle w:val="CharSectno"/>
        </w:rPr>
        <w:t>14A</w:t>
      </w:r>
      <w:r>
        <w:rPr>
          <w:snapToGrid w:val="0"/>
        </w:rPr>
        <w:t>.</w:t>
      </w:r>
      <w:r>
        <w:rPr>
          <w:snapToGrid w:val="0"/>
        </w:rPr>
        <w:tab/>
        <w:t>Staff in Senior Executive Service, status of etc.</w:t>
      </w:r>
      <w:bookmarkEnd w:id="30"/>
    </w:p>
    <w:p>
      <w:pPr>
        <w:pStyle w:val="Subsection"/>
        <w:tabs>
          <w:tab w:val="left" w:pos="3686"/>
        </w:tabs>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2</w:t>
      </w:r>
      <w:r>
        <w:rPr>
          <w:snapToGrid w:val="0"/>
        </w:rPr>
        <w:t xml:space="preserve"> an inconsistency between this Act and that Act that Act shall prevail.</w:t>
      </w:r>
    </w:p>
    <w:p>
      <w:pPr>
        <w:pStyle w:val="Footnotesection"/>
      </w:pPr>
      <w:r>
        <w:tab/>
        <w:t>[Section 14A inserted: No. 113 of 1987 s. 32.]</w:t>
      </w:r>
    </w:p>
    <w:p>
      <w:pPr>
        <w:pStyle w:val="Heading5"/>
        <w:rPr>
          <w:snapToGrid w:val="0"/>
        </w:rPr>
      </w:pPr>
      <w:bookmarkStart w:id="31" w:name="_Toc175039266"/>
      <w:r>
        <w:rPr>
          <w:rStyle w:val="CharSectno"/>
        </w:rPr>
        <w:t>15</w:t>
      </w:r>
      <w:r>
        <w:rPr>
          <w:snapToGrid w:val="0"/>
        </w:rPr>
        <w:t>.</w:t>
      </w:r>
      <w:r>
        <w:rPr>
          <w:snapToGrid w:val="0"/>
        </w:rPr>
        <w:tab/>
        <w:t>Minister may direct Authority</w:t>
      </w:r>
      <w:bookmarkEnd w:id="31"/>
    </w:p>
    <w:p>
      <w:pPr>
        <w:pStyle w:val="Subsection"/>
        <w:keepNext/>
        <w:rPr>
          <w:snapToGrid w:val="0"/>
        </w:rPr>
      </w:pPr>
      <w:r>
        <w:rPr>
          <w:snapToGrid w:val="0"/>
        </w:rPr>
        <w:tab/>
        <w:t>(1)</w:t>
      </w:r>
      <w:r>
        <w:rPr>
          <w:snapToGrid w:val="0"/>
        </w:rPr>
        <w:tab/>
        <w:t>The Minister may give to the Authority such directions, not inconsistent with this Act, as he thinks fit either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32" w:name="_Toc171081017"/>
      <w:bookmarkStart w:id="33" w:name="_Toc171324136"/>
      <w:bookmarkStart w:id="34" w:name="_Toc174960695"/>
      <w:bookmarkStart w:id="35" w:name="_Toc174960809"/>
      <w:bookmarkStart w:id="36" w:name="_Toc175039267"/>
      <w:r>
        <w:rPr>
          <w:rStyle w:val="CharPartNo"/>
        </w:rPr>
        <w:lastRenderedPageBreak/>
        <w:t>Part IV</w:t>
      </w:r>
      <w:r>
        <w:rPr>
          <w:rStyle w:val="CharDivNo"/>
        </w:rPr>
        <w:t> </w:t>
      </w:r>
      <w:r>
        <w:t>—</w:t>
      </w:r>
      <w:r>
        <w:rPr>
          <w:rStyle w:val="CharDivText"/>
        </w:rPr>
        <w:t> </w:t>
      </w:r>
      <w:r>
        <w:rPr>
          <w:rStyle w:val="CharPartText"/>
        </w:rPr>
        <w:t>Financial provisions</w:t>
      </w:r>
      <w:bookmarkEnd w:id="32"/>
      <w:bookmarkEnd w:id="33"/>
      <w:bookmarkEnd w:id="34"/>
      <w:bookmarkEnd w:id="35"/>
      <w:bookmarkEnd w:id="36"/>
    </w:p>
    <w:p>
      <w:pPr>
        <w:pStyle w:val="Heading5"/>
        <w:rPr>
          <w:snapToGrid w:val="0"/>
        </w:rPr>
      </w:pPr>
      <w:bookmarkStart w:id="37" w:name="_Toc175039268"/>
      <w:r>
        <w:rPr>
          <w:rStyle w:val="CharSectno"/>
        </w:rPr>
        <w:t>16</w:t>
      </w:r>
      <w:r>
        <w:rPr>
          <w:snapToGrid w:val="0"/>
        </w:rPr>
        <w:t>.</w:t>
      </w:r>
      <w:r>
        <w:rPr>
          <w:snapToGrid w:val="0"/>
        </w:rPr>
        <w:tab/>
        <w:t>Financial management and profits</w:t>
      </w:r>
      <w:bookmarkEnd w:id="37"/>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proper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38" w:name="_Toc175039269"/>
      <w:r>
        <w:rPr>
          <w:rStyle w:val="CharSectno"/>
        </w:rPr>
        <w:t>17</w:t>
      </w:r>
      <w:r>
        <w:rPr>
          <w:snapToGrid w:val="0"/>
        </w:rPr>
        <w:t>.</w:t>
      </w:r>
      <w:r>
        <w:rPr>
          <w:snapToGrid w:val="0"/>
        </w:rPr>
        <w:tab/>
        <w:t>Funds and property of Authority</w:t>
      </w:r>
      <w:bookmarkEnd w:id="38"/>
    </w:p>
    <w:p>
      <w:pPr>
        <w:pStyle w:val="Subsection"/>
        <w:rPr>
          <w:snapToGrid w:val="0"/>
        </w:rPr>
      </w:pPr>
      <w:r>
        <w:rPr>
          <w:snapToGrid w:val="0"/>
        </w:rPr>
        <w:tab/>
      </w:r>
      <w:r>
        <w:rPr>
          <w:snapToGrid w:val="0"/>
        </w:rPr>
        <w:tab/>
        <w:t>The funds and property of the Authority comprise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pPr>
      <w:r>
        <w:tab/>
        <w:t>(iii)</w:t>
      </w:r>
      <w:r>
        <w:tab/>
        <w:t>Curtin University;</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lastRenderedPageBreak/>
        <w:tab/>
        <w:t>(g)</w:t>
      </w:r>
      <w:r>
        <w:rPr>
          <w:snapToGrid w:val="0"/>
        </w:rPr>
        <w:tab/>
        <w:t>all other money and property lawfully received or held by the Authority for the purposes of this Act.</w:t>
      </w:r>
    </w:p>
    <w:p>
      <w:pPr>
        <w:pStyle w:val="Footnotesection"/>
      </w:pPr>
      <w:r>
        <w:tab/>
        <w:t>[Section 17 amended: No. 32 of 2016 s. 179.]</w:t>
      </w:r>
    </w:p>
    <w:p>
      <w:pPr>
        <w:pStyle w:val="Heading5"/>
        <w:rPr>
          <w:snapToGrid w:val="0"/>
        </w:rPr>
      </w:pPr>
      <w:bookmarkStart w:id="39" w:name="_Toc175039270"/>
      <w:r>
        <w:rPr>
          <w:rStyle w:val="CharSectno"/>
        </w:rPr>
        <w:t>18</w:t>
      </w:r>
      <w:r>
        <w:rPr>
          <w:snapToGrid w:val="0"/>
        </w:rPr>
        <w:t>.</w:t>
      </w:r>
      <w:r>
        <w:rPr>
          <w:snapToGrid w:val="0"/>
        </w:rPr>
        <w:tab/>
        <w:t>Animal Resources Authority Account</w:t>
      </w:r>
      <w:bookmarkEnd w:id="39"/>
    </w:p>
    <w:p>
      <w:pPr>
        <w:pStyle w:val="Subsection"/>
        <w:rPr>
          <w:snapToGrid w:val="0"/>
        </w:rPr>
      </w:pPr>
      <w:r>
        <w:rPr>
          <w:snapToGrid w:val="0"/>
        </w:rPr>
        <w:tab/>
      </w:r>
      <w:r>
        <w:rPr>
          <w:snapToGrid w:val="0"/>
        </w:rPr>
        <w:tab/>
        <w:t>The Authority shall have an account at a bank approved by the Treasurer (to be called the Animal Resources Authority Account) and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[Section 18 amended: No. 49 of 1996 s. 64.]</w:t>
      </w:r>
    </w:p>
    <w:p>
      <w:pPr>
        <w:pStyle w:val="Heading5"/>
        <w:rPr>
          <w:snapToGrid w:val="0"/>
        </w:rPr>
      </w:pPr>
      <w:bookmarkStart w:id="40" w:name="_Toc175039271"/>
      <w:r>
        <w:rPr>
          <w:rStyle w:val="CharSectno"/>
        </w:rPr>
        <w:t>19</w:t>
      </w:r>
      <w:r>
        <w:rPr>
          <w:snapToGrid w:val="0"/>
        </w:rPr>
        <w:t>.</w:t>
      </w:r>
      <w:r>
        <w:rPr>
          <w:snapToGrid w:val="0"/>
        </w:rPr>
        <w:tab/>
        <w:t>Investment powers</w:t>
      </w:r>
      <w:bookmarkEnd w:id="40"/>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[Section 19 amended: No. 98 of 1985 s. 3.]</w:t>
      </w:r>
    </w:p>
    <w:p>
      <w:pPr>
        <w:pStyle w:val="Heading5"/>
        <w:rPr>
          <w:snapToGrid w:val="0"/>
        </w:rPr>
      </w:pPr>
      <w:bookmarkStart w:id="41" w:name="_Toc175039272"/>
      <w:r>
        <w:rPr>
          <w:rStyle w:val="CharSectno"/>
        </w:rPr>
        <w:t>20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4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20 inserted: No. 98 of 1985 s. 3; amended: No. 77 of 2006 Sch. 1 cl. 9.]</w:t>
      </w:r>
    </w:p>
    <w:p>
      <w:pPr>
        <w:pStyle w:val="Ednotesection"/>
      </w:pPr>
      <w:r>
        <w:t>[</w:t>
      </w:r>
      <w:r>
        <w:rPr>
          <w:b/>
        </w:rPr>
        <w:t>21</w:t>
      </w:r>
      <w:r>
        <w:rPr>
          <w:b/>
        </w:rPr>
        <w:noBreakHyphen/>
        <w:t>23.</w:t>
      </w:r>
      <w:r>
        <w:tab/>
        <w:t>Deleted: No. 98 of 1985 s. 3.]</w:t>
      </w:r>
    </w:p>
    <w:p>
      <w:pPr>
        <w:pStyle w:val="Heading5"/>
        <w:rPr>
          <w:snapToGrid w:val="0"/>
        </w:rPr>
      </w:pPr>
      <w:bookmarkStart w:id="42" w:name="_Toc175039273"/>
      <w:r>
        <w:rPr>
          <w:rStyle w:val="CharSectno"/>
        </w:rPr>
        <w:lastRenderedPageBreak/>
        <w:t>24</w:t>
      </w:r>
      <w:r>
        <w:rPr>
          <w:snapToGrid w:val="0"/>
        </w:rPr>
        <w:t>.</w:t>
      </w:r>
      <w:r>
        <w:rPr>
          <w:snapToGrid w:val="0"/>
        </w:rPr>
        <w:tab/>
        <w:t>Borrowing powers</w:t>
      </w:r>
      <w:bookmarkEnd w:id="42"/>
    </w:p>
    <w:p>
      <w:pPr>
        <w:pStyle w:val="Subsection"/>
        <w:spacing w:before="140"/>
        <w:rPr>
          <w:snapToGrid w:val="0"/>
        </w:rPr>
      </w:pPr>
      <w:r>
        <w:rPr>
          <w:snapToGrid w:val="0"/>
        </w:rPr>
        <w:tab/>
        <w:t>(1)</w:t>
      </w:r>
      <w:r>
        <w:rPr>
          <w:snapToGrid w:val="0"/>
        </w:rPr>
        <w:tab/>
        <w:t>The Authority may borrow money upon the guarantee of the Treasurer for the purpose of carrying out its functions under this Act, but only —</w:t>
      </w:r>
    </w:p>
    <w:p>
      <w:pPr>
        <w:pStyle w:val="Indenta"/>
        <w:spacing w:before="60"/>
        <w:rPr>
          <w:snapToGrid w:val="0"/>
        </w:rPr>
      </w:pPr>
      <w:r>
        <w:rPr>
          <w:snapToGrid w:val="0"/>
        </w:rPr>
        <w:tab/>
        <w:t>(a)</w:t>
      </w:r>
      <w:r>
        <w:rPr>
          <w:snapToGrid w:val="0"/>
        </w:rPr>
        <w:tab/>
        <w:t>with the prior approval in writing of the Treasurer; and</w:t>
      </w:r>
    </w:p>
    <w:p>
      <w:pPr>
        <w:pStyle w:val="Indenta"/>
        <w:spacing w:before="60"/>
        <w:rPr>
          <w:snapToGrid w:val="0"/>
        </w:rPr>
      </w:pPr>
      <w:r>
        <w:rPr>
          <w:snapToGrid w:val="0"/>
        </w:rPr>
        <w:tab/>
        <w:t>(b)</w:t>
      </w:r>
      <w:r>
        <w:rPr>
          <w:snapToGrid w:val="0"/>
        </w:rPr>
        <w:tab/>
        <w:t>on such terms and conditions as he may approve.</w:t>
      </w:r>
    </w:p>
    <w:p>
      <w:pPr>
        <w:pStyle w:val="Subsection"/>
        <w:spacing w:before="140"/>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43" w:name="_Toc175039274"/>
      <w:r>
        <w:rPr>
          <w:rStyle w:val="CharSectno"/>
        </w:rPr>
        <w:t>25</w:t>
      </w:r>
      <w:r>
        <w:rPr>
          <w:snapToGrid w:val="0"/>
        </w:rPr>
        <w:t>.</w:t>
      </w:r>
      <w:r>
        <w:rPr>
          <w:snapToGrid w:val="0"/>
        </w:rPr>
        <w:tab/>
        <w:t>Guarantee by Treasurer</w:t>
      </w:r>
      <w:bookmarkEnd w:id="43"/>
    </w:p>
    <w:p>
      <w:pPr>
        <w:pStyle w:val="Subsection"/>
        <w:spacing w:before="140"/>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spacing w:before="140"/>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spacing w:before="140"/>
        <w:rPr>
          <w:snapToGrid w:val="0"/>
        </w:rPr>
      </w:pPr>
      <w:r>
        <w:rPr>
          <w:snapToGrid w:val="0"/>
        </w:rPr>
        <w:tab/>
        <w:t>(3)</w:t>
      </w:r>
      <w:r>
        <w:rPr>
          <w:snapToGrid w:val="0"/>
        </w:rPr>
        <w:tab/>
        <w:t>The due payment of money payable by the Treasurer under a guarantee given by him under this section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without any further appropriation than this subsection.</w:t>
      </w:r>
    </w:p>
    <w:p>
      <w:pPr>
        <w:pStyle w:val="Subsection"/>
        <w:spacing w:before="140"/>
        <w:rPr>
          <w:snapToGrid w:val="0"/>
        </w:rPr>
      </w:pPr>
      <w:r>
        <w:rPr>
          <w:snapToGrid w:val="0"/>
        </w:rPr>
        <w:tab/>
        <w:t>(4)</w:t>
      </w:r>
      <w:r>
        <w:rPr>
          <w:snapToGrid w:val="0"/>
        </w:rPr>
        <w:tab/>
        <w:t>The funds and assets of the Authority are hereby charged with —</w:t>
      </w:r>
    </w:p>
    <w:p>
      <w:pPr>
        <w:pStyle w:val="Indenta"/>
        <w:spacing w:before="60"/>
        <w:rPr>
          <w:snapToGrid w:val="0"/>
        </w:rPr>
      </w:pPr>
      <w:r>
        <w:rPr>
          <w:snapToGrid w:val="0"/>
        </w:rPr>
        <w:tab/>
        <w:t>(a)</w:t>
      </w:r>
      <w:r>
        <w:rPr>
          <w:snapToGrid w:val="0"/>
        </w:rPr>
        <w:tab/>
        <w:t>repayment of any sum paid by the Treasurer under subsection (3); and</w:t>
      </w:r>
    </w:p>
    <w:p>
      <w:pPr>
        <w:pStyle w:val="Indenta"/>
        <w:keepNext/>
        <w:spacing w:before="60"/>
        <w:rPr>
          <w:snapToGrid w:val="0"/>
        </w:rPr>
      </w:pPr>
      <w:r>
        <w:rPr>
          <w:snapToGrid w:val="0"/>
        </w:rPr>
        <w:lastRenderedPageBreak/>
        <w:tab/>
        <w:t>(b)</w:t>
      </w:r>
      <w:r>
        <w:rPr>
          <w:snapToGrid w:val="0"/>
        </w:rPr>
        <w:tab/>
        <w:t>payment of any sum required to be paid by the Authority pursuant to any term or condition imposed by the Treasurer under section 24(1).</w:t>
      </w:r>
    </w:p>
    <w:p>
      <w:pPr>
        <w:pStyle w:val="Footnotesection"/>
        <w:spacing w:before="100"/>
        <w:ind w:left="890" w:hanging="890"/>
      </w:pPr>
      <w:r>
        <w:tab/>
        <w:t>[Section 25 amended: No. 98 of 1985 s. 3; No. 6 of 1993 s. 11; No. 49 of 1996 s. 64; No. 77 of 2006 s. 4.]</w:t>
      </w:r>
    </w:p>
    <w:p>
      <w:pPr>
        <w:pStyle w:val="Heading2"/>
      </w:pPr>
      <w:bookmarkStart w:id="44" w:name="_Toc171081025"/>
      <w:bookmarkStart w:id="45" w:name="_Toc171324144"/>
      <w:bookmarkStart w:id="46" w:name="_Toc174960703"/>
      <w:bookmarkStart w:id="47" w:name="_Toc174960817"/>
      <w:bookmarkStart w:id="48" w:name="_Toc175039275"/>
      <w:r>
        <w:rPr>
          <w:rStyle w:val="CharPartNo"/>
        </w:rPr>
        <w:lastRenderedPageBreak/>
        <w:t>Part V</w:t>
      </w:r>
      <w:r>
        <w:rPr>
          <w:rStyle w:val="CharDivNo"/>
        </w:rPr>
        <w:t> </w:t>
      </w:r>
      <w:r>
        <w:t>—</w:t>
      </w:r>
      <w:r>
        <w:rPr>
          <w:rStyle w:val="CharDivText"/>
        </w:rPr>
        <w:t> </w:t>
      </w:r>
      <w:r>
        <w:rPr>
          <w:rStyle w:val="CharPartText"/>
        </w:rPr>
        <w:t>Miscellaneous</w:t>
      </w:r>
      <w:bookmarkEnd w:id="44"/>
      <w:bookmarkEnd w:id="45"/>
      <w:bookmarkEnd w:id="46"/>
      <w:bookmarkEnd w:id="47"/>
      <w:bookmarkEnd w:id="48"/>
    </w:p>
    <w:p>
      <w:pPr>
        <w:pStyle w:val="Heading5"/>
        <w:rPr>
          <w:snapToGrid w:val="0"/>
        </w:rPr>
      </w:pPr>
      <w:bookmarkStart w:id="49" w:name="_Toc175039276"/>
      <w:r>
        <w:rPr>
          <w:rStyle w:val="CharSectno"/>
        </w:rPr>
        <w:t>26</w:t>
      </w:r>
      <w:r>
        <w:rPr>
          <w:snapToGrid w:val="0"/>
        </w:rPr>
        <w:t>.</w:t>
      </w:r>
      <w:r>
        <w:rPr>
          <w:snapToGrid w:val="0"/>
        </w:rPr>
        <w:tab/>
        <w:t>Execution of documents by Authority</w:t>
      </w:r>
      <w:bookmarkEnd w:id="49"/>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 xml:space="preserve">it is sealed with the seal of the Authority in accordance with </w:t>
      </w:r>
      <w:r>
        <w:t>subsection (2); or</w:t>
      </w:r>
    </w:p>
    <w:p>
      <w:pPr>
        <w:pStyle w:val="Indenta"/>
        <w:rPr>
          <w:snapToGrid w:val="0"/>
        </w:rPr>
      </w:pPr>
      <w:r>
        <w:rPr>
          <w:snapToGrid w:val="0"/>
        </w:rPr>
        <w:tab/>
        <w:t>(b)</w:t>
      </w:r>
      <w:r>
        <w:rPr>
          <w:snapToGrid w:val="0"/>
        </w:rPr>
        <w:tab/>
        <w:t>it is signed on behalf of the Authority by the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Ednotesubsection"/>
      </w:pPr>
      <w:r>
        <w:tab/>
        <w:t>[(3)</w:t>
      </w:r>
      <w:r>
        <w:tab/>
        <w:t>deleted]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Footnotesection"/>
      </w:pPr>
      <w:r>
        <w:tab/>
        <w:t>[Section 26 amended: No. 12 of 2022 s. 9.]</w:t>
      </w:r>
    </w:p>
    <w:p>
      <w:pPr>
        <w:pStyle w:val="Heading2"/>
        <w:rPr>
          <w:i/>
        </w:rPr>
      </w:pPr>
      <w:bookmarkStart w:id="50" w:name="_Toc171081027"/>
      <w:bookmarkStart w:id="51" w:name="_Toc171324146"/>
      <w:bookmarkStart w:id="52" w:name="_Toc174960705"/>
      <w:bookmarkStart w:id="53" w:name="_Toc174960819"/>
      <w:bookmarkStart w:id="54" w:name="_Toc175039277"/>
      <w:r>
        <w:rPr>
          <w:rStyle w:val="CharPartNo"/>
        </w:rPr>
        <w:lastRenderedPageBreak/>
        <w:t>Part 6</w:t>
      </w:r>
      <w:r>
        <w:rPr>
          <w:b w:val="0"/>
        </w:rPr>
        <w:t> </w:t>
      </w:r>
      <w:r>
        <w:t>—</w:t>
      </w:r>
      <w:r>
        <w:rPr>
          <w:b w:val="0"/>
        </w:rPr>
        <w:t> </w:t>
      </w:r>
      <w:r>
        <w:rPr>
          <w:rStyle w:val="CharPartText"/>
        </w:rPr>
        <w:t xml:space="preserve">Transitional provisions for </w:t>
      </w:r>
      <w:r>
        <w:rPr>
          <w:rStyle w:val="CharPartText"/>
          <w:i/>
        </w:rPr>
        <w:t>Animal Resources Authority Amendment and Repeal Act 2022</w:t>
      </w:r>
      <w:bookmarkEnd w:id="50"/>
      <w:bookmarkEnd w:id="51"/>
      <w:bookmarkEnd w:id="52"/>
      <w:bookmarkEnd w:id="53"/>
      <w:bookmarkEnd w:id="54"/>
    </w:p>
    <w:p>
      <w:pPr>
        <w:pStyle w:val="Footnoteheading"/>
      </w:pPr>
      <w:r>
        <w:tab/>
        <w:t>[Heading inserted: No. 12 of 2022 s. 11.]</w:t>
      </w:r>
    </w:p>
    <w:p>
      <w:pPr>
        <w:pStyle w:val="Heading3"/>
        <w:rPr>
          <w:highlight w:val="yellow"/>
        </w:rPr>
      </w:pPr>
      <w:bookmarkStart w:id="55" w:name="_Toc171081028"/>
      <w:bookmarkStart w:id="56" w:name="_Toc171324147"/>
      <w:bookmarkStart w:id="57" w:name="_Toc174960706"/>
      <w:bookmarkStart w:id="58" w:name="_Toc174960820"/>
      <w:bookmarkStart w:id="59" w:name="_Toc175039278"/>
      <w:r>
        <w:rPr>
          <w:rStyle w:val="CharDivNo"/>
        </w:rPr>
        <w:t>Division 1</w:t>
      </w:r>
      <w:r>
        <w:t> — </w:t>
      </w:r>
      <w:r>
        <w:rPr>
          <w:rStyle w:val="CharDivText"/>
        </w:rPr>
        <w:t>Members of Authority</w:t>
      </w:r>
      <w:bookmarkEnd w:id="55"/>
      <w:bookmarkEnd w:id="56"/>
      <w:bookmarkEnd w:id="57"/>
      <w:bookmarkEnd w:id="58"/>
      <w:bookmarkEnd w:id="59"/>
    </w:p>
    <w:p>
      <w:pPr>
        <w:pStyle w:val="Footnoteheading"/>
      </w:pPr>
      <w:r>
        <w:tab/>
        <w:t>[Heading inserted: No. 12 of 2022 s. 11.]</w:t>
      </w:r>
    </w:p>
    <w:p>
      <w:pPr>
        <w:pStyle w:val="Heading5"/>
      </w:pPr>
      <w:bookmarkStart w:id="60" w:name="_Toc175039279"/>
      <w:r>
        <w:rPr>
          <w:rStyle w:val="CharSectno"/>
        </w:rPr>
        <w:t>27</w:t>
      </w:r>
      <w:r>
        <w:t>.</w:t>
      </w:r>
      <w:r>
        <w:tab/>
        <w:t>Members go out of office</w:t>
      </w:r>
      <w:bookmarkEnd w:id="60"/>
    </w:p>
    <w:p>
      <w:pPr>
        <w:pStyle w:val="Subsection"/>
      </w:pPr>
      <w:r>
        <w:tab/>
      </w:r>
      <w:r>
        <w:tab/>
        <w:t xml:space="preserve">The members of the Authority go out of office on the day on which the </w:t>
      </w:r>
      <w:r>
        <w:rPr>
          <w:i/>
        </w:rPr>
        <w:t>Animal Resources Authority Amendment and Repeal Act 2022</w:t>
      </w:r>
      <w:r>
        <w:t xml:space="preserve"> section 7 comes into operation.</w:t>
      </w:r>
    </w:p>
    <w:p>
      <w:pPr>
        <w:pStyle w:val="Footnotesection"/>
      </w:pPr>
      <w:r>
        <w:tab/>
        <w:t>[Section 27 inserted: No. 12 of 2022 s. 11.]</w:t>
      </w:r>
    </w:p>
    <w:p>
      <w:pPr>
        <w:pStyle w:val="Heading3"/>
      </w:pPr>
      <w:bookmarkStart w:id="61" w:name="_Toc171081030"/>
      <w:bookmarkStart w:id="62" w:name="_Toc171324149"/>
      <w:bookmarkStart w:id="63" w:name="_Toc174960708"/>
      <w:bookmarkStart w:id="64" w:name="_Toc174960822"/>
      <w:bookmarkStart w:id="65" w:name="_Toc175039280"/>
      <w:r>
        <w:rPr>
          <w:rStyle w:val="CharDivNo"/>
        </w:rPr>
        <w:t>Division 2</w:t>
      </w:r>
      <w:r>
        <w:t> — </w:t>
      </w:r>
      <w:r>
        <w:rPr>
          <w:rStyle w:val="CharDivText"/>
        </w:rPr>
        <w:t>Abolition of authority and related provisions</w:t>
      </w:r>
      <w:bookmarkEnd w:id="61"/>
      <w:bookmarkEnd w:id="62"/>
      <w:bookmarkEnd w:id="63"/>
      <w:bookmarkEnd w:id="64"/>
      <w:bookmarkEnd w:id="65"/>
    </w:p>
    <w:p>
      <w:pPr>
        <w:pStyle w:val="Footnoteheading"/>
      </w:pPr>
      <w:r>
        <w:tab/>
        <w:t>[Heading inserted: No. 12 of 2022 s. 12.]</w:t>
      </w:r>
    </w:p>
    <w:p>
      <w:pPr>
        <w:pStyle w:val="Heading5"/>
      </w:pPr>
      <w:bookmarkStart w:id="66" w:name="_Toc175039281"/>
      <w:r>
        <w:rPr>
          <w:rStyle w:val="CharSectno"/>
        </w:rPr>
        <w:t>28</w:t>
      </w:r>
      <w:r>
        <w:t>.</w:t>
      </w:r>
      <w:r>
        <w:tab/>
        <w:t>Terms used</w:t>
      </w:r>
      <w:bookmarkEnd w:id="66"/>
    </w:p>
    <w:p>
      <w:pPr>
        <w:pStyle w:val="Subsection"/>
      </w:pPr>
      <w:r>
        <w:tab/>
      </w:r>
      <w:r>
        <w:tab/>
        <w:t xml:space="preserve">In this Division — </w:t>
      </w:r>
    </w:p>
    <w:p>
      <w:pPr>
        <w:pStyle w:val="Defstart"/>
      </w:pPr>
      <w:r>
        <w:tab/>
      </w:r>
      <w:r>
        <w:rPr>
          <w:rStyle w:val="CharDefText"/>
        </w:rPr>
        <w:t>Account</w:t>
      </w:r>
      <w:r>
        <w:t xml:space="preserve"> means the Animal Resources Authority Account referred to in section 18;</w:t>
      </w:r>
    </w:p>
    <w:p>
      <w:pPr>
        <w:pStyle w:val="Defstart"/>
      </w:pPr>
      <w:r>
        <w:tab/>
      </w:r>
      <w:r>
        <w:rPr>
          <w:rStyle w:val="CharDefText"/>
        </w:rPr>
        <w:t>assets</w:t>
      </w:r>
      <w:r>
        <w:t xml:space="preserve"> — </w:t>
      </w:r>
    </w:p>
    <w:p>
      <w:pPr>
        <w:pStyle w:val="Defpara"/>
      </w:pPr>
      <w:r>
        <w:tab/>
        <w:t>(a)</w:t>
      </w:r>
      <w:r>
        <w:tab/>
        <w:t>means legal or equitable estates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former Authority</w:t>
      </w:r>
      <w:r>
        <w:t xml:space="preserve"> means the Authority as in existence immediately before transition day;</w:t>
      </w:r>
    </w:p>
    <w:p>
      <w:pPr>
        <w:pStyle w:val="Defstart"/>
      </w:pPr>
      <w:r>
        <w:tab/>
      </w:r>
      <w:r>
        <w:rPr>
          <w:rStyle w:val="CharDefText"/>
        </w:rPr>
        <w:t>liabilities</w:t>
      </w:r>
      <w:r>
        <w:t xml:space="preserve"> means liabilities, duties or obligations whether actual, contingent or prospective, liquidated or unliquidated, or whether </w:t>
      </w:r>
      <w:r>
        <w:lastRenderedPageBreak/>
        <w:t>owed alone or jointly or jointly and severally with any other person;</w:t>
      </w:r>
    </w:p>
    <w:p>
      <w:pPr>
        <w:pStyle w:val="Defstart"/>
      </w:pPr>
      <w:r>
        <w:tab/>
      </w:r>
      <w:r>
        <w:rPr>
          <w:rStyle w:val="CharDefText"/>
        </w:rPr>
        <w:t>Public Sector</w:t>
      </w:r>
      <w:r>
        <w:t xml:space="preserve"> has the meaning given in the </w:t>
      </w:r>
      <w:r>
        <w:rPr>
          <w:i/>
        </w:rPr>
        <w:t>Public Sector Management Act 1994</w:t>
      </w:r>
      <w:r>
        <w:t xml:space="preserve"> section 3(1);</w:t>
      </w:r>
    </w:p>
    <w:p>
      <w:pPr>
        <w:pStyle w:val="Defstart"/>
      </w:pPr>
      <w:r>
        <w:tab/>
      </w:r>
      <w:r>
        <w:rPr>
          <w:rStyle w:val="CharDefText"/>
        </w:rPr>
        <w:t>relevant act</w:t>
      </w:r>
      <w:r>
        <w:t xml:space="preserve"> means an act, matter or thing done or omitted to be done before transition day by, to or in respect of the former Authority;</w:t>
      </w:r>
    </w:p>
    <w:p>
      <w:pPr>
        <w:pStyle w:val="Defstart"/>
      </w:pPr>
      <w:r>
        <w:tab/>
      </w:r>
      <w:r>
        <w:rPr>
          <w:rStyle w:val="CharDefText"/>
        </w:rPr>
        <w:t>rights</w:t>
      </w:r>
      <w:r>
        <w:t xml:space="preserve"> means rights, powers, privileges or immunities whether actual, contingent or prospective;</w:t>
      </w:r>
    </w:p>
    <w:p>
      <w:pPr>
        <w:pStyle w:val="Defstart"/>
      </w:pPr>
      <w:r>
        <w:tab/>
      </w:r>
      <w:r>
        <w:rPr>
          <w:rStyle w:val="CharDefText"/>
        </w:rPr>
        <w:t>staff member</w:t>
      </w:r>
      <w:r>
        <w:t xml:space="preserve"> means a person appointed by the Authority under section 12(1);</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Defstart"/>
      </w:pPr>
      <w:r>
        <w:tab/>
      </w:r>
      <w:r>
        <w:rPr>
          <w:rStyle w:val="CharDefText"/>
        </w:rPr>
        <w:t>subsisting</w:t>
      </w:r>
      <w:r>
        <w:t>, in relation to an agreement, instrument or document, means subsisting immediately before transition day.</w:t>
      </w:r>
    </w:p>
    <w:p>
      <w:pPr>
        <w:pStyle w:val="Footnotesection"/>
      </w:pPr>
      <w:r>
        <w:tab/>
        <w:t>[Section 28 inserted: No. 12 of 2022 s. 12.]</w:t>
      </w:r>
    </w:p>
    <w:p>
      <w:pPr>
        <w:pStyle w:val="Heading5"/>
      </w:pPr>
      <w:bookmarkStart w:id="67" w:name="_Toc175039282"/>
      <w:r>
        <w:rPr>
          <w:rStyle w:val="CharSectno"/>
        </w:rPr>
        <w:t>29</w:t>
      </w:r>
      <w:r>
        <w:t>.</w:t>
      </w:r>
      <w:r>
        <w:tab/>
        <w:t>Former Authority abolished</w:t>
      </w:r>
      <w:bookmarkEnd w:id="67"/>
    </w:p>
    <w:p>
      <w:pPr>
        <w:pStyle w:val="Subsection"/>
      </w:pPr>
      <w:r>
        <w:tab/>
      </w:r>
      <w:r>
        <w:tab/>
        <w:t>On transition day, the former Authority is abolished.</w:t>
      </w:r>
    </w:p>
    <w:p>
      <w:pPr>
        <w:pStyle w:val="Footnotesection"/>
      </w:pPr>
      <w:r>
        <w:tab/>
        <w:t>[Section 29 inserted: No. 12 of 2022 s. 12.]</w:t>
      </w:r>
    </w:p>
    <w:p>
      <w:pPr>
        <w:pStyle w:val="Heading5"/>
      </w:pPr>
      <w:bookmarkStart w:id="68" w:name="_Toc175039283"/>
      <w:r>
        <w:rPr>
          <w:rStyle w:val="CharSectno"/>
        </w:rPr>
        <w:t>30</w:t>
      </w:r>
      <w:r>
        <w:t>.</w:t>
      </w:r>
      <w:r>
        <w:tab/>
        <w:t>Staff members</w:t>
      </w:r>
      <w:bookmarkEnd w:id="68"/>
    </w:p>
    <w:p>
      <w:pPr>
        <w:pStyle w:val="Subsection"/>
      </w:pPr>
      <w:r>
        <w:tab/>
        <w:t>(1)</w:t>
      </w:r>
      <w:r>
        <w:tab/>
        <w:t xml:space="preserve">Before transition day, the Minister must, after consulting the Public Sector Commissioner — </w:t>
      </w:r>
    </w:p>
    <w:p>
      <w:pPr>
        <w:pStyle w:val="Indenta"/>
      </w:pPr>
      <w:r>
        <w:tab/>
        <w:t>(a)</w:t>
      </w:r>
      <w:r>
        <w:tab/>
        <w:t xml:space="preserve">for each staff member, nominate a person or body in the Public Sector (the </w:t>
      </w:r>
      <w:r>
        <w:rPr>
          <w:rStyle w:val="CharDefText"/>
        </w:rPr>
        <w:t>new employer</w:t>
      </w:r>
      <w:r>
        <w:t xml:space="preserve">) who will be the employing authority under the </w:t>
      </w:r>
      <w:r>
        <w:rPr>
          <w:i/>
        </w:rPr>
        <w:t>Public Sector Management Act 1994</w:t>
      </w:r>
      <w:r>
        <w:t xml:space="preserve"> for the staff member on and after transition day; and</w:t>
      </w:r>
    </w:p>
    <w:p>
      <w:pPr>
        <w:pStyle w:val="Indenta"/>
      </w:pPr>
      <w:r>
        <w:lastRenderedPageBreak/>
        <w:tab/>
        <w:t>(b)</w:t>
      </w:r>
      <w:r>
        <w:tab/>
        <w:t>ensure that employment by or under the new employer is arranged for each staff member.</w:t>
      </w:r>
    </w:p>
    <w:p>
      <w:pPr>
        <w:pStyle w:val="Subsection"/>
      </w:pPr>
      <w:r>
        <w:tab/>
        <w:t>(2)</w:t>
      </w:r>
      <w:r>
        <w:tab/>
        <w:t>A staff member is, on and after transition day, taken to be employed as an employee of the new employer.</w:t>
      </w:r>
    </w:p>
    <w:p>
      <w:pPr>
        <w:pStyle w:val="Subsection"/>
      </w:pPr>
      <w:r>
        <w:tab/>
        <w:t>(3)</w:t>
      </w:r>
      <w:r>
        <w:tab/>
        <w:t xml:space="preserve">Except as agreed by a staff member, a change of employment arranged under subsection (1)(a) does not — </w:t>
      </w:r>
    </w:p>
    <w:p>
      <w:pPr>
        <w:pStyle w:val="Indenta"/>
      </w:pPr>
      <w:r>
        <w:tab/>
        <w:t>(a)</w:t>
      </w:r>
      <w:r>
        <w:tab/>
        <w:t>affect the staff member’s remuneration or other terms and conditions of employment; or</w:t>
      </w:r>
    </w:p>
    <w:p>
      <w:pPr>
        <w:pStyle w:val="Indenta"/>
      </w:pPr>
      <w:r>
        <w:tab/>
        <w:t>(b)</w:t>
      </w:r>
      <w:r>
        <w:tab/>
        <w:t>prejudice the staff member’s existing or accruing rights; or</w:t>
      </w:r>
    </w:p>
    <w:p>
      <w:pPr>
        <w:pStyle w:val="Indenta"/>
      </w:pPr>
      <w:r>
        <w:tab/>
        <w:t>(c)</w:t>
      </w:r>
      <w:r>
        <w:tab/>
        <w:t>affect any rights under a superannuation scheme; or</w:t>
      </w:r>
    </w:p>
    <w:p>
      <w:pPr>
        <w:pStyle w:val="Indenta"/>
      </w:pPr>
      <w:r>
        <w:tab/>
        <w:t>(d)</w:t>
      </w:r>
      <w:r>
        <w:tab/>
        <w:t>interrupt the staff member’s continuity of service.</w:t>
      </w:r>
    </w:p>
    <w:p>
      <w:pPr>
        <w:pStyle w:val="Footnotesection"/>
      </w:pPr>
      <w:r>
        <w:tab/>
        <w:t>[Section 30 inserted: No. 12 of 2022 s. 12.]</w:t>
      </w:r>
    </w:p>
    <w:p>
      <w:pPr>
        <w:pStyle w:val="Heading5"/>
      </w:pPr>
      <w:bookmarkStart w:id="69" w:name="_Toc175039284"/>
      <w:r>
        <w:rPr>
          <w:rStyle w:val="CharSectno"/>
        </w:rPr>
        <w:t>31</w:t>
      </w:r>
      <w:r>
        <w:t>.</w:t>
      </w:r>
      <w:r>
        <w:tab/>
        <w:t>Transfer of assets, rights, liabilities, proceedings and remedies</w:t>
      </w:r>
      <w:bookmarkEnd w:id="69"/>
    </w:p>
    <w:p>
      <w:pPr>
        <w:pStyle w:val="Subsection"/>
      </w:pPr>
      <w:r>
        <w:tab/>
        <w:t>(1)</w:t>
      </w:r>
      <w:r>
        <w:tab/>
        <w:t>On transition day —</w:t>
      </w:r>
    </w:p>
    <w:p>
      <w:pPr>
        <w:pStyle w:val="Indenta"/>
      </w:pPr>
      <w:r>
        <w:tab/>
        <w:t>(a)</w:t>
      </w:r>
      <w:r>
        <w:tab/>
        <w:t>the assets and rights of the former Authority immediately before that day vest in or become, by force of this section, the property of the State; and</w:t>
      </w:r>
    </w:p>
    <w:p>
      <w:pPr>
        <w:pStyle w:val="Indenta"/>
      </w:pPr>
      <w:r>
        <w:tab/>
        <w:t>(b)</w:t>
      </w:r>
      <w:r>
        <w:tab/>
        <w:t>the liabilities of the former Authority immediately before that day become, by force of this section, the liabilities of the State.</w:t>
      </w:r>
    </w:p>
    <w:p>
      <w:pPr>
        <w:pStyle w:val="Subsection"/>
      </w:pPr>
      <w:r>
        <w:tab/>
        <w:t>(2)</w:t>
      </w:r>
      <w:r>
        <w:tab/>
        <w:t>On and after transition day, any proceeding or remedy that, immediately before that day, might have been brought or continued by, or available against or to, the former Authority may be brought or continued by, and is available against or to, the State.</w:t>
      </w:r>
    </w:p>
    <w:p>
      <w:pPr>
        <w:pStyle w:val="Footnotesection"/>
      </w:pPr>
      <w:r>
        <w:tab/>
        <w:t>[Section 31 inserted: No. 12 of 2022 s. 12.]</w:t>
      </w:r>
    </w:p>
    <w:p>
      <w:pPr>
        <w:pStyle w:val="Heading5"/>
      </w:pPr>
      <w:bookmarkStart w:id="70" w:name="_Toc175039285"/>
      <w:r>
        <w:rPr>
          <w:rStyle w:val="CharSectno"/>
        </w:rPr>
        <w:lastRenderedPageBreak/>
        <w:t>32</w:t>
      </w:r>
      <w:r>
        <w:t>.</w:t>
      </w:r>
      <w:r>
        <w:tab/>
        <w:t>Exemption from State tax</w:t>
      </w:r>
      <w:bookmarkEnd w:id="70"/>
    </w:p>
    <w:p>
      <w:pPr>
        <w:pStyle w:val="Subsection"/>
        <w:keepNext/>
      </w:pPr>
      <w:r>
        <w:tab/>
        <w:t>(1)</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(2)</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(3)</w:t>
      </w:r>
      <w:r>
        <w:tab/>
        <w:t>For all purposes and in all proceedings, a certificate under subsection (2) is sufficient evidence of the matters it certifies, unless the contrary is shown.</w:t>
      </w:r>
    </w:p>
    <w:p>
      <w:pPr>
        <w:pStyle w:val="Footnotesection"/>
      </w:pPr>
      <w:r>
        <w:tab/>
        <w:t>[Section 32 inserted: No. 12 of 2022 s. 12.]</w:t>
      </w:r>
    </w:p>
    <w:p>
      <w:pPr>
        <w:pStyle w:val="Heading5"/>
      </w:pPr>
      <w:bookmarkStart w:id="71" w:name="_Toc175039286"/>
      <w:r>
        <w:rPr>
          <w:rStyle w:val="CharSectno"/>
        </w:rPr>
        <w:t>33</w:t>
      </w:r>
      <w:r>
        <w:t>.</w:t>
      </w:r>
      <w:r>
        <w:tab/>
        <w:t>Closure of Account</w:t>
      </w:r>
      <w:bookmarkEnd w:id="71"/>
    </w:p>
    <w:p>
      <w:pPr>
        <w:pStyle w:val="Subsection"/>
      </w:pPr>
      <w:r>
        <w:tab/>
        <w:t>(1)</w:t>
      </w:r>
      <w:r>
        <w:tab/>
        <w:t>On transition day any moneys standing to the credit of the Account must be credited to the Consolidated Account and the Account must then be closed.</w:t>
      </w:r>
    </w:p>
    <w:p>
      <w:pPr>
        <w:pStyle w:val="Subsection"/>
      </w:pPr>
      <w:r>
        <w:tab/>
        <w:t>(2)</w:t>
      </w:r>
      <w:r>
        <w:tab/>
        <w:t>The Consolidated Account must be credited with any money payable to the Account before transition day that is paid on or after that day.</w:t>
      </w:r>
    </w:p>
    <w:p>
      <w:pPr>
        <w:pStyle w:val="Footnotesection"/>
      </w:pPr>
      <w:r>
        <w:tab/>
        <w:t>[Section 33 inserted: No. 12 of 2022 s. 12.]</w:t>
      </w:r>
    </w:p>
    <w:p>
      <w:pPr>
        <w:pStyle w:val="Heading5"/>
      </w:pPr>
      <w:bookmarkStart w:id="72" w:name="_Toc175039287"/>
      <w:r>
        <w:rPr>
          <w:rStyle w:val="CharSectno"/>
        </w:rPr>
        <w:t>34</w:t>
      </w:r>
      <w:r>
        <w:t>.</w:t>
      </w:r>
      <w:r>
        <w:tab/>
        <w:t>Agreements, instruments and documents</w:t>
      </w:r>
      <w:bookmarkEnd w:id="72"/>
    </w:p>
    <w:p>
      <w:pPr>
        <w:pStyle w:val="Subsection"/>
      </w:pPr>
      <w:r>
        <w:tab/>
        <w:t>(1)</w:t>
      </w:r>
      <w:r>
        <w:tab/>
        <w:t>A subsisting agreement, instrument or document that contains a reference to the former Authority has effect on and from transition day as if that reference were amended to be a reference to the Minister.</w:t>
      </w:r>
    </w:p>
    <w:p>
      <w:pPr>
        <w:pStyle w:val="Subsection"/>
      </w:pPr>
      <w:r>
        <w:lastRenderedPageBreak/>
        <w:tab/>
        <w:t>(2)</w:t>
      </w:r>
      <w:r>
        <w:tab/>
        <w:t>Subsection (1) does not apply to an agreement or instrument to which the former Authority was a party.</w:t>
      </w:r>
    </w:p>
    <w:p>
      <w:pPr>
        <w:pStyle w:val="Subsection"/>
      </w:pPr>
      <w:r>
        <w:tab/>
        <w:t>(3)</w:t>
      </w:r>
      <w:r>
        <w:tab/>
        <w:t xml:space="preserve">A subsisting agreement or instrument to which the former Authority was a party has effect on and from transition day as if — </w:t>
      </w:r>
    </w:p>
    <w:p>
      <w:pPr>
        <w:pStyle w:val="Indenta"/>
      </w:pPr>
      <w:r>
        <w:tab/>
        <w:t>(a)</w:t>
      </w:r>
      <w:r>
        <w:tab/>
        <w:t>the Minister were substituted for the former Authority as a party to the agreement or instrument; and</w:t>
      </w:r>
    </w:p>
    <w:p>
      <w:pPr>
        <w:pStyle w:val="Indenta"/>
      </w:pPr>
      <w:r>
        <w:tab/>
        <w:t>(b)</w:t>
      </w:r>
      <w:r>
        <w:tab/>
        <w:t>a reference to the former Authority in the agreement or instrument were amended to be a reference to the Minister.</w:t>
      </w:r>
    </w:p>
    <w:p>
      <w:pPr>
        <w:pStyle w:val="Subsection"/>
      </w:pPr>
      <w:r>
        <w:tab/>
        <w:t>(4)</w:t>
      </w:r>
      <w:r>
        <w:tab/>
        <w:t>Subsection (1) or (3)(b) does not apply to a reference if that application would be inappropriate in the context in which the reference occurs.</w:t>
      </w:r>
    </w:p>
    <w:p>
      <w:pPr>
        <w:pStyle w:val="Footnotesection"/>
      </w:pPr>
      <w:r>
        <w:tab/>
        <w:t>[Section 34 inserted: No. 12 of 2022 s. 12.]</w:t>
      </w:r>
    </w:p>
    <w:p>
      <w:pPr>
        <w:pStyle w:val="Heading5"/>
      </w:pPr>
      <w:bookmarkStart w:id="73" w:name="_Toc175039288"/>
      <w:r>
        <w:rPr>
          <w:rStyle w:val="CharSectno"/>
        </w:rPr>
        <w:t>35</w:t>
      </w:r>
      <w:r>
        <w:t>.</w:t>
      </w:r>
      <w:r>
        <w:tab/>
        <w:t>Completion of things commenced</w:t>
      </w:r>
      <w:bookmarkEnd w:id="73"/>
    </w:p>
    <w:p>
      <w:pPr>
        <w:pStyle w:val="Subsection"/>
      </w:pPr>
      <w:r>
        <w:tab/>
      </w:r>
      <w:r>
        <w:tab/>
        <w:t>Anything commenced to be done by the former Authority before transition day may be continued by the Minister so far as the doing of that thing is within the functions of the Minister.</w:t>
      </w:r>
    </w:p>
    <w:p>
      <w:pPr>
        <w:pStyle w:val="Footnotesection"/>
      </w:pPr>
      <w:r>
        <w:tab/>
        <w:t>[Section 35 inserted: No. 12 of 2022 s. 12.]</w:t>
      </w:r>
    </w:p>
    <w:p>
      <w:pPr>
        <w:pStyle w:val="Heading5"/>
      </w:pPr>
      <w:bookmarkStart w:id="74" w:name="_Toc175039289"/>
      <w:r>
        <w:rPr>
          <w:rStyle w:val="CharSectno"/>
        </w:rPr>
        <w:t>36</w:t>
      </w:r>
      <w:r>
        <w:t>.</w:t>
      </w:r>
      <w:r>
        <w:tab/>
        <w:t>Continuing effect of things done</w:t>
      </w:r>
      <w:bookmarkEnd w:id="74"/>
    </w:p>
    <w:p>
      <w:pPr>
        <w:pStyle w:val="Subsection"/>
      </w:pPr>
      <w:r>
        <w:tab/>
        <w:t>(1)</w:t>
      </w:r>
      <w:r>
        <w:tab/>
        <w:t>To the extent that a relevant act has force or significance on or after transition day it is taken, from that day, to have been done or omitted by, to or in respect of the Minister so far as the relevant act is relevant to the functions of the Minister.</w:t>
      </w:r>
    </w:p>
    <w:p>
      <w:pPr>
        <w:pStyle w:val="Subsection"/>
      </w:pPr>
      <w:r>
        <w:tab/>
        <w:t>(2)</w:t>
      </w:r>
      <w:r>
        <w:tab/>
        <w:t>This section does not affect the operation of any other provision of this Part.</w:t>
      </w:r>
    </w:p>
    <w:p>
      <w:pPr>
        <w:pStyle w:val="Footnotesection"/>
      </w:pPr>
      <w:r>
        <w:tab/>
        <w:t>[Section 36 inserted: No. 12 of 2022 s. 12.]</w:t>
      </w:r>
    </w:p>
    <w:p>
      <w:pPr>
        <w:pStyle w:val="Heading5"/>
      </w:pPr>
      <w:bookmarkStart w:id="75" w:name="_Toc175039290"/>
      <w:r>
        <w:rPr>
          <w:rStyle w:val="CharSectno"/>
        </w:rPr>
        <w:lastRenderedPageBreak/>
        <w:t>37</w:t>
      </w:r>
      <w:r>
        <w:t>.</w:t>
      </w:r>
      <w:r>
        <w:tab/>
        <w:t>Effect on other instruments, rights and obligations</w:t>
      </w:r>
      <w:bookmarkEnd w:id="75"/>
    </w:p>
    <w:p>
      <w:pPr>
        <w:pStyle w:val="Subsection"/>
        <w:keepNext/>
      </w:pPr>
      <w:r>
        <w:tab/>
      </w:r>
      <w:r>
        <w:tab/>
        <w:t xml:space="preserve">The operation of this Part must not be regarded — </w:t>
      </w:r>
    </w:p>
    <w:p>
      <w:pPr>
        <w:pStyle w:val="Indenta"/>
      </w:pPr>
      <w:r>
        <w:tab/>
        <w:t>(a)</w:t>
      </w:r>
      <w:r>
        <w:tab/>
        <w:t>as a breach of contract or confidence or otherwise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37 inserted: No. 12 of 2022 s. 12.]</w:t>
      </w:r>
    </w:p>
    <w:p>
      <w:pPr>
        <w:pStyle w:val="yEdnoteschedule"/>
      </w:pPr>
      <w:r>
        <w:t>[Schedule deleted: No. 12 of 2022 s. 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Ednoteschedule"/>
        <w:rPr>
          <w:i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nHeading2"/>
      </w:pPr>
      <w:bookmarkStart w:id="76" w:name="_Toc171081041"/>
      <w:bookmarkStart w:id="77" w:name="_Toc171324160"/>
      <w:bookmarkStart w:id="78" w:name="_Toc174960719"/>
      <w:bookmarkStart w:id="79" w:name="_Toc174960833"/>
      <w:bookmarkStart w:id="80" w:name="_Toc175039291"/>
      <w:r>
        <w:lastRenderedPageBreak/>
        <w:t>Notes</w:t>
      </w:r>
      <w:bookmarkEnd w:id="76"/>
      <w:bookmarkEnd w:id="77"/>
      <w:bookmarkEnd w:id="78"/>
      <w:bookmarkEnd w:id="79"/>
      <w:bookmarkEnd w:id="80"/>
    </w:p>
    <w:p>
      <w:pPr>
        <w:pStyle w:val="nStatement"/>
      </w:pPr>
      <w:r>
        <w:t xml:space="preserve">This is a compilation of the </w:t>
      </w:r>
      <w:r>
        <w:rPr>
          <w:i/>
          <w:noProof/>
        </w:rPr>
        <w:t>Animal Resources Authority Act 1981</w:t>
      </w:r>
      <w:r>
        <w:t xml:space="preserve"> and includes amendments made by other written laws. For provisions that have come into operation, and for information about any reprints, see the compilation table. </w:t>
      </w:r>
      <w:r>
        <w:rPr>
          <w:snapToGrid w:val="0"/>
        </w:rPr>
        <w:t>For provisions that have not yet come into operation see the uncommenced provisions table.</w:t>
      </w:r>
    </w:p>
    <w:p>
      <w:pPr>
        <w:pStyle w:val="nHeading3"/>
      </w:pPr>
      <w:bookmarkStart w:id="81" w:name="_Toc175039292"/>
      <w:r>
        <w:t>Compilation table</w:t>
      </w:r>
      <w:bookmarkEnd w:id="81"/>
    </w:p>
    <w:tbl>
      <w:tblPr>
        <w:tblW w:w="7105"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36"/>
        <w:gridCol w:w="2547"/>
        <w:gridCol w:w="6"/>
      </w:tblGrid>
      <w:tr>
        <w:trPr>
          <w:gridBefore w:val="1"/>
          <w:wBefore w:w="14" w:type="dxa"/>
          <w:cantSplit/>
          <w:tblHeader/>
        </w:trPr>
        <w:tc>
          <w:tcPr>
            <w:tcW w:w="2254" w:type="dxa"/>
            <w:tcBorders>
              <w:top w:val="single" w:sz="8" w:space="0" w:color="auto"/>
              <w:bottom w:val="single" w:sz="8" w:space="0" w:color="auto"/>
            </w:tcBorders>
            <w:shd w:val="clear" w:color="auto" w:fill="auto"/>
          </w:tcPr>
          <w:p>
            <w:pPr>
              <w:pStyle w:val="nTable"/>
              <w:rPr>
                <w:b/>
              </w:rPr>
            </w:pPr>
            <w:r>
              <w:rPr>
                <w:b/>
              </w:rPr>
              <w:t>Short title</w:t>
            </w:r>
          </w:p>
        </w:tc>
        <w:tc>
          <w:tcPr>
            <w:tcW w:w="1148" w:type="dxa"/>
            <w:gridSpan w:val="3"/>
            <w:tcBorders>
              <w:top w:val="single" w:sz="8" w:space="0" w:color="auto"/>
              <w:bottom w:val="single" w:sz="8" w:space="0" w:color="auto"/>
            </w:tcBorders>
            <w:shd w:val="clear" w:color="auto" w:fill="auto"/>
          </w:tcPr>
          <w:p>
            <w:pPr>
              <w:pStyle w:val="nTable"/>
              <w:rPr>
                <w:b/>
              </w:rPr>
            </w:pPr>
            <w:r>
              <w:rPr>
                <w:b/>
              </w:rPr>
              <w:t>Number and year</w:t>
            </w:r>
          </w:p>
        </w:tc>
        <w:tc>
          <w:tcPr>
            <w:tcW w:w="1136" w:type="dxa"/>
            <w:tcBorders>
              <w:top w:val="single" w:sz="8" w:space="0" w:color="auto"/>
              <w:bottom w:val="single" w:sz="8" w:space="0" w:color="auto"/>
            </w:tcBorders>
            <w:shd w:val="clear" w:color="auto" w:fill="auto"/>
          </w:tcPr>
          <w:p>
            <w:pPr>
              <w:pStyle w:val="nTable"/>
              <w:rPr>
                <w:b/>
              </w:rPr>
            </w:pPr>
            <w:r>
              <w:rPr>
                <w:b/>
              </w:rPr>
              <w:t>Assent</w:t>
            </w:r>
          </w:p>
        </w:tc>
        <w:tc>
          <w:tcPr>
            <w:tcW w:w="2553" w:type="dxa"/>
            <w:gridSpan w:val="2"/>
            <w:tcBorders>
              <w:top w:val="single" w:sz="8" w:space="0" w:color="auto"/>
              <w:bottom w:val="single" w:sz="8" w:space="0" w:color="auto"/>
            </w:tcBorders>
            <w:shd w:val="clear" w:color="auto" w:fill="auto"/>
          </w:tcPr>
          <w:p>
            <w:pPr>
              <w:pStyle w:val="nTable"/>
              <w:rPr>
                <w:b/>
              </w:rPr>
            </w:pPr>
            <w:r>
              <w:rPr>
                <w:b/>
              </w:rPr>
              <w:t>Commencement</w:t>
            </w:r>
          </w:p>
        </w:tc>
      </w:tr>
      <w:tr>
        <w:trPr>
          <w:gridBefore w:val="1"/>
          <w:wBefore w:w="14" w:type="dxa"/>
          <w:cantSplit/>
        </w:trPr>
        <w:tc>
          <w:tcPr>
            <w:tcW w:w="2254" w:type="dxa"/>
          </w:tcPr>
          <w:p>
            <w:pPr>
              <w:pStyle w:val="nTable"/>
            </w:pPr>
            <w:r>
              <w:rPr>
                <w:i/>
              </w:rPr>
              <w:t>Animal Resources Authority Act 1981</w:t>
            </w:r>
          </w:p>
        </w:tc>
        <w:tc>
          <w:tcPr>
            <w:tcW w:w="1148" w:type="dxa"/>
            <w:gridSpan w:val="3"/>
          </w:tcPr>
          <w:p>
            <w:pPr>
              <w:pStyle w:val="nTable"/>
            </w:pPr>
            <w:r>
              <w:t>53 of 1981</w:t>
            </w:r>
          </w:p>
        </w:tc>
        <w:tc>
          <w:tcPr>
            <w:tcW w:w="1136" w:type="dxa"/>
          </w:tcPr>
          <w:p>
            <w:pPr>
              <w:pStyle w:val="nTable"/>
            </w:pPr>
            <w:r>
              <w:t>25 Sep 1981</w:t>
            </w:r>
          </w:p>
        </w:tc>
        <w:tc>
          <w:tcPr>
            <w:tcW w:w="2553" w:type="dxa"/>
            <w:gridSpan w:val="2"/>
          </w:tcPr>
          <w:p>
            <w:pPr>
              <w:pStyle w:val="nTable"/>
            </w:pPr>
            <w:r>
              <w:t xml:space="preserve">2 Jul 1982 (see s. 2 and </w:t>
            </w:r>
            <w:r>
              <w:rPr>
                <w:i/>
              </w:rPr>
              <w:t>Gazette</w:t>
            </w:r>
            <w:r>
              <w:t xml:space="preserve"> 2 Jul 1982 p. 2311)</w:t>
            </w:r>
          </w:p>
        </w:tc>
      </w:tr>
      <w:tr>
        <w:trPr>
          <w:gridBefore w:val="1"/>
          <w:wBefore w:w="14" w:type="dxa"/>
          <w:cantSplit/>
        </w:trPr>
        <w:tc>
          <w:tcPr>
            <w:tcW w:w="2254" w:type="dxa"/>
          </w:tcPr>
          <w:p>
            <w:pPr>
              <w:pStyle w:val="nTable"/>
            </w:pPr>
            <w:r>
              <w:rPr>
                <w:i/>
              </w:rPr>
              <w:t>Acts Amendment (Financial Administration and Audit) Act 1985</w:t>
            </w:r>
            <w:r>
              <w:t xml:space="preserve"> s. 3</w:t>
            </w:r>
          </w:p>
        </w:tc>
        <w:tc>
          <w:tcPr>
            <w:tcW w:w="1148" w:type="dxa"/>
            <w:gridSpan w:val="3"/>
          </w:tcPr>
          <w:p>
            <w:pPr>
              <w:pStyle w:val="nTable"/>
            </w:pPr>
            <w:r>
              <w:t>98 of 1985</w:t>
            </w:r>
          </w:p>
        </w:tc>
        <w:tc>
          <w:tcPr>
            <w:tcW w:w="1136" w:type="dxa"/>
          </w:tcPr>
          <w:p>
            <w:pPr>
              <w:pStyle w:val="nTable"/>
            </w:pPr>
            <w:r>
              <w:t>4 Dec 1985</w:t>
            </w:r>
          </w:p>
        </w:tc>
        <w:tc>
          <w:tcPr>
            <w:tcW w:w="2553" w:type="dxa"/>
            <w:gridSpan w:val="2"/>
          </w:tcPr>
          <w:p>
            <w:pPr>
              <w:pStyle w:val="nTable"/>
            </w:pPr>
            <w:r>
              <w:t xml:space="preserve">1 Jul 1986 (see s. 2 and </w:t>
            </w:r>
            <w:r>
              <w:rPr>
                <w:i/>
              </w:rPr>
              <w:t>Gazette</w:t>
            </w:r>
            <w:r>
              <w:t xml:space="preserve"> 30 Jun 1986 p. 2255)</w:t>
            </w:r>
          </w:p>
        </w:tc>
      </w:tr>
      <w:tr>
        <w:trPr>
          <w:gridBefore w:val="1"/>
          <w:wBefore w:w="14" w:type="dxa"/>
          <w:cantSplit/>
        </w:trPr>
        <w:tc>
          <w:tcPr>
            <w:tcW w:w="2254" w:type="dxa"/>
          </w:tcPr>
          <w:p>
            <w:pPr>
              <w:pStyle w:val="nTable"/>
            </w:pPr>
            <w:r>
              <w:rPr>
                <w:i/>
              </w:rPr>
              <w:t>Acts Amendment (Public Service) Act 1987 </w:t>
            </w:r>
            <w:r>
              <w:t>s. 32</w:t>
            </w:r>
          </w:p>
        </w:tc>
        <w:tc>
          <w:tcPr>
            <w:tcW w:w="1148" w:type="dxa"/>
            <w:gridSpan w:val="3"/>
          </w:tcPr>
          <w:p>
            <w:pPr>
              <w:pStyle w:val="nTable"/>
            </w:pPr>
            <w:r>
              <w:t>113 of 1987</w:t>
            </w:r>
          </w:p>
        </w:tc>
        <w:tc>
          <w:tcPr>
            <w:tcW w:w="1136" w:type="dxa"/>
          </w:tcPr>
          <w:p>
            <w:pPr>
              <w:pStyle w:val="nTable"/>
            </w:pPr>
            <w:r>
              <w:t>31 Dec 1987</w:t>
            </w:r>
          </w:p>
        </w:tc>
        <w:tc>
          <w:tcPr>
            <w:tcW w:w="2553" w:type="dxa"/>
            <w:gridSpan w:val="2"/>
          </w:tcPr>
          <w:p>
            <w:pPr>
              <w:pStyle w:val="nTable"/>
            </w:pPr>
            <w:r>
              <w:t xml:space="preserve">16 Mar 1988 (see s. 2 and </w:t>
            </w:r>
            <w:r>
              <w:rPr>
                <w:i/>
              </w:rPr>
              <w:t>Gazette</w:t>
            </w:r>
            <w:r>
              <w:t xml:space="preserve"> 16 Mar 1988 p. 813)</w:t>
            </w:r>
          </w:p>
        </w:tc>
      </w:tr>
      <w:tr>
        <w:trPr>
          <w:gridBefore w:val="1"/>
          <w:wBefore w:w="14" w:type="dxa"/>
          <w:cantSplit/>
        </w:trPr>
        <w:tc>
          <w:tcPr>
            <w:tcW w:w="2254" w:type="dxa"/>
          </w:tcPr>
          <w:p>
            <w:pPr>
              <w:pStyle w:val="nTable"/>
            </w:pPr>
            <w:r>
              <w:rPr>
                <w:i/>
              </w:rPr>
              <w:t xml:space="preserve">Financial Administration Legislation Amendment Act 1993 </w:t>
            </w:r>
            <w:r>
              <w:t>s. 11</w:t>
            </w:r>
          </w:p>
        </w:tc>
        <w:tc>
          <w:tcPr>
            <w:tcW w:w="1148" w:type="dxa"/>
            <w:gridSpan w:val="3"/>
          </w:tcPr>
          <w:p>
            <w:pPr>
              <w:pStyle w:val="nTable"/>
            </w:pPr>
            <w:r>
              <w:t>6 of 1993</w:t>
            </w:r>
          </w:p>
        </w:tc>
        <w:tc>
          <w:tcPr>
            <w:tcW w:w="1136" w:type="dxa"/>
          </w:tcPr>
          <w:p>
            <w:pPr>
              <w:pStyle w:val="nTable"/>
            </w:pPr>
            <w:r>
              <w:t>27 Aug 1993</w:t>
            </w:r>
          </w:p>
        </w:tc>
        <w:tc>
          <w:tcPr>
            <w:tcW w:w="2553" w:type="dxa"/>
            <w:gridSpan w:val="2"/>
          </w:tcPr>
          <w:p>
            <w:pPr>
              <w:pStyle w:val="nTable"/>
            </w:pPr>
            <w:r>
              <w:t>1 Jul 1993 (see s. 2(1))</w:t>
            </w:r>
          </w:p>
        </w:tc>
      </w:tr>
      <w:tr>
        <w:trPr>
          <w:gridBefore w:val="1"/>
          <w:wBefore w:w="14" w:type="dxa"/>
          <w:cantSplit/>
        </w:trPr>
        <w:tc>
          <w:tcPr>
            <w:tcW w:w="2254" w:type="dxa"/>
          </w:tcPr>
          <w:p>
            <w:pPr>
              <w:pStyle w:val="nTable"/>
            </w:pPr>
            <w:r>
              <w:rPr>
                <w:i/>
              </w:rPr>
              <w:t xml:space="preserve">Acts Amendment (Public Sector Management) Act 1994 </w:t>
            </w:r>
            <w:r>
              <w:t>s. 3(2)</w:t>
            </w:r>
          </w:p>
        </w:tc>
        <w:tc>
          <w:tcPr>
            <w:tcW w:w="1148" w:type="dxa"/>
            <w:gridSpan w:val="3"/>
          </w:tcPr>
          <w:p>
            <w:pPr>
              <w:pStyle w:val="nTable"/>
            </w:pPr>
            <w:r>
              <w:t>32 of 1994</w:t>
            </w:r>
          </w:p>
        </w:tc>
        <w:tc>
          <w:tcPr>
            <w:tcW w:w="1136" w:type="dxa"/>
          </w:tcPr>
          <w:p>
            <w:pPr>
              <w:pStyle w:val="nTable"/>
            </w:pPr>
            <w:r>
              <w:t>29 Jun 1994</w:t>
            </w:r>
          </w:p>
        </w:tc>
        <w:tc>
          <w:tcPr>
            <w:tcW w:w="2553" w:type="dxa"/>
            <w:gridSpan w:val="2"/>
          </w:tcPr>
          <w:p>
            <w:pPr>
              <w:pStyle w:val="nTable"/>
            </w:pPr>
            <w:r>
              <w:t xml:space="preserve">1 Oct 1994 (see s. 2 and </w:t>
            </w:r>
            <w:r>
              <w:rPr>
                <w:i/>
              </w:rPr>
              <w:t>Gazette</w:t>
            </w:r>
            <w:r>
              <w:t xml:space="preserve"> 30 Sep 1994 p. 4948)</w:t>
            </w:r>
          </w:p>
        </w:tc>
      </w:tr>
      <w:tr>
        <w:trPr>
          <w:gridBefore w:val="1"/>
          <w:wBefore w:w="14" w:type="dxa"/>
          <w:cantSplit/>
        </w:trPr>
        <w:tc>
          <w:tcPr>
            <w:tcW w:w="2254" w:type="dxa"/>
          </w:tcPr>
          <w:p>
            <w:pPr>
              <w:pStyle w:val="nTable"/>
            </w:pPr>
            <w:r>
              <w:rPr>
                <w:i/>
              </w:rPr>
              <w:t xml:space="preserve">Financial Legislation Amendment Act 1996 </w:t>
            </w:r>
            <w:r>
              <w:t>s. 64</w:t>
            </w:r>
          </w:p>
        </w:tc>
        <w:tc>
          <w:tcPr>
            <w:tcW w:w="1148" w:type="dxa"/>
            <w:gridSpan w:val="3"/>
          </w:tcPr>
          <w:p>
            <w:pPr>
              <w:pStyle w:val="nTable"/>
            </w:pPr>
            <w:r>
              <w:t>49 of 1996</w:t>
            </w:r>
          </w:p>
        </w:tc>
        <w:tc>
          <w:tcPr>
            <w:tcW w:w="1136" w:type="dxa"/>
          </w:tcPr>
          <w:p>
            <w:pPr>
              <w:pStyle w:val="nTable"/>
            </w:pPr>
            <w:r>
              <w:t>25 Oct 1996</w:t>
            </w:r>
          </w:p>
        </w:tc>
        <w:tc>
          <w:tcPr>
            <w:tcW w:w="2553" w:type="dxa"/>
            <w:gridSpan w:val="2"/>
          </w:tcPr>
          <w:p>
            <w:pPr>
              <w:pStyle w:val="nTable"/>
            </w:pPr>
            <w:r>
              <w:t>25 Oct 1996 (see s. 2(1))</w:t>
            </w:r>
          </w:p>
        </w:tc>
      </w:tr>
      <w:tr>
        <w:trPr>
          <w:gridBefore w:val="1"/>
          <w:wBefore w:w="14" w:type="dxa"/>
          <w:cantSplit/>
        </w:trPr>
        <w:tc>
          <w:tcPr>
            <w:tcW w:w="2254" w:type="dxa"/>
          </w:tcPr>
          <w:p>
            <w:pPr>
              <w:pStyle w:val="nTable"/>
            </w:pPr>
            <w:r>
              <w:rPr>
                <w:i/>
              </w:rPr>
              <w:t xml:space="preserve">Equal Opportunity Amendment Act (No. 3) 1997 </w:t>
            </w:r>
            <w:r>
              <w:t>s. 8</w:t>
            </w:r>
          </w:p>
        </w:tc>
        <w:tc>
          <w:tcPr>
            <w:tcW w:w="1148" w:type="dxa"/>
            <w:gridSpan w:val="3"/>
          </w:tcPr>
          <w:p>
            <w:pPr>
              <w:pStyle w:val="nTable"/>
            </w:pPr>
            <w:r>
              <w:t>42 of 1997</w:t>
            </w:r>
          </w:p>
        </w:tc>
        <w:tc>
          <w:tcPr>
            <w:tcW w:w="1136" w:type="dxa"/>
          </w:tcPr>
          <w:p>
            <w:pPr>
              <w:pStyle w:val="nTable"/>
            </w:pPr>
            <w:r>
              <w:t>9 Dec 1997</w:t>
            </w:r>
          </w:p>
        </w:tc>
        <w:tc>
          <w:tcPr>
            <w:tcW w:w="2553" w:type="dxa"/>
            <w:gridSpan w:val="2"/>
          </w:tcPr>
          <w:p>
            <w:pPr>
              <w:pStyle w:val="nTable"/>
            </w:pPr>
            <w:r>
              <w:t>6 Jan 1998 (see s. 2)</w:t>
            </w:r>
          </w:p>
        </w:tc>
      </w:tr>
      <w:tr>
        <w:trPr>
          <w:gridBefore w:val="1"/>
          <w:wBefore w:w="14" w:type="dxa"/>
          <w:cantSplit/>
        </w:trPr>
        <w:tc>
          <w:tcPr>
            <w:tcW w:w="7091" w:type="dxa"/>
            <w:gridSpan w:val="7"/>
          </w:tcPr>
          <w:p>
            <w:pPr>
              <w:pStyle w:val="nTable"/>
            </w:pPr>
            <w:r>
              <w:rPr>
                <w:b/>
              </w:rPr>
              <w:t xml:space="preserve">Reprint of the </w:t>
            </w:r>
            <w:r>
              <w:rPr>
                <w:b/>
                <w:i/>
              </w:rPr>
              <w:t>Animal Resources Authority Act 1981</w:t>
            </w:r>
            <w:r>
              <w:rPr>
                <w:b/>
              </w:rPr>
              <w:t xml:space="preserve"> as at 9 Nov 2001</w:t>
            </w:r>
            <w:r>
              <w:t xml:space="preserve"> (includes amendments listed above)</w:t>
            </w:r>
          </w:p>
        </w:tc>
      </w:tr>
      <w:tr>
        <w:trPr>
          <w:gridBefore w:val="1"/>
          <w:wBefore w:w="14" w:type="dxa"/>
          <w:cantSplit/>
        </w:trPr>
        <w:tc>
          <w:tcPr>
            <w:tcW w:w="2268" w:type="dxa"/>
            <w:gridSpan w:val="2"/>
          </w:tcPr>
          <w:p>
            <w:pPr>
              <w:pStyle w:val="nTable"/>
            </w:pPr>
            <w:r>
              <w:rPr>
                <w:i/>
                <w:snapToGrid w:val="0"/>
              </w:rPr>
              <w:t>Financial Legislation Amendment and Repeal Act 2006</w:t>
            </w:r>
            <w:r>
              <w:rPr>
                <w:iCs/>
                <w:snapToGrid w:val="0"/>
              </w:rPr>
              <w:t xml:space="preserve"> s. 4 and Sch. 1 cl. 9</w:t>
            </w:r>
          </w:p>
        </w:tc>
        <w:tc>
          <w:tcPr>
            <w:tcW w:w="1134" w:type="dxa"/>
            <w:gridSpan w:val="2"/>
          </w:tcPr>
          <w:p>
            <w:pPr>
              <w:pStyle w:val="nTable"/>
            </w:pPr>
            <w:r>
              <w:rPr>
                <w:snapToGrid w:val="0"/>
              </w:rPr>
              <w:t>77 of 2006</w:t>
            </w:r>
          </w:p>
        </w:tc>
        <w:tc>
          <w:tcPr>
            <w:tcW w:w="1136" w:type="dxa"/>
          </w:tcPr>
          <w:p>
            <w:pPr>
              <w:pStyle w:val="nTable"/>
            </w:pPr>
            <w:r>
              <w:rPr>
                <w:snapToGrid w:val="0"/>
              </w:rPr>
              <w:t>21 Dec 2006</w:t>
            </w:r>
          </w:p>
        </w:tc>
        <w:tc>
          <w:tcPr>
            <w:tcW w:w="2553" w:type="dxa"/>
            <w:gridSpan w:val="2"/>
          </w:tcPr>
          <w:p>
            <w:pPr>
              <w:pStyle w:val="nTable"/>
            </w:pPr>
            <w:r>
              <w:rPr>
                <w:snapToGrid w:val="0"/>
              </w:rPr>
              <w:t xml:space="preserve">1 Feb 2007 (see s. 2(1) and </w:t>
            </w:r>
            <w:r>
              <w:rPr>
                <w:i/>
                <w:iCs/>
                <w:snapToGrid w:val="0"/>
              </w:rPr>
              <w:t>Gazette</w:t>
            </w:r>
            <w:r>
              <w:rPr>
                <w:snapToGrid w:val="0"/>
              </w:rPr>
              <w:t xml:space="preserve"> 19 Jan 2007 p. 137)</w:t>
            </w:r>
          </w:p>
        </w:tc>
      </w:tr>
      <w:tr>
        <w:trPr>
          <w:gridBefore w:val="1"/>
          <w:wBefore w:w="14" w:type="dxa"/>
          <w:cantSplit/>
        </w:trPr>
        <w:tc>
          <w:tcPr>
            <w:tcW w:w="2268" w:type="dxa"/>
            <w:gridSpan w:val="2"/>
          </w:tcPr>
          <w:p>
            <w:pPr>
              <w:pStyle w:val="nTable"/>
              <w:rPr>
                <w:iCs/>
                <w:snapToGrid w:val="0"/>
              </w:rPr>
            </w:pPr>
            <w:r>
              <w:rPr>
                <w:i/>
                <w:snapToGrid w:val="0"/>
              </w:rPr>
              <w:t>Acts Amendment (Bankruptcy) Act 2009</w:t>
            </w:r>
            <w:r>
              <w:rPr>
                <w:iCs/>
                <w:snapToGrid w:val="0"/>
              </w:rPr>
              <w:t xml:space="preserve"> s. 9</w:t>
            </w:r>
          </w:p>
        </w:tc>
        <w:tc>
          <w:tcPr>
            <w:tcW w:w="1134" w:type="dxa"/>
            <w:gridSpan w:val="2"/>
          </w:tcPr>
          <w:p>
            <w:pPr>
              <w:pStyle w:val="nTable"/>
            </w:pPr>
            <w:r>
              <w:t>18 of 2009</w:t>
            </w:r>
          </w:p>
        </w:tc>
        <w:tc>
          <w:tcPr>
            <w:tcW w:w="1136" w:type="dxa"/>
          </w:tcPr>
          <w:p>
            <w:pPr>
              <w:pStyle w:val="nTable"/>
            </w:pPr>
            <w:r>
              <w:t>16 Sep 2009</w:t>
            </w:r>
          </w:p>
        </w:tc>
        <w:tc>
          <w:tcPr>
            <w:tcW w:w="2553" w:type="dxa"/>
            <w:gridSpan w:val="2"/>
          </w:tcPr>
          <w:p>
            <w:pPr>
              <w:pStyle w:val="nTable"/>
            </w:pPr>
            <w:r>
              <w:t>17 Sep 2009 (see s. 2(b))</w:t>
            </w:r>
          </w:p>
        </w:tc>
      </w:tr>
      <w:tr>
        <w:trPr>
          <w:gridBefore w:val="1"/>
          <w:wBefore w:w="14" w:type="dxa"/>
          <w:cantSplit/>
        </w:trPr>
        <w:tc>
          <w:tcPr>
            <w:tcW w:w="2268" w:type="dxa"/>
            <w:gridSpan w:val="2"/>
          </w:tcPr>
          <w:p>
            <w:pPr>
              <w:pStyle w:val="nTable"/>
              <w:rPr>
                <w:iCs/>
                <w:snapToGrid w:val="0"/>
              </w:rPr>
            </w:pPr>
            <w:r>
              <w:rPr>
                <w:i/>
                <w:snapToGrid w:val="0"/>
              </w:rPr>
              <w:t>Standardisation of Formatting Act 2010</w:t>
            </w:r>
            <w:r>
              <w:rPr>
                <w:iCs/>
                <w:snapToGrid w:val="0"/>
              </w:rPr>
              <w:t xml:space="preserve"> s. 4</w:t>
            </w:r>
          </w:p>
        </w:tc>
        <w:tc>
          <w:tcPr>
            <w:tcW w:w="1134" w:type="dxa"/>
            <w:gridSpan w:val="2"/>
          </w:tcPr>
          <w:p>
            <w:pPr>
              <w:pStyle w:val="nTable"/>
              <w:rPr>
                <w:snapToGrid w:val="0"/>
              </w:rPr>
            </w:pPr>
            <w:r>
              <w:rPr>
                <w:snapToGrid w:val="0"/>
              </w:rPr>
              <w:t>19 of 2010</w:t>
            </w:r>
          </w:p>
        </w:tc>
        <w:tc>
          <w:tcPr>
            <w:tcW w:w="1136" w:type="dxa"/>
          </w:tcPr>
          <w:p>
            <w:pPr>
              <w:pStyle w:val="nTable"/>
              <w:rPr>
                <w:snapToGrid w:val="0"/>
              </w:rPr>
            </w:pPr>
            <w:r>
              <w:rPr>
                <w:snapToGrid w:val="0"/>
              </w:rPr>
              <w:t>28 Jun 2010</w:t>
            </w:r>
          </w:p>
        </w:tc>
        <w:tc>
          <w:tcPr>
            <w:tcW w:w="2553" w:type="dxa"/>
            <w:gridSpan w:val="2"/>
          </w:tcPr>
          <w:p>
            <w:pPr>
              <w:pStyle w:val="nTable"/>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4" w:type="dxa"/>
          <w:cantSplit/>
        </w:trPr>
        <w:tc>
          <w:tcPr>
            <w:tcW w:w="2268" w:type="dxa"/>
            <w:gridSpan w:val="2"/>
            <w:shd w:val="clear" w:color="auto" w:fill="auto"/>
          </w:tcPr>
          <w:p>
            <w:pPr>
              <w:pStyle w:val="nTable"/>
              <w:rPr>
                <w:i/>
                <w:snapToGrid w:val="0"/>
              </w:rPr>
            </w:pPr>
            <w:r>
              <w:rPr>
                <w:i/>
                <w:snapToGrid w:val="0"/>
              </w:rPr>
              <w:t>Public Sector Reform Act 2010</w:t>
            </w:r>
            <w:r>
              <w:rPr>
                <w:iCs/>
                <w:snapToGrid w:val="0"/>
              </w:rPr>
              <w:t xml:space="preserve"> s. 89</w:t>
            </w:r>
          </w:p>
        </w:tc>
        <w:tc>
          <w:tcPr>
            <w:tcW w:w="1134" w:type="dxa"/>
            <w:gridSpan w:val="2"/>
            <w:shd w:val="clear" w:color="auto" w:fill="auto"/>
          </w:tcPr>
          <w:p>
            <w:pPr>
              <w:pStyle w:val="nTable"/>
              <w:rPr>
                <w:snapToGrid w:val="0"/>
              </w:rPr>
            </w:pPr>
            <w:r>
              <w:rPr>
                <w:snapToGrid w:val="0"/>
              </w:rPr>
              <w:t>39 of 2010</w:t>
            </w:r>
          </w:p>
        </w:tc>
        <w:tc>
          <w:tcPr>
            <w:tcW w:w="1136" w:type="dxa"/>
            <w:shd w:val="clear" w:color="auto" w:fill="auto"/>
          </w:tcPr>
          <w:p>
            <w:pPr>
              <w:pStyle w:val="nTable"/>
              <w:rPr>
                <w:snapToGrid w:val="0"/>
              </w:rPr>
            </w:pPr>
            <w:r>
              <w:t>1 Oct 2010</w:t>
            </w:r>
          </w:p>
        </w:tc>
        <w:tc>
          <w:tcPr>
            <w:tcW w:w="2553" w:type="dxa"/>
            <w:gridSpan w:val="2"/>
            <w:shd w:val="clear" w:color="auto" w:fill="auto"/>
          </w:tcPr>
          <w:p>
            <w:pPr>
              <w:pStyle w:val="nTable"/>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14" w:type="dxa"/>
          <w:cantSplit/>
        </w:trPr>
        <w:tc>
          <w:tcPr>
            <w:tcW w:w="7091" w:type="dxa"/>
            <w:gridSpan w:val="7"/>
            <w:shd w:val="clear" w:color="auto" w:fill="auto"/>
          </w:tcPr>
          <w:p>
            <w:pPr>
              <w:pStyle w:val="nTable"/>
              <w:rPr>
                <w:snapToGrid w:val="0"/>
              </w:rPr>
            </w:pPr>
            <w:r>
              <w:rPr>
                <w:b/>
              </w:rPr>
              <w:t xml:space="preserve">Reprint 2: The </w:t>
            </w:r>
            <w:r>
              <w:rPr>
                <w:b/>
                <w:i/>
              </w:rPr>
              <w:t>Animal Resources Authority Act 1981</w:t>
            </w:r>
            <w:r>
              <w:rPr>
                <w:b/>
              </w:rPr>
              <w:t xml:space="preserve"> as at 14 Sep 2012</w:t>
            </w:r>
            <w:r>
              <w:t xml:space="preserve"> (includes amendments listed above)</w:t>
            </w:r>
          </w:p>
        </w:tc>
      </w:tr>
      <w:tr>
        <w:trPr>
          <w:gridAfter w:val="1"/>
          <w:wAfter w:w="6" w:type="dxa"/>
          <w:cantSplit/>
        </w:trPr>
        <w:tc>
          <w:tcPr>
            <w:tcW w:w="2268" w:type="dxa"/>
            <w:gridSpan w:val="2"/>
            <w:shd w:val="clear" w:color="auto" w:fill="auto"/>
          </w:tcPr>
          <w:p>
            <w:pPr>
              <w:pStyle w:val="nTable"/>
              <w:rPr>
                <w:i/>
                <w:snapToGrid w:val="0"/>
              </w:rPr>
            </w:pPr>
            <w:r>
              <w:rPr>
                <w:i/>
                <w:snapToGrid w:val="0"/>
              </w:rPr>
              <w:lastRenderedPageBreak/>
              <w:t>Universities Legislation Amendment Act 2016</w:t>
            </w:r>
            <w:r>
              <w:rPr>
                <w:snapToGrid w:val="0"/>
              </w:rPr>
              <w:t xml:space="preserve"> Pt. 7 Div. 2 </w:t>
            </w:r>
          </w:p>
        </w:tc>
        <w:tc>
          <w:tcPr>
            <w:tcW w:w="1134" w:type="dxa"/>
            <w:gridSpan w:val="2"/>
            <w:shd w:val="clear" w:color="auto" w:fill="auto"/>
          </w:tcPr>
          <w:p>
            <w:pPr>
              <w:pStyle w:val="nTable"/>
            </w:pPr>
            <w:r>
              <w:t>32 of 2016</w:t>
            </w:r>
          </w:p>
        </w:tc>
        <w:tc>
          <w:tcPr>
            <w:tcW w:w="1150" w:type="dxa"/>
            <w:gridSpan w:val="2"/>
            <w:shd w:val="clear" w:color="auto" w:fill="auto"/>
          </w:tcPr>
          <w:p>
            <w:pPr>
              <w:pStyle w:val="nTable"/>
            </w:pPr>
            <w:r>
              <w:t>19 Oct 2016</w:t>
            </w:r>
          </w:p>
        </w:tc>
        <w:tc>
          <w:tcPr>
            <w:tcW w:w="2547" w:type="dxa"/>
            <w:shd w:val="clear" w:color="auto" w:fill="auto"/>
          </w:tcPr>
          <w:p>
            <w:pPr>
              <w:pStyle w:val="nTable"/>
            </w:pPr>
            <w:r>
              <w:t xml:space="preserve">2 Jan 2017 (see s. 2(b) and </w:t>
            </w:r>
            <w:r>
              <w:rPr>
                <w:i/>
              </w:rPr>
              <w:t>Gazette</w:t>
            </w:r>
            <w:r>
              <w:t xml:space="preserve"> 9 Dec 2016 p. 5557)</w:t>
            </w:r>
          </w:p>
        </w:tc>
      </w:tr>
      <w:tr>
        <w:trPr>
          <w:gridAfter w:val="1"/>
          <w:wAfter w:w="6" w:type="dxa"/>
          <w:cantSplit/>
        </w:trPr>
        <w:tc>
          <w:tcPr>
            <w:tcW w:w="2268" w:type="dxa"/>
            <w:gridSpan w:val="2"/>
            <w:shd w:val="clear" w:color="auto" w:fill="auto"/>
          </w:tcPr>
          <w:p>
            <w:pPr>
              <w:pStyle w:val="nTable"/>
              <w:rPr>
                <w:i/>
                <w:snapToGrid w:val="0"/>
              </w:rPr>
            </w:pPr>
            <w:r>
              <w:rPr>
                <w:i/>
                <w:snapToGrid w:val="0"/>
              </w:rPr>
              <w:t>Animal Resources Authority Amendment and Repeal Act 2022</w:t>
            </w:r>
            <w:r>
              <w:rPr>
                <w:snapToGrid w:val="0"/>
              </w:rPr>
              <w:t xml:space="preserve"> Pt. 2</w:t>
            </w:r>
          </w:p>
        </w:tc>
        <w:tc>
          <w:tcPr>
            <w:tcW w:w="1134" w:type="dxa"/>
            <w:gridSpan w:val="2"/>
            <w:shd w:val="clear" w:color="auto" w:fill="auto"/>
          </w:tcPr>
          <w:p>
            <w:pPr>
              <w:pStyle w:val="nTable"/>
            </w:pPr>
            <w:r>
              <w:t>12 of 2022</w:t>
            </w:r>
          </w:p>
        </w:tc>
        <w:tc>
          <w:tcPr>
            <w:tcW w:w="1150" w:type="dxa"/>
            <w:gridSpan w:val="2"/>
            <w:shd w:val="clear" w:color="auto" w:fill="auto"/>
          </w:tcPr>
          <w:p>
            <w:pPr>
              <w:pStyle w:val="nTable"/>
            </w:pPr>
            <w:r>
              <w:t>14 Apr 2022</w:t>
            </w:r>
          </w:p>
        </w:tc>
        <w:tc>
          <w:tcPr>
            <w:tcW w:w="2547" w:type="dxa"/>
            <w:shd w:val="clear" w:color="auto" w:fill="auto"/>
          </w:tcPr>
          <w:p>
            <w:pPr>
              <w:pStyle w:val="nTable"/>
            </w:pPr>
            <w:r>
              <w:rPr>
                <w:snapToGrid w:val="0"/>
              </w:rPr>
              <w:t>s. 3</w:t>
            </w:r>
            <w:r>
              <w:rPr>
                <w:snapToGrid w:val="0"/>
              </w:rPr>
              <w:noBreakHyphen/>
              <w:t>5, 7</w:t>
            </w:r>
            <w:r>
              <w:rPr>
                <w:snapToGrid w:val="0"/>
              </w:rPr>
              <w:noBreakHyphen/>
              <w:t xml:space="preserve">Pt. 2 (other than s. 6 and 12): </w:t>
            </w:r>
            <w:r>
              <w:t>14 Apr 2022 (see s. 2(1)(a));</w:t>
            </w:r>
            <w:r>
              <w:br/>
              <w:t>s. 6 and 12: 30 Jun 2023 (see s. 2(1)(b))</w:t>
            </w:r>
          </w:p>
        </w:tc>
      </w:tr>
      <w:tr>
        <w:trPr>
          <w:gridAfter w:val="1"/>
          <w:wAfter w:w="6" w:type="dxa"/>
          <w:cantSplit/>
        </w:trPr>
        <w:tc>
          <w:tcPr>
            <w:tcW w:w="7099" w:type="dxa"/>
            <w:gridSpan w:val="7"/>
            <w:tcBorders>
              <w:bottom w:val="single" w:sz="4" w:space="0" w:color="auto"/>
            </w:tcBorders>
            <w:shd w:val="clear" w:color="auto" w:fill="auto"/>
          </w:tcPr>
          <w:p>
            <w:pPr>
              <w:pStyle w:val="nTable"/>
              <w:rPr>
                <w:b/>
                <w:bCs/>
                <w:snapToGrid w:val="0"/>
              </w:rPr>
            </w:pPr>
            <w:r>
              <w:rPr>
                <w:b/>
                <w:bCs/>
                <w:color w:val="FF0000"/>
              </w:rPr>
              <w:t xml:space="preserve">This Act was repealed by the </w:t>
            </w:r>
            <w:r>
              <w:rPr>
                <w:b/>
                <w:bCs/>
                <w:i/>
                <w:color w:val="FF0000"/>
              </w:rPr>
              <w:t xml:space="preserve">Animal Resources Authority Amendment and Repeal Act 2022 </w:t>
            </w:r>
            <w:r>
              <w:rPr>
                <w:b/>
                <w:bCs/>
                <w:iCs/>
                <w:color w:val="FF0000"/>
              </w:rPr>
              <w:t>s. 14 (No. 12 of 2022) on 22 Aug 2024 (see s. 2(1)(c) and SL 2024/176 cl. 2)</w:t>
            </w:r>
          </w:p>
        </w:tc>
      </w:tr>
    </w:tbl>
    <w:p>
      <w:pPr>
        <w:pStyle w:val="nHeading3"/>
      </w:pPr>
      <w:bookmarkStart w:id="82" w:name="_Toc175039293"/>
      <w:r>
        <w:t>Uncommenced provisions table</w:t>
      </w:r>
      <w:bookmarkEnd w:id="8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84" w:type="dxa"/>
        <w:tblLayout w:type="fixed"/>
        <w:tblCellMar>
          <w:left w:w="56" w:type="dxa"/>
          <w:right w:w="56" w:type="dxa"/>
        </w:tblCellMar>
        <w:tblLook w:val="0000" w:firstRow="0" w:lastRow="0" w:firstColumn="0" w:lastColumn="0" w:noHBand="0" w:noVBand="0"/>
      </w:tblPr>
      <w:tblGrid>
        <w:gridCol w:w="2267"/>
        <w:gridCol w:w="1134"/>
        <w:gridCol w:w="1134"/>
        <w:gridCol w:w="2553"/>
      </w:tblGrid>
      <w:tr>
        <w:trPr>
          <w:cantSplit/>
          <w:tblHeader/>
        </w:trPr>
        <w:tc>
          <w:tcPr>
            <w:tcW w:w="2267" w:type="dxa"/>
            <w:tcBorders>
              <w:top w:val="single" w:sz="8" w:space="0" w:color="auto"/>
              <w:bottom w:val="single" w:sz="8" w:space="0" w:color="auto"/>
            </w:tcBorders>
            <w:shd w:val="clear" w:color="auto" w:fill="auto"/>
          </w:tcPr>
          <w:p>
            <w:pPr>
              <w:pStyle w:val="nTable"/>
              <w:rPr>
                <w:b/>
              </w:rPr>
            </w:pPr>
            <w:r>
              <w:rPr>
                <w:b/>
              </w:rPr>
              <w:t>Short title</w:t>
            </w:r>
          </w:p>
        </w:tc>
        <w:tc>
          <w:tcPr>
            <w:tcW w:w="1134" w:type="dxa"/>
            <w:tcBorders>
              <w:top w:val="single" w:sz="8" w:space="0" w:color="auto"/>
              <w:bottom w:val="single" w:sz="8" w:space="0" w:color="auto"/>
            </w:tcBorders>
            <w:shd w:val="clear" w:color="auto" w:fill="auto"/>
          </w:tcPr>
          <w:p>
            <w:pPr>
              <w:pStyle w:val="nTable"/>
              <w:rPr>
                <w:b/>
              </w:rPr>
            </w:pPr>
            <w:r>
              <w:rPr>
                <w:b/>
              </w:rPr>
              <w:t>Number and year</w:t>
            </w:r>
          </w:p>
        </w:tc>
        <w:tc>
          <w:tcPr>
            <w:tcW w:w="1134" w:type="dxa"/>
            <w:tcBorders>
              <w:top w:val="single" w:sz="8" w:space="0" w:color="auto"/>
              <w:bottom w:val="single" w:sz="8" w:space="0" w:color="auto"/>
            </w:tcBorders>
            <w:shd w:val="clear" w:color="auto" w:fill="auto"/>
          </w:tcPr>
          <w:p>
            <w:pPr>
              <w:pStyle w:val="nTable"/>
              <w:rPr>
                <w:b/>
              </w:rPr>
            </w:pPr>
            <w:r>
              <w:rPr>
                <w:b/>
              </w:rPr>
              <w:t>Assent</w:t>
            </w:r>
          </w:p>
        </w:tc>
        <w:tc>
          <w:tcPr>
            <w:tcW w:w="2553" w:type="dxa"/>
            <w:tcBorders>
              <w:top w:val="single" w:sz="8" w:space="0" w:color="auto"/>
              <w:bottom w:val="single" w:sz="8" w:space="0" w:color="auto"/>
            </w:tcBorders>
            <w:shd w:val="clear" w:color="auto" w:fill="auto"/>
          </w:tcPr>
          <w:p>
            <w:pPr>
              <w:pStyle w:val="nTable"/>
              <w:rPr>
                <w:b/>
              </w:rPr>
            </w:pPr>
            <w:r>
              <w:rPr>
                <w:b/>
              </w:rPr>
              <w:t>Commencement</w:t>
            </w:r>
          </w:p>
        </w:tc>
      </w:tr>
      <w:tr>
        <w:trPr>
          <w:cantSplit/>
        </w:trPr>
        <w:tc>
          <w:tcPr>
            <w:tcW w:w="2267" w:type="dxa"/>
            <w:tcBorders>
              <w:top w:val="single" w:sz="8" w:space="0" w:color="auto"/>
              <w:bottom w:val="single" w:sz="4" w:space="0" w:color="auto"/>
            </w:tcBorders>
            <w:shd w:val="clear" w:color="auto" w:fill="auto"/>
          </w:tcPr>
          <w:p>
            <w:pPr>
              <w:pStyle w:val="nTable"/>
              <w:rPr>
                <w:vertAlign w:val="superscript"/>
              </w:rPr>
            </w:pPr>
            <w:r>
              <w:rPr>
                <w:i/>
                <w:snapToGrid w:val="0"/>
              </w:rPr>
              <w:t>State Superannuation (Transitional and Consequential Provisions) Act 2000</w:t>
            </w:r>
            <w:r>
              <w:rPr>
                <w:snapToGrid w:val="0"/>
              </w:rPr>
              <w:t xml:space="preserve"> s. 30</w:t>
            </w:r>
            <w:r>
              <w:rPr>
                <w:snapToGrid w:val="0"/>
                <w:vertAlign w:val="superscript"/>
              </w:rPr>
              <w:t> 3</w:t>
            </w:r>
          </w:p>
        </w:tc>
        <w:tc>
          <w:tcPr>
            <w:tcW w:w="1134" w:type="dxa"/>
            <w:tcBorders>
              <w:top w:val="single" w:sz="8" w:space="0" w:color="auto"/>
              <w:bottom w:val="single" w:sz="4" w:space="0" w:color="auto"/>
            </w:tcBorders>
            <w:shd w:val="clear" w:color="auto" w:fill="auto"/>
          </w:tcPr>
          <w:p>
            <w:pPr>
              <w:pStyle w:val="nTable"/>
            </w:pPr>
            <w:r>
              <w:t>43 of 2000</w:t>
            </w:r>
          </w:p>
        </w:tc>
        <w:tc>
          <w:tcPr>
            <w:tcW w:w="1134" w:type="dxa"/>
            <w:tcBorders>
              <w:top w:val="single" w:sz="8" w:space="0" w:color="auto"/>
              <w:bottom w:val="single" w:sz="4" w:space="0" w:color="auto"/>
            </w:tcBorders>
            <w:shd w:val="clear" w:color="auto" w:fill="auto"/>
          </w:tcPr>
          <w:p>
            <w:pPr>
              <w:pStyle w:val="nTable"/>
            </w:pPr>
            <w:r>
              <w:t>2 Nov 2000</w:t>
            </w:r>
          </w:p>
        </w:tc>
        <w:tc>
          <w:tcPr>
            <w:tcW w:w="2553" w:type="dxa"/>
            <w:tcBorders>
              <w:top w:val="single" w:sz="8" w:space="0" w:color="auto"/>
              <w:bottom w:val="single" w:sz="4" w:space="0" w:color="auto"/>
            </w:tcBorders>
            <w:shd w:val="clear" w:color="auto" w:fill="auto"/>
          </w:tcPr>
          <w:p>
            <w:pPr>
              <w:pStyle w:val="nTable"/>
            </w:pPr>
            <w:r>
              <w:t>To be proclaimed (see s. 2(2))</w:t>
            </w:r>
          </w:p>
        </w:tc>
      </w:tr>
    </w:tbl>
    <w:p>
      <w:pPr>
        <w:pStyle w:val="nHeading3"/>
      </w:pPr>
      <w:bookmarkStart w:id="83" w:name="_Toc175039294"/>
      <w:r>
        <w:t>Other notes</w:t>
      </w:r>
      <w:bookmarkEnd w:id="83"/>
    </w:p>
    <w:p>
      <w:pPr>
        <w:pStyle w:val="nNote"/>
        <w:rPr>
          <w:snapToGrid w:val="0"/>
        </w:rPr>
      </w:pPr>
      <w:r>
        <w:rPr>
          <w:snapToGrid w:val="0"/>
          <w:vertAlign w:val="superscript"/>
        </w:rPr>
        <w:t>1</w:t>
      </w:r>
      <w:r>
        <w:rPr>
          <w:snapToGrid w:val="0"/>
        </w:rPr>
        <w:tab/>
      </w:r>
      <w:r>
        <w:t>The</w:t>
      </w:r>
      <w:r>
        <w:rPr>
          <w:snapToGrid w:val="0"/>
        </w:rPr>
        <w:t xml:space="preserv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rPr>
          <w:snapToGrid w:val="0"/>
        </w:rPr>
      </w:pPr>
      <w:r>
        <w:rPr>
          <w:snapToGrid w:val="0"/>
          <w:vertAlign w:val="superscript"/>
        </w:rPr>
        <w:t>2</w:t>
      </w:r>
      <w:r>
        <w:rPr>
          <w:snapToGrid w:val="0"/>
        </w:rPr>
        <w:tab/>
        <w:t xml:space="preserve">Under </w:t>
      </w:r>
      <w:r>
        <w:t>the</w:t>
      </w:r>
      <w:r>
        <w:rPr>
          <w:snapToGrid w:val="0"/>
        </w:rPr>
        <w:t xml:space="preserv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Note"/>
        <w:rPr>
          <w:snapToGrid w:val="0"/>
        </w:rPr>
      </w:pPr>
      <w:r>
        <w:rPr>
          <w:snapToGrid w:val="0"/>
          <w:vertAlign w:val="superscript"/>
        </w:rPr>
        <w:t>3</w:t>
      </w:r>
      <w:r>
        <w:rPr>
          <w:snapToGrid w:val="0"/>
        </w:rPr>
        <w:tab/>
      </w:r>
      <w:r>
        <w:t xml:space="preserve">On the date as at which this compilation was prepared, the </w:t>
      </w:r>
      <w:r>
        <w:rPr>
          <w:i/>
          <w:snapToGrid w:val="0"/>
        </w:rPr>
        <w:t>State Superannuation (Transitional and Consequential Provisions) Act 2000</w:t>
      </w:r>
      <w:r>
        <w:rPr>
          <w:snapToGrid w:val="0"/>
        </w:rPr>
        <w:t xml:space="preserve"> s. 30 had not come into operation.</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85" w:name="_Toc171081045"/>
      <w:bookmarkStart w:id="86" w:name="_Toc171324164"/>
      <w:bookmarkStart w:id="87" w:name="_Toc174960723"/>
      <w:bookmarkStart w:id="88" w:name="_Toc174960837"/>
      <w:bookmarkStart w:id="89" w:name="_Toc175039295"/>
      <w:r>
        <w:rPr>
          <w:sz w:val="28"/>
        </w:rPr>
        <w:lastRenderedPageBreak/>
        <w:t>Defined terms</w:t>
      </w:r>
      <w:bookmarkEnd w:id="85"/>
      <w:bookmarkEnd w:id="86"/>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28</w:t>
      </w:r>
    </w:p>
    <w:p>
      <w:pPr>
        <w:pStyle w:val="DefinedTerms"/>
      </w:pPr>
      <w:r>
        <w:t>assets</w:t>
      </w:r>
      <w:r>
        <w:tab/>
        <w:t>28</w:t>
      </w:r>
    </w:p>
    <w:p>
      <w:pPr>
        <w:pStyle w:val="DefinedTerms"/>
      </w:pPr>
      <w:r>
        <w:t>Authority</w:t>
      </w:r>
      <w:r>
        <w:tab/>
        <w:t>3</w:t>
      </w:r>
    </w:p>
    <w:p>
      <w:pPr>
        <w:pStyle w:val="DefinedTerms"/>
      </w:pPr>
      <w:r>
        <w:t>financial year</w:t>
      </w:r>
      <w:r>
        <w:tab/>
        <w:t>3</w:t>
      </w:r>
    </w:p>
    <w:p>
      <w:pPr>
        <w:pStyle w:val="DefinedTerms"/>
      </w:pPr>
      <w:r>
        <w:t>former Authority</w:t>
      </w:r>
      <w:r>
        <w:tab/>
        <w:t>28</w:t>
      </w:r>
    </w:p>
    <w:p>
      <w:pPr>
        <w:pStyle w:val="DefinedTerms"/>
      </w:pPr>
      <w:r>
        <w:t>laboratory animal</w:t>
      </w:r>
      <w:r>
        <w:tab/>
        <w:t>3</w:t>
      </w:r>
    </w:p>
    <w:p>
      <w:pPr>
        <w:pStyle w:val="DefinedTerms"/>
      </w:pPr>
      <w:r>
        <w:t>liabilities</w:t>
      </w:r>
      <w:r>
        <w:tab/>
        <w:t>28</w:t>
      </w:r>
    </w:p>
    <w:p>
      <w:pPr>
        <w:pStyle w:val="DefinedTerms"/>
      </w:pPr>
      <w:r>
        <w:t>new employer</w:t>
      </w:r>
      <w:r>
        <w:tab/>
        <w:t>30(1)</w:t>
      </w:r>
    </w:p>
    <w:p>
      <w:pPr>
        <w:pStyle w:val="DefinedTerms"/>
      </w:pPr>
      <w:r>
        <w:t>Public Sector</w:t>
      </w:r>
      <w:r>
        <w:tab/>
        <w:t>28</w:t>
      </w:r>
    </w:p>
    <w:p>
      <w:pPr>
        <w:pStyle w:val="DefinedTerms"/>
      </w:pPr>
      <w:r>
        <w:t>relevant act</w:t>
      </w:r>
      <w:r>
        <w:tab/>
        <w:t>28</w:t>
      </w:r>
    </w:p>
    <w:p>
      <w:pPr>
        <w:pStyle w:val="DefinedTerms"/>
      </w:pPr>
      <w:r>
        <w:t>rights</w:t>
      </w:r>
      <w:r>
        <w:tab/>
        <w:t>28</w:t>
      </w:r>
    </w:p>
    <w:p>
      <w:pPr>
        <w:pStyle w:val="DefinedTerms"/>
      </w:pPr>
      <w:r>
        <w:t>section</w:t>
      </w:r>
      <w:r>
        <w:tab/>
        <w:t>3</w:t>
      </w:r>
    </w:p>
    <w:p>
      <w:pPr>
        <w:pStyle w:val="DefinedTerms"/>
      </w:pPr>
      <w:r>
        <w:t>staff member</w:t>
      </w:r>
      <w:r>
        <w:tab/>
        <w:t>28</w:t>
      </w:r>
    </w:p>
    <w:p>
      <w:pPr>
        <w:pStyle w:val="DefinedTerms"/>
      </w:pPr>
      <w:r>
        <w:t>State tax</w:t>
      </w:r>
      <w:r>
        <w:tab/>
        <w:t>28</w:t>
      </w:r>
    </w:p>
    <w:p>
      <w:pPr>
        <w:pStyle w:val="DefinedTerms"/>
      </w:pPr>
      <w:r>
        <w:t>subsection</w:t>
      </w:r>
      <w:r>
        <w:tab/>
        <w:t>3</w:t>
      </w:r>
    </w:p>
    <w:p>
      <w:pPr>
        <w:pStyle w:val="DefinedTerms"/>
      </w:pPr>
      <w:r>
        <w:t>subsisting</w:t>
      </w:r>
      <w:r>
        <w:tab/>
        <w:t>28</w:t>
      </w:r>
    </w:p>
    <w:p>
      <w:pPr>
        <w:pStyle w:val="DefinedTerms"/>
      </w:pPr>
      <w:r>
        <w:t>transition day</w:t>
      </w:r>
      <w:r>
        <w:tab/>
        <w:t>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06BEE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8E969E6" w14:textId="749013CC" w:rsidR="005451B2" w:rsidRDefault="005451B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D907172" w14:textId="77777777" w:rsidR="005451B2" w:rsidRDefault="005451B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95D1AE6" w14:textId="02401DEB" w:rsidR="005451B2" w:rsidRDefault="005451B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3DDC664" w14:textId="77777777" w:rsidR="005451B2" w:rsidRDefault="005451B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22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22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22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22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22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22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40836"/>
    <w:docVar w:name="WAFER_20140120112427" w:val="RemoveTocBookmarks,RemoveUnusedBookmarks,RemoveLanguageTags,UsedStyles,ResetPageSize,UpdateArrangement"/>
    <w:docVar w:name="WAFER_20140120112427_GUID" w:val="cdfcdae1-7b83-4514-88de-5b55da0c4e2f"/>
    <w:docVar w:name="WAFER_20140120115649" w:val="RemoveTocBookmarks,RunningHeaders"/>
    <w:docVar w:name="WAFER_20140120115649_GUID" w:val="2437c615-029f-4a90-b956-3a0d005737f2"/>
    <w:docVar w:name="WAFER_20150225113549" w:val="ResetPageSize,UpdateArrangement,UpdateNTable"/>
    <w:docVar w:name="WAFER_20150225113549_GUID" w:val="0bf31ded-3eab-4472-bd8c-82c457cbf437"/>
    <w:docVar w:name="WAFER_20151102113948" w:val="UpdateStyles,UsedStyles"/>
    <w:docVar w:name="WAFER_20151102113948_GUID" w:val="d07b75ef-d360-4fe4-b297-02b72492714b"/>
    <w:docVar w:name="WAFER_20151130153527" w:val="RemoveTrackChanges"/>
    <w:docVar w:name="WAFER_20151130153527_GUID" w:val="438b4033-a153-4a70-9120-384b195f29bc"/>
    <w:docVar w:name="WAFER_20170111151950" w:val="RemoveTocBookmarks,RemoveUnusedBookmarks,RemoveLanguageTags,UsedStyles,ResetPageSize"/>
    <w:docVar w:name="WAFER_20170111151950_GUID" w:val="a76af7f2-4d65-4a9f-9a32-bf680cd10e99"/>
    <w:docVar w:name="WAFER_20200207110630" w:val="UpdateStyles.ProcessFixes,UpdateStyles.ProcessFixes"/>
    <w:docVar w:name="WAFER_20200207110630_GUID" w:val="e1a422e2-47fd-43a3-a115-9dfb06e607c5"/>
    <w:docVar w:name="WAFER_2020020711112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11121_GUID" w:val="e60cb774-e1e6-49df-8d32-fdfab761855c"/>
    <w:docVar w:name="WAFER_202204111030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049_GUID" w:val="62e79070-188c-4f1f-9be6-632ade557cf2"/>
    <w:docVar w:name="WAFER_20230621110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1110055_GUID" w:val="2ece7081-bd91-4593-a7fc-94159dade78f"/>
    <w:docVar w:name="WAFER_20240705140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40836_GUID" w:val="7d7aef99-21bd-4ecd-a84b-337ec131ac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o:shapelayout v:ext="edit">
      <o:idmap v:ext="edit" data="1"/>
    </o:shapelayout>
  </w:shapeDefaults>
  <w:decimalSymbol w:val="."/>
  <w:listSeparator w:val=","/>
  <w15:docId w15:val="{2B9D170C-C154-4689-9EF7-72C9C3EF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5011</Words>
  <Characters>24206</Characters>
  <Application>Microsoft Office Word</Application>
  <DocSecurity>0</DocSecurity>
  <Lines>733</Lines>
  <Paragraphs>478</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1981 - 02-f0-00</dc:title>
  <dc:subject/>
  <dc:creator/>
  <cp:keywords/>
  <dc:description/>
  <cp:lastModifiedBy>Master Repository Process</cp:lastModifiedBy>
  <cp:revision>4</cp:revision>
  <cp:lastPrinted>2012-09-26T06:17:00Z</cp:lastPrinted>
  <dcterms:created xsi:type="dcterms:W3CDTF">2025-06-20T03:35:00Z</dcterms:created>
  <dcterms:modified xsi:type="dcterms:W3CDTF">2025-06-20T03:35:00Z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DocumentType">
    <vt:lpwstr>Act</vt:lpwstr>
  </property>
  <property fmtid="{D5CDD505-2E9C-101B-9397-08002B2CF9AE}" pid="4" name="OwlsUID">
    <vt:i4>47</vt:i4>
  </property>
  <property fmtid="{D5CDD505-2E9C-101B-9397-08002B2CF9AE}" pid="5" name="ReprintNo">
    <vt:lpwstr>2</vt:lpwstr>
  </property>
  <property fmtid="{D5CDD505-2E9C-101B-9397-08002B2CF9AE}" pid="6" name="ReprintedAsAt">
    <vt:filetime>2012-09-13T16:00:00Z</vt:filetime>
  </property>
  <property fmtid="{D5CDD505-2E9C-101B-9397-08002B2CF9AE}" pid="7" name="AsAtDate">
    <vt:lpwstr>22 Aug 2024</vt:lpwstr>
  </property>
  <property fmtid="{D5CDD505-2E9C-101B-9397-08002B2CF9AE}" pid="8" name="Suffix">
    <vt:lpwstr>02-f0-00</vt:lpwstr>
  </property>
  <property fmtid="{D5CDD505-2E9C-101B-9397-08002B2CF9AE}" pid="9" name="Official">
    <vt:lpwstr/>
  </property>
  <property fmtid="{D5CDD505-2E9C-101B-9397-08002B2CF9AE}" pid="10" name="Status">
    <vt:lpwstr>NIF</vt:lpwstr>
  </property>
  <property fmtid="{D5CDD505-2E9C-101B-9397-08002B2CF9AE}" pid="11" name="CommencementDate">
    <vt:lpwstr>20240822</vt:lpwstr>
  </property>
  <property fmtid="{D5CDD505-2E9C-101B-9397-08002B2CF9AE}" pid="12" name="CommencementAsAt">
    <vt:filetime>2024-08-21T16:00:00Z</vt:filetime>
  </property>
  <property fmtid="{D5CDD505-2E9C-101B-9397-08002B2CF9AE}" pid="13" name="CommencementYear">
    <vt:lpwstr>2024</vt:lpwstr>
  </property>
</Properties>
</file>